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-610870</wp:posOffset>
            </wp:positionV>
            <wp:extent cx="8255" cy="6115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4009390</wp:posOffset>
            </wp:positionH>
            <wp:positionV relativeFrom="paragraph">
              <wp:posOffset>-619125</wp:posOffset>
            </wp:positionV>
            <wp:extent cx="82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4034155</wp:posOffset>
            </wp:positionH>
            <wp:positionV relativeFrom="paragraph">
              <wp:posOffset>-594360</wp:posOffset>
            </wp:positionV>
            <wp:extent cx="1264285" cy="570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70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60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Wallace Owen B.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FULCRUM THERAPEUTICS, INC.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" w:right="600" w:hanging="5"/>
        <w:spacing w:after="0" w:line="23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7.84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127,500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127,088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7.84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01/21/2029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87,714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-3371850</wp:posOffset>
            </wp:positionV>
            <wp:extent cx="7033260" cy="35121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1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reported in this Form 4 were effected pursuant to a Rule 10b5-1 trading plan adopted by the reporting person on November 26, 2019.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the option are scheduled to vest in equal quarterly installments from January 1, 2019 through December 31, 2022.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Peter Thomson,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39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Owen B. Wallace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-19685</wp:posOffset>
            </wp:positionV>
            <wp:extent cx="12115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895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8843" TargetMode="External"/><Relationship Id="rId14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2020-05-28T17:49:01Z</dcterms:created>
  <dcterms:modified xsi:type="dcterms:W3CDTF">2020-05-28T17:49:01Z</dcterms:modified>
</cp:coreProperties>
</file>