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center"/>
        <w:rPr/>
      </w:pPr>
      <w:bookmarkStart w:id="0" w:name="fulc-20211231.htm"/>
      <w:bookmarkStart w:id="1" w:name="ksfulc20211231"/>
      <w:bookmarkEnd w:id="0"/>
      <w:bookmarkEnd w:id="1"/>
      <w:r>
        <w:rPr/>
        <w:t> </w:t>
      </w:r>
    </w:p>
    <w:p>
      <w:pPr>
        <w:pStyle w:val="TextBody"/>
        <w:bidi w:val="0"/>
        <w:spacing w:before="0" w:after="0"/>
        <w:jc w:val="center"/>
        <w:rPr>
          <w:rFonts w:ascii="Times New Roman" w:hAnsi="Times New Roman"/>
          <w:sz w:val="20"/>
        </w:rPr>
      </w:pPr>
      <w:r>
        <w:rPr>
          <w:rFonts w:ascii="Times New Roman;serif" w:hAnsi="Times New Roman;serif"/>
          <w:b/>
          <w:sz w:val="32"/>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2"/>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40" w:after="0"/>
        <w:jc w:val="center"/>
        <w:rPr>
          <w:rFonts w:ascii="Times New Roman;serif" w:hAnsi="Times New Roman;serif"/>
          <w:b/>
          <w:sz w:val="36"/>
        </w:rPr>
      </w:pPr>
      <w:r>
        <w:rPr>
          <w:rFonts w:ascii="Times New Roman;serif" w:hAnsi="Times New Roman;serif"/>
          <w:b/>
          <w:sz w:val="36"/>
        </w:rPr>
        <w:t>FORM 10-K/A</w:t>
      </w:r>
    </w:p>
    <w:p>
      <w:pPr>
        <w:pStyle w:val="TextBody"/>
        <w:bidi w:val="0"/>
        <w:spacing w:before="0" w:after="0"/>
        <w:jc w:val="center"/>
        <w:rPr>
          <w:rFonts w:ascii="Times New Roman;serif" w:hAnsi="Times New Roman;serif"/>
          <w:b/>
          <w:sz w:val="20"/>
        </w:rPr>
      </w:pPr>
      <w:r>
        <w:rPr>
          <w:rFonts w:ascii="Times New Roman;serif" w:hAnsi="Times New Roman;serif"/>
          <w:b/>
          <w:sz w:val="20"/>
        </w:rPr>
        <w:t>Amendment No. 1</w:t>
      </w:r>
    </w:p>
    <w:p>
      <w:pPr>
        <w:pStyle w:val="TextBody"/>
        <w:pBdr>
          <w:bottom w:val="single" w:sz="4" w:space="1" w:color="000000"/>
        </w:pBdr>
        <w:bidi w:val="0"/>
        <w:spacing w:before="0" w:after="0"/>
        <w:jc w:val="center"/>
        <w:rPr/>
      </w:pPr>
      <w:r>
        <w:rPr/>
        <w:t> </w:t>
      </w:r>
    </w:p>
    <w:p>
      <w:pPr>
        <w:pStyle w:val="TextBody"/>
        <w:bidi w:val="0"/>
        <w:spacing w:before="40" w:after="0"/>
        <w:jc w:val="left"/>
        <w:rPr>
          <w:rFonts w:ascii="Times New Roman" w:hAnsi="Times New Roman"/>
          <w:sz w:val="20"/>
        </w:rPr>
      </w:pPr>
      <w:r>
        <w:rPr>
          <w:rFonts w:ascii="Times New Roman;serif" w:hAnsi="Times New Roman;serif"/>
          <w:b/>
          <w:sz w:val="16"/>
        </w:rPr>
        <w:t>(Mark One)</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sz w:val="20"/>
        </w:rPr>
        <w:t>ANNUAL REPORT PURSUANT TO SECTION 13 OR 15(d) OF THE SECURITIES EXCHANGE ACT OF 1934</w:t>
      </w:r>
      <w:r>
        <w:rPr>
          <w:rFonts w:ascii="Times New Roman" w:hAnsi="Times New Roman"/>
          <w:sz w:val="20"/>
        </w:rPr>
        <w:t xml:space="preserve"> </w:t>
      </w:r>
    </w:p>
    <w:p>
      <w:pPr>
        <w:pStyle w:val="TextBody"/>
        <w:bidi w:val="0"/>
        <w:spacing w:before="40" w:after="0"/>
        <w:jc w:val="center"/>
        <w:rPr>
          <w:rFonts w:ascii="Times New Roman;serif" w:hAnsi="Times New Roman;serif"/>
          <w:b/>
          <w:sz w:val="20"/>
        </w:rPr>
      </w:pPr>
      <w:r>
        <w:rPr>
          <w:rFonts w:ascii="Times New Roman;serif" w:hAnsi="Times New Roman;serif"/>
          <w:b/>
          <w:sz w:val="20"/>
        </w:rPr>
        <w:t>For the fiscal year ended December 31, 2021</w:t>
      </w:r>
    </w:p>
    <w:p>
      <w:pPr>
        <w:pStyle w:val="TextBody"/>
        <w:bidi w:val="0"/>
        <w:spacing w:before="4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bidi w:val="0"/>
        <w:spacing w:before="40" w:after="0"/>
        <w:jc w:val="left"/>
        <w:rPr/>
      </w:pPr>
      <w:r>
        <w:rPr/>
        <w:t xml:space="preserve">☐ </w:t>
      </w: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p>
      <w:pPr>
        <w:pStyle w:val="TextBody"/>
        <w:bidi w:val="0"/>
        <w:spacing w:before="4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40" w:after="0"/>
        <w:jc w:val="center"/>
        <w:rPr>
          <w:rFonts w:ascii="Times New Roman;serif" w:hAnsi="Times New Roman;serif"/>
          <w:b/>
          <w:sz w:val="20"/>
        </w:rPr>
      </w:pPr>
      <w:r>
        <w:rPr>
          <w:rFonts w:ascii="Times New Roman;serif" w:hAnsi="Times New Roman;serif"/>
          <w:b/>
          <w:sz w:val="20"/>
        </w:rPr>
        <w:t>Commission File Number 001-38978</w:t>
      </w:r>
    </w:p>
    <w:p>
      <w:pPr>
        <w:pStyle w:val="TextBody"/>
        <w:pBdr>
          <w:bottom w:val="single" w:sz="4" w:space="1" w:color="000000"/>
        </w:pBdr>
        <w:bidi w:val="0"/>
        <w:spacing w:before="0" w:after="0"/>
        <w:jc w:val="center"/>
        <w:rPr/>
      </w:pPr>
      <w:r>
        <w:rPr/>
        <w:t> </w:t>
      </w:r>
    </w:p>
    <w:p>
      <w:pPr>
        <w:pStyle w:val="TextBody"/>
        <w:bidi w:val="0"/>
        <w:spacing w:before="40" w:after="0"/>
        <w:jc w:val="center"/>
        <w:rPr>
          <w:rFonts w:ascii="Times New Roman;serif" w:hAnsi="Times New Roman;serif"/>
          <w:b/>
          <w:sz w:val="48"/>
        </w:rPr>
      </w:pPr>
      <w:r>
        <w:rPr>
          <w:rFonts w:ascii="Times New Roman;serif" w:hAnsi="Times New Roman;serif"/>
          <w:b/>
          <w:sz w:val="48"/>
        </w:rPr>
        <w:t>FULCRUM THERAPEUTICS, INC.</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47-4839948</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26 Landsdowne Street</w:t>
              <w:br/>
              <w:t>Cambridge, Massachusetts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02139</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 (617) 651-8851</w:t>
      </w:r>
    </w:p>
    <w:p>
      <w:pPr>
        <w:pStyle w:val="TextBody"/>
        <w:pBdr>
          <w:bottom w:val="single" w:sz="4" w:space="1" w:color="000000"/>
        </w:pBdr>
        <w:bidi w:val="0"/>
        <w:spacing w:before="0" w:after="0"/>
        <w:jc w:val="center"/>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17"/>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005" w:type="dxa"/>
        <w:jc w:val="left"/>
        <w:tblInd w:w="0" w:type="dxa"/>
        <w:tblLayout w:type="fixed"/>
        <w:tblCellMar>
          <w:top w:w="28" w:type="dxa"/>
          <w:left w:w="28" w:type="dxa"/>
          <w:bottom w:w="28" w:type="dxa"/>
          <w:right w:w="28" w:type="dxa"/>
        </w:tblCellMar>
      </w:tblPr>
      <w:tblGrid>
        <w:gridCol w:w="3571"/>
        <w:gridCol w:w="146"/>
        <w:gridCol w:w="826"/>
        <w:gridCol w:w="146"/>
        <w:gridCol w:w="331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5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$0.001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FULC</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7"/>
        </w:rPr>
        <w:t>Securities registered pursuant to Section 12(g) of the Act: None</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if the registrant is a well-known seasoned issuer, as defined in Rule 405 of the Securities Act. YES </w:t>
      </w:r>
      <w:r>
        <w:rPr>
          <w:rFonts w:ascii="Times New Roman" w:hAnsi="Times New Roman"/>
          <w:sz w:val="20"/>
        </w:rPr>
        <w:t xml:space="preserve">☐ </w:t>
      </w:r>
      <w:r>
        <w:rPr>
          <w:rFonts w:ascii="Times New Roman;serif" w:hAnsi="Times New Roman;serif"/>
          <w:b w:val="false"/>
          <w:caps/>
          <w:sz w:val="17"/>
        </w:rPr>
        <w:t>No</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if the registrant is not required to file reports pursuant to Section 13 or 15(d) of the Act. YES </w:t>
      </w:r>
      <w:r>
        <w:rPr>
          <w:rFonts w:ascii="Times New Roman" w:hAnsi="Times New Roman"/>
          <w:sz w:val="20"/>
        </w:rPr>
        <w:t xml:space="preserve">☐ </w:t>
      </w:r>
      <w:r>
        <w:rPr>
          <w:rFonts w:ascii="Times New Roman;serif" w:hAnsi="Times New Roman;serif"/>
          <w:b w:val="false"/>
          <w:caps/>
          <w:sz w:val="17"/>
        </w:rPr>
        <w:t>No</w:t>
      </w:r>
      <w:r>
        <w:rPr>
          <w:rFonts w:ascii="Times New Roman" w:hAnsi="Times New Roman"/>
          <w:sz w:val="20"/>
        </w:rPr>
        <w:t xml:space="preserve"> ☒ </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aps/>
          <w:sz w:val="17"/>
        </w:rPr>
        <w:t>Yes</w:t>
      </w:r>
      <w:r>
        <w:rPr>
          <w:rFonts w:ascii="Times New Roman" w:hAnsi="Times New Roman"/>
          <w:sz w:val="20"/>
        </w:rPr>
        <w:t xml:space="preserve"> ☒ </w:t>
      </w:r>
      <w:r>
        <w:rPr>
          <w:rFonts w:ascii="Times New Roman;serif" w:hAnsi="Times New Roman;serif"/>
          <w:b w:val="false"/>
          <w:sz w:val="17"/>
        </w:rPr>
        <w:t xml:space="preserve">NO </w:t>
      </w:r>
      <w:r>
        <w:rPr>
          <w:rFonts w:ascii="Times New Roman" w:hAnsi="Times New Roman"/>
          <w:sz w:val="20"/>
        </w:rPr>
        <w:t>☐</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7"/>
        </w:rPr>
        <w:t>Yes</w:t>
      </w:r>
      <w:r>
        <w:rPr>
          <w:rFonts w:ascii="Times New Roman" w:hAnsi="Times New Roman"/>
          <w:sz w:val="20"/>
        </w:rPr>
        <w:t xml:space="preserve"> ☒ </w:t>
      </w:r>
      <w:r>
        <w:rPr>
          <w:rFonts w:ascii="Times New Roman;serif" w:hAnsi="Times New Roman;serif"/>
          <w:b w:val="false"/>
          <w:sz w:val="17"/>
        </w:rPr>
        <w:t xml:space="preserve">NO </w:t>
      </w:r>
      <w:r>
        <w:rPr>
          <w:rFonts w:ascii="Times New Roman" w:hAnsi="Times New Roman"/>
          <w:sz w:val="20"/>
        </w:rPr>
        <w:t xml:space="preserve">☐ </w:t>
      </w:r>
    </w:p>
    <w:p>
      <w:pPr>
        <w:pStyle w:val="TextBody"/>
        <w:bidi w:val="0"/>
        <w:spacing w:before="40" w:after="0"/>
        <w:jc w:val="left"/>
        <w:rPr>
          <w:rFonts w:ascii="Times New Roman;serif" w:hAnsi="Times New Roman;serif"/>
          <w:b w:val="false"/>
          <w:sz w:val="17"/>
        </w:rPr>
      </w:pPr>
      <w:r>
        <w:rPr>
          <w:rFonts w:ascii="Times New Roman;serif" w:hAnsi="Times New Roman;serif"/>
          <w:b w:val="false"/>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172" w:type="dxa"/>
            <w:gridSpan w:val="2"/>
            <w:tcBorders/>
            <w:vAlign w:val="center"/>
          </w:tcPr>
          <w:p>
            <w:pPr>
              <w:pStyle w:val="TableContents"/>
              <w:bidi w:val="0"/>
              <w:spacing w:before="0" w:after="0"/>
              <w:ind w:left="0" w:right="0" w:hanging="0"/>
              <w:jc w:val="left"/>
              <w:rPr/>
            </w:pPr>
            <w:r>
              <w:rPr/>
              <w:t> </w:t>
            </w:r>
          </w:p>
        </w:tc>
        <w:tc>
          <w:tcPr>
            <w:tcW w:w="507" w:type="dxa"/>
            <w:gridSpan w:val="2"/>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bidi w:val="0"/>
        <w:spacing w:before="40" w:after="0"/>
        <w:jc w:val="left"/>
        <w:rPr>
          <w:rFonts w:ascii="Times New Roman" w:hAnsi="Times New Roman"/>
          <w:sz w:val="20"/>
        </w:rPr>
      </w:pPr>
      <w:r>
        <w:rPr>
          <w:rFonts w:ascii="Times New Roman;serif" w:hAnsi="Times New Roman;serif"/>
          <w:b w:val="false"/>
          <w:sz w:val="17"/>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7"/>
        </w:rPr>
        <w:t>NO ☒</w:t>
      </w:r>
    </w:p>
    <w:p>
      <w:pPr>
        <w:pStyle w:val="TextBody"/>
        <w:bidi w:val="0"/>
        <w:spacing w:before="40" w:after="0"/>
        <w:jc w:val="left"/>
        <w:rPr>
          <w:rFonts w:ascii="Times New Roman" w:hAnsi="Times New Roman"/>
          <w:sz w:val="20"/>
        </w:rPr>
      </w:pPr>
      <w:r>
        <w:rPr>
          <w:rFonts w:ascii="Times New Roman;serif" w:hAnsi="Times New Roman;serif"/>
          <w:b w:val="false"/>
          <w:sz w:val="17"/>
        </w:rPr>
        <w:t>As of June 30, 2021, the last business day of the registrant’s most recently completed second fiscal quarter, the aggregate market value of the registrant’s common stock held by non-affiliates of the registrant, based on the closing price of the shares of common stock on the Nasdaq Global Market on June 30, 2021, was approximately $248,910,889.</w:t>
      </w:r>
      <w:r>
        <w:rPr>
          <w:rFonts w:ascii="Times New Roman" w:hAnsi="Times New Roman"/>
          <w:sz w:val="20"/>
        </w:rPr>
        <w:t xml:space="preserve"> </w:t>
      </w:r>
    </w:p>
    <w:p>
      <w:pPr>
        <w:pStyle w:val="TextBody"/>
        <w:bidi w:val="0"/>
        <w:spacing w:before="40" w:after="0"/>
        <w:jc w:val="left"/>
        <w:rPr>
          <w:rFonts w:ascii="Times New Roman;serif" w:hAnsi="Times New Roman;serif"/>
          <w:b w:val="false"/>
          <w:sz w:val="17"/>
        </w:rPr>
      </w:pPr>
      <w:r>
        <w:rPr>
          <w:rFonts w:ascii="Times New Roman;serif" w:hAnsi="Times New Roman;serif"/>
          <w:b w:val="false"/>
          <w:sz w:val="17"/>
        </w:rPr>
        <w:t>The number of shares of registrant’s common stock outstanding as of February 24, 2022 was 40,637,216.</w:t>
      </w:r>
    </w:p>
    <w:p>
      <w:pPr>
        <w:pStyle w:val="TextBody"/>
        <w:bidi w:val="0"/>
        <w:spacing w:before="40" w:after="0"/>
        <w:jc w:val="center"/>
        <w:rPr>
          <w:rFonts w:ascii="Times New Roman;serif" w:hAnsi="Times New Roman;serif"/>
          <w:b/>
          <w:sz w:val="17"/>
        </w:rPr>
      </w:pPr>
      <w:r>
        <w:rPr>
          <w:rFonts w:ascii="Times New Roman;serif" w:hAnsi="Times New Roman;serif"/>
          <w:b/>
          <w:sz w:val="17"/>
        </w:rPr>
        <w:t>DOCUMENTS INCORPORATED BY REFERENCE</w:t>
      </w:r>
    </w:p>
    <w:p>
      <w:pPr>
        <w:pStyle w:val="TextBody"/>
        <w:bidi w:val="0"/>
        <w:spacing w:before="40" w:after="0"/>
        <w:jc w:val="left"/>
        <w:rPr>
          <w:rFonts w:ascii="Times New Roman;serif" w:hAnsi="Times New Roman;serif"/>
          <w:b w:val="false"/>
          <w:sz w:val="17"/>
        </w:rPr>
      </w:pPr>
      <w:r>
        <w:rPr>
          <w:rFonts w:ascii="Times New Roman;serif" w:hAnsi="Times New Roman;serif"/>
          <w:b w:val="false"/>
          <w:sz w:val="17"/>
        </w:rPr>
        <w:t>The registrant filed a definitive proxy statement pursuant to Regulation 14A relating to the 2022 Annual Meeting of Stockholders within 120 days of the end of the registrant’s fiscal year ended December 31, 2021. Portions of such definitive proxy statement are incorporated by reference into Part III of this Annual Report on Form 10-K to the extent stated herein.</w:t>
      </w:r>
    </w:p>
    <w:p>
      <w:pPr>
        <w:pStyle w:val="TextBody"/>
        <w:pBdr>
          <w:bottom w:val="double" w:sz="6" w:space="1" w:color="000000"/>
        </w:pBdr>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0"/>
        <w:jc w:val="center"/>
        <w:rPr>
          <w:rFonts w:ascii="Times New Roman;serif" w:hAnsi="Times New Roman;serif"/>
          <w:b/>
          <w:sz w:val="20"/>
        </w:rPr>
      </w:pPr>
      <w:r>
        <w:rPr>
          <w:rFonts w:ascii="Times New Roman;serif" w:hAnsi="Times New Roman;serif"/>
          <w:b/>
          <w:sz w:val="20"/>
        </w:rPr>
        <w:t>EXPLANATORY NOTE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Fulcrum Therapeutics, Inc. is filing this Amendment No. 1 on Form 10-K/A to amend its original Annual Report on Form 10-K for the fiscal year ended December 31, 2021, or Original Form 10-K, originally filed with the Securities and Exchange Commission, or SEC, on March 3, 2022, for the sole purpose of filing revised Exhibit 31.1 in order to include in the certifications set forth in such exhibit the language of revised paragraph 4(b), which language was inadvertently omitted from the certifications when originally filed as Exhibits 31.1 and 31.2. This amendment consists solely of the preceding cover page, this explanatory note, Item 8, Item 9A, the list of exhibits filed with this amendment, the signature page and the revised certifications filed as Exhibit 31.1 to this amendment and the required certifications required by the Sarbanes-Oxley Act in connection with the filing of this amendment.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Except as described above, this amendment does not reflect events occurring after the date of the filing of the original Annual Report on Form 10-K or modify or update any of the other disclosures contained therein in any way. Accordingly, this amendment should be read in conjunction with the original Annual Report on Form 10-K and the Company’s other filings with the SEC. This amendment does not reflect events that may have occurred subsequent to the filing of the Original Form 10-K. The filing of this amendment is not an admission that the Original Form 10-K, when filed, included any untrue statement of a material fact or omitted to state a material fact necessary to make a statement not misleading.</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2" w:name="item_8_financial_statements_supplementar"/>
      <w:bookmarkEnd w:id="2"/>
      <w:r>
        <w:rPr>
          <w:rFonts w:ascii="Times New Roman;serif" w:hAnsi="Times New Roman;serif"/>
          <w:b/>
          <w:sz w:val="20"/>
        </w:rPr>
        <w:t>Item 8. Financial Statements and Supplementary Data.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consolidated financial statements, together with the independent registered public accounting firm report thereon, are presented beginning on page F-1 of this Form 10-K/A.</w:t>
      </w:r>
    </w:p>
    <w:p>
      <w:pPr>
        <w:pStyle w:val="TextBody"/>
        <w:bidi w:val="0"/>
        <w:spacing w:before="360" w:after="0"/>
        <w:jc w:val="left"/>
        <w:rPr/>
      </w:pPr>
      <w:bookmarkStart w:id="3" w:name="item_9_changes_in_disagreements_with_acc"/>
      <w:bookmarkEnd w:id="3"/>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Item 9A. Controls and Procedures.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of our principal executive officer and principal financial officer, evaluated the effectiveness of our disclosure controls and procedures as of December 31,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2021, our principal executive officer and principal financial officer concluded that, as of such date, our disclosure controls and procedures were effective at the reasonable assurance level.</w:t>
      </w:r>
    </w:p>
    <w:p>
      <w:pPr>
        <w:pStyle w:val="TextBody"/>
        <w:bidi w:val="0"/>
        <w:spacing w:before="360" w:after="0"/>
        <w:jc w:val="left"/>
        <w:rPr>
          <w:rFonts w:ascii="Times New Roman;serif" w:hAnsi="Times New Roman;serif"/>
          <w:b/>
          <w:sz w:val="20"/>
        </w:rPr>
      </w:pPr>
      <w:r>
        <w:rPr>
          <w:rFonts w:ascii="Times New Roman;serif" w:hAnsi="Times New Roman;serif"/>
          <w:b/>
          <w:sz w:val="20"/>
        </w:rPr>
        <w:t>Management’s Annual Report on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pertain to the maintenance of records that in reasonable detail accurately and fairly reflect the transactions and dispositions of a company’s assets;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provide reasonable assurance regarding prevention or timely detection of unauthorized acquisition, use or disposition of a company’s assets that could have a material effect on the financial statements.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Under the supervision of and with the participation of our principal executive officer and principal financial officer, our management assessed the effectiveness of our internal control over financial reporting as of December 31, 2021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This Form 10-K/A does not include an attestation report of our independent registered public accounting firm due to an exemption established by the JOBS Act for “emerging growth companies”.</w:t>
      </w:r>
    </w:p>
    <w:p>
      <w:pPr>
        <w:pStyle w:val="TextBody"/>
        <w:bidi w:val="0"/>
        <w:spacing w:before="36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was no change in our internal control over financial reporting (as defined in Rules 13a-15(f) and 15d-15(f) under the Exchange Act) that occurred during the three months ended December 31, 2021 that has materially affected, or is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4" w:name="part_iv"/>
      <w:bookmarkEnd w:id="4"/>
      <w:r>
        <w:rPr>
          <w:rFonts w:ascii="Times New Roman;serif" w:hAnsi="Times New Roman;serif"/>
          <w:b/>
          <w:sz w:val="20"/>
        </w:rPr>
        <w:t>PART IV</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bookmarkStart w:id="5" w:name="item_15_exhibits_financial_statement"/>
      <w:bookmarkEnd w:id="5"/>
      <w:r>
        <w:rPr>
          <w:rFonts w:ascii="Times New Roman;serif" w:hAnsi="Times New Roman;serif"/>
          <w:b/>
          <w:sz w:val="20"/>
        </w:rPr>
        <w:t>Item 15. Exhibits and Financial Statement Schedules.</w:t>
      </w:r>
    </w:p>
    <w:p>
      <w:pPr>
        <w:pStyle w:val="TextBody"/>
        <w:bidi w:val="0"/>
        <w:spacing w:before="120" w:after="0"/>
        <w:jc w:val="left"/>
        <w:rPr>
          <w:rFonts w:ascii="Times New Roman;serif" w:hAnsi="Times New Roman;serif"/>
          <w:b/>
          <w:sz w:val="20"/>
        </w:rPr>
      </w:pPr>
      <w:r>
        <w:rPr>
          <w:rFonts w:ascii="Times New Roman;serif" w:hAnsi="Times New Roman;serif"/>
          <w:b/>
          <w:sz w:val="20"/>
        </w:rPr>
        <w:t>(1) Consolidated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documents are included on pages F-1 through F-31 attached hereto and are filed as part of this Form 10-K/A.</w:t>
      </w:r>
    </w:p>
    <w:p>
      <w:pPr>
        <w:pStyle w:val="TextBody"/>
        <w:bidi w:val="0"/>
        <w:spacing w:before="0" w:after="0"/>
        <w:jc w:val="left"/>
        <w:rPr/>
      </w:pPr>
      <w:r>
        <w:rPr/>
        <w:t> </w:t>
      </w:r>
    </w:p>
    <w:tbl>
      <w:tblPr>
        <w:tblW w:w="6737" w:type="dxa"/>
        <w:jc w:val="left"/>
        <w:tblInd w:w="0" w:type="dxa"/>
        <w:tblLayout w:type="fixed"/>
        <w:tblCellMar>
          <w:top w:w="28" w:type="dxa"/>
          <w:left w:w="28" w:type="dxa"/>
          <w:bottom w:w="28" w:type="dxa"/>
          <w:right w:w="28" w:type="dxa"/>
        </w:tblCellMar>
      </w:tblPr>
      <w:tblGrid>
        <w:gridCol w:w="6226"/>
        <w:gridCol w:w="511"/>
      </w:tblGrid>
      <w:tr>
        <w:trPr/>
        <w:tc>
          <w:tcPr>
            <w:tcW w:w="62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2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6226" w:type="dxa"/>
            <w:tcBorders/>
            <w:vAlign w:val="center"/>
          </w:tcPr>
          <w:p>
            <w:pPr>
              <w:pStyle w:val="TableContents"/>
              <w:bidi w:val="0"/>
              <w:spacing w:before="0" w:after="0"/>
              <w:ind w:left="0" w:right="0" w:hanging="0"/>
              <w:jc w:val="left"/>
              <w:rPr/>
            </w:pPr>
            <w:hyperlink w:anchor="report_independent_registered_public_acc">
              <w:r>
                <w:rPr>
                  <w:rStyle w:val="InternetLink"/>
                  <w:rFonts w:ascii="Times New Roman;serif" w:hAnsi="Times New Roman;serif"/>
                  <w:b w:val="false"/>
                  <w:sz w:val="20"/>
                  <w:u w:val="single"/>
                </w:rPr>
                <w:t>Report of Independent Registered Public Accounting Firm</w:t>
              </w:r>
            </w:hyperlink>
            <w:r>
              <w:rPr>
                <w:rFonts w:ascii="Times New Roman" w:hAnsi="Times New Roman"/>
                <w:sz w:val="20"/>
              </w:rPr>
              <w:t xml:space="preserve"> </w:t>
            </w:r>
            <w:r>
              <w:rPr>
                <w:rFonts w:ascii="Times New Roman;serif" w:hAnsi="Times New Roman;serif"/>
                <w:b w:val="false"/>
                <w:sz w:val="20"/>
              </w:rPr>
              <w:t>(PCAOB ID: 42)</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F-2</w:t>
            </w:r>
          </w:p>
        </w:tc>
      </w:tr>
      <w:tr>
        <w:trPr/>
        <w:tc>
          <w:tcPr>
            <w:tcW w:w="6226" w:type="dxa"/>
            <w:tcBorders/>
            <w:vAlign w:val="center"/>
          </w:tcPr>
          <w:p>
            <w:pPr>
              <w:pStyle w:val="TableContents"/>
              <w:bidi w:val="0"/>
              <w:spacing w:before="0" w:after="0"/>
              <w:ind w:left="0" w:right="0" w:hanging="0"/>
              <w:jc w:val="left"/>
              <w:rPr/>
            </w:pPr>
            <w:hyperlink w:anchor="consolidated_balance_sheets">
              <w:r>
                <w:rPr>
                  <w:rStyle w:val="InternetLink"/>
                  <w:rFonts w:ascii="Times New Roman;serif" w:hAnsi="Times New Roman;serif"/>
                  <w:b w:val="false"/>
                  <w:sz w:val="20"/>
                  <w:u w:val="single"/>
                </w:rPr>
                <w:t>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F-3</w:t>
            </w:r>
          </w:p>
        </w:tc>
      </w:tr>
      <w:tr>
        <w:trPr/>
        <w:tc>
          <w:tcPr>
            <w:tcW w:w="6226" w:type="dxa"/>
            <w:tcBorders/>
            <w:vAlign w:val="center"/>
          </w:tcPr>
          <w:p>
            <w:pPr>
              <w:pStyle w:val="TableContents"/>
              <w:bidi w:val="0"/>
              <w:spacing w:before="0" w:after="0"/>
              <w:ind w:left="0" w:right="0" w:hanging="0"/>
              <w:jc w:val="left"/>
              <w:rPr/>
            </w:pPr>
            <w:hyperlink w:anchor="consolidated_statements_operations_compr">
              <w:r>
                <w:rPr>
                  <w:rStyle w:val="InternetLink"/>
                  <w:rFonts w:ascii="Times New Roman;serif" w:hAnsi="Times New Roman;serif"/>
                  <w:b w:val="false"/>
                  <w:sz w:val="20"/>
                  <w:u w:val="single"/>
                </w:rPr>
                <w:t>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F-4</w:t>
            </w:r>
          </w:p>
        </w:tc>
      </w:tr>
      <w:tr>
        <w:trPr/>
        <w:tc>
          <w:tcPr>
            <w:tcW w:w="6226" w:type="dxa"/>
            <w:tcBorders/>
            <w:vAlign w:val="center"/>
          </w:tcPr>
          <w:p>
            <w:pPr>
              <w:pStyle w:val="TableContents"/>
              <w:bidi w:val="0"/>
              <w:spacing w:before="0" w:after="0"/>
              <w:ind w:left="0" w:right="0" w:hanging="0"/>
              <w:jc w:val="left"/>
              <w:rPr/>
            </w:pPr>
            <w:hyperlink w:anchor="consolidated_statements_convertible_pref">
              <w:r>
                <w:rPr>
                  <w:rStyle w:val="InternetLink"/>
                  <w:rFonts w:ascii="Times New Roman;serif" w:hAnsi="Times New Roman;serif"/>
                  <w:b w:val="false"/>
                  <w:sz w:val="20"/>
                  <w:u w:val="single"/>
                </w:rPr>
                <w:t>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F-5</w:t>
            </w:r>
          </w:p>
        </w:tc>
      </w:tr>
      <w:tr>
        <w:trPr/>
        <w:tc>
          <w:tcPr>
            <w:tcW w:w="6226" w:type="dxa"/>
            <w:tcBorders/>
            <w:vAlign w:val="center"/>
          </w:tcPr>
          <w:p>
            <w:pPr>
              <w:pStyle w:val="TableContents"/>
              <w:bidi w:val="0"/>
              <w:spacing w:before="0" w:after="0"/>
              <w:ind w:left="0" w:right="0" w:hanging="0"/>
              <w:jc w:val="left"/>
              <w:rPr/>
            </w:pPr>
            <w:hyperlink w:anchor="consolidated_statements_cash_flows">
              <w:r>
                <w:rPr>
                  <w:rStyle w:val="InternetLink"/>
                  <w:rFonts w:ascii="Times New Roman;serif" w:hAnsi="Times New Roman;serif"/>
                  <w:b w:val="false"/>
                  <w:sz w:val="20"/>
                  <w:u w:val="single"/>
                </w:rPr>
                <w:t>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F-6</w:t>
            </w:r>
          </w:p>
        </w:tc>
      </w:tr>
      <w:tr>
        <w:trPr/>
        <w:tc>
          <w:tcPr>
            <w:tcW w:w="6226" w:type="dxa"/>
            <w:tcBorders/>
            <w:vAlign w:val="center"/>
          </w:tcPr>
          <w:p>
            <w:pPr>
              <w:pStyle w:val="TableContents"/>
              <w:bidi w:val="0"/>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F-7</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(2) Financial Statement Schedules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financial statement schedules have been omitted because they are not applicable, not required, or the information required is shown in the consolidated financial statements or the notes thereto.</w:t>
      </w:r>
    </w:p>
    <w:p>
      <w:pPr>
        <w:pStyle w:val="TextBody"/>
        <w:bidi w:val="0"/>
        <w:spacing w:before="360" w:after="0"/>
        <w:jc w:val="left"/>
        <w:rPr>
          <w:rFonts w:ascii="Times New Roman;serif" w:hAnsi="Times New Roman;serif"/>
          <w:b/>
          <w:sz w:val="20"/>
        </w:rPr>
      </w:pPr>
      <w:r>
        <w:rPr>
          <w:rFonts w:ascii="Times New Roman;serif" w:hAnsi="Times New Roman;serif"/>
          <w:b/>
          <w:sz w:val="20"/>
        </w:rPr>
        <w:t>(3) Exhibits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exhibits required by Item 601 of Regulation S-K and Item 15(b) of Form 10-K are listed in the Exhibit Index immediately preceding the signature page of this Form 10-K/A. The exhibits listed in the Exhibit Index are incorporated by reference herein.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PART IV</w:t>
      </w:r>
    </w:p>
    <w:p>
      <w:pPr>
        <w:pStyle w:val="TextBody"/>
        <w:bidi w:val="0"/>
        <w:spacing w:before="0" w:after="0"/>
        <w:jc w:val="center"/>
        <w:rPr>
          <w:rFonts w:ascii="Times New Roman" w:hAnsi="Times New Roman"/>
          <w:sz w:val="20"/>
        </w:rPr>
      </w:pPr>
      <w:r>
        <w:rPr>
          <w:rFonts w:ascii="Times New Roman;serif" w:hAnsi="Times New Roman;serif"/>
          <w:b/>
          <w:sz w:val="20"/>
        </w:rPr>
        <w:t>INDEX TO CONSOLIDATED FINANCIAL STATEMENTS</w:t>
      </w:r>
      <w:r>
        <w:rPr>
          <w:rFonts w:ascii="Times New Roman" w:hAnsi="Times New Roman"/>
          <w:sz w:val="20"/>
        </w:rPr>
        <w:t xml:space="preserve"> </w:t>
      </w:r>
    </w:p>
    <w:tbl>
      <w:tblPr>
        <w:tblW w:w="6737" w:type="dxa"/>
        <w:jc w:val="left"/>
        <w:tblInd w:w="0" w:type="dxa"/>
        <w:tblLayout w:type="fixed"/>
        <w:tblCellMar>
          <w:top w:w="28" w:type="dxa"/>
          <w:left w:w="28" w:type="dxa"/>
          <w:bottom w:w="28" w:type="dxa"/>
          <w:right w:w="28" w:type="dxa"/>
        </w:tblCellMar>
      </w:tblPr>
      <w:tblGrid>
        <w:gridCol w:w="6226"/>
        <w:gridCol w:w="511"/>
      </w:tblGrid>
      <w:tr>
        <w:trPr/>
        <w:tc>
          <w:tcPr>
            <w:tcW w:w="62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2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6226" w:type="dxa"/>
            <w:tcBorders/>
            <w:vAlign w:val="center"/>
          </w:tcPr>
          <w:p>
            <w:pPr>
              <w:pStyle w:val="TableContents"/>
              <w:bidi w:val="0"/>
              <w:spacing w:before="0" w:after="0"/>
              <w:ind w:left="0" w:right="0" w:hanging="0"/>
              <w:jc w:val="left"/>
              <w:rPr/>
            </w:pPr>
            <w:hyperlink w:anchor="report_independent_registered_public_acc">
              <w:r>
                <w:rPr>
                  <w:rStyle w:val="InternetLink"/>
                  <w:rFonts w:ascii="Times New Roman;serif" w:hAnsi="Times New Roman;serif"/>
                  <w:b w:val="false"/>
                  <w:sz w:val="20"/>
                  <w:u w:val="single"/>
                </w:rPr>
                <w:t>Report of Independent Registered Public Accounting Firm</w:t>
              </w:r>
            </w:hyperlink>
            <w:r>
              <w:rPr>
                <w:rFonts w:ascii="Times New Roman" w:hAnsi="Times New Roman"/>
                <w:sz w:val="20"/>
              </w:rPr>
              <w:t> </w:t>
            </w:r>
            <w:r>
              <w:rPr>
                <w:rFonts w:ascii="Times New Roman;serif" w:hAnsi="Times New Roman;serif"/>
                <w:b w:val="false"/>
                <w:sz w:val="20"/>
              </w:rPr>
              <w:t>(PCAOB ID: 42)</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F-2</w:t>
            </w:r>
          </w:p>
        </w:tc>
      </w:tr>
      <w:tr>
        <w:trPr/>
        <w:tc>
          <w:tcPr>
            <w:tcW w:w="6226" w:type="dxa"/>
            <w:tcBorders/>
            <w:vAlign w:val="center"/>
          </w:tcPr>
          <w:p>
            <w:pPr>
              <w:pStyle w:val="TableContents"/>
              <w:bidi w:val="0"/>
              <w:spacing w:before="0" w:after="0"/>
              <w:ind w:left="0" w:right="0" w:hanging="0"/>
              <w:jc w:val="left"/>
              <w:rPr/>
            </w:pPr>
            <w:hyperlink w:anchor="consolidated_balance_sheets">
              <w:r>
                <w:rPr>
                  <w:rStyle w:val="InternetLink"/>
                  <w:rFonts w:ascii="Times New Roman;serif" w:hAnsi="Times New Roman;serif"/>
                  <w:b w:val="false"/>
                  <w:sz w:val="20"/>
                  <w:u w:val="single"/>
                </w:rPr>
                <w:t>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F-3</w:t>
            </w:r>
          </w:p>
        </w:tc>
      </w:tr>
      <w:tr>
        <w:trPr/>
        <w:tc>
          <w:tcPr>
            <w:tcW w:w="6226" w:type="dxa"/>
            <w:tcBorders/>
            <w:vAlign w:val="center"/>
          </w:tcPr>
          <w:p>
            <w:pPr>
              <w:pStyle w:val="TableContents"/>
              <w:bidi w:val="0"/>
              <w:spacing w:before="0" w:after="0"/>
              <w:ind w:left="0" w:right="0" w:hanging="0"/>
              <w:jc w:val="left"/>
              <w:rPr/>
            </w:pPr>
            <w:hyperlink w:anchor="consolidated_statements_operations_compr">
              <w:r>
                <w:rPr>
                  <w:rStyle w:val="InternetLink"/>
                  <w:rFonts w:ascii="Times New Roman;serif" w:hAnsi="Times New Roman;serif"/>
                  <w:b w:val="false"/>
                  <w:sz w:val="20"/>
                  <w:u w:val="single"/>
                </w:rPr>
                <w:t>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F-4</w:t>
            </w:r>
          </w:p>
        </w:tc>
      </w:tr>
      <w:tr>
        <w:trPr/>
        <w:tc>
          <w:tcPr>
            <w:tcW w:w="6226" w:type="dxa"/>
            <w:tcBorders/>
            <w:vAlign w:val="center"/>
          </w:tcPr>
          <w:p>
            <w:pPr>
              <w:pStyle w:val="TableContents"/>
              <w:bidi w:val="0"/>
              <w:spacing w:before="0" w:after="0"/>
              <w:ind w:left="0" w:right="0" w:hanging="0"/>
              <w:jc w:val="left"/>
              <w:rPr/>
            </w:pPr>
            <w:hyperlink w:anchor="consolidated_statements_convertible_pref">
              <w:r>
                <w:rPr>
                  <w:rStyle w:val="InternetLink"/>
                  <w:rFonts w:ascii="Times New Roman;serif" w:hAnsi="Times New Roman;serif"/>
                  <w:b w:val="false"/>
                  <w:sz w:val="20"/>
                  <w:u w:val="single"/>
                </w:rPr>
                <w:t>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F-5</w:t>
            </w:r>
          </w:p>
        </w:tc>
      </w:tr>
      <w:tr>
        <w:trPr/>
        <w:tc>
          <w:tcPr>
            <w:tcW w:w="6226" w:type="dxa"/>
            <w:tcBorders/>
            <w:vAlign w:val="center"/>
          </w:tcPr>
          <w:p>
            <w:pPr>
              <w:pStyle w:val="TableContents"/>
              <w:bidi w:val="0"/>
              <w:spacing w:before="0" w:after="0"/>
              <w:ind w:left="0" w:right="0" w:hanging="0"/>
              <w:jc w:val="left"/>
              <w:rPr/>
            </w:pPr>
            <w:hyperlink w:anchor="consolidated_statements_cash_flows">
              <w:r>
                <w:rPr>
                  <w:rStyle w:val="InternetLink"/>
                  <w:rFonts w:ascii="Times New Roman;serif" w:hAnsi="Times New Roman;serif"/>
                  <w:b w:val="false"/>
                  <w:sz w:val="20"/>
                  <w:u w:val="single"/>
                </w:rPr>
                <w:t>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F-6</w:t>
            </w:r>
          </w:p>
        </w:tc>
      </w:tr>
      <w:tr>
        <w:trPr/>
        <w:tc>
          <w:tcPr>
            <w:tcW w:w="6226" w:type="dxa"/>
            <w:tcBorders/>
            <w:vAlign w:val="center"/>
          </w:tcPr>
          <w:p>
            <w:pPr>
              <w:pStyle w:val="TableContents"/>
              <w:bidi w:val="0"/>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F-7</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6" w:name="report_independent_registered_public_acc"/>
      <w:bookmarkEnd w:id="6"/>
      <w:r>
        <w:rPr>
          <w:rFonts w:ascii="Times New Roman;serif" w:hAnsi="Times New Roman;serif"/>
          <w:b/>
          <w:sz w:val="20"/>
        </w:rPr>
        <w:t>Report of Independent Registered Public Accounting Firm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 the Stockholders and the Board of Directors of Fulcrum Therapeutics, Inc.</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audited the accompanying consolidated balance sheets of Fulcrum Therapeutics, Inc. (the Company) as of December 31, 2021 and 2020,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U.S. generally accepted accounting principles.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Basis for Opinion</w:t>
      </w:r>
    </w:p>
    <w:p>
      <w:pPr>
        <w:pStyle w:val="TextBody"/>
        <w:bidi w:val="0"/>
        <w:spacing w:before="120" w:after="0"/>
        <w:jc w:val="left"/>
        <w:rPr>
          <w:rFonts w:ascii="Times New Roman" w:hAnsi="Times New Roman"/>
          <w:sz w:val="20"/>
        </w:rPr>
      </w:pPr>
      <w:r>
        <w:rPr>
          <w:rFonts w:ascii="Times New Roman;serif" w:hAnsi="Times New Roman;serif"/>
          <w:b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 Ernst &amp; Young LLP</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have served as the Company’s auditor since 2017.</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Boston, Massachusetts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March 3,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7" w:name="consolidated_balance_sheets"/>
      <w:bookmarkEnd w:id="7"/>
      <w:r>
        <w:rPr>
          <w:rFonts w:ascii="Times New Roman;serif" w:hAnsi="Times New Roman;serif"/>
          <w:b/>
          <w:sz w:val="20"/>
        </w:rPr>
        <w:t>Consolidated Balance Sheets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(In thousands, except share and per share amounts)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30"/>
        <w:gridCol w:w="146"/>
        <w:gridCol w:w="213"/>
        <w:gridCol w:w="849"/>
        <w:gridCol w:w="166"/>
        <w:gridCol w:w="146"/>
        <w:gridCol w:w="213"/>
        <w:gridCol w:w="849"/>
        <w:gridCol w:w="593"/>
      </w:tblGrid>
      <w:tr>
        <w:trPr/>
        <w:tc>
          <w:tcPr>
            <w:tcW w:w="7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3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2020</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57,052</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55,862</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Unbilled accounts receivable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119,510</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8,397</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1,092</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129,577</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4,079</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7,267</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lease incentive,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c>
          <w:tcPr>
            <w:tcW w:w="593" w:type="dxa"/>
            <w:tcBorders/>
            <w:vAlign w:val="center"/>
          </w:tcPr>
          <w:p>
            <w:pPr>
              <w:pStyle w:val="TableContents"/>
              <w:bidi w:val="0"/>
              <w:spacing w:before="0" w:after="0"/>
              <w:ind w:left="0" w:right="0" w:firstLine="400"/>
              <w:jc w:val="left"/>
              <w:rPr/>
            </w:pPr>
            <w:r>
              <w:rPr/>
              <w:t> </w:t>
            </w:r>
          </w:p>
        </w:tc>
      </w:tr>
      <w:tr>
        <w:trPr/>
        <w:tc>
          <w:tcPr>
            <w:tcW w:w="703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14,910</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26,725</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rent, excluding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1,649</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lease incentive, excluding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3,051</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excluding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34,396</w:t>
            </w:r>
          </w:p>
        </w:tc>
        <w:tc>
          <w:tcPr>
            <w:tcW w:w="593" w:type="dxa"/>
            <w:tcBorders/>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12)</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703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5,000,000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 issued or outstanding</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200,000,000</w:t>
            </w:r>
            <w:r>
              <w:rPr>
                <w:rFonts w:ascii="Times New Roman" w:hAnsi="Times New Roman"/>
                <w:sz w:val="20"/>
              </w:rPr>
              <w:t> </w:t>
            </w:r>
            <w:r>
              <w:rPr>
                <w:rFonts w:ascii="Times New Roman;serif" w:hAnsi="Times New Roman;serif"/>
                <w:b w:val="false"/>
                <w:sz w:val="20"/>
              </w:rPr>
              <w:t>shares authorized; 40,636,398</w:t>
            </w:r>
            <w:r>
              <w:rPr>
                <w:rFonts w:ascii="Times New Roman" w:hAnsi="Times New Roman"/>
                <w:sz w:val="20"/>
              </w:rPr>
              <w:t> </w:t>
            </w:r>
            <w:r>
              <w:rPr>
                <w:rFonts w:ascii="Times New Roman;serif" w:hAnsi="Times New Roman;serif"/>
                <w:b w:val="false"/>
                <w:sz w:val="20"/>
              </w:rPr>
              <w:t>and 28,067,402</w:t>
            </w:r>
            <w:r>
              <w:rPr>
                <w:rFonts w:ascii="Times New Roman" w:hAnsi="Times New Roman"/>
                <w:sz w:val="20"/>
              </w:rPr>
              <w:t> </w:t>
            </w:r>
            <w:r>
              <w:rPr>
                <w:rFonts w:ascii="Times New Roman;serif" w:hAnsi="Times New Roman;serif"/>
                <w:b w:val="false"/>
                <w:sz w:val="20"/>
              </w:rPr>
              <w:t>shares issued as of December 31, 2021 and December 31, 2020, respectively; 40,626,224</w:t>
            </w:r>
            <w:r>
              <w:rPr>
                <w:rFonts w:ascii="Times New Roman" w:hAnsi="Times New Roman"/>
                <w:sz w:val="20"/>
              </w:rPr>
              <w:t> </w:t>
            </w:r>
            <w:r>
              <w:rPr>
                <w:rFonts w:ascii="Times New Roman;serif" w:hAnsi="Times New Roman;serif"/>
                <w:b w:val="false"/>
                <w:sz w:val="20"/>
              </w:rPr>
              <w:t>and 27,941,566</w:t>
            </w:r>
            <w:r>
              <w:rPr>
                <w:rFonts w:ascii="Times New Roman" w:hAnsi="Times New Roman"/>
                <w:sz w:val="20"/>
              </w:rPr>
              <w:t> </w:t>
            </w:r>
            <w:r>
              <w:rPr>
                <w:rFonts w:ascii="Times New Roman;serif" w:hAnsi="Times New Roman;serif"/>
                <w:b w:val="false"/>
                <w:sz w:val="20"/>
              </w:rPr>
              <w:t>shares outstanding as of December 31, 2021 and December 31, 2020,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593" w:type="dxa"/>
            <w:tcBorders/>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Treasury stock, at cost; no</w:t>
            </w:r>
            <w:r>
              <w:rPr>
                <w:rFonts w:ascii="Times New Roman" w:hAnsi="Times New Roman"/>
                <w:sz w:val="20"/>
              </w:rPr>
              <w:t> </w:t>
            </w:r>
            <w:r>
              <w:rPr>
                <w:rFonts w:ascii="Times New Roman;serif" w:hAnsi="Times New Roman;serif"/>
                <w:b w:val="false"/>
                <w:sz w:val="20"/>
              </w:rPr>
              <w:t>shares as of December 31, 2021 and December 31, 2020</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514,362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316,775</w:t>
            </w:r>
          </w:p>
        </w:tc>
        <w:tc>
          <w:tcPr>
            <w:tcW w:w="593" w:type="dxa"/>
            <w:tcBorders/>
            <w:vAlign w:val="center"/>
          </w:tcPr>
          <w:p>
            <w:pPr>
              <w:pStyle w:val="TableContents"/>
              <w:bidi w:val="0"/>
              <w:spacing w:before="0" w:after="0"/>
              <w:ind w:left="0" w:right="0" w:firstLine="200"/>
              <w:jc w:val="left"/>
              <w:rPr/>
            </w:pPr>
            <w:r>
              <w:rPr/>
              <w:t> </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9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3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(302,467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(221,620</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95,181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129,577</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8" w:name="consolidated_statements_operations_compr"/>
      <w:bookmarkEnd w:id="8"/>
      <w:r>
        <w:rPr>
          <w:rFonts w:ascii="Times New Roman;serif" w:hAnsi="Times New Roman;serif"/>
          <w:b/>
          <w:sz w:val="20"/>
        </w:rPr>
        <w:t>Consolidated Statements of Operations and Comprehensive Loss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(In thousands, except per share data)</w:t>
      </w:r>
      <w:r>
        <w:rPr>
          <w:rFonts w:ascii="Times New Roman" w:hAnsi="Times New Roman"/>
          <w:sz w:val="20"/>
        </w:rPr>
        <w:t xml:space="preserve"> </w:t>
      </w:r>
    </w:p>
    <w:p>
      <w:pPr>
        <w:pStyle w:val="TextBody"/>
        <w:bidi w:val="0"/>
        <w:spacing w:before="0" w:after="0"/>
        <w:jc w:val="left"/>
        <w:rPr/>
      </w:pPr>
      <w:r>
        <w:rPr/>
        <w:t> </w:t>
      </w:r>
    </w:p>
    <w:tbl>
      <w:tblPr>
        <w:tblW w:w="8294" w:type="dxa"/>
        <w:jc w:val="left"/>
        <w:tblInd w:w="0" w:type="dxa"/>
        <w:tblLayout w:type="fixed"/>
        <w:tblCellMar>
          <w:top w:w="28" w:type="dxa"/>
          <w:left w:w="28" w:type="dxa"/>
          <w:bottom w:w="28" w:type="dxa"/>
          <w:right w:w="28" w:type="dxa"/>
        </w:tblCellMar>
      </w:tblPr>
      <w:tblGrid>
        <w:gridCol w:w="5386"/>
        <w:gridCol w:w="146"/>
        <w:gridCol w:w="211"/>
        <w:gridCol w:w="781"/>
        <w:gridCol w:w="166"/>
        <w:gridCol w:w="146"/>
        <w:gridCol w:w="211"/>
        <w:gridCol w:w="736"/>
        <w:gridCol w:w="5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8,823</w:t>
            </w:r>
          </w:p>
        </w:tc>
        <w:tc>
          <w:tcPr>
            <w:tcW w:w="5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200"/>
              <w:jc w:val="righ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59,042</w:t>
            </w:r>
          </w:p>
        </w:tc>
        <w:tc>
          <w:tcPr>
            <w:tcW w:w="511"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21,392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80,434</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(71,611</w:t>
            </w:r>
          </w:p>
        </w:tc>
        <w:tc>
          <w:tcPr>
            <w:tcW w:w="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(70,819</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25,354</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(70,819</w:t>
            </w:r>
          </w:p>
        </w:tc>
        <w:tc>
          <w:tcPr>
            <w:tcW w:w="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200"/>
              <w:jc w:val="righ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on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(70,821</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bookmarkStart w:id="9" w:name="consolidated_statements_convertible_pref"/>
      <w:bookmarkEnd w:id="9"/>
      <w:r>
        <w:rPr>
          <w:rFonts w:ascii="Times New Roman;serif" w:hAnsi="Times New Roman;serif"/>
          <w:b/>
          <w:sz w:val="20"/>
        </w:rPr>
        <w:t>Consolidated Statements of Stockholders’ Equity</w:t>
      </w:r>
    </w:p>
    <w:p>
      <w:pPr>
        <w:pStyle w:val="TextBody"/>
        <w:bidi w:val="0"/>
        <w:spacing w:before="120" w:after="0"/>
        <w:jc w:val="center"/>
        <w:rPr>
          <w:rFonts w:ascii="Times New Roman" w:hAnsi="Times New Roman"/>
          <w:sz w:val="20"/>
        </w:rPr>
      </w:pPr>
      <w:r>
        <w:rPr>
          <w:rFonts w:ascii="Times New Roman;serif" w:hAnsi="Times New Roman;serif"/>
          <w:b/>
          <w:sz w:val="20"/>
        </w:rPr>
        <w:t>(In thousands, except share amounts)</w:t>
      </w:r>
      <w:r>
        <w:rPr>
          <w:rFonts w:ascii="Times New Roman" w:hAnsi="Times New Roman"/>
          <w:sz w:val="20"/>
        </w:rPr>
        <w:t xml:space="preserve"> </w:t>
      </w:r>
    </w:p>
    <w:p>
      <w:pPr>
        <w:pStyle w:val="TextBody"/>
        <w:bidi w:val="0"/>
        <w:spacing w:before="0" w:after="0"/>
        <w:jc w:val="left"/>
        <w:rPr/>
      </w:pPr>
      <w:r>
        <w:rPr/>
        <w:t> </w:t>
      </w:r>
    </w:p>
    <w:tbl>
      <w:tblPr>
        <w:tblW w:w="11465" w:type="dxa"/>
        <w:jc w:val="left"/>
        <w:tblInd w:w="0" w:type="dxa"/>
        <w:tblLayout w:type="fixed"/>
        <w:tblCellMar>
          <w:top w:w="28" w:type="dxa"/>
          <w:left w:w="28" w:type="dxa"/>
          <w:bottom w:w="28" w:type="dxa"/>
          <w:right w:w="28" w:type="dxa"/>
        </w:tblCellMar>
      </w:tblPr>
      <w:tblGrid>
        <w:gridCol w:w="1351"/>
        <w:gridCol w:w="146"/>
        <w:gridCol w:w="146"/>
        <w:gridCol w:w="1036"/>
        <w:gridCol w:w="146"/>
        <w:gridCol w:w="295"/>
        <w:gridCol w:w="486"/>
        <w:gridCol w:w="146"/>
        <w:gridCol w:w="146"/>
        <w:gridCol w:w="736"/>
        <w:gridCol w:w="166"/>
        <w:gridCol w:w="295"/>
        <w:gridCol w:w="486"/>
        <w:gridCol w:w="146"/>
        <w:gridCol w:w="213"/>
        <w:gridCol w:w="793"/>
        <w:gridCol w:w="146"/>
        <w:gridCol w:w="434"/>
        <w:gridCol w:w="992"/>
        <w:gridCol w:w="166"/>
        <w:gridCol w:w="243"/>
        <w:gridCol w:w="973"/>
        <w:gridCol w:w="166"/>
        <w:gridCol w:w="255"/>
        <w:gridCol w:w="946"/>
        <w:gridCol w:w="4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0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2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Treasury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2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20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br/>
              <w:t>Stockholders’</w:t>
            </w:r>
          </w:p>
        </w:tc>
        <w:tc>
          <w:tcPr>
            <w:tcW w:w="411"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22,654,444</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237,931</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87,153</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in connection with private placement, net of placement agent fees and offering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4,029,411</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64,314</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64,318</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in "at-the-market" offering, net of issuance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550,000</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5,735</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5,736</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under employee benefit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182,359</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1,430</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1,430</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Vesting of 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525,352</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 of unvested 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29,882</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Retirement of treasury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7,350</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7,350</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on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(70,819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2020</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27,941,566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316,775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(221,620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95,181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in connection with public offerings, net of issuance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12,190,000</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182,845</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182,857</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under employee benefit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381,967</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3,667</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Vesting of 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112,691</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 of unvested 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2,971</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Retirement of treasury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11,070</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11,070</w:t>
            </w:r>
          </w:p>
        </w:tc>
        <w:tc>
          <w:tcPr>
            <w:tcW w:w="411" w:type="dxa"/>
            <w:tcBorders/>
            <w:vAlign w:val="center"/>
          </w:tcPr>
          <w:p>
            <w:pPr>
              <w:pStyle w:val="TableContents"/>
              <w:bidi w:val="0"/>
              <w:spacing w:before="0" w:after="0"/>
              <w:ind w:left="0" w:right="0" w:firstLine="200"/>
              <w:jc w:val="left"/>
              <w:rPr/>
            </w:pPr>
            <w:r>
              <w:rPr/>
              <w:t> </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on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(80,847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40,626,224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514,362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(302,467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211,539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10" w:name="consolidated_statements_cash_flows"/>
      <w:bookmarkEnd w:id="10"/>
      <w:r>
        <w:rPr>
          <w:rFonts w:ascii="Times New Roman;serif" w:hAnsi="Times New Roman;serif"/>
          <w:b/>
          <w:sz w:val="20"/>
        </w:rPr>
        <w:t>Consolidated Statements of Cash Flows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Year Ended</w:t>
              <w:br/>
              <w:t>December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3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2020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Operating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(80,847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(70,819</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Depreciation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2,379</w:t>
            </w:r>
          </w:p>
        </w:tc>
        <w:tc>
          <w:tcPr>
            <w:tcW w:w="611" w:type="dxa"/>
            <w:tcBorders/>
            <w:vAlign w:val="center"/>
          </w:tcPr>
          <w:p>
            <w:pPr>
              <w:pStyle w:val="TableContents"/>
              <w:bidi w:val="0"/>
              <w:spacing w:before="0" w:after="0"/>
              <w:ind w:left="0" w:right="0" w:firstLine="200"/>
              <w:jc w:val="left"/>
              <w:rPr/>
            </w:pPr>
            <w:r>
              <w:rPr/>
              <w:t> </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11,070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7,350</w:t>
            </w:r>
          </w:p>
        </w:tc>
        <w:tc>
          <w:tcPr>
            <w:tcW w:w="611" w:type="dxa"/>
            <w:tcBorders/>
            <w:vAlign w:val="center"/>
          </w:tcPr>
          <w:p>
            <w:pPr>
              <w:pStyle w:val="TableContents"/>
              <w:bidi w:val="0"/>
              <w:spacing w:before="0" w:after="0"/>
              <w:ind w:left="0" w:right="0" w:firstLine="200"/>
              <w:jc w:val="left"/>
              <w:rPr/>
            </w:pPr>
            <w:r>
              <w:rPr/>
              <w:t> </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Net amortization of premiums and discounts on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(68</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(2,000</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Unbilled 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(531</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(697</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(519</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1,773</w:t>
            </w:r>
          </w:p>
        </w:tc>
        <w:tc>
          <w:tcPr>
            <w:tcW w:w="611" w:type="dxa"/>
            <w:tcBorders/>
            <w:vAlign w:val="center"/>
          </w:tcPr>
          <w:p>
            <w:pPr>
              <w:pStyle w:val="TableContents"/>
              <w:bidi w:val="0"/>
              <w:spacing w:before="0" w:after="0"/>
              <w:ind w:left="0" w:right="0" w:firstLine="400"/>
              <w:jc w:val="left"/>
              <w:rPr/>
            </w:pPr>
            <w:r>
              <w:rPr/>
              <w:t> </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Accrued expenses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1,976</w:t>
            </w:r>
          </w:p>
        </w:tc>
        <w:tc>
          <w:tcPr>
            <w:tcW w:w="611" w:type="dxa"/>
            <w:tcBorders/>
            <w:vAlign w:val="center"/>
          </w:tcPr>
          <w:p>
            <w:pPr>
              <w:pStyle w:val="TableContents"/>
              <w:bidi w:val="0"/>
              <w:spacing w:before="0" w:after="0"/>
              <w:ind w:left="0" w:right="0" w:firstLine="400"/>
              <w:jc w:val="left"/>
              <w:rPr/>
            </w:pPr>
            <w:r>
              <w:rPr/>
              <w:t> </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(13,170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7,881</w:t>
            </w:r>
          </w:p>
        </w:tc>
        <w:tc>
          <w:tcPr>
            <w:tcW w:w="611" w:type="dxa"/>
            <w:tcBorders/>
            <w:vAlign w:val="center"/>
          </w:tcPr>
          <w:p>
            <w:pPr>
              <w:pStyle w:val="TableContents"/>
              <w:bidi w:val="0"/>
              <w:spacing w:before="0" w:after="0"/>
              <w:ind w:left="0" w:right="0" w:firstLine="400"/>
              <w:jc w:val="left"/>
              <w:rPr/>
            </w:pPr>
            <w:r>
              <w:rPr/>
              <w:t> </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Deferred rent and deferred lease incentive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(78,478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(53,655</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Investing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Purchases of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(216,234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(124,270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Maturities of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88,278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68,474</w:t>
            </w:r>
          </w:p>
        </w:tc>
        <w:tc>
          <w:tcPr>
            <w:tcW w:w="611" w:type="dxa"/>
            <w:tcBorders/>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(1,342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(129,669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(57,138</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Financing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Payment of initial public offering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(193</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issuance of common stock in connection with private placement, net of placement agent fees and offering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64,210</w:t>
            </w:r>
          </w:p>
        </w:tc>
        <w:tc>
          <w:tcPr>
            <w:tcW w:w="611" w:type="dxa"/>
            <w:tcBorders/>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issuance of common stock in connection with at-the-market offering, net of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5,736</w:t>
            </w:r>
          </w:p>
        </w:tc>
        <w:tc>
          <w:tcPr>
            <w:tcW w:w="611" w:type="dxa"/>
            <w:tcBorders/>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issuance of common stock in connection with public offerings, net of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182,857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Principal payments on capital lease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issuance of common stock under benefit plans,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1,429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186,507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71,132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(21,640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(39,661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Cash, cash equivalents, and restricted cash,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58,144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97,805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36,504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58,144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Supplemental cash flow information</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Cash paid for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w:t>
            </w:r>
          </w:p>
        </w:tc>
        <w:tc>
          <w:tcPr>
            <w:tcW w:w="611" w:type="dxa"/>
            <w:tcBorders/>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Property and equipment purchases unpaid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262</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provides a reconciliation of the cash, cash equivalents, and restricted cash balances as of each of the periods shown above:</w:t>
      </w:r>
      <w:r>
        <w:rPr>
          <w:rFonts w:ascii="Times New Roman" w:hAnsi="Times New Roman"/>
          <w:sz w:val="20"/>
        </w:rPr>
        <w:t xml:space="preserve"> </w:t>
      </w:r>
    </w:p>
    <w:p>
      <w:pPr>
        <w:pStyle w:val="TextBody"/>
        <w:bidi w:val="0"/>
        <w:spacing w:before="0" w:after="0"/>
        <w:jc w:val="left"/>
        <w:rPr/>
      </w:pPr>
      <w:r>
        <w:rPr/>
        <w:t> </w:t>
      </w:r>
    </w:p>
    <w:tbl>
      <w:tblPr>
        <w:tblW w:w="7140" w:type="dxa"/>
        <w:jc w:val="left"/>
        <w:tblInd w:w="0" w:type="dxa"/>
        <w:tblLayout w:type="fixed"/>
        <w:tblCellMar>
          <w:top w:w="28" w:type="dxa"/>
          <w:left w:w="28" w:type="dxa"/>
          <w:bottom w:w="28" w:type="dxa"/>
          <w:right w:w="28" w:type="dxa"/>
        </w:tblCellMar>
      </w:tblPr>
      <w:tblGrid>
        <w:gridCol w:w="3991"/>
        <w:gridCol w:w="146"/>
        <w:gridCol w:w="299"/>
        <w:gridCol w:w="961"/>
        <w:gridCol w:w="146"/>
        <w:gridCol w:w="146"/>
        <w:gridCol w:w="299"/>
        <w:gridCol w:w="96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December 31,</w:t>
              <w:b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December 31,</w:t>
              <w:br/>
              <w:t>2020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Cash and cash equivalents</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57,052</w:t>
            </w:r>
          </w:p>
        </w:tc>
        <w:tc>
          <w:tcPr>
            <w:tcW w:w="191"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Restricted cash</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1,092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Total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36,504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58,144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 w:hAnsi="Times New Roman"/>
          <w:sz w:val="20"/>
        </w:rPr>
      </w:pPr>
      <w:bookmarkStart w:id="11" w:name="notes_to_consolidated_financial_statemen"/>
      <w:bookmarkEnd w:id="11"/>
      <w:r>
        <w:rPr>
          <w:rFonts w:ascii="Times New Roman;serif" w:hAnsi="Times New Roman;serif"/>
          <w:b/>
          <w:sz w:val="20"/>
        </w:rPr>
        <w:t>Notes to Consolidated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1. Nature of the Business and Basis of Presentation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Fulcrum Therapeutics, Inc. (the “Company” or “Fulcrum”) was incorporated in Delaware on August 18, 2015. The Company is focused on improving the lives of patients with genetically-defined rare diseases in areas of high unmet medical need.</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Sales of Common Stock</w:t>
      </w:r>
    </w:p>
    <w:p>
      <w:pPr>
        <w:pStyle w:val="TextBody"/>
        <w:bidi w:val="0"/>
        <w:spacing w:before="240" w:after="0"/>
        <w:jc w:val="left"/>
        <w:rPr>
          <w:rFonts w:ascii="Times New Roman" w:hAnsi="Times New Roman"/>
          <w:sz w:val="20"/>
        </w:rPr>
      </w:pPr>
      <w:r>
        <w:rPr>
          <w:rFonts w:ascii="Times New Roman;serif" w:hAnsi="Times New Roman;serif"/>
          <w:b w:val="false"/>
          <w:sz w:val="20"/>
        </w:rPr>
        <w:t>On June 9, 2020, the Company issued and sold 4,029,411</w:t>
      </w:r>
      <w:r>
        <w:rPr>
          <w:rFonts w:ascii="Times New Roman" w:hAnsi="Times New Roman"/>
          <w:sz w:val="20"/>
        </w:rPr>
        <w:t xml:space="preserve"> </w:t>
      </w:r>
      <w:r>
        <w:rPr>
          <w:rFonts w:ascii="Times New Roman;serif" w:hAnsi="Times New Roman;serif"/>
          <w:b w:val="false"/>
          <w:sz w:val="20"/>
        </w:rPr>
        <w:t>shares of common stock to investors in a private placement at a price of $17.00</w:t>
      </w:r>
      <w:r>
        <w:rPr>
          <w:rFonts w:ascii="Times New Roman" w:hAnsi="Times New Roman"/>
          <w:sz w:val="20"/>
        </w:rPr>
        <w:t xml:space="preserve"> </w:t>
      </w:r>
      <w:r>
        <w:rPr>
          <w:rFonts w:ascii="Times New Roman;serif" w:hAnsi="Times New Roman;serif"/>
          <w:b w:val="false"/>
          <w:sz w:val="20"/>
        </w:rPr>
        <w:t>per share, resulting in net proceeds of $64.3</w:t>
      </w:r>
      <w:r>
        <w:rPr>
          <w:rFonts w:ascii="Times New Roman" w:hAnsi="Times New Roman"/>
          <w:sz w:val="20"/>
        </w:rPr>
        <w:t xml:space="preserve"> </w:t>
      </w:r>
      <w:r>
        <w:rPr>
          <w:rFonts w:ascii="Times New Roman;serif" w:hAnsi="Times New Roman;serif"/>
          <w:b w:val="false"/>
          <w:sz w:val="20"/>
        </w:rPr>
        <w:t>million after deducting offering costs.</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11, 2020, the Company entered into an Equity Distribution Agreement with Piper Sandler &amp; Co. (“Piper Sandler”), as sales agent, pursuant to which the Company may offer and sell shares of its common stock with an aggregate offering price of up to $75.0</w:t>
      </w:r>
      <w:r>
        <w:rPr>
          <w:rFonts w:ascii="Times New Roman" w:hAnsi="Times New Roman"/>
          <w:sz w:val="20"/>
        </w:rPr>
        <w:t xml:space="preserve"> </w:t>
      </w:r>
      <w:r>
        <w:rPr>
          <w:rFonts w:ascii="Times New Roman;serif" w:hAnsi="Times New Roman;serif"/>
          <w:b w:val="false"/>
          <w:sz w:val="20"/>
        </w:rPr>
        <w:t>million under an “at-the-market” offering program (the “ATM Offering”). The Equity Distribution Agreement provides that Piper Sandler will be entitled to a sales commission equal to 3.0% of the gross sales price per share of all shares sold under the ATM Offering. From the initiation of the ATM Offering through December 31, 2021, the Company has issued and sold 550,000</w:t>
      </w:r>
      <w:r>
        <w:rPr>
          <w:rFonts w:ascii="Times New Roman" w:hAnsi="Times New Roman"/>
          <w:sz w:val="20"/>
        </w:rPr>
        <w:t xml:space="preserve"> </w:t>
      </w:r>
      <w:r>
        <w:rPr>
          <w:rFonts w:ascii="Times New Roman;serif" w:hAnsi="Times New Roman;serif"/>
          <w:b w:val="false"/>
          <w:sz w:val="20"/>
        </w:rPr>
        <w:t>shares under the ATM Offering, resulting in aggregate net proceeds of $5.7</w:t>
      </w:r>
      <w:r>
        <w:rPr>
          <w:rFonts w:ascii="Times New Roman" w:hAnsi="Times New Roman"/>
          <w:sz w:val="20"/>
        </w:rPr>
        <w:t xml:space="preserve"> </w:t>
      </w:r>
      <w:r>
        <w:rPr>
          <w:rFonts w:ascii="Times New Roman;serif" w:hAnsi="Times New Roman;serif"/>
          <w:b w:val="false"/>
          <w:sz w:val="20"/>
        </w:rPr>
        <w:t>million after deducting issuance costs of $0.2</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 w:hAnsi="Times New Roman"/>
          <w:sz w:val="20"/>
        </w:rPr>
      </w:pPr>
      <w:r>
        <w:rPr>
          <w:rFonts w:ascii="Times New Roman;serif" w:hAnsi="Times New Roman;serif"/>
          <w:b w:val="false"/>
          <w:sz w:val="20"/>
        </w:rPr>
        <w:t>On January 22, 2021, the Company completed a public offering of its common stock and issued and sold 4,600,000</w:t>
      </w:r>
      <w:r>
        <w:rPr>
          <w:rFonts w:ascii="Times New Roman" w:hAnsi="Times New Roman"/>
          <w:sz w:val="20"/>
        </w:rPr>
        <w:t xml:space="preserve"> </w:t>
      </w:r>
      <w:r>
        <w:rPr>
          <w:rFonts w:ascii="Times New Roman;serif" w:hAnsi="Times New Roman;serif"/>
          <w:b w:val="false"/>
          <w:sz w:val="20"/>
        </w:rPr>
        <w:t>shares of common stock at a public offering price of $11.00</w:t>
      </w:r>
      <w:r>
        <w:rPr>
          <w:rFonts w:ascii="Times New Roman" w:hAnsi="Times New Roman"/>
          <w:sz w:val="20"/>
        </w:rPr>
        <w:t xml:space="preserve"> </w:t>
      </w:r>
      <w:r>
        <w:rPr>
          <w:rFonts w:ascii="Times New Roman;serif" w:hAnsi="Times New Roman;serif"/>
          <w:b w:val="false"/>
          <w:sz w:val="20"/>
        </w:rPr>
        <w:t>per share, resulting in net proceeds of $47.4</w:t>
      </w:r>
      <w:r>
        <w:rPr>
          <w:rFonts w:ascii="Times New Roman" w:hAnsi="Times New Roman"/>
          <w:sz w:val="20"/>
        </w:rPr>
        <w:t xml:space="preserve"> </w:t>
      </w:r>
      <w:r>
        <w:rPr>
          <w:rFonts w:ascii="Times New Roman;serif" w:hAnsi="Times New Roman;serif"/>
          <w:b w:val="false"/>
          <w:sz w:val="20"/>
        </w:rPr>
        <w:t>million after deducting underwriting discounts and commissions and offering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16, 2021, the Company completed a public offering of its common stock and issued and sold 7,590,000</w:t>
      </w:r>
      <w:r>
        <w:rPr>
          <w:rFonts w:ascii="Times New Roman" w:hAnsi="Times New Roman"/>
          <w:sz w:val="20"/>
        </w:rPr>
        <w:t xml:space="preserve"> </w:t>
      </w:r>
      <w:r>
        <w:rPr>
          <w:rFonts w:ascii="Times New Roman;serif" w:hAnsi="Times New Roman;serif"/>
          <w:b w:val="false"/>
          <w:sz w:val="20"/>
        </w:rPr>
        <w:t>shares of common stock at a public offering price of $19.00</w:t>
      </w:r>
      <w:r>
        <w:rPr>
          <w:rFonts w:ascii="Times New Roman" w:hAnsi="Times New Roman"/>
          <w:sz w:val="20"/>
        </w:rPr>
        <w:t xml:space="preserve"> </w:t>
      </w:r>
      <w:r>
        <w:rPr>
          <w:rFonts w:ascii="Times New Roman;serif" w:hAnsi="Times New Roman;serif"/>
          <w:b w:val="false"/>
          <w:sz w:val="20"/>
        </w:rPr>
        <w:t>per share, resulting in net proceeds of $135.5</w:t>
      </w:r>
      <w:r>
        <w:rPr>
          <w:rFonts w:ascii="Times New Roman" w:hAnsi="Times New Roman"/>
          <w:sz w:val="20"/>
        </w:rPr>
        <w:t xml:space="preserve"> </w:t>
      </w:r>
      <w:r>
        <w:rPr>
          <w:rFonts w:ascii="Times New Roman;serif" w:hAnsi="Times New Roman;serif"/>
          <w:b w:val="false"/>
          <w:sz w:val="20"/>
        </w:rPr>
        <w:t>million after deducting underwriting discounts and commissions and offering expenses.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Liquidity</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incurred recurring losses and negative cash flows from operations since inception and has primarily funded its operations with proceeds from the sale of shares of common stock in public offerings, a private placement, and the ATM Offering, through issuances of convertible preferred stock, and from upfront payments received from the collaboration and license agreements with Acceleron Pharma Inc. (“Acceleron”), a wholly-owned subsidiary of Merck &amp; Co., Inc., and MyoKardia, Inc. (“MyoKardia”), a wholly-owned subsidiary of Bristol Myers Squibb Company. As of December 31, 2021, the Company had an accumulated deficit of $302.5</w:t>
      </w:r>
      <w:r>
        <w:rPr>
          <w:rFonts w:ascii="Times New Roman" w:hAnsi="Times New Roman"/>
          <w:sz w:val="20"/>
        </w:rPr>
        <w:t xml:space="preserve"> </w:t>
      </w:r>
      <w:r>
        <w:rPr>
          <w:rFonts w:ascii="Times New Roman;serif" w:hAnsi="Times New Roman;serif"/>
          <w:b w:val="false"/>
          <w:sz w:val="20"/>
        </w:rPr>
        <w:t>million. The Company expects its operating losses and negative operating cash flows to continue into the foreseeable future as it continues to expand its research and development efforts.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Company expects to finance its future cash needs through a combination of equity offerings, debt financings, collaborations, strategic alliances and marketing, distribution or licensing arrangements.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expects that its cash, cash equivalents, and marketable securities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pStyle w:val="TextBody"/>
        <w:bidi w:val="0"/>
        <w:spacing w:before="360" w:after="0"/>
        <w:jc w:val="left"/>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Principles of Consolidation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Cash and Cash Equivalents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equivalents are highly liquid investments that are readily convertible into cash with original maturities of three months or less when purchased. Cash equivalents include investments in money market funds that invest in U.S. Treasury obligations. The Company maintains its bank accounts at major financial institutions.</w:t>
      </w:r>
    </w:p>
    <w:p>
      <w:pPr>
        <w:pStyle w:val="TextBody"/>
        <w:bidi w:val="0"/>
        <w:spacing w:before="360" w:after="0"/>
        <w:jc w:val="left"/>
        <w:rPr>
          <w:rFonts w:ascii="Times New Roman" w:hAnsi="Times New Roman"/>
          <w:sz w:val="20"/>
        </w:rPr>
      </w:pPr>
      <w:r>
        <w:rPr>
          <w:rFonts w:ascii="Times New Roman;serif" w:hAnsi="Times New Roman;serif"/>
          <w:b/>
          <w:i/>
          <w:sz w:val="20"/>
        </w:rPr>
        <w:t>Restricted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Restricted cash represents cash held to secure a letter of credit associated with the Company’s facility lease.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Fair Value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2: Observable inputs other than Level 1 inputs. Examples of Level 2 inputs include quoted prices in active markets for similar assets or liabilities and quoted prices for identical assets or liabilities in markets that are not active.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3: Unobservable inputs based on the Company’s assessment of the assumptions that market participants would use in pricing the asset or liability.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Company’s cash equivalents and marketable securities are carried at fair value and are classified according to the fair value hierarchy described above (Note 3). The cash equivalents and marketable securities are initially valued at the transaction price, and subsequently revalued at the end of each reporting period, utilizing third-party pricing services. The pricing services utilize industry standard valuation models, including both income and market-based approaches, to determine fair value.</w:t>
      </w:r>
    </w:p>
    <w:p>
      <w:pPr>
        <w:pStyle w:val="TextBody"/>
        <w:bidi w:val="0"/>
        <w:spacing w:before="360" w:after="0"/>
        <w:jc w:val="left"/>
        <w:rPr>
          <w:rFonts w:ascii="Times New Roman;serif" w:hAnsi="Times New Roman;serif"/>
          <w:b/>
          <w:i/>
          <w:sz w:val="20"/>
        </w:rPr>
      </w:pPr>
      <w:r>
        <w:rPr>
          <w:rFonts w:ascii="Times New Roman;serif" w:hAnsi="Times New Roman;serif"/>
          <w:b/>
          <w:i/>
          <w:sz w:val="20"/>
        </w:rPr>
        <w:t>Marketable Securities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classifies securities with a remaining maturity when purchased of greater than three months as marketable securities. As of December 31, 2021, the Company’s marketable securities consisted of investments in corporate bonds and commercial paper. Marketable securities are classified as current assets on the consolidated balance sheets if the marketable securities are available to be converted into cash to fund current operations.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Marketable securities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pStyle w:val="TextBody"/>
        <w:bidi w:val="0"/>
        <w:spacing w:before="360" w:after="0"/>
        <w:jc w:val="left"/>
        <w:rPr>
          <w:rFonts w:ascii="Times New Roman" w:hAnsi="Times New Roman"/>
          <w:sz w:val="20"/>
        </w:rPr>
      </w:pPr>
      <w:r>
        <w:rPr>
          <w:rFonts w:ascii="Times New Roman;serif" w:hAnsi="Times New Roman;serif"/>
          <w:b/>
          <w:i/>
          <w:sz w:val="20"/>
        </w:rPr>
        <w:t>Property and Equipment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 </w:t>
      </w:r>
    </w:p>
    <w:p>
      <w:pPr>
        <w:pStyle w:val="TextBody"/>
        <w:bidi w:val="0"/>
        <w:spacing w:before="0" w:after="0"/>
        <w:jc w:val="left"/>
        <w:rPr/>
      </w:pPr>
      <w:r>
        <w:rPr/>
        <w:t> </w:t>
      </w:r>
    </w:p>
    <w:tbl>
      <w:tblPr>
        <w:tblW w:w="5897" w:type="dxa"/>
        <w:jc w:val="left"/>
        <w:tblInd w:w="0" w:type="dxa"/>
        <w:tblLayout w:type="fixed"/>
        <w:tblCellMar>
          <w:top w:w="28" w:type="dxa"/>
          <w:left w:w="28" w:type="dxa"/>
          <w:bottom w:w="28" w:type="dxa"/>
          <w:right w:w="28" w:type="dxa"/>
        </w:tblCellMar>
      </w:tblPr>
      <w:tblGrid>
        <w:gridCol w:w="2161"/>
        <w:gridCol w:w="3736"/>
      </w:tblGrid>
      <w:tr>
        <w:trPr/>
        <w:tc>
          <w:tcPr>
            <w:tcW w:w="2161"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pPr>
            <w:r>
              <w:rPr/>
              <w:t> </w:t>
            </w:r>
          </w:p>
        </w:tc>
        <w:tc>
          <w:tcPr>
            <w:tcW w:w="3736" w:type="dxa"/>
            <w:tcBorders>
              <w:bottom w:val="single" w:sz="4" w:space="0" w:color="000000"/>
            </w:tcBorders>
            <w:tcMar>
              <w:top w:w="0" w:type="dxa"/>
              <w:left w:w="0" w:type="dxa"/>
              <w:right w:w="0" w:type="dxa"/>
            </w:tcMar>
            <w:vAlign w:val="center"/>
          </w:tcPr>
          <w:p>
            <w:pPr>
              <w:pStyle w:val="TableContents"/>
              <w:bidi w:val="0"/>
              <w:spacing w:before="0" w:after="0"/>
              <w:ind w:left="0" w:right="0" w:firstLine="240"/>
              <w:jc w:val="center"/>
              <w:rPr>
                <w:rFonts w:ascii="Times New Roman" w:hAnsi="Times New Roman"/>
                <w:sz w:val="16"/>
              </w:rPr>
            </w:pPr>
            <w:r>
              <w:rPr>
                <w:rFonts w:ascii="Times New Roman;serif" w:hAnsi="Times New Roman;serif"/>
                <w:b/>
                <w:sz w:val="16"/>
              </w:rPr>
              <w:t>Estimated Useful Life (in years)</w:t>
            </w:r>
            <w:r>
              <w:rPr>
                <w:rFonts w:ascii="Times New Roman" w:hAnsi="Times New Roman"/>
                <w:sz w:val="16"/>
              </w:rPr>
              <w:t xml:space="preserve"> </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Lab equipment</w:t>
            </w:r>
          </w:p>
        </w:tc>
        <w:tc>
          <w:tcPr>
            <w:tcW w:w="3736" w:type="dxa"/>
            <w:tcBorders/>
            <w:tcMar>
              <w:top w:w="0" w:type="dxa"/>
              <w:left w:w="0" w:type="dxa"/>
              <w:bottom w:w="0" w:type="dxa"/>
              <w:right w:w="0" w:type="dxa"/>
            </w:tcMar>
            <w:vAlign w:val="center"/>
          </w:tcPr>
          <w:p>
            <w:pPr>
              <w:pStyle w:val="TableContents"/>
              <w:bidi w:val="0"/>
              <w:spacing w:before="0" w:after="0"/>
              <w:ind w:left="0" w:right="0" w:firstLine="240"/>
              <w:jc w:val="center"/>
              <w:rPr>
                <w:rFonts w:ascii="Times New Roman;serif" w:hAnsi="Times New Roman;serif"/>
                <w:b w:val="false"/>
                <w:sz w:val="20"/>
              </w:rPr>
            </w:pPr>
            <w:r>
              <w:rPr>
                <w:rFonts w:ascii="Times New Roman;serif" w:hAnsi="Times New Roman;serif"/>
                <w:b w:val="false"/>
                <w:sz w:val="20"/>
              </w:rPr>
              <w:t>5</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Furniture and fixtures</w:t>
            </w:r>
          </w:p>
        </w:tc>
        <w:tc>
          <w:tcPr>
            <w:tcW w:w="3736" w:type="dxa"/>
            <w:tcBorders/>
            <w:tcMar>
              <w:top w:w="0" w:type="dxa"/>
              <w:left w:w="0" w:type="dxa"/>
              <w:bottom w:w="0" w:type="dxa"/>
              <w:right w:w="0" w:type="dxa"/>
            </w:tcMar>
            <w:vAlign w:val="center"/>
          </w:tcPr>
          <w:p>
            <w:pPr>
              <w:pStyle w:val="TableContents"/>
              <w:bidi w:val="0"/>
              <w:spacing w:before="0" w:after="0"/>
              <w:ind w:left="0" w:right="0" w:firstLine="240"/>
              <w:jc w:val="center"/>
              <w:rPr>
                <w:rFonts w:ascii="Times New Roman;serif" w:hAnsi="Times New Roman;serif"/>
                <w:b w:val="false"/>
                <w:sz w:val="20"/>
              </w:rPr>
            </w:pPr>
            <w:r>
              <w:rPr>
                <w:rFonts w:ascii="Times New Roman;serif" w:hAnsi="Times New Roman;serif"/>
                <w:b w:val="false"/>
                <w:sz w:val="20"/>
              </w:rPr>
              <w:t>4</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Computer equipment</w:t>
            </w:r>
          </w:p>
        </w:tc>
        <w:tc>
          <w:tcPr>
            <w:tcW w:w="3736" w:type="dxa"/>
            <w:tcBorders/>
            <w:tcMar>
              <w:top w:w="0" w:type="dxa"/>
              <w:left w:w="0" w:type="dxa"/>
              <w:bottom w:w="0" w:type="dxa"/>
              <w:right w:w="0" w:type="dxa"/>
            </w:tcMar>
            <w:vAlign w:val="center"/>
          </w:tcPr>
          <w:p>
            <w:pPr>
              <w:pStyle w:val="TableContents"/>
              <w:bidi w:val="0"/>
              <w:spacing w:before="0" w:after="0"/>
              <w:ind w:left="0" w:right="0" w:firstLine="240"/>
              <w:jc w:val="center"/>
              <w:rPr>
                <w:rFonts w:ascii="Times New Roman;serif" w:hAnsi="Times New Roman;serif"/>
                <w:b w:val="false"/>
                <w:sz w:val="20"/>
              </w:rPr>
            </w:pPr>
            <w:r>
              <w:rPr>
                <w:rFonts w:ascii="Times New Roman;serif" w:hAnsi="Times New Roman;serif"/>
                <w:b w:val="false"/>
                <w:sz w:val="20"/>
              </w:rPr>
              <w:t>3</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Software</w:t>
            </w:r>
          </w:p>
        </w:tc>
        <w:tc>
          <w:tcPr>
            <w:tcW w:w="3736" w:type="dxa"/>
            <w:tcBorders/>
            <w:tcMar>
              <w:top w:w="0" w:type="dxa"/>
              <w:left w:w="0" w:type="dxa"/>
              <w:bottom w:w="0" w:type="dxa"/>
              <w:right w:w="0" w:type="dxa"/>
            </w:tcMar>
            <w:vAlign w:val="center"/>
          </w:tcPr>
          <w:p>
            <w:pPr>
              <w:pStyle w:val="TableContents"/>
              <w:bidi w:val="0"/>
              <w:spacing w:before="0" w:after="0"/>
              <w:ind w:left="0" w:right="0" w:firstLine="240"/>
              <w:jc w:val="center"/>
              <w:rPr>
                <w:rFonts w:ascii="Times New Roman;serif" w:hAnsi="Times New Roman;serif"/>
                <w:b w:val="false"/>
                <w:sz w:val="20"/>
              </w:rPr>
            </w:pPr>
            <w:r>
              <w:rPr>
                <w:rFonts w:ascii="Times New Roman;serif" w:hAnsi="Times New Roman;serif"/>
                <w:b w:val="false"/>
                <w:sz w:val="20"/>
              </w:rPr>
              <w:t>3</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Leasehold improvements</w:t>
            </w:r>
          </w:p>
        </w:tc>
        <w:tc>
          <w:tcPr>
            <w:tcW w:w="37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Shorter of useful life or remaining lease term</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Impairment of Long-Lived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2021 and 2020.</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Leases are classified at their inception as either operating or capital leases. The Company recognizes rent expense for its facility leases, which are classified as operating leases, on a straight-line basis over the respective lease term, inclusive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rent escalation provisions and rent holidays. The difference between rent payments made and straight-line rent expense is recorded as deferred rent. Additionally, the Company recognizes tenant improvement allowances for its operating leases as a deferred lease incentive and amortizes the lease incentive as a reduction to rent expense on a straight-line basis over the respective lease term.</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Revenue Recognition</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Under ASC 606, </w:t>
      </w:r>
      <w:r>
        <w:rPr>
          <w:rFonts w:ascii="Times New Roman;serif" w:hAnsi="Times New Roman;serif"/>
          <w:b w:val="false"/>
          <w:i/>
          <w:sz w:val="20"/>
        </w:rPr>
        <w:t>Revenue from Contracts with Customers</w:t>
      </w:r>
      <w:r>
        <w:rPr>
          <w:rFonts w:ascii="Times New Roman;serif" w:hAnsi="Times New Roman;serif"/>
          <w:b w:val="false"/>
          <w:sz w:val="20"/>
        </w:rPr>
        <w:t>, an entity recognizes revenue when its customer obtains control of promised goods or services, in an amount that reflects the consideration that the entity expects to receive in exchange for those goods or services. In applying ASC 606, the Company performs the following five steps:</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1) Identify the contract with the customer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2) Identify the promises and performance obligations in the contract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3) Determine the transaction price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4) Allocate the transaction price to the performance obligations in the contract</w:t>
      </w:r>
    </w:p>
    <w:p>
      <w:pPr>
        <w:pStyle w:val="TextBody"/>
        <w:bidi w:val="0"/>
        <w:spacing w:before="120" w:after="0"/>
        <w:jc w:val="left"/>
        <w:rPr>
          <w:rFonts w:ascii="Times New Roman" w:hAnsi="Times New Roman"/>
          <w:sz w:val="20"/>
        </w:rPr>
      </w:pPr>
      <w:r>
        <w:rPr>
          <w:rFonts w:ascii="Times New Roman;serif" w:hAnsi="Times New Roman;serif"/>
          <w:b w:val="false"/>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5) Recognize revenue when or as the Company satisfies a performance obligation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See Note 10, “Collaboration and License Agreements”, for further information on the application of ASC 606 to the collaboration and license agreement with Acceleron (the “Acceleron Collaboration Agreement”) and the collaboration and license agreement with MyoKardia (the “MyoKardia Collaboration Agreement”).</w:t>
      </w:r>
    </w:p>
    <w:p>
      <w:pPr>
        <w:pStyle w:val="TextBody"/>
        <w:bidi w:val="0"/>
        <w:spacing w:before="36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Research Contract Costs and Accruals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are made in determining the accrued balances at each reporting period. Actual results could differ from the Company’s estimates.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Patent-Related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Patent-related costs incurred in connection with patent applications are expensed as incurred due to the uncertainty about the recovery of the expenditure. Amounts incurred are classified as general and administrative expenses in the accompanying statements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w:t>
      </w:r>
      <w:r>
        <w:rPr>
          <w:rFonts w:ascii="Times New Roman" w:hAnsi="Times New Roman"/>
          <w:sz w:val="20"/>
        </w:rPr>
        <w:t xml:space="preserve"> </w:t>
      </w:r>
      <w:r>
        <w:rPr>
          <w:rFonts w:ascii="Times New Roman;serif" w:hAnsi="Times New Roman;serif"/>
          <w:b w:val="false"/>
          <w:sz w:val="20"/>
        </w:rPr>
        <w:t>as the Company has never paid dividends and has no current plans to pay any dividends on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accounts for forfeitures as they occur. The Company classifies stock-based compensation expense in its statements of operations in the same manner in which the award recipient’s payroll or service costs are classified.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Comprehensive Loss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Comprehensive loss is defined as the change in equity of a business enterprise during a period from transactions and other events and circumstances from non-owner sources. For the years ended December 31, 2021 and 2020, comprehensive loss consists of net loss and unrealized losses on investments.</w:t>
      </w:r>
    </w:p>
    <w:p>
      <w:pPr>
        <w:pStyle w:val="TextBody"/>
        <w:bidi w:val="0"/>
        <w:spacing w:before="360" w:after="0"/>
        <w:jc w:val="left"/>
        <w:rPr>
          <w:rFonts w:ascii="Times New Roman" w:hAnsi="Times New Roman"/>
          <w:sz w:val="20"/>
        </w:rPr>
      </w:pPr>
      <w:r>
        <w:rPr>
          <w:rFonts w:ascii="Times New Roman;serif" w:hAnsi="Times New Roman;serif"/>
          <w:b/>
          <w:i/>
          <w:sz w:val="20"/>
        </w:rPr>
        <w:t>Net Income (Loss) Per Share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Basic net income (loss) per share is computed by dividing the net income (loss) by the weighted average number of shares of common stock outstanding for the period. Diluted net income (loss) per share is computed by dividing net income (loss) by the weighted average number of shares of common stock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therefore the basic and diluted net loss per share are the same as the inclusion of the potentially dilutive securities would be anti-dilutive.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Off-Balance Sheet Risk and Concentrations of Credit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primarily consist of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pStyle w:val="TextBody"/>
        <w:bidi w:val="0"/>
        <w:spacing w:before="360" w:after="0"/>
        <w:jc w:val="left"/>
        <w:rPr>
          <w:rFonts w:ascii="Times New Roman" w:hAnsi="Times New Roman"/>
          <w:sz w:val="20"/>
        </w:rPr>
      </w:pPr>
      <w:r>
        <w:rPr>
          <w:rFonts w:ascii="Times New Roman;serif" w:hAnsi="Times New Roman;serif"/>
          <w:b/>
          <w:i/>
          <w:sz w:val="20"/>
        </w:rPr>
        <w:t>Segment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w:t>
      </w:r>
      <w:r>
        <w:rPr>
          <w:rFonts w:ascii="Times New Roman" w:hAnsi="Times New Roman"/>
          <w:sz w:val="20"/>
        </w:rPr>
        <w:t xml:space="preserve"> </w:t>
      </w:r>
      <w:r>
        <w:rPr>
          <w:rFonts w:ascii="Times New Roman;serif" w:hAnsi="Times New Roman;serif"/>
          <w:b w:val="false"/>
          <w:sz w:val="20"/>
        </w:rPr>
        <w:t>operating segment.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Emerging Growth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an emerging growth company (“EGC”), as defined in the Jumpstart Our Business Startups Act (the “JOBS Act”), and may take advantage of certain exemptions from various reporting requirements that are applicable to other public companies that are not EGCs, including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its initial public offering or such earlier time that it is no longer an EGC.</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Recent Accounting Pronouncements—To Be Adopted</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February 2016, the FASB issued ASU 2016-02, </w:t>
      </w:r>
      <w:r>
        <w:rPr>
          <w:rFonts w:ascii="Times New Roman;serif" w:hAnsi="Times New Roman;serif"/>
          <w:b w:val="false"/>
          <w:i/>
          <w:sz w:val="20"/>
        </w:rPr>
        <w:t>Leases (Topic 842)</w:t>
      </w:r>
      <w:r>
        <w:rPr>
          <w:rFonts w:ascii="Times New Roman" w:hAnsi="Times New Roman"/>
          <w:sz w:val="20"/>
        </w:rPr>
        <w:t xml:space="preserve"> </w:t>
      </w:r>
      <w:r>
        <w:rPr>
          <w:rFonts w:ascii="Times New Roman;serif" w:hAnsi="Times New Roman;serif"/>
          <w:b w:val="false"/>
          <w:sz w:val="20"/>
        </w:rPr>
        <w:t xml:space="preserve">(“ASU 2016-02”), as amended by various subsequently issued ASUs.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The standard requires lessees to recognize an operating lease with a term greater than one year on their balance sheets as a right-of-use asset and corresponding lease liability, measured at the present value of the lease payments. In July 2018, the FASB issued ASU 2018-11, </w:t>
      </w:r>
      <w:r>
        <w:rPr>
          <w:rFonts w:ascii="Times New Roman;serif" w:hAnsi="Times New Roman;serif"/>
          <w:b w:val="false"/>
          <w:i/>
          <w:sz w:val="20"/>
        </w:rPr>
        <w:t xml:space="preserve">Leases (Topic 842): Targeted Improvements </w:t>
      </w:r>
      <w:r>
        <w:rPr>
          <w:rFonts w:ascii="Times New Roman;serif" w:hAnsi="Times New Roman;serif"/>
          <w:b w:val="false"/>
          <w:sz w:val="20"/>
        </w:rPr>
        <w:t xml:space="preserve">(“ASU 2018-11”), which permits entities to continue applying legacy guidance in ASC 840, </w:t>
      </w:r>
      <w:r>
        <w:rPr>
          <w:rFonts w:ascii="Times New Roman;serif" w:hAnsi="Times New Roman;serif"/>
          <w:b w:val="false"/>
          <w:i/>
          <w:sz w:val="20"/>
        </w:rPr>
        <w:t>Leases</w:t>
      </w:r>
      <w:r>
        <w:rPr>
          <w:rFonts w:ascii="Times New Roman;serif" w:hAnsi="Times New Roman;serif"/>
          <w:b w:val="false"/>
          <w:sz w:val="20"/>
        </w:rPr>
        <w:t>, including its disclosure requirements, in the comparative periods presented in the year that the entity adopts the new leasing standard. In November 2019, the FASB deferred the effective date of ASU 2016-02, as amended, for private companies to fiscal years beginning after December 15, 2020. In June 2020, the FASB further deferred the effective date of ASU 2016-02, as amended, for private companies to fiscal years beginning after December 15, 2021. The new standard will become effective for the Company on January 1, 2022.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as amended,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 The Company expects that the adoption of ASU 2016-02, as amended, will result in the recognition of material right-of-use assets and lease liabilities in its consolidated balance sheets. The Company does not expect the adoption of ASU 2016-02, as amended, will have a material impact to its consolidated statements of operations and comprehensive loss.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 June 2016, the FASB issued ASU No. 2016-13, </w:t>
      </w:r>
      <w:r>
        <w:rPr>
          <w:rFonts w:ascii="Times New Roman;serif" w:hAnsi="Times New Roman;serif"/>
          <w:b w:val="false"/>
          <w:i/>
          <w:sz w:val="20"/>
        </w:rPr>
        <w:t>Financial Instruments—Credit Losses (Topic 326): Measurement of Credit Losses on Financial Instruments</w:t>
      </w:r>
      <w:r>
        <w:rPr>
          <w:rFonts w:ascii="Times New Roman;serif" w:hAnsi="Times New Roman;serif"/>
          <w:b w:val="false"/>
          <w:sz w:val="20"/>
        </w:rPr>
        <w:t>. The standard requires that credit losses be reported using an expected losses model rather than the incurred losses model that is 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 December 2019, the FASB issued ASU No. 2019-12, </w:t>
      </w:r>
      <w:r>
        <w:rPr>
          <w:rFonts w:ascii="Times New Roman;serif" w:hAnsi="Times New Roman;serif"/>
          <w:b w:val="false"/>
          <w:i/>
          <w:sz w:val="20"/>
        </w:rPr>
        <w:t>Income Taxes-Simplifying the Accounting for Income Taxes</w:t>
      </w:r>
      <w:r>
        <w:rPr>
          <w:rFonts w:ascii="Times New Roman;serif" w:hAnsi="Times New Roman;serif"/>
          <w:b w:val="false"/>
          <w:sz w:val="20"/>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pStyle w:val="TextBody"/>
        <w:bidi w:val="0"/>
        <w:spacing w:before="360" w:after="0"/>
        <w:jc w:val="left"/>
        <w:rPr>
          <w:rFonts w:ascii="Times New Roman;serif" w:hAnsi="Times New Roman;serif"/>
          <w:b/>
          <w:sz w:val="20"/>
        </w:rPr>
      </w:pPr>
      <w:r>
        <w:rPr>
          <w:rFonts w:ascii="Times New Roman;serif" w:hAnsi="Times New Roman;serif"/>
          <w:b/>
          <w:sz w:val="20"/>
        </w:rPr>
        <w:t>3. Fair Value Measurements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present information about the Company’s financial assets measured at fair value on a recurring basis and indicate the fair value hierarchy classification of such fair values as of December 31, 2021 and 2020 (in thousands):</w:t>
      </w:r>
      <w:r>
        <w:rPr>
          <w:rFonts w:ascii="Times New Roman" w:hAnsi="Times New Roman"/>
          <w:sz w:val="20"/>
        </w:rPr>
        <w:t xml:space="preserve"> </w:t>
      </w:r>
    </w:p>
    <w:p>
      <w:pPr>
        <w:pStyle w:val="TextBody"/>
        <w:bidi w:val="0"/>
        <w:spacing w:before="0" w:after="0"/>
        <w:jc w:val="left"/>
        <w:rPr/>
      </w:pPr>
      <w:r>
        <w:rPr/>
        <w:t> </w:t>
      </w:r>
    </w:p>
    <w:tbl>
      <w:tblPr>
        <w:tblW w:w="7035" w:type="dxa"/>
        <w:jc w:val="left"/>
        <w:tblInd w:w="0" w:type="dxa"/>
        <w:tblLayout w:type="fixed"/>
        <w:tblCellMar>
          <w:top w:w="28" w:type="dxa"/>
          <w:left w:w="28" w:type="dxa"/>
          <w:bottom w:w="28" w:type="dxa"/>
          <w:right w:w="28" w:type="dxa"/>
        </w:tblCellMar>
      </w:tblPr>
      <w:tblGrid>
        <w:gridCol w:w="1921"/>
        <w:gridCol w:w="146"/>
        <w:gridCol w:w="211"/>
        <w:gridCol w:w="781"/>
        <w:gridCol w:w="146"/>
        <w:gridCol w:w="146"/>
        <w:gridCol w:w="211"/>
        <w:gridCol w:w="676"/>
        <w:gridCol w:w="146"/>
        <w:gridCol w:w="146"/>
        <w:gridCol w:w="211"/>
        <w:gridCol w:w="781"/>
        <w:gridCol w:w="146"/>
        <w:gridCol w:w="146"/>
        <w:gridCol w:w="239"/>
        <w:gridCol w:w="391"/>
        <w:gridCol w:w="5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December 31, 2021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19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19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19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9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218,162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182,750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tbl>
      <w:tblPr>
        <w:tblW w:w="6930" w:type="dxa"/>
        <w:jc w:val="left"/>
        <w:tblInd w:w="0" w:type="dxa"/>
        <w:tblLayout w:type="fixed"/>
        <w:tblCellMar>
          <w:top w:w="28" w:type="dxa"/>
          <w:left w:w="28" w:type="dxa"/>
          <w:bottom w:w="28" w:type="dxa"/>
          <w:right w:w="28" w:type="dxa"/>
        </w:tblCellMar>
      </w:tblPr>
      <w:tblGrid>
        <w:gridCol w:w="1921"/>
        <w:gridCol w:w="146"/>
        <w:gridCol w:w="211"/>
        <w:gridCol w:w="781"/>
        <w:gridCol w:w="146"/>
        <w:gridCol w:w="146"/>
        <w:gridCol w:w="211"/>
        <w:gridCol w:w="676"/>
        <w:gridCol w:w="146"/>
        <w:gridCol w:w="146"/>
        <w:gridCol w:w="211"/>
        <w:gridCol w:w="676"/>
        <w:gridCol w:w="146"/>
        <w:gridCol w:w="146"/>
        <w:gridCol w:w="239"/>
        <w:gridCol w:w="391"/>
        <w:gridCol w:w="5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27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December 31, 2020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19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19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19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9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112,914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transfers between fair value levels during the years ended December 31, 2021 or 2020.</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4. Cash Equivalents and Marketable Securities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equivalents and marketable securities consisted of the following as of December 31, 2021 and December 31, 2020 (in thousands):</w:t>
      </w:r>
    </w:p>
    <w:p>
      <w:pPr>
        <w:pStyle w:val="TextBody"/>
        <w:bidi w:val="0"/>
        <w:spacing w:before="0" w:after="0"/>
        <w:jc w:val="left"/>
        <w:rPr/>
      </w:pPr>
      <w:r>
        <w:rPr/>
        <w:t> </w:t>
      </w:r>
    </w:p>
    <w:tbl>
      <w:tblPr>
        <w:tblW w:w="94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335"/>
        <w:gridCol w:w="551"/>
        <w:gridCol w:w="146"/>
        <w:gridCol w:w="146"/>
        <w:gridCol w:w="270"/>
        <w:gridCol w:w="616"/>
        <w:gridCol w:w="166"/>
        <w:gridCol w:w="146"/>
        <w:gridCol w:w="211"/>
        <w:gridCol w:w="781"/>
        <w:gridCol w:w="5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December 31, 2021</w:t>
            </w:r>
          </w:p>
        </w:tc>
        <w:tc>
          <w:tcPr>
            <w:tcW w:w="591" w:type="dxa"/>
            <w:tcBorders/>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86"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5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35,412</w:t>
            </w:r>
          </w:p>
        </w:tc>
        <w:tc>
          <w:tcPr>
            <w:tcW w:w="5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101,368</w:t>
            </w:r>
          </w:p>
        </w:tc>
        <w:tc>
          <w:tcPr>
            <w:tcW w:w="591" w:type="dxa"/>
            <w:tcBorders/>
            <w:vAlign w:val="center"/>
          </w:tcPr>
          <w:p>
            <w:pPr>
              <w:pStyle w:val="TableContents"/>
              <w:bidi w:val="0"/>
              <w:spacing w:before="0" w:after="0"/>
              <w:ind w:left="0" w:right="0" w:firstLine="200"/>
              <w:jc w:val="lef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81,382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183,147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182,750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218,162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94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335"/>
        <w:gridCol w:w="551"/>
        <w:gridCol w:w="146"/>
        <w:gridCol w:w="146"/>
        <w:gridCol w:w="335"/>
        <w:gridCol w:w="551"/>
        <w:gridCol w:w="166"/>
        <w:gridCol w:w="146"/>
        <w:gridCol w:w="211"/>
        <w:gridCol w:w="781"/>
        <w:gridCol w:w="5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December 31, 2020</w:t>
            </w:r>
          </w:p>
        </w:tc>
        <w:tc>
          <w:tcPr>
            <w:tcW w:w="591" w:type="dxa"/>
            <w:tcBorders/>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86"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5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57,052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57,052</w:t>
            </w:r>
          </w:p>
        </w:tc>
        <w:tc>
          <w:tcPr>
            <w:tcW w:w="5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23,339</w:t>
            </w:r>
          </w:p>
        </w:tc>
        <w:tc>
          <w:tcPr>
            <w:tcW w:w="591" w:type="dxa"/>
            <w:tcBorders/>
            <w:vAlign w:val="center"/>
          </w:tcPr>
          <w:p>
            <w:pPr>
              <w:pStyle w:val="TableContents"/>
              <w:bidi w:val="0"/>
              <w:spacing w:before="0" w:after="0"/>
              <w:ind w:left="0" w:right="0" w:firstLine="200"/>
              <w:jc w:val="lef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112,916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112,914</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sales of marketable securities during the year ended December 31, 2021. As of December 31, 2021, the aggregate fair value of securities that were in an unrealized loss position for less than twelve months was $180.8</w:t>
      </w:r>
      <w:r>
        <w:rPr>
          <w:rFonts w:ascii="Times New Roman" w:hAnsi="Times New Roman"/>
          <w:sz w:val="20"/>
        </w:rPr>
        <w:t xml:space="preserve"> </w:t>
      </w:r>
      <w:r>
        <w:rPr>
          <w:rFonts w:ascii="Times New Roman;serif" w:hAnsi="Times New Roman;serif"/>
          <w:b w:val="false"/>
          <w:sz w:val="20"/>
        </w:rPr>
        <w:t>million. As of December 31, 2021, no</w:t>
      </w:r>
      <w:r>
        <w:rPr>
          <w:rFonts w:ascii="Times New Roman" w:hAnsi="Times New Roman"/>
          <w:sz w:val="20"/>
        </w:rPr>
        <w:t xml:space="preserve"> </w:t>
      </w:r>
      <w:r>
        <w:rPr>
          <w:rFonts w:ascii="Times New Roman;serif" w:hAnsi="Times New Roman;serif"/>
          <w:b w:val="false"/>
          <w:sz w:val="20"/>
        </w:rPr>
        <w:t>securities were in an unrealized loss position for greater than twelve months.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determined that it did not hold any securities with any other-than-temporary impairment as of December 31, 2021. As of December 31, 2021, the aggregate fair value of securities with a remaining contractual maturity of greater than one year was $39.7</w:t>
      </w:r>
      <w:r>
        <w:rPr>
          <w:rFonts w:ascii="Times New Roman" w:hAnsi="Times New Roman"/>
          <w:sz w:val="20"/>
        </w:rPr>
        <w:t xml:space="preserve"> </w:t>
      </w:r>
      <w:r>
        <w:rPr>
          <w:rFonts w:ascii="Times New Roman;serif" w:hAnsi="Times New Roman;serif"/>
          <w:b w:val="false"/>
          <w:sz w:val="20"/>
        </w:rPr>
        <w:t>million. As of December 31, 2021, the Company did not intend to sell, and would not be more likely than not be required to sell, the securities in an unrealized loss position before recovery of their amortized cost bases.</w:t>
      </w:r>
    </w:p>
    <w:p>
      <w:pPr>
        <w:pStyle w:val="TextBody"/>
        <w:bidi w:val="0"/>
        <w:spacing w:before="360" w:after="0"/>
        <w:jc w:val="left"/>
        <w:rPr>
          <w:rFonts w:ascii="Times New Roman" w:hAnsi="Times New Roman"/>
          <w:sz w:val="20"/>
        </w:rPr>
      </w:pPr>
      <w:r>
        <w:rPr>
          <w:rFonts w:ascii="Times New Roman;serif" w:hAnsi="Times New Roman;serif"/>
          <w:b/>
          <w:sz w:val="20"/>
        </w:rPr>
        <w:t>5. Property and Equipment,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net consisted of the following (in thousands):</w:t>
      </w:r>
      <w:r>
        <w:rPr>
          <w:rFonts w:ascii="Times New Roman" w:hAnsi="Times New Roman"/>
          <w:sz w:val="20"/>
        </w:rPr>
        <w:t xml:space="preserve"> </w:t>
      </w:r>
    </w:p>
    <w:tbl>
      <w:tblPr>
        <w:tblW w:w="5545" w:type="dxa"/>
        <w:jc w:val="left"/>
        <w:tblInd w:w="0" w:type="dxa"/>
        <w:tblLayout w:type="fixed"/>
        <w:tblCellMar>
          <w:top w:w="28" w:type="dxa"/>
          <w:left w:w="28" w:type="dxa"/>
          <w:bottom w:w="28" w:type="dxa"/>
          <w:right w:w="28" w:type="dxa"/>
        </w:tblCellMar>
      </w:tblPr>
      <w:tblGrid>
        <w:gridCol w:w="2686"/>
        <w:gridCol w:w="146"/>
        <w:gridCol w:w="260"/>
        <w:gridCol w:w="835"/>
        <w:gridCol w:w="166"/>
        <w:gridCol w:w="146"/>
        <w:gridCol w:w="260"/>
        <w:gridCol w:w="835"/>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6,877</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Software</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6,210</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process</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14,515</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Depreciation expense for the years ended December 31, 2021 and 2020 was $2.5</w:t>
      </w:r>
      <w:r>
        <w:rPr>
          <w:rFonts w:ascii="Times New Roman;serif" w:hAnsi="Times New Roman;serif"/>
          <w:sz w:val="20"/>
        </w:rPr>
        <w:t xml:space="preserve"> </w:t>
      </w:r>
      <w:r>
        <w:rPr>
          <w:rFonts w:ascii="Times New Roman;serif" w:hAnsi="Times New Roman;serif"/>
          <w:b w:val="false"/>
          <w:sz w:val="20"/>
        </w:rPr>
        <w:t>million and $2.4</w:t>
      </w:r>
      <w:r>
        <w:rPr>
          <w:rFonts w:ascii="Times New Roman;serif" w:hAnsi="Times New Roman;serif"/>
          <w:sz w:val="20"/>
        </w:rPr>
        <w:t xml:space="preserve"> </w:t>
      </w:r>
      <w:r>
        <w:rPr>
          <w:rFonts w:ascii="Times New Roman;serif" w:hAnsi="Times New Roman;serif"/>
          <w:b w:val="false"/>
          <w:sz w:val="20"/>
        </w:rPr>
        <w:t>million, respectively. Total property and equipment, gross, as of December 31, 2020 included $0.2</w:t>
      </w:r>
      <w:r>
        <w:rPr>
          <w:rFonts w:ascii="Times New Roman;serif" w:hAnsi="Times New Roman;serif"/>
          <w:sz w:val="20"/>
        </w:rPr>
        <w:t xml:space="preserve"> </w:t>
      </w:r>
      <w:r>
        <w:rPr>
          <w:rFonts w:ascii="Times New Roman;serif" w:hAnsi="Times New Roman;serif"/>
          <w:b w:val="false"/>
          <w:sz w:val="20"/>
        </w:rPr>
        <w:t>million of property and equipment recorded under capital leases. Accumulated depreciation as of December 31, 2020 included $0.2</w:t>
      </w:r>
      <w:r>
        <w:rPr>
          <w:rFonts w:ascii="Times New Roman;serif" w:hAnsi="Times New Roman;serif"/>
          <w:sz w:val="20"/>
        </w:rPr>
        <w:t xml:space="preserve"> </w:t>
      </w:r>
      <w:r>
        <w:rPr>
          <w:rFonts w:ascii="Times New Roman;serif" w:hAnsi="Times New Roman;serif"/>
          <w:b w:val="false"/>
          <w:sz w:val="20"/>
        </w:rPr>
        <w:t>million for property and equipment recorded under capital leases.</w:t>
      </w:r>
      <w:r>
        <w:rPr>
          <w:rFonts w:ascii="Times New Roman" w:hAnsi="Times New Roman"/>
          <w:sz w:val="20"/>
        </w:rPr>
        <w:t xml:space="preserve"> </w:t>
      </w: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property and equipment was recorded under capital leases as of December 31, 2021.</w:t>
      </w:r>
    </w:p>
    <w:p>
      <w:pPr>
        <w:pStyle w:val="TextBody"/>
        <w:bidi w:val="0"/>
        <w:spacing w:before="360" w:after="0"/>
        <w:jc w:val="left"/>
        <w:rPr>
          <w:rFonts w:ascii="Times New Roman" w:hAnsi="Times New Roman"/>
          <w:sz w:val="20"/>
        </w:rPr>
      </w:pPr>
      <w:r>
        <w:rPr>
          <w:rFonts w:ascii="Times New Roman;serif" w:hAnsi="Times New Roman;serif"/>
          <w:b/>
          <w:sz w:val="20"/>
        </w:rPr>
        <w:t>6. Additional Balance Sheet Detail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Prepaid expenses and other current assets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7305" w:type="dxa"/>
        <w:jc w:val="left"/>
        <w:tblInd w:w="0" w:type="dxa"/>
        <w:tblLayout w:type="fixed"/>
        <w:tblCellMar>
          <w:top w:w="28" w:type="dxa"/>
          <w:left w:w="28" w:type="dxa"/>
          <w:bottom w:w="28" w:type="dxa"/>
          <w:right w:w="28" w:type="dxa"/>
        </w:tblCellMar>
      </w:tblPr>
      <w:tblGrid>
        <w:gridCol w:w="4486"/>
        <w:gridCol w:w="146"/>
        <w:gridCol w:w="294"/>
        <w:gridCol w:w="801"/>
        <w:gridCol w:w="146"/>
        <w:gridCol w:w="146"/>
        <w:gridCol w:w="294"/>
        <w:gridCol w:w="801"/>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1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sign-on bonuses subject to vesting provisions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receivable</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Accrued expenses and other current liabilities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7080" w:type="dxa"/>
        <w:jc w:val="left"/>
        <w:tblInd w:w="0" w:type="dxa"/>
        <w:tblLayout w:type="fixed"/>
        <w:tblCellMar>
          <w:top w:w="28" w:type="dxa"/>
          <w:left w:w="28" w:type="dxa"/>
          <w:bottom w:w="28" w:type="dxa"/>
          <w:right w:w="28" w:type="dxa"/>
        </w:tblCellMar>
      </w:tblPr>
      <w:tblGrid>
        <w:gridCol w:w="4261"/>
        <w:gridCol w:w="146"/>
        <w:gridCol w:w="294"/>
        <w:gridCol w:w="801"/>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research and development</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4,082</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and benefits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2,928</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services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 lease obligation, current portion</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7. Preferred Stock</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2021 and 2020, 5,000,000</w:t>
      </w:r>
      <w:r>
        <w:rPr>
          <w:rFonts w:ascii="Times New Roman" w:hAnsi="Times New Roman"/>
          <w:sz w:val="20"/>
        </w:rPr>
        <w:t xml:space="preserve"> </w:t>
      </w:r>
      <w:r>
        <w:rPr>
          <w:rFonts w:ascii="Times New Roman;serif" w:hAnsi="Times New Roman;serif"/>
          <w:b w:val="false"/>
          <w:sz w:val="20"/>
        </w:rPr>
        <w:t>shares of undesignated preferred stock were authorized. No</w:t>
      </w:r>
      <w:r>
        <w:rPr>
          <w:rFonts w:ascii="Times New Roman" w:hAnsi="Times New Roman"/>
          <w:sz w:val="20"/>
        </w:rPr>
        <w:t xml:space="preserve"> </w:t>
      </w:r>
      <w:r>
        <w:rPr>
          <w:rFonts w:ascii="Times New Roman;serif" w:hAnsi="Times New Roman;serif"/>
          <w:b w:val="false"/>
          <w:sz w:val="20"/>
        </w:rPr>
        <w:t>shares of preferred stock were issued or outstanding as of December 31, 2021 and 2020.</w:t>
      </w:r>
    </w:p>
    <w:p>
      <w:pPr>
        <w:pStyle w:val="TextBody"/>
        <w:bidi w:val="0"/>
        <w:spacing w:before="24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dividends have been declared since inception.</w:t>
      </w:r>
    </w:p>
    <w:p>
      <w:pPr>
        <w:pStyle w:val="TextBody"/>
        <w:bidi w:val="0"/>
        <w:spacing w:before="360" w:after="0"/>
        <w:jc w:val="left"/>
        <w:rPr>
          <w:rFonts w:ascii="Times New Roman" w:hAnsi="Times New Roman"/>
          <w:sz w:val="20"/>
        </w:rPr>
      </w:pPr>
      <w:r>
        <w:rPr>
          <w:rFonts w:ascii="Times New Roman;serif" w:hAnsi="Times New Roman;serif"/>
          <w:b/>
          <w:sz w:val="20"/>
        </w:rPr>
        <w:t>8.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2021 and 2020, 200,000,000</w:t>
      </w:r>
      <w:r>
        <w:rPr>
          <w:rFonts w:ascii="Times New Roman" w:hAnsi="Times New Roman"/>
          <w:sz w:val="20"/>
        </w:rPr>
        <w:t xml:space="preserve"> </w:t>
      </w:r>
      <w:r>
        <w:rPr>
          <w:rFonts w:ascii="Times New Roman;serif" w:hAnsi="Times New Roman;serif"/>
          <w:b w:val="false"/>
          <w:sz w:val="20"/>
        </w:rPr>
        <w:t>shares of common stock, $0.001</w:t>
      </w:r>
      <w:r>
        <w:rPr>
          <w:rFonts w:ascii="Times New Roman" w:hAnsi="Times New Roman"/>
          <w:sz w:val="20"/>
        </w:rPr>
        <w:t xml:space="preserve"> </w:t>
      </w:r>
      <w:r>
        <w:rPr>
          <w:rFonts w:ascii="Times New Roman;serif" w:hAnsi="Times New Roman;serif"/>
          <w:b w:val="false"/>
          <w:sz w:val="20"/>
        </w:rPr>
        <w:t>par value per share, were authorized.</w:t>
      </w:r>
    </w:p>
    <w:p>
      <w:pPr>
        <w:pStyle w:val="TextBody"/>
        <w:bidi w:val="0"/>
        <w:spacing w:before="240" w:after="0"/>
        <w:jc w:val="left"/>
        <w:rPr>
          <w:rFonts w:ascii="Times New Roman" w:hAnsi="Times New Roman"/>
          <w:sz w:val="20"/>
        </w:rPr>
      </w:pPr>
      <w:r>
        <w:rPr>
          <w:rFonts w:ascii="Times New Roman;serif" w:hAnsi="Times New Roman;serif"/>
          <w:b w:val="false"/>
          <w:sz w:val="20"/>
        </w:rPr>
        <w:t>Each share of common stock entitles the holder to one</w:t>
      </w:r>
      <w:r>
        <w:rPr>
          <w:rFonts w:ascii="Times New Roman;serif" w:hAnsi="Times New Roman;serif"/>
          <w:sz w:val="20"/>
        </w:rPr>
        <w:t xml:space="preserve"> </w:t>
      </w:r>
      <w:r>
        <w:rPr>
          <w:rFonts w:ascii="Times New Roman;serif" w:hAnsi="Times New Roman;serif"/>
          <w:b w:val="false"/>
          <w:sz w:val="20"/>
        </w:rPr>
        <w:t>vote on all matters submitted to a vote of the Company’s stockholders. Common stockholders are not entitled to receive dividends, unless declared by the Company’s board of directors, subject to the preferential dividend rights of any preferred stock then outstanding. No</w:t>
      </w:r>
      <w:r>
        <w:rPr>
          <w:rFonts w:ascii="Times New Roman" w:hAnsi="Times New Roman"/>
          <w:sz w:val="20"/>
        </w:rPr>
        <w:t xml:space="preserve"> </w:t>
      </w:r>
      <w:r>
        <w:rPr>
          <w:rFonts w:ascii="Times New Roman;serif" w:hAnsi="Times New Roman;serif"/>
          <w:b w:val="false"/>
          <w:sz w:val="20"/>
        </w:rPr>
        <w:t>dividends have been declared or paid by the Company since its inception.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December 31, 2021 and 2020, the Company has reserved for future issuance the following number of shares of common stock:</w:t>
      </w:r>
    </w:p>
    <w:p>
      <w:pPr>
        <w:pStyle w:val="TextBody"/>
        <w:bidi w:val="0"/>
        <w:spacing w:before="0" w:after="0"/>
        <w:jc w:val="left"/>
        <w:rPr/>
      </w:pPr>
      <w:r>
        <w:rPr/>
        <w:t> </w:t>
      </w:r>
    </w:p>
    <w:tbl>
      <w:tblPr>
        <w:tblW w:w="7605" w:type="dxa"/>
        <w:jc w:val="left"/>
        <w:tblInd w:w="0" w:type="dxa"/>
        <w:tblLayout w:type="fixed"/>
        <w:tblCellMar>
          <w:top w:w="28" w:type="dxa"/>
          <w:left w:w="28" w:type="dxa"/>
          <w:bottom w:w="28" w:type="dxa"/>
          <w:right w:w="28" w:type="dxa"/>
        </w:tblCellMar>
      </w:tblPr>
      <w:tblGrid>
        <w:gridCol w:w="4786"/>
        <w:gridCol w:w="146"/>
        <w:gridCol w:w="148"/>
        <w:gridCol w:w="947"/>
        <w:gridCol w:w="146"/>
        <w:gridCol w:w="146"/>
        <w:gridCol w:w="148"/>
        <w:gridCol w:w="947"/>
        <w:gridCol w:w="1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exercises of outstanding stock options</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5,188,354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2,962,347</w:t>
            </w:r>
          </w:p>
        </w:tc>
        <w:tc>
          <w:tcPr>
            <w:tcW w:w="19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future issuance under the 2019 Stock</w:t>
              <w:br/>
              <w:t>   Incentive Plan</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1,728,616</w:t>
            </w:r>
          </w:p>
        </w:tc>
        <w:tc>
          <w:tcPr>
            <w:tcW w:w="19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future issuance under the 2019</w:t>
              <w:br/>
              <w:t>   Employee Stock Purchase Plan</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706,658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465,999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6,181,336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5,156,962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9. Stock-based Compensation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2016 Stock Incentive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2021 and 2020, no</w:t>
      </w:r>
      <w:r>
        <w:rPr>
          <w:rFonts w:ascii="Times New Roman" w:hAnsi="Times New Roman"/>
          <w:sz w:val="20"/>
        </w:rPr>
        <w:t xml:space="preserve"> </w:t>
      </w:r>
      <w:r>
        <w:rPr>
          <w:rFonts w:ascii="Times New Roman;serif" w:hAnsi="Times New Roman;serif"/>
          <w:b w:val="false"/>
          <w:sz w:val="20"/>
        </w:rPr>
        <w:t>shares remained available for future issuance under the 2016 Plan. Any options or other awards outstanding under the 2016 Plan remain outstanding and effective.</w:t>
      </w:r>
    </w:p>
    <w:p>
      <w:pPr>
        <w:pStyle w:val="TextBody"/>
        <w:bidi w:val="0"/>
        <w:spacing w:before="360" w:after="0"/>
        <w:jc w:val="left"/>
        <w:rPr>
          <w:rFonts w:ascii="Times New Roman" w:hAnsi="Times New Roman"/>
          <w:sz w:val="20"/>
        </w:rPr>
      </w:pPr>
      <w:r>
        <w:rPr>
          <w:rFonts w:ascii="Times New Roman;serif" w:hAnsi="Times New Roman;serif"/>
          <w:b/>
          <w:i/>
          <w:sz w:val="20"/>
        </w:rPr>
        <w:t>2019 Stock Incentive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w:t>
      </w:r>
      <w:r>
        <w:rPr>
          <w:rFonts w:ascii="Times New Roman" w:hAnsi="Times New Roman"/>
          <w:sz w:val="20"/>
        </w:rPr>
        <w:t xml:space="preserve"> </w:t>
      </w:r>
      <w:r>
        <w:rPr>
          <w:rFonts w:ascii="Times New Roman;serif" w:hAnsi="Times New Roman;serif"/>
          <w:b w:val="false"/>
          <w:sz w:val="20"/>
        </w:rPr>
        <w:t>shares, plus the shares of common stock remaining available for issuance under the 2016 Plan as of July 17, 2019. The number of shares reserved was annually increased on January 1, 2020 and will be increased each January 1 thereafter through January 1, 2029 by the least of (i) 2,000,000</w:t>
      </w:r>
      <w:r>
        <w:rPr>
          <w:rFonts w:ascii="Times New Roman" w:hAnsi="Times New Roman"/>
          <w:sz w:val="20"/>
        </w:rPr>
        <w:t xml:space="preserve"> </w:t>
      </w:r>
      <w:r>
        <w:rPr>
          <w:rFonts w:ascii="Times New Roman;serif" w:hAnsi="Times New Roman;serif"/>
          <w:b w:val="false"/>
          <w:sz w:val="20"/>
        </w:rPr>
        <w:t>shares, (ii) 4% of the number of shares of the Company’s common stock outstanding on the first day of each such year or (iii) an amount determined by the Company’s board of directors. As of December 31, 2021, there were 286,324</w:t>
      </w:r>
      <w:r>
        <w:rPr>
          <w:rFonts w:ascii="Times New Roman" w:hAnsi="Times New Roman"/>
          <w:sz w:val="20"/>
        </w:rPr>
        <w:t xml:space="preserve"> </w:t>
      </w:r>
      <w:r>
        <w:rPr>
          <w:rFonts w:ascii="Times New Roman;serif" w:hAnsi="Times New Roman;serif"/>
          <w:b w:val="false"/>
          <w:sz w:val="20"/>
        </w:rPr>
        <w:t>shares available for future issuance under the 2019 Plan. On January 1, 2022, the number of shares reserved for issuance under the 2019 Plan was increased by 1,625,455</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pStyle w:val="TextBody"/>
        <w:bidi w:val="0"/>
        <w:spacing w:before="360" w:after="0"/>
        <w:jc w:val="left"/>
        <w:rPr>
          <w:rFonts w:ascii="Times New Roman" w:hAnsi="Times New Roman"/>
          <w:sz w:val="20"/>
        </w:rPr>
      </w:pPr>
      <w:r>
        <w:rPr>
          <w:rFonts w:ascii="Times New Roman;serif" w:hAnsi="Times New Roman;serif"/>
          <w:b/>
          <w:i/>
          <w:sz w:val="20"/>
        </w:rPr>
        <w:t>2022 Inducement Stock Incentive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w:t>
      </w:r>
      <w:r>
        <w:rPr>
          <w:rFonts w:ascii="Times New Roman" w:hAnsi="Times New Roman"/>
          <w:sz w:val="20"/>
        </w:rPr>
        <w:t xml:space="preserve"> </w:t>
      </w:r>
      <w:r>
        <w:rPr>
          <w:rFonts w:ascii="Times New Roman;serif" w:hAnsi="Times New Roman;serif"/>
          <w:b w:val="false"/>
          <w:sz w:val="20"/>
        </w:rPr>
        <w:t>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Restricted Stock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shares of common stock underlying restricted stock awards typically vest over a four-year</w:t>
      </w:r>
      <w:r>
        <w:rPr>
          <w:rFonts w:ascii="Times New Roman" w:hAnsi="Times New Roman"/>
          <w:sz w:val="20"/>
        </w:rPr>
        <w:t xml:space="preserve"> </w:t>
      </w:r>
      <w:r>
        <w:rPr>
          <w:rFonts w:ascii="Times New Roman;serif" w:hAnsi="Times New Roman;serif"/>
          <w:b w:val="false"/>
          <w:sz w:val="20"/>
        </w:rPr>
        <w:t>period. The shares of common stock are recorded in stockholders’ equity as they vest.</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summarizes the Company’s restricted stock activity under the 2019 Plan and 2016 Plan since December 31, 2019:</w:t>
      </w:r>
      <w:r>
        <w:rPr>
          <w:rFonts w:ascii="Times New Roman" w:hAnsi="Times New Roman"/>
          <w:sz w:val="20"/>
        </w:rPr>
        <w:t xml:space="preserve"> </w:t>
      </w:r>
    </w:p>
    <w:p>
      <w:pPr>
        <w:pStyle w:val="TextBody"/>
        <w:bidi w:val="0"/>
        <w:spacing w:before="0" w:after="0"/>
        <w:jc w:val="left"/>
        <w:rPr/>
      </w:pPr>
      <w:r>
        <w:rPr/>
        <w:t> </w:t>
      </w:r>
    </w:p>
    <w:tbl>
      <w:tblPr>
        <w:tblW w:w="5752" w:type="dxa"/>
        <w:jc w:val="left"/>
        <w:tblInd w:w="0" w:type="dxa"/>
        <w:tblLayout w:type="fixed"/>
        <w:tblCellMar>
          <w:top w:w="28" w:type="dxa"/>
          <w:left w:w="28" w:type="dxa"/>
          <w:bottom w:w="28" w:type="dxa"/>
          <w:right w:w="28" w:type="dxa"/>
        </w:tblCellMar>
      </w:tblPr>
      <w:tblGrid>
        <w:gridCol w:w="2701"/>
        <w:gridCol w:w="146"/>
        <w:gridCol w:w="146"/>
        <w:gridCol w:w="841"/>
        <w:gridCol w:w="166"/>
        <w:gridCol w:w="146"/>
        <w:gridCol w:w="378"/>
        <w:gridCol w:w="837"/>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 Grant</w:t>
              <w:br/>
              <w:t>Date Fair</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346,423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(233,563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3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3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serif" w:hAnsi="Times New Roman;serif"/>
          <w:b/>
          <w:i/>
          <w:sz w:val="20"/>
        </w:rPr>
      </w:pPr>
      <w:r>
        <w:rPr>
          <w:rFonts w:ascii="Times New Roman;serif" w:hAnsi="Times New Roman;serif"/>
          <w:b/>
          <w:i/>
          <w:sz w:val="20"/>
        </w:rPr>
        <w:t>Stock Options</w:t>
      </w:r>
    </w:p>
    <w:p>
      <w:pPr>
        <w:pStyle w:val="TextBody"/>
        <w:bidi w:val="0"/>
        <w:spacing w:before="240" w:after="0"/>
        <w:jc w:val="left"/>
        <w:rPr>
          <w:rFonts w:ascii="Times New Roman" w:hAnsi="Times New Roman"/>
          <w:sz w:val="20"/>
        </w:rPr>
      </w:pPr>
      <w:r>
        <w:rPr>
          <w:rFonts w:ascii="Times New Roman;serif" w:hAnsi="Times New Roman;serif"/>
          <w:b w:val="false"/>
          <w:sz w:val="20"/>
        </w:rPr>
        <w:t>Stock options granted by the Company typically vest over a four year</w:t>
      </w:r>
      <w:r>
        <w:rPr>
          <w:rFonts w:ascii="Times New Roman" w:hAnsi="Times New Roman"/>
          <w:sz w:val="20"/>
        </w:rPr>
        <w:t xml:space="preserve"> </w:t>
      </w:r>
      <w:r>
        <w:rPr>
          <w:rFonts w:ascii="Times New Roman;serif" w:hAnsi="Times New Roman;serif"/>
          <w:b w:val="false"/>
          <w:sz w:val="20"/>
        </w:rPr>
        <w:t>period and have a ten year</w:t>
      </w:r>
      <w:r>
        <w:rPr>
          <w:rFonts w:ascii="Times New Roman" w:hAnsi="Times New Roman"/>
          <w:sz w:val="20"/>
        </w:rPr>
        <w:t xml:space="preserve"> </w:t>
      </w:r>
      <w:r>
        <w:rPr>
          <w:rFonts w:ascii="Times New Roman;serif" w:hAnsi="Times New Roman;serif"/>
          <w:b w:val="false"/>
          <w:sz w:val="20"/>
        </w:rPr>
        <w:t xml:space="preserve">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year ended December 31, 2021: </w:t>
      </w:r>
    </w:p>
    <w:p>
      <w:pPr>
        <w:pStyle w:val="TextBody"/>
        <w:bidi w:val="0"/>
        <w:spacing w:before="0" w:after="0"/>
        <w:jc w:val="left"/>
        <w:rPr/>
      </w:pPr>
      <w:r>
        <w:rPr/>
        <w:t> </w:t>
      </w:r>
    </w:p>
    <w:p>
      <w:pPr>
        <w:pStyle w:val="TextBody"/>
        <w:bidi w:val="0"/>
        <w:spacing w:before="0" w:after="0"/>
        <w:jc w:val="left"/>
        <w:rPr/>
      </w:pPr>
      <w:r>
        <w:rPr/>
        <w:t> </w:t>
      </w:r>
    </w:p>
    <w:tbl>
      <w:tblPr>
        <w:tblW w:w="8485"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214"/>
        <w:gridCol w:w="582"/>
        <w:gridCol w:w="146"/>
        <w:gridCol w:w="146"/>
        <w:gridCol w:w="236"/>
        <w:gridCol w:w="755"/>
        <w:gridCol w:w="146"/>
        <w:gridCol w:w="146"/>
        <w:gridCol w:w="211"/>
        <w:gridCol w:w="1036"/>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2,962,347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5,767,895</w:t>
            </w:r>
          </w:p>
        </w:tc>
        <w:tc>
          <w:tcPr>
            <w:tcW w:w="391" w:type="dxa"/>
            <w:tcBorders/>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2,976,667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(341,952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(408,708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5,188,354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27,082,052</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1,476,669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9,083,995</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weighted average grant date fair value of stock options granted in the years ended December 31, 2021 and 2020</w:t>
      </w:r>
      <w:r>
        <w:rPr>
          <w:rFonts w:ascii="Times New Roman" w:hAnsi="Times New Roman"/>
          <w:sz w:val="20"/>
        </w:rPr>
        <w:t xml:space="preserve"> </w:t>
      </w:r>
      <w:r>
        <w:rPr>
          <w:rFonts w:ascii="Times New Roman;serif" w:hAnsi="Times New Roman;serif"/>
          <w:b w:val="false"/>
          <w:sz w:val="20"/>
        </w:rPr>
        <w:t>was $11.37</w:t>
      </w:r>
      <w:r>
        <w:rPr>
          <w:rFonts w:ascii="Times New Roman" w:hAnsi="Times New Roman"/>
          <w:sz w:val="20"/>
        </w:rPr>
        <w:t xml:space="preserve"> </w:t>
      </w:r>
      <w:r>
        <w:rPr>
          <w:rFonts w:ascii="Times New Roman;serif" w:hAnsi="Times New Roman;serif"/>
          <w:b w:val="false"/>
          <w:sz w:val="20"/>
        </w:rPr>
        <w:t>per share and $9.76</w:t>
      </w:r>
      <w:r>
        <w:rPr>
          <w:rFonts w:ascii="Times New Roman" w:hAnsi="Times New Roman"/>
          <w:sz w:val="20"/>
        </w:rPr>
        <w:t xml:space="preserve"> </w:t>
      </w:r>
      <w:r>
        <w:rPr>
          <w:rFonts w:ascii="Times New Roman;serif" w:hAnsi="Times New Roman;serif"/>
          <w:b w:val="false"/>
          <w:sz w:val="20"/>
        </w:rPr>
        <w:t>per share, respectively. The total intrinsic value of stock options exercised in the years ended December 31, 2021 and 2020</w:t>
      </w:r>
      <w:r>
        <w:rPr>
          <w:rFonts w:ascii="Times New Roman" w:hAnsi="Times New Roman"/>
          <w:sz w:val="20"/>
        </w:rPr>
        <w:t xml:space="preserve"> </w:t>
      </w:r>
      <w:r>
        <w:rPr>
          <w:rFonts w:ascii="Times New Roman;serif" w:hAnsi="Times New Roman;serif"/>
          <w:b w:val="false"/>
          <w:sz w:val="20"/>
        </w:rPr>
        <w:t>was $3.5</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fair value of stock options granted during the years ended December 31, 2021 and 2020 has been calculated on the date of grant using the following weighted average assumptions:</w:t>
      </w:r>
      <w:r>
        <w:rPr>
          <w:rFonts w:ascii="Times New Roman" w:hAnsi="Times New Roman"/>
          <w:sz w:val="20"/>
        </w:rPr>
        <w:t xml:space="preserve"> </w:t>
      </w:r>
    </w:p>
    <w:p>
      <w:pPr>
        <w:pStyle w:val="TextBody"/>
        <w:bidi w:val="0"/>
        <w:spacing w:before="0" w:after="0"/>
        <w:jc w:val="left"/>
        <w:rPr/>
      </w:pPr>
      <w:r>
        <w:rPr/>
        <w:t> </w:t>
      </w:r>
    </w:p>
    <w:tbl>
      <w:tblPr>
        <w:tblW w:w="6505" w:type="dxa"/>
        <w:jc w:val="left"/>
        <w:tblInd w:w="0" w:type="dxa"/>
        <w:tblLayout w:type="fixed"/>
        <w:tblCellMar>
          <w:top w:w="28" w:type="dxa"/>
          <w:left w:w="28" w:type="dxa"/>
          <w:bottom w:w="28" w:type="dxa"/>
          <w:right w:w="28" w:type="dxa"/>
        </w:tblCellMar>
      </w:tblPr>
      <w:tblGrid>
        <w:gridCol w:w="2626"/>
        <w:gridCol w:w="146"/>
        <w:gridCol w:w="357"/>
        <w:gridCol w:w="1143"/>
        <w:gridCol w:w="271"/>
        <w:gridCol w:w="146"/>
        <w:gridCol w:w="357"/>
        <w:gridCol w:w="1143"/>
        <w:gridCol w:w="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w:t>
              <w:br/>
              <w:t>Ended</w:t>
              <w:br/>
              <w:t>December 31, 2021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w:t>
              <w:br/>
              <w:t>Ended</w:t>
              <w:br/>
              <w:t>December 31, 2020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16"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stock price volatility</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Restricted Stock Grants Outside of the 2016 Plan and the 2019 Plan</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summarizes the Company’s restricted stock activity outside of the 2019 Plan and 2016 Plan since December 31, 2019:</w:t>
      </w:r>
      <w:r>
        <w:rPr>
          <w:rFonts w:ascii="Times New Roman" w:hAnsi="Times New Roman"/>
          <w:sz w:val="20"/>
        </w:rPr>
        <w:t xml:space="preserve"> </w:t>
      </w:r>
    </w:p>
    <w:p>
      <w:pPr>
        <w:pStyle w:val="TextBody"/>
        <w:bidi w:val="0"/>
        <w:spacing w:before="0" w:after="0"/>
        <w:jc w:val="left"/>
        <w:rPr/>
      </w:pPr>
      <w:r>
        <w:rPr/>
        <w:t> </w:t>
      </w:r>
    </w:p>
    <w:tbl>
      <w:tblPr>
        <w:tblW w:w="5752" w:type="dxa"/>
        <w:jc w:val="left"/>
        <w:tblInd w:w="0" w:type="dxa"/>
        <w:tblLayout w:type="fixed"/>
        <w:tblCellMar>
          <w:top w:w="28" w:type="dxa"/>
          <w:left w:w="28" w:type="dxa"/>
          <w:bottom w:w="28" w:type="dxa"/>
          <w:right w:w="28" w:type="dxa"/>
        </w:tblCellMar>
      </w:tblPr>
      <w:tblGrid>
        <w:gridCol w:w="2701"/>
        <w:gridCol w:w="146"/>
        <w:gridCol w:w="146"/>
        <w:gridCol w:w="841"/>
        <w:gridCol w:w="166"/>
        <w:gridCol w:w="146"/>
        <w:gridCol w:w="378"/>
        <w:gridCol w:w="837"/>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 Grant</w:t>
              <w:br/>
              <w:t>Date Fair</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334,647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(291,789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3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aggregate intrinsic value of all restricted stock awards that vested during the years ended December 31, 2021 and 2020</w:t>
      </w:r>
      <w:r>
        <w:rPr>
          <w:rFonts w:ascii="Times New Roman" w:hAnsi="Times New Roman"/>
          <w:sz w:val="20"/>
        </w:rPr>
        <w:t xml:space="preserve"> </w:t>
      </w:r>
      <w:r>
        <w:rPr>
          <w:rFonts w:ascii="Times New Roman;serif" w:hAnsi="Times New Roman;serif"/>
          <w:b w:val="false"/>
          <w:sz w:val="20"/>
        </w:rPr>
        <w:t>was $1.5</w:t>
      </w:r>
      <w:r>
        <w:rPr>
          <w:rFonts w:ascii="Times New Roman" w:hAnsi="Times New Roman"/>
          <w:sz w:val="20"/>
        </w:rPr>
        <w:t xml:space="preserve"> </w:t>
      </w:r>
      <w:r>
        <w:rPr>
          <w:rFonts w:ascii="Times New Roman;serif" w:hAnsi="Times New Roman;serif"/>
          <w:b w:val="false"/>
          <w:sz w:val="20"/>
        </w:rPr>
        <w:t>million and $8.8</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Stock-based Compensation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total compensation cost recognized in the statements of operations and comprehensive loss associated with all stock-based compensation awards granted by the Company is as follows (in thousands):</w:t>
      </w:r>
      <w:r>
        <w:rPr>
          <w:rFonts w:ascii="Times New Roman" w:hAnsi="Times New Roman"/>
          <w:sz w:val="20"/>
        </w:rPr>
        <w:t xml:space="preserve"> </w:t>
      </w:r>
    </w:p>
    <w:p>
      <w:pPr>
        <w:pStyle w:val="TextBody"/>
        <w:bidi w:val="0"/>
        <w:spacing w:before="0" w:after="0"/>
        <w:jc w:val="left"/>
        <w:rPr/>
      </w:pPr>
      <w:r>
        <w:rPr/>
        <w:t> </w:t>
      </w:r>
    </w:p>
    <w:tbl>
      <w:tblPr>
        <w:tblW w:w="5749"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3,970</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December 31, 2021, the Company had an aggregate of $34.6</w:t>
      </w:r>
      <w:r>
        <w:rPr>
          <w:rFonts w:ascii="Times New Roman" w:hAnsi="Times New Roman"/>
          <w:sz w:val="20"/>
        </w:rPr>
        <w:t xml:space="preserve"> </w:t>
      </w:r>
      <w:r>
        <w:rPr>
          <w:rFonts w:ascii="Times New Roman;serif" w:hAnsi="Times New Roman;serif"/>
          <w:b w:val="false"/>
          <w:sz w:val="20"/>
        </w:rPr>
        <w:t>million of unrecognized stock-based compensation expense, which is expected to be recognized over a weighted average period of 2.76</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2019 Employee Stock Purchase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July 2, 2019, the Company’s stockholders approved the 2019 Employee Stock Purchase Plan (the “ESPP”), which became effective on July 17, 2019. A total of 252,142</w:t>
      </w:r>
      <w:r>
        <w:rPr>
          <w:rFonts w:ascii="Times New Roman" w:hAnsi="Times New Roman"/>
          <w:sz w:val="20"/>
        </w:rPr>
        <w:t xml:space="preserve"> </w:t>
      </w:r>
      <w:r>
        <w:rPr>
          <w:rFonts w:ascii="Times New Roman;serif" w:hAnsi="Times New Roman;serif"/>
          <w:b w:val="false"/>
          <w:sz w:val="20"/>
        </w:rPr>
        <w:t>shares of common stock were initially reserved for issuance under the ESPP. In addition, the number of shares of common stock reserved under the ESPP was annually increased on January 1, 2020, and will be increased on each January 1 thereafter through January 1, 2029, by the least of (i) 428,571</w:t>
      </w:r>
      <w:r>
        <w:rPr>
          <w:rFonts w:ascii="Times New Roman" w:hAnsi="Times New Roman"/>
          <w:sz w:val="20"/>
        </w:rPr>
        <w:t xml:space="preserve"> </w:t>
      </w:r>
      <w:r>
        <w:rPr>
          <w:rFonts w:ascii="Times New Roman;serif" w:hAnsi="Times New Roman;serif"/>
          <w:b w:val="false"/>
          <w:sz w:val="20"/>
        </w:rPr>
        <w:t>shares of common stock, (ii) 1% of the number of shares of the Company’s common stock outstanding on the first day of each such year or (iii) an amount determined by the Company’s board of directors. As of December 31, 2021, there were 706,658</w:t>
      </w:r>
      <w:r>
        <w:rPr>
          <w:rFonts w:ascii="Times New Roman" w:hAnsi="Times New Roman"/>
          <w:sz w:val="20"/>
        </w:rPr>
        <w:t xml:space="preserve"> </w:t>
      </w:r>
      <w:r>
        <w:rPr>
          <w:rFonts w:ascii="Times New Roman;serif" w:hAnsi="Times New Roman;serif"/>
          <w:b w:val="false"/>
          <w:sz w:val="20"/>
        </w:rPr>
        <w:t>shares available for future issuance under the ESPP. On January 1, 2022, the number of shares reserved for issuance under the 2019 ESPP was increased by 406,363</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10. Collaboration and License Agreements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Acceleron Collaboration Agreement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Acceleron Collaboration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received a non-refundable upfront payment of $10.0</w:t>
      </w:r>
      <w:r>
        <w:rPr>
          <w:rFonts w:ascii="Times New Roman" w:hAnsi="Times New Roman"/>
          <w:sz w:val="20"/>
        </w:rPr>
        <w:t xml:space="preserve"> </w:t>
      </w:r>
      <w:r>
        <w:rPr>
          <w:rFonts w:ascii="Times New Roman;serif" w:hAnsi="Times New Roman;serif"/>
          <w:b w:val="false"/>
          <w:sz w:val="20"/>
        </w:rPr>
        <w:t>million in December 2019 upon the execution of the Acceleron Collaboration Agreement. The Company is entitled to research milestone payments of up to $18.5</w:t>
      </w:r>
      <w:r>
        <w:rPr>
          <w:rFonts w:ascii="Times New Roman" w:hAnsi="Times New Roman"/>
          <w:sz w:val="20"/>
        </w:rPr>
        <w:t xml:space="preserve"> </w:t>
      </w:r>
      <w:r>
        <w:rPr>
          <w:rFonts w:ascii="Times New Roman;serif" w:hAnsi="Times New Roman;serif"/>
          <w:b w:val="false"/>
          <w:sz w:val="20"/>
        </w:rPr>
        <w:t>million in the aggregate upon achievement of specified research milestones, development milestone payments of up to $202.5</w:t>
      </w:r>
      <w:r>
        <w:rPr>
          <w:rFonts w:ascii="Times New Roman" w:hAnsi="Times New Roman"/>
          <w:sz w:val="20"/>
        </w:rPr>
        <w:t xml:space="preserve"> </w:t>
      </w:r>
      <w:r>
        <w:rPr>
          <w:rFonts w:ascii="Times New Roman;serif" w:hAnsi="Times New Roman;serif"/>
          <w:b w:val="false"/>
          <w:sz w:val="20"/>
        </w:rPr>
        <w:t>million in the aggregate upon achievement of specified clinical and regulatory milestones, and sales milestones payments of up to $217.5</w:t>
      </w:r>
      <w:r>
        <w:rPr>
          <w:rFonts w:ascii="Times New Roman" w:hAnsi="Times New Roman"/>
          <w:sz w:val="20"/>
        </w:rPr>
        <w:t xml:space="preserve"> </w:t>
      </w:r>
      <w:r>
        <w:rPr>
          <w:rFonts w:ascii="Times New Roman;serif" w:hAnsi="Times New Roman;serif"/>
          <w:b w:val="false"/>
          <w:sz w:val="20"/>
        </w:rPr>
        <w:t>million in the aggregate upon the achievement of certain aggregate annual worldwide net sales milestones for certain products directed to a Target that have achieved such milestones. To date, the Company achieved $2.0</w:t>
      </w:r>
      <w:r>
        <w:rPr>
          <w:rFonts w:ascii="Times New Roman" w:hAnsi="Times New Roman"/>
          <w:sz w:val="20"/>
        </w:rPr>
        <w:t xml:space="preserve"> </w:t>
      </w:r>
      <w:r>
        <w:rPr>
          <w:rFonts w:ascii="Times New Roman;serif" w:hAnsi="Times New Roman;serif"/>
          <w:b w:val="false"/>
          <w:sz w:val="20"/>
        </w:rPr>
        <w:t>million of specified research milestones. In addition, the Company is entitled to tiered royalties ranging from a mid single-digit percentage to a low double-digit percentage</w:t>
      </w:r>
      <w:r>
        <w:rPr>
          <w:rFonts w:ascii="Times New Roman" w:hAnsi="Times New Roman"/>
          <w:sz w:val="20"/>
        </w:rPr>
        <w:t xml:space="preserve"> </w:t>
      </w:r>
      <w:r>
        <w:rPr>
          <w:rFonts w:ascii="Times New Roman;serif" w:hAnsi="Times New Roman;serif"/>
          <w:b w:val="false"/>
          <w:sz w:val="20"/>
        </w:rPr>
        <w:t>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Accounting Analysis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Identification of the Contract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assessed the Acceleron Collaboration Agreement and concluded that it represents a contract with a customer within the scope of ASC 606.</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Identification of the Promises and Performance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potential medicinal chemistry services were not identified as a promised good or service because the Company is under no obligation to provide those services.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Determination of the Transaction Price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received a non-refundable upfront payment of $10.0</w:t>
      </w:r>
      <w:r>
        <w:rPr>
          <w:rFonts w:ascii="Times New Roman" w:hAnsi="Times New Roman"/>
          <w:sz w:val="20"/>
        </w:rPr>
        <w:t xml:space="preserve"> </w:t>
      </w:r>
      <w:r>
        <w:rPr>
          <w:rFonts w:ascii="Times New Roman;serif" w:hAnsi="Times New Roman;serif"/>
          <w:b w:val="false"/>
          <w:sz w:val="20"/>
        </w:rPr>
        <w:t>million upon the execution of the Acceleron Collaboration Agreement, which the Company included in the transaction price. In December 2020, the Company achieved $2.0</w:t>
      </w:r>
      <w:r>
        <w:rPr>
          <w:rFonts w:ascii="Times New Roman" w:hAnsi="Times New Roman"/>
          <w:sz w:val="20"/>
        </w:rPr>
        <w:t xml:space="preserve"> </w:t>
      </w:r>
      <w:r>
        <w:rPr>
          <w:rFonts w:ascii="Times New Roman;serif" w:hAnsi="Times New Roman;serif"/>
          <w:b w:val="false"/>
          <w:sz w:val="20"/>
        </w:rPr>
        <w:t>million of specified research milestones associated with the Acceleron Collaboration Agreement, which were previously constrained due to the significant uncertainty regarding whether such research milestones would be achieved. The Company included this amount in the transaction price as of December 31, 2020. Based on the continued uncertainty associated with the achievement of any of the remaining research and development milestone payments that the Company is eligible to receive, the Company has constrained the variable consideration associated with those remaining milestone payments and excluded them from the transaction price. As part of its evaluation of constraining the remaining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also included in the transaction price the expected amount of costs to be reimbursed for the Research Services.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reassesses the transaction price at the end of each reporting period and as uncertain events are resolved or other changes in circumstances occur, and, if necessary, adjusts its estimate of the transaction price.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Allocation of the Transaction Price to Performance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Recognition of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year ended December 31, 2021, the Company recognized $9.6</w:t>
      </w:r>
      <w:r>
        <w:rPr>
          <w:rFonts w:ascii="Times New Roman" w:hAnsi="Times New Roman"/>
          <w:sz w:val="20"/>
        </w:rPr>
        <w:t xml:space="preserve"> </w:t>
      </w:r>
      <w:r>
        <w:rPr>
          <w:rFonts w:ascii="Times New Roman;serif" w:hAnsi="Times New Roman;serif"/>
          <w:b w:val="false"/>
          <w:sz w:val="20"/>
        </w:rPr>
        <w:t>million of collaboration revenue associated with the Acceleron Collaboration Agreement, which includes $7.3</w:t>
      </w:r>
      <w:r>
        <w:rPr>
          <w:rFonts w:ascii="Times New Roman" w:hAnsi="Times New Roman"/>
          <w:sz w:val="20"/>
        </w:rPr>
        <w:t xml:space="preserve"> </w:t>
      </w:r>
      <w:r>
        <w:rPr>
          <w:rFonts w:ascii="Times New Roman;serif" w:hAnsi="Times New Roman;serif"/>
          <w:b w:val="false"/>
          <w:sz w:val="20"/>
        </w:rPr>
        <w:t>million of revenue recognized that was included in deferred revenue as of December 31, 2020. During the year ended December 31, 2020, the Company recognized $6.3</w:t>
      </w:r>
      <w:r>
        <w:rPr>
          <w:rFonts w:ascii="Times New Roman" w:hAnsi="Times New Roman"/>
          <w:sz w:val="20"/>
        </w:rPr>
        <w:t xml:space="preserve"> </w:t>
      </w:r>
      <w:r>
        <w:rPr>
          <w:rFonts w:ascii="Times New Roman;serif" w:hAnsi="Times New Roman;serif"/>
          <w:b w:val="false"/>
          <w:sz w:val="20"/>
        </w:rPr>
        <w:t>million of collaboration revenue associated with the Acceleron Collaboration Agreement, which includes $3.4</w:t>
      </w:r>
      <w:r>
        <w:rPr>
          <w:rFonts w:ascii="Times New Roman" w:hAnsi="Times New Roman"/>
          <w:sz w:val="20"/>
        </w:rPr>
        <w:t xml:space="preserve"> </w:t>
      </w:r>
      <w:r>
        <w:rPr>
          <w:rFonts w:ascii="Times New Roman;serif" w:hAnsi="Times New Roman;serif"/>
          <w:b w:val="false"/>
          <w:sz w:val="20"/>
        </w:rPr>
        <w:t>million of revenue recognized that was included in deferred revenue as of December 31, 2019 and a cumulative catch-up adjustment of $0.5</w:t>
      </w:r>
      <w:r>
        <w:rPr>
          <w:rFonts w:ascii="Times New Roman" w:hAnsi="Times New Roman"/>
          <w:sz w:val="20"/>
        </w:rPr>
        <w:t xml:space="preserve"> </w:t>
      </w:r>
      <w:r>
        <w:rPr>
          <w:rFonts w:ascii="Times New Roman;serif" w:hAnsi="Times New Roman;serif"/>
          <w:b w:val="false"/>
          <w:sz w:val="20"/>
        </w:rPr>
        <w:t>million attributable to the removal of the constraint associated with the $2.0</w:t>
      </w:r>
      <w:r>
        <w:rPr>
          <w:rFonts w:ascii="Times New Roman" w:hAnsi="Times New Roman"/>
          <w:sz w:val="20"/>
        </w:rPr>
        <w:t xml:space="preserve"> </w:t>
      </w:r>
      <w:r>
        <w:rPr>
          <w:rFonts w:ascii="Times New Roman;serif" w:hAnsi="Times New Roman;serif"/>
          <w:b w:val="false"/>
          <w:sz w:val="20"/>
        </w:rPr>
        <w:t>million of research milestones achieved in December 2020. As of December 31, 2021 and 2020, the Company recorded deferred revenue associated with the Acceleron Collaboration Agreement of $0.6</w:t>
      </w:r>
      <w:r>
        <w:rPr>
          <w:rFonts w:ascii="Times New Roman" w:hAnsi="Times New Roman"/>
          <w:sz w:val="20"/>
        </w:rPr>
        <w:t xml:space="preserve"> </w:t>
      </w:r>
      <w:r>
        <w:rPr>
          <w:rFonts w:ascii="Times New Roman;serif" w:hAnsi="Times New Roman;serif"/>
          <w:b w:val="false"/>
          <w:sz w:val="20"/>
        </w:rPr>
        <w:t>million and $7.9</w:t>
      </w:r>
      <w:r>
        <w:rPr>
          <w:rFonts w:ascii="Times New Roman" w:hAnsi="Times New Roman"/>
          <w:sz w:val="20"/>
        </w:rPr>
        <w:t xml:space="preserve"> </w:t>
      </w:r>
      <w:r>
        <w:rPr>
          <w:rFonts w:ascii="Times New Roman;serif" w:hAnsi="Times New Roman;serif"/>
          <w:b w:val="false"/>
          <w:sz w:val="20"/>
        </w:rPr>
        <w:t>million, respectively,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December 31, 2021 and 2020. As of December 31, 2021, the Company had received $3.9</w:t>
      </w:r>
      <w:r>
        <w:rPr>
          <w:rFonts w:ascii="Times New Roman" w:hAnsi="Times New Roman"/>
          <w:sz w:val="20"/>
        </w:rPr>
        <w:t xml:space="preserve"> </w:t>
      </w:r>
      <w:r>
        <w:rPr>
          <w:rFonts w:ascii="Times New Roman;serif" w:hAnsi="Times New Roman;serif"/>
          <w:b w:val="false"/>
          <w:sz w:val="20"/>
        </w:rPr>
        <w:t>million of cost reimbursement payments under the Acceleron Collaboration Agreement and $2.0</w:t>
      </w:r>
      <w:r>
        <w:rPr>
          <w:rFonts w:ascii="Times New Roman" w:hAnsi="Times New Roman"/>
          <w:sz w:val="20"/>
        </w:rPr>
        <w:t xml:space="preserve"> </w:t>
      </w:r>
      <w:r>
        <w:rPr>
          <w:rFonts w:ascii="Times New Roman;serif" w:hAnsi="Times New Roman;serif"/>
          <w:b w:val="false"/>
          <w:sz w:val="20"/>
        </w:rPr>
        <w:t>million associated with the achievement of specified research milestones. As of December 31, 2020, the Company had received $1.7</w:t>
      </w:r>
      <w:r>
        <w:rPr>
          <w:rFonts w:ascii="Times New Roman" w:hAnsi="Times New Roman"/>
          <w:sz w:val="20"/>
        </w:rPr>
        <w:t xml:space="preserve"> </w:t>
      </w:r>
      <w:r>
        <w:rPr>
          <w:rFonts w:ascii="Times New Roman;serif" w:hAnsi="Times New Roman;serif"/>
          <w:b w:val="false"/>
          <w:sz w:val="20"/>
        </w:rPr>
        <w:t>million of cost reimbursement payments and no milestone or royalty payments under the Acceleron Collaboration Agreement. As of December 31, 2021, the Company recorded unbilled accounts receivable of $0.7</w:t>
      </w:r>
      <w:r>
        <w:rPr>
          <w:rFonts w:ascii="Times New Roman" w:hAnsi="Times New Roman"/>
          <w:sz w:val="20"/>
        </w:rPr>
        <w:t xml:space="preserve"> </w:t>
      </w:r>
      <w:r>
        <w:rPr>
          <w:rFonts w:ascii="Times New Roman;serif" w:hAnsi="Times New Roman;serif"/>
          <w:b w:val="false"/>
          <w:sz w:val="20"/>
        </w:rPr>
        <w:t>million related to reimbursable research and development costs under the Acceleron Collaboration Agreement for activities performed during the three months ended December 31, 2021. As of December 31, 2020, the Company recorded unbilled accounts receivable of $0.5</w:t>
      </w:r>
      <w:r>
        <w:rPr>
          <w:rFonts w:ascii="Times New Roman" w:hAnsi="Times New Roman"/>
          <w:sz w:val="20"/>
        </w:rPr>
        <w:t xml:space="preserve"> </w:t>
      </w:r>
      <w:r>
        <w:rPr>
          <w:rFonts w:ascii="Times New Roman;serif" w:hAnsi="Times New Roman;serif"/>
          <w:b w:val="false"/>
          <w:sz w:val="20"/>
        </w:rPr>
        <w:t>million related to reimbursable research and development costs under the Acceleron Collaboration Agreement for activities performed during the three months ended December 31, 2020. As of December 31, 2021, the Company had recorded no</w:t>
      </w:r>
      <w:r>
        <w:rPr>
          <w:rFonts w:ascii="Times New Roman" w:hAnsi="Times New Roman"/>
          <w:sz w:val="20"/>
        </w:rPr>
        <w:t xml:space="preserve"> </w:t>
      </w:r>
      <w:r>
        <w:rPr>
          <w:rFonts w:ascii="Times New Roman;serif" w:hAnsi="Times New Roman;serif"/>
          <w:b w:val="false"/>
          <w:sz w:val="20"/>
        </w:rPr>
        <w:t>accounts receivable under the Acceleron Collaboration Agreement. As of December 31, 2020, the Company recorded accounts receivable of $2.0</w:t>
      </w:r>
      <w:r>
        <w:rPr>
          <w:rFonts w:ascii="Times New Roman" w:hAnsi="Times New Roman"/>
          <w:sz w:val="20"/>
        </w:rPr>
        <w:t xml:space="preserve"> </w:t>
      </w:r>
      <w:r>
        <w:rPr>
          <w:rFonts w:ascii="Times New Roman;serif" w:hAnsi="Times New Roman;serif"/>
          <w:b w:val="false"/>
          <w:sz w:val="20"/>
        </w:rPr>
        <w:t>million associated with the achievement of specified research milestones in December 2020.</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MyoKardia Collaboration Agreement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MyoKardia Collaboration Agreement, MyoKardia made a $10.0</w:t>
      </w:r>
      <w:r>
        <w:rPr>
          <w:rFonts w:ascii="Times New Roman" w:hAnsi="Times New Roman"/>
          <w:sz w:val="20"/>
        </w:rPr>
        <w:t xml:space="preserve"> </w:t>
      </w:r>
      <w:r>
        <w:rPr>
          <w:rFonts w:ascii="Times New Roman;serif" w:hAnsi="Times New Roman;serif"/>
          <w:b w:val="false"/>
          <w:sz w:val="20"/>
        </w:rPr>
        <w:t>million upfront payment and a $2.5</w:t>
      </w:r>
      <w:r>
        <w:rPr>
          <w:rFonts w:ascii="Times New Roman" w:hAnsi="Times New Roman"/>
          <w:sz w:val="20"/>
        </w:rPr>
        <w:t xml:space="preserve"> </w:t>
      </w:r>
      <w:r>
        <w:rPr>
          <w:rFonts w:ascii="Times New Roman;serif" w:hAnsi="Times New Roman;serif"/>
          <w:b w:val="false"/>
          <w:sz w:val="20"/>
        </w:rPr>
        <w:t>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w:t>
      </w:r>
      <w:r>
        <w:rPr>
          <w:rFonts w:ascii="Times New Roman" w:hAnsi="Times New Roman"/>
          <w:sz w:val="20"/>
        </w:rPr>
        <w:t xml:space="preserve"> </w:t>
      </w:r>
      <w:r>
        <w:rPr>
          <w:rFonts w:ascii="Times New Roman;serif" w:hAnsi="Times New Roman;serif"/>
          <w:b w:val="false"/>
          <w:sz w:val="20"/>
        </w:rPr>
        <w:t>million in the aggregate per target for certain Identified Targets, and of up to $150.0</w:t>
      </w:r>
      <w:r>
        <w:rPr>
          <w:rFonts w:ascii="Times New Roman" w:hAnsi="Times New Roman"/>
          <w:sz w:val="20"/>
        </w:rPr>
        <w:t xml:space="preserve"> </w:t>
      </w:r>
      <w:r>
        <w:rPr>
          <w:rFonts w:ascii="Times New Roman;serif" w:hAnsi="Times New Roman;serif"/>
          <w:b w:val="false"/>
          <w:sz w:val="20"/>
        </w:rPr>
        <w:t>million in the aggregate per target for certain other Identified Targets. To date, the Company has achieved a $2.5</w:t>
      </w:r>
      <w:r>
        <w:rPr>
          <w:rFonts w:ascii="Times New Roman" w:hAnsi="Times New Roman"/>
          <w:sz w:val="20"/>
        </w:rPr>
        <w:t xml:space="preserve"> </w:t>
      </w:r>
      <w:r>
        <w:rPr>
          <w:rFonts w:ascii="Times New Roman;serif" w:hAnsi="Times New Roman;serif"/>
          <w:b w:val="false"/>
          <w:sz w:val="20"/>
        </w:rPr>
        <w:t>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Accounting Analysis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Identification of the Contract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assessed the MyoKardia Collaboration Agreement and concluded that it represents a contract with a customer within the scope of ASC 606.</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Identification of the Promises and Performance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Determination of the Transaction Price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received a non-refundable upfront payment of $10.0</w:t>
      </w:r>
      <w:r>
        <w:rPr>
          <w:rFonts w:ascii="Times New Roman" w:hAnsi="Times New Roman"/>
          <w:sz w:val="20"/>
        </w:rPr>
        <w:t xml:space="preserve"> </w:t>
      </w:r>
      <w:r>
        <w:rPr>
          <w:rFonts w:ascii="Times New Roman;serif" w:hAnsi="Times New Roman;serif"/>
          <w:b w:val="false"/>
          <w:sz w:val="20"/>
        </w:rPr>
        <w:t>million, which the Company included in the transaction price. In December 2021, the Company achieved a $2.5</w:t>
      </w:r>
      <w:r>
        <w:rPr>
          <w:rFonts w:ascii="Times New Roman" w:hAnsi="Times New Roman"/>
          <w:sz w:val="20"/>
        </w:rPr>
        <w:t xml:space="preserve"> </w:t>
      </w:r>
      <w:r>
        <w:rPr>
          <w:rFonts w:ascii="Times New Roman;serif" w:hAnsi="Times New Roman;serif"/>
          <w:b w:val="false"/>
          <w:sz w:val="20"/>
        </w:rPr>
        <w:t>million specified preclinical milestone associated with the MyoKardia Collaboration Agreement, which was previously constrained due to the significant uncertainty regarding whether such preclinical milestone would be achieved. Based on the uncertainty associated with the achievement of any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also included in the transaction price the expected amount of costs to be reimbursed for the MyoKardia Research Services, which includes the $2.5</w:t>
      </w:r>
      <w:r>
        <w:rPr>
          <w:rFonts w:ascii="Times New Roman" w:hAnsi="Times New Roman"/>
          <w:sz w:val="20"/>
        </w:rPr>
        <w:t xml:space="preserve"> </w:t>
      </w:r>
      <w:r>
        <w:rPr>
          <w:rFonts w:ascii="Times New Roman;serif" w:hAnsi="Times New Roman;serif"/>
          <w:b w:val="false"/>
          <w:sz w:val="20"/>
        </w:rPr>
        <w:t>million prepaid research funding payment that the Company received in the third quarter of 2020.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reassesses the transaction price at the end of each reporting period and as uncertain events are resolved or other changes in circumstances occur, and, if necessary, adjusts its estimate of the transaction price.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Allocation of the Transaction Price to Performance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Recognition of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year ended December 31, 2021, the Company recognized $9.6</w:t>
      </w:r>
      <w:r>
        <w:rPr>
          <w:rFonts w:ascii="Times New Roman" w:hAnsi="Times New Roman"/>
          <w:sz w:val="20"/>
        </w:rPr>
        <w:t xml:space="preserve"> </w:t>
      </w:r>
      <w:r>
        <w:rPr>
          <w:rFonts w:ascii="Times New Roman;serif" w:hAnsi="Times New Roman;serif"/>
          <w:b w:val="false"/>
          <w:sz w:val="20"/>
        </w:rPr>
        <w:t>million of collaboration revenue associated with the MyoKardia Collaboration Agreement, which includes $6.7</w:t>
      </w:r>
      <w:r>
        <w:rPr>
          <w:rFonts w:ascii="Times New Roman" w:hAnsi="Times New Roman"/>
          <w:sz w:val="20"/>
        </w:rPr>
        <w:t xml:space="preserve"> </w:t>
      </w:r>
      <w:r>
        <w:rPr>
          <w:rFonts w:ascii="Times New Roman;serif" w:hAnsi="Times New Roman;serif"/>
          <w:b w:val="false"/>
          <w:sz w:val="20"/>
        </w:rPr>
        <w:t>million of revenue recognized that was included in deferred revenue as of December 31, 2020</w:t>
      </w:r>
      <w:r>
        <w:rPr>
          <w:rFonts w:ascii="Times New Roman" w:hAnsi="Times New Roman"/>
          <w:sz w:val="20"/>
        </w:rPr>
        <w:t xml:space="preserve"> </w:t>
      </w:r>
      <w:r>
        <w:rPr>
          <w:rFonts w:ascii="Times New Roman;serif" w:hAnsi="Times New Roman;serif"/>
          <w:b w:val="false"/>
          <w:sz w:val="20"/>
        </w:rPr>
        <w:t>and a cumulative catch-up adjustment of $1.7</w:t>
      </w:r>
      <w:r>
        <w:rPr>
          <w:rFonts w:ascii="Times New Roman" w:hAnsi="Times New Roman"/>
          <w:sz w:val="20"/>
        </w:rPr>
        <w:t xml:space="preserve"> </w:t>
      </w:r>
      <w:r>
        <w:rPr>
          <w:rFonts w:ascii="Times New Roman;serif" w:hAnsi="Times New Roman;serif"/>
          <w:b w:val="false"/>
          <w:sz w:val="20"/>
        </w:rPr>
        <w:t>million attributable to the removal of the constraint associated with the $2.5</w:t>
      </w:r>
      <w:r>
        <w:rPr>
          <w:rFonts w:ascii="Times New Roman" w:hAnsi="Times New Roman"/>
          <w:sz w:val="20"/>
        </w:rPr>
        <w:t xml:space="preserve"> </w:t>
      </w:r>
      <w:r>
        <w:rPr>
          <w:rFonts w:ascii="Times New Roman;serif" w:hAnsi="Times New Roman;serif"/>
          <w:b w:val="false"/>
          <w:sz w:val="20"/>
        </w:rPr>
        <w:t>million preclinical milestone achieved in December 2021. During the year ended December 31, 2020, the Company recognized $2.5</w:t>
      </w:r>
      <w:r>
        <w:rPr>
          <w:rFonts w:ascii="Times New Roman" w:hAnsi="Times New Roman"/>
          <w:sz w:val="20"/>
        </w:rPr>
        <w:t xml:space="preserve"> </w:t>
      </w:r>
      <w:r>
        <w:rPr>
          <w:rFonts w:ascii="Times New Roman;serif" w:hAnsi="Times New Roman;serif"/>
          <w:b w:val="false"/>
          <w:sz w:val="20"/>
        </w:rPr>
        <w:t>million of collaboration revenue associated with the MyoKardia Collaboration Agreement. As of December 31, 2021 and 2020, the Company recorded deferred revenue of $4.1</w:t>
      </w:r>
      <w:r>
        <w:rPr>
          <w:rFonts w:ascii="Times New Roman" w:hAnsi="Times New Roman"/>
          <w:sz w:val="20"/>
        </w:rPr>
        <w:t xml:space="preserve"> </w:t>
      </w:r>
      <w:r>
        <w:rPr>
          <w:rFonts w:ascii="Times New Roman;serif" w:hAnsi="Times New Roman;serif"/>
          <w:b w:val="false"/>
          <w:sz w:val="20"/>
        </w:rPr>
        <w:t>million and $10.0</w:t>
      </w:r>
      <w:r>
        <w:rPr>
          <w:rFonts w:ascii="Times New Roman" w:hAnsi="Times New Roman"/>
          <w:sz w:val="20"/>
        </w:rPr>
        <w:t xml:space="preserve"> </w:t>
      </w:r>
      <w:r>
        <w:rPr>
          <w:rFonts w:ascii="Times New Roman;serif" w:hAnsi="Times New Roman;serif"/>
          <w:b w:val="false"/>
          <w:sz w:val="20"/>
        </w:rPr>
        <w:t>million, respectively,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December 31, 2021 and 2020. As of December 31, 2021, the Company had received $3.2</w:t>
      </w:r>
      <w:r>
        <w:rPr>
          <w:rFonts w:ascii="Times New Roman" w:hAnsi="Times New Roman"/>
          <w:sz w:val="20"/>
        </w:rPr>
        <w:t xml:space="preserve"> </w:t>
      </w:r>
      <w:r>
        <w:rPr>
          <w:rFonts w:ascii="Times New Roman;serif" w:hAnsi="Times New Roman;serif"/>
          <w:b w:val="false"/>
          <w:sz w:val="20"/>
        </w:rPr>
        <w:t>million of cost reimbursement payments under the MyoKardia Collaboration Agreement, including the $2.5</w:t>
      </w:r>
      <w:r>
        <w:rPr>
          <w:rFonts w:ascii="Times New Roman" w:hAnsi="Times New Roman"/>
          <w:sz w:val="20"/>
        </w:rPr>
        <w:t xml:space="preserve"> </w:t>
      </w:r>
      <w:r>
        <w:rPr>
          <w:rFonts w:ascii="Times New Roman;serif" w:hAnsi="Times New Roman;serif"/>
          <w:b w:val="false"/>
          <w:sz w:val="20"/>
        </w:rPr>
        <w:t>million payment as prepaid research funding in July 2020, and no milestone or royalty payments.</w:t>
      </w:r>
      <w:r>
        <w:rPr>
          <w:rFonts w:ascii="Times New Roman" w:hAnsi="Times New Roman"/>
          <w:sz w:val="20"/>
        </w:rPr>
        <w:t xml:space="preserve"> </w:t>
      </w:r>
      <w:r>
        <w:rPr>
          <w:rFonts w:ascii="Times New Roman;serif" w:hAnsi="Times New Roman;serif"/>
          <w:b w:val="false"/>
          <w:sz w:val="20"/>
        </w:rPr>
        <w:t>As of December 31, 2020, the Company had not received any milestone, royalty, or cost reimbursement payments under the MyoKardia Collaboration Agreement, other than the $2.5</w:t>
      </w:r>
      <w:r>
        <w:rPr>
          <w:rFonts w:ascii="Times New Roman" w:hAnsi="Times New Roman"/>
          <w:sz w:val="20"/>
        </w:rPr>
        <w:t xml:space="preserve"> </w:t>
      </w:r>
      <w:r>
        <w:rPr>
          <w:rFonts w:ascii="Times New Roman;serif" w:hAnsi="Times New Roman;serif"/>
          <w:b w:val="false"/>
          <w:sz w:val="20"/>
        </w:rPr>
        <w:t>million payment as prepaid research funding in July 2020. As of December 31, 2021, the Company recorded unbilled accounts receivable of $0.5</w:t>
      </w:r>
      <w:r>
        <w:rPr>
          <w:rFonts w:ascii="Times New Roman" w:hAnsi="Times New Roman"/>
          <w:sz w:val="20"/>
        </w:rPr>
        <w:t xml:space="preserve"> </w:t>
      </w:r>
      <w:r>
        <w:rPr>
          <w:rFonts w:ascii="Times New Roman;serif" w:hAnsi="Times New Roman;serif"/>
          <w:b w:val="false"/>
          <w:sz w:val="20"/>
        </w:rPr>
        <w:t>million related to reimbursable research and development costs under the MyoKardia Collaboration Agreement for activities performed during the three months ended December 31, 2021. As of December 31, 2021, the Company has recorded accounts receivable of $2.5</w:t>
      </w:r>
      <w:r>
        <w:rPr>
          <w:rFonts w:ascii="Times New Roman" w:hAnsi="Times New Roman"/>
          <w:sz w:val="20"/>
        </w:rPr>
        <w:t xml:space="preserve"> </w:t>
      </w:r>
      <w:r>
        <w:rPr>
          <w:rFonts w:ascii="Times New Roman;serif" w:hAnsi="Times New Roman;serif"/>
          <w:b w:val="false"/>
          <w:sz w:val="20"/>
        </w:rPr>
        <w:t>million under the MyoKardia Collaboration Agreement associated with the achievement of a preclinical milestone in December 2021. As of December 31, 2020, the Company had recorded no</w:t>
      </w:r>
      <w:r>
        <w:rPr>
          <w:rFonts w:ascii="Times New Roman" w:hAnsi="Times New Roman"/>
          <w:sz w:val="20"/>
        </w:rPr>
        <w:t xml:space="preserve"> </w:t>
      </w:r>
      <w:r>
        <w:rPr>
          <w:rFonts w:ascii="Times New Roman;serif" w:hAnsi="Times New Roman;serif"/>
          <w:b w:val="false"/>
          <w:sz w:val="20"/>
        </w:rPr>
        <w:t>accounts receivable under the MyoKardia Collaboration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11. Right of Reference and License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GSK Agreement, the Company issued 12,500,000</w:t>
      </w:r>
      <w:r>
        <w:rPr>
          <w:rFonts w:ascii="Times New Roman" w:hAnsi="Times New Roman"/>
          <w:sz w:val="20"/>
        </w:rPr>
        <w:t xml:space="preserve"> </w:t>
      </w:r>
      <w:r>
        <w:rPr>
          <w:rFonts w:ascii="Times New Roman;serif" w:hAnsi="Times New Roman;serif"/>
          <w:b w:val="false"/>
          <w:sz w:val="20"/>
        </w:rPr>
        <w:t>shares of Series B Preferred Stock to GSK. In addition, the Company may owe GSK up to $37.5</w:t>
      </w:r>
      <w:r>
        <w:rPr>
          <w:rFonts w:ascii="Times New Roman" w:hAnsi="Times New Roman"/>
          <w:sz w:val="20"/>
        </w:rPr>
        <w:t xml:space="preserve"> </w:t>
      </w:r>
      <w:r>
        <w:rPr>
          <w:rFonts w:ascii="Times New Roman;serif" w:hAnsi="Times New Roman;serif"/>
          <w:b w:val="false"/>
          <w:sz w:val="20"/>
        </w:rPr>
        <w:t>million in certain specified clinical and regulatory milestones, including $2.5</w:t>
      </w:r>
      <w:r>
        <w:rPr>
          <w:rFonts w:ascii="Times New Roman" w:hAnsi="Times New Roman"/>
          <w:sz w:val="20"/>
        </w:rPr>
        <w:t xml:space="preserve"> </w:t>
      </w:r>
      <w:r>
        <w:rPr>
          <w:rFonts w:ascii="Times New Roman;serif" w:hAnsi="Times New Roman;serif"/>
          <w:b w:val="false"/>
          <w:sz w:val="20"/>
        </w:rPr>
        <w:t>million previously achieved and paid during 2019, and up to $60.0</w:t>
      </w:r>
      <w:r>
        <w:rPr>
          <w:rFonts w:ascii="Times New Roman" w:hAnsi="Times New Roman"/>
          <w:sz w:val="20"/>
        </w:rPr>
        <w:t xml:space="preserve"> </w:t>
      </w:r>
      <w:r>
        <w:rPr>
          <w:rFonts w:ascii="Times New Roman;serif" w:hAnsi="Times New Roman;serif"/>
          <w:b w:val="false"/>
          <w:sz w:val="20"/>
        </w:rPr>
        <w:t>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pStyle w:val="TextBody"/>
        <w:bidi w:val="0"/>
        <w:spacing w:before="360" w:after="0"/>
        <w:jc w:val="left"/>
        <w:rPr>
          <w:rFonts w:ascii="Times New Roman;serif" w:hAnsi="Times New Roman;serif"/>
          <w:b/>
          <w:sz w:val="20"/>
        </w:rPr>
      </w:pPr>
      <w:r>
        <w:rPr>
          <w:rFonts w:ascii="Times New Roman;serif" w:hAnsi="Times New Roman;serif"/>
          <w:b/>
          <w:sz w:val="20"/>
        </w:rPr>
        <w:t>12. Commitments and Contingencies</w:t>
      </w:r>
    </w:p>
    <w:p>
      <w:pPr>
        <w:pStyle w:val="TextBody"/>
        <w:bidi w:val="0"/>
        <w:spacing w:before="120" w:after="0"/>
        <w:jc w:val="left"/>
        <w:rPr>
          <w:rFonts w:ascii="Times New Roman" w:hAnsi="Times New Roman"/>
          <w:sz w:val="20"/>
        </w:rPr>
      </w:pPr>
      <w:r>
        <w:rPr>
          <w:rFonts w:ascii="Times New Roman;serif" w:hAnsi="Times New Roman;serif"/>
          <w:b/>
          <w:i/>
          <w:sz w:val="20"/>
        </w:rPr>
        <w:t>Operating Leases</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26 Landsdowne Street</w:t>
      </w:r>
    </w:p>
    <w:p>
      <w:pPr>
        <w:pStyle w:val="TextBody"/>
        <w:bidi w:val="0"/>
        <w:spacing w:before="240" w:after="0"/>
        <w:jc w:val="left"/>
        <w:rPr>
          <w:rFonts w:ascii="Times New Roman" w:hAnsi="Times New Roman"/>
          <w:sz w:val="20"/>
        </w:rPr>
      </w:pPr>
      <w:r>
        <w:rPr>
          <w:rFonts w:ascii="Times New Roman;serif" w:hAnsi="Times New Roman;serif"/>
          <w:b w:val="false"/>
          <w:sz w:val="20"/>
        </w:rPr>
        <w:t>In November 2017, the Company entered into a lease agreement for its current corporate headquarters comprising approximately 28,731</w:t>
      </w:r>
      <w:r>
        <w:rPr>
          <w:rFonts w:ascii="Times New Roman" w:hAnsi="Times New Roman"/>
          <w:sz w:val="20"/>
        </w:rPr>
        <w:t xml:space="preserve"> </w:t>
      </w:r>
      <w:r>
        <w:rPr>
          <w:rFonts w:ascii="Times New Roman;serif" w:hAnsi="Times New Roman;serif"/>
          <w:b w:val="false"/>
          <w:sz w:val="20"/>
        </w:rPr>
        <w:t>square feet of office and laboratory space at 26 Landsdowne Street in Cambridge, Massachusetts, commencing December 2017 when the Company gained access to the leased space for purposes of making leasehold improvements. The Company began recognizing rent expense associated with this lease during December 2017. The Company began to occupy and use the leased space for its intended purpose in June 2018. The lease ends on June 30, 2028. The Company has the option to extend the term of the lease for an additional five-year</w:t>
      </w:r>
      <w:r>
        <w:rPr>
          <w:rFonts w:ascii="Times New Roman;serif" w:hAnsi="Times New Roman;serif"/>
          <w:sz w:val="20"/>
        </w:rPr>
        <w:t xml:space="preserve"> </w:t>
      </w:r>
      <w:r>
        <w:rPr>
          <w:rFonts w:ascii="Times New Roman;serif" w:hAnsi="Times New Roman;serif"/>
          <w:b w:val="false"/>
          <w:sz w:val="20"/>
        </w:rPr>
        <w:t>period, at the market rate, by giving the landlord written notice of its election to exercise the extension at least nine months</w:t>
      </w:r>
      <w:r>
        <w:rPr>
          <w:rFonts w:ascii="Times New Roman;serif" w:hAnsi="Times New Roman;serif"/>
          <w:sz w:val="20"/>
        </w:rPr>
        <w:t xml:space="preserve"> </w:t>
      </w:r>
      <w:r>
        <w:rPr>
          <w:rFonts w:ascii="Times New Roman;serif" w:hAnsi="Times New Roman;serif"/>
          <w:b w:val="false"/>
          <w:sz w:val="20"/>
        </w:rPr>
        <w:t>prior to the original expiration of the lease term.</w:t>
      </w:r>
      <w:r>
        <w:rPr>
          <w:rFonts w:ascii="Times New Roman" w:hAnsi="Times New Roman"/>
          <w:sz w:val="20"/>
        </w:rPr>
        <w:t xml:space="preserve"> </w:t>
      </w:r>
      <w:r>
        <w:rPr>
          <w:rFonts w:ascii="Times New Roman;serif" w:hAnsi="Times New Roman;serif"/>
          <w:b w:val="false"/>
          <w:sz w:val="20"/>
        </w:rPr>
        <w:t>The lease has a total commitment of $25.1</w:t>
      </w:r>
      <w:r>
        <w:rPr>
          <w:rFonts w:ascii="Times New Roman" w:hAnsi="Times New Roman"/>
          <w:sz w:val="20"/>
        </w:rPr>
        <w:t xml:space="preserve"> </w:t>
      </w:r>
      <w:r>
        <w:rPr>
          <w:rFonts w:ascii="Times New Roman;serif" w:hAnsi="Times New Roman;serif"/>
          <w:b w:val="false"/>
          <w:sz w:val="20"/>
        </w:rPr>
        <w:t>million over the ten year</w:t>
      </w:r>
      <w:r>
        <w:rPr>
          <w:rFonts w:ascii="Times New Roman" w:hAnsi="Times New Roman"/>
          <w:sz w:val="20"/>
        </w:rPr>
        <w:t xml:space="preserve"> </w:t>
      </w:r>
      <w:r>
        <w:rPr>
          <w:rFonts w:ascii="Times New Roman;serif" w:hAnsi="Times New Roman;serif"/>
          <w:b w:val="false"/>
          <w:sz w:val="20"/>
        </w:rPr>
        <w:t>term, and includes escalating rent payments. The lease provides the Company with an allowance for normal leasehold improvements of $5.0</w:t>
      </w:r>
      <w:r>
        <w:rPr>
          <w:rFonts w:ascii="Times New Roman" w:hAnsi="Times New Roman"/>
          <w:sz w:val="20"/>
        </w:rPr>
        <w:t xml:space="preserve"> </w:t>
      </w:r>
      <w:r>
        <w:rPr>
          <w:rFonts w:ascii="Times New Roman;serif" w:hAnsi="Times New Roman;serif"/>
          <w:b w:val="false"/>
          <w:sz w:val="20"/>
        </w:rPr>
        <w:t>million. The Company accounts for leasehold improvement incentives as a reduction to rent expense ratably over the lease term. The balance from the leasehold improvement incentives is classified as a deferred lease incentive on the balance sheet. The lease agreement requires the Company to either pay a security deposit or maintain a letter of credit of $1.1</w:t>
      </w:r>
      <w:r>
        <w:rPr>
          <w:rFonts w:ascii="Times New Roman" w:hAnsi="Times New Roman"/>
          <w:sz w:val="20"/>
        </w:rPr>
        <w:t xml:space="preserve"> </w:t>
      </w:r>
      <w:r>
        <w:rPr>
          <w:rFonts w:ascii="Times New Roman;serif" w:hAnsi="Times New Roman;serif"/>
          <w:b w:val="false"/>
          <w:sz w:val="20"/>
        </w:rPr>
        <w:t>million. The Company maintains a letter of credit for this lease and has recorded the cash held to secure the letter of credit as restricted cash on the consolidated balance sheet as of December 31, 2021 and 2020. The Company records rent expense for this lease on a straight-line basis. Rent expense associated with this lease for the years ended December 31, 2021 and 2020</w:t>
      </w:r>
      <w:r>
        <w:rPr>
          <w:rFonts w:ascii="Times New Roman" w:hAnsi="Times New Roman"/>
          <w:sz w:val="20"/>
        </w:rPr>
        <w:t xml:space="preserve"> </w:t>
      </w:r>
      <w:r>
        <w:rPr>
          <w:rFonts w:ascii="Times New Roman;serif" w:hAnsi="Times New Roman;serif"/>
          <w:b w:val="false"/>
          <w:sz w:val="20"/>
        </w:rPr>
        <w:t>was approximately $1.9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future minimum lease payments associated with the lease for the Company’s current headquarters as of December 31, 2021 are as follows (in thousands):</w:t>
      </w:r>
      <w:r>
        <w:rPr>
          <w:rFonts w:ascii="Times New Roman" w:hAnsi="Times New Roman"/>
          <w:sz w:val="20"/>
        </w:rPr>
        <w:t xml:space="preserve"> </w:t>
      </w:r>
    </w:p>
    <w:p>
      <w:pPr>
        <w:pStyle w:val="TextBody"/>
        <w:bidi w:val="0"/>
        <w:spacing w:before="0" w:after="0"/>
        <w:jc w:val="left"/>
        <w:rPr/>
      </w:pPr>
      <w:r>
        <w:rPr/>
        <w:t> </w:t>
      </w:r>
    </w:p>
    <w:tbl>
      <w:tblPr>
        <w:tblW w:w="3880" w:type="dxa"/>
        <w:jc w:val="left"/>
        <w:tblInd w:w="0" w:type="dxa"/>
        <w:tblLayout w:type="fixed"/>
        <w:tblCellMar>
          <w:top w:w="28" w:type="dxa"/>
          <w:left w:w="28" w:type="dxa"/>
          <w:bottom w:w="28" w:type="dxa"/>
          <w:right w:w="28" w:type="dxa"/>
        </w:tblCellMar>
      </w:tblPr>
      <w:tblGrid>
        <w:gridCol w:w="2656"/>
        <w:gridCol w:w="146"/>
        <w:gridCol w:w="211"/>
        <w:gridCol w:w="676"/>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2,424</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2,497</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2,572</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2,649</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2,729</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17,108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125 Sidney Street</w:t>
      </w:r>
    </w:p>
    <w:p>
      <w:pPr>
        <w:pStyle w:val="TextBody"/>
        <w:bidi w:val="0"/>
        <w:spacing w:before="240" w:after="0"/>
        <w:jc w:val="left"/>
        <w:rPr>
          <w:rFonts w:ascii="Times New Roman" w:hAnsi="Times New Roman"/>
          <w:sz w:val="20"/>
        </w:rPr>
      </w:pPr>
      <w:r>
        <w:rPr>
          <w:rFonts w:ascii="Times New Roman;serif" w:hAnsi="Times New Roman;serif"/>
          <w:b w:val="false"/>
          <w:sz w:val="20"/>
        </w:rPr>
        <w:t>In November 2021, the Company entered into a lease agreement comprising approximately 12,196</w:t>
      </w:r>
      <w:r>
        <w:rPr>
          <w:rFonts w:ascii="Times New Roman" w:hAnsi="Times New Roman"/>
          <w:sz w:val="20"/>
        </w:rPr>
        <w:t xml:space="preserve"> </w:t>
      </w:r>
      <w:r>
        <w:rPr>
          <w:rFonts w:ascii="Times New Roman;serif" w:hAnsi="Times New Roman;serif"/>
          <w:b w:val="false"/>
          <w:sz w:val="20"/>
        </w:rPr>
        <w:t>square feet of office space at 125 Sidney Street in Cambridge, Massachusetts, commencing November 2021 when the Company gained access to the leased space for purposes of making leasehold improvements. The Company began recognizing rent expense associated with this lease during November 2021. The lease ends on March 31, 2024. The Company has the option to extend the term of the lease for two successive one-year</w:t>
      </w:r>
      <w:r>
        <w:rPr>
          <w:rFonts w:ascii="Times New Roman;serif" w:hAnsi="Times New Roman;serif"/>
          <w:sz w:val="20"/>
        </w:rPr>
        <w:t xml:space="preserve"> </w:t>
      </w:r>
      <w:r>
        <w:rPr>
          <w:rFonts w:ascii="Times New Roman;serif" w:hAnsi="Times New Roman;serif"/>
          <w:b w:val="false"/>
          <w:sz w:val="20"/>
        </w:rPr>
        <w:t>periods, at the market rate, by giving the landlord written notice of its election to exercise the extension at least nine months</w:t>
      </w:r>
      <w:r>
        <w:rPr>
          <w:rFonts w:ascii="Times New Roman;serif" w:hAnsi="Times New Roman;serif"/>
          <w:sz w:val="20"/>
        </w:rPr>
        <w:t xml:space="preserve"> </w:t>
      </w:r>
      <w:r>
        <w:rPr>
          <w:rFonts w:ascii="Times New Roman;serif" w:hAnsi="Times New Roman;serif"/>
          <w:b w:val="false"/>
          <w:sz w:val="20"/>
        </w:rPr>
        <w:t>prior to the original expiration of the lease term.</w:t>
      </w:r>
      <w:r>
        <w:rPr>
          <w:rFonts w:ascii="Times New Roman" w:hAnsi="Times New Roman"/>
          <w:sz w:val="20"/>
        </w:rPr>
        <w:t xml:space="preserve"> </w:t>
      </w:r>
      <w:r>
        <w:rPr>
          <w:rFonts w:ascii="Times New Roman;serif" w:hAnsi="Times New Roman;serif"/>
          <w:b w:val="false"/>
          <w:sz w:val="20"/>
        </w:rPr>
        <w:t>The lease has a total commitment of $1.7</w:t>
      </w:r>
      <w:r>
        <w:rPr>
          <w:rFonts w:ascii="Times New Roman" w:hAnsi="Times New Roman"/>
          <w:sz w:val="20"/>
        </w:rPr>
        <w:t xml:space="preserve"> </w:t>
      </w:r>
      <w:r>
        <w:rPr>
          <w:rFonts w:ascii="Times New Roman;serif" w:hAnsi="Times New Roman;serif"/>
          <w:b w:val="false"/>
          <w:sz w:val="20"/>
        </w:rPr>
        <w:t>million over the initial term, and includes escalating rent payments. Rent expense associated with this lease for the year ended December 31, 2021</w:t>
      </w:r>
      <w:r>
        <w:rPr>
          <w:rFonts w:ascii="Times New Roman" w:hAnsi="Times New Roman"/>
          <w:sz w:val="20"/>
        </w:rPr>
        <w:t xml:space="preserve"> </w:t>
      </w:r>
      <w:r>
        <w:rPr>
          <w:rFonts w:ascii="Times New Roman;serif" w:hAnsi="Times New Roman;serif"/>
          <w:b w:val="false"/>
          <w:sz w:val="20"/>
        </w:rPr>
        <w:t>was $0.1</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 w:hAnsi="Times New Roman"/>
          <w:sz w:val="20"/>
        </w:rPr>
      </w:pPr>
      <w:r>
        <w:rPr>
          <w:rFonts w:ascii="Times New Roman;serif" w:hAnsi="Times New Roman;serif"/>
          <w:b w:val="false"/>
          <w:sz w:val="20"/>
        </w:rPr>
        <w:t>The future minimum lease payments associated with the 125 Sidney Street lease as of December 31, 2021 are as follows (in thousands):</w:t>
      </w:r>
      <w:r>
        <w:rPr>
          <w:rFonts w:ascii="Times New Roman" w:hAnsi="Times New Roman"/>
          <w:sz w:val="20"/>
        </w:rPr>
        <w:t xml:space="preserve"> </w:t>
      </w:r>
    </w:p>
    <w:p>
      <w:pPr>
        <w:pStyle w:val="TextBody"/>
        <w:bidi w:val="0"/>
        <w:spacing w:before="0" w:after="0"/>
        <w:jc w:val="left"/>
        <w:rPr/>
      </w:pPr>
      <w:r>
        <w:rPr/>
        <w:t> </w:t>
      </w:r>
    </w:p>
    <w:tbl>
      <w:tblPr>
        <w:tblW w:w="3775" w:type="dxa"/>
        <w:jc w:val="left"/>
        <w:tblInd w:w="0" w:type="dxa"/>
        <w:tblLayout w:type="fixed"/>
        <w:tblCellMar>
          <w:top w:w="28" w:type="dxa"/>
          <w:left w:w="28" w:type="dxa"/>
          <w:bottom w:w="28" w:type="dxa"/>
          <w:right w:w="28" w:type="dxa"/>
        </w:tblCellMar>
      </w:tblPr>
      <w:tblGrid>
        <w:gridCol w:w="2656"/>
        <w:gridCol w:w="146"/>
        <w:gridCol w:w="211"/>
        <w:gridCol w:w="571"/>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i/>
          <w:sz w:val="20"/>
        </w:rPr>
        <w:t>Other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agreements with third parties in the normal course of business under which it can license certain developed technologies. If the Company exercises its rights to license the technologies it may be subject to additional fees and milestone payments. As of December 31, 2021, the Company has not exercised its rights to license such technologies.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Indemnification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2021 or 2020.</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w:t>
      </w:r>
      <w:r>
        <w:rPr>
          <w:rFonts w:ascii="Times New Roman;serif" w:hAnsi="Times New Roman;serif"/>
          <w:sz w:val="20"/>
        </w:rPr>
        <w:t xml:space="preserve"> </w:t>
      </w:r>
      <w:r>
        <w:rPr>
          <w:rFonts w:ascii="Times New Roman;serif" w:hAnsi="Times New Roman;serif"/>
          <w:b w:val="false"/>
          <w:sz w:val="20"/>
        </w:rPr>
        <w:t>such costs have been incurred for the years ended December 31, 2021 and 2020.</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13. 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A reconciliation of the U.S. federal statutory income tax rate to the Company’s effective income tax rate is as follows:</w:t>
      </w:r>
      <w:r>
        <w:rPr>
          <w:rFonts w:ascii="Times New Roman" w:hAnsi="Times New Roman"/>
          <w:sz w:val="20"/>
        </w:rPr>
        <w:t xml:space="preserve"> </w:t>
      </w:r>
    </w:p>
    <w:p>
      <w:pPr>
        <w:pStyle w:val="TextBody"/>
        <w:bidi w:val="0"/>
        <w:spacing w:before="0" w:after="0"/>
        <w:jc w:val="left"/>
        <w:rPr/>
      </w:pPr>
      <w:r>
        <w:rPr/>
        <w:t> </w:t>
      </w:r>
    </w:p>
    <w:tbl>
      <w:tblPr>
        <w:tblW w:w="7300" w:type="dxa"/>
        <w:jc w:val="left"/>
        <w:tblInd w:w="0" w:type="dxa"/>
        <w:tblLayout w:type="fixed"/>
        <w:tblCellMar>
          <w:top w:w="28" w:type="dxa"/>
          <w:left w:w="28" w:type="dxa"/>
          <w:bottom w:w="28" w:type="dxa"/>
          <w:right w:w="28" w:type="dxa"/>
        </w:tblCellMar>
      </w:tblPr>
      <w:tblGrid>
        <w:gridCol w:w="4231"/>
        <w:gridCol w:w="146"/>
        <w:gridCol w:w="205"/>
        <w:gridCol w:w="890"/>
        <w:gridCol w:w="271"/>
        <w:gridCol w:w="146"/>
        <w:gridCol w:w="205"/>
        <w:gridCol w:w="890"/>
        <w:gridCol w:w="31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br/>
              <w:t>2021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br/>
              <w:t>2020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income tax at statutory rate</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Permanent differences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and state research and development credits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31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orphan drug credits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31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State income tax, net of federal benefit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w:t>
            </w:r>
          </w:p>
        </w:tc>
        <w:tc>
          <w:tcPr>
            <w:tcW w:w="31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0.47</w:t>
            </w:r>
          </w:p>
        </w:tc>
        <w:tc>
          <w:tcPr>
            <w:tcW w:w="31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valuation allowance</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(33.67</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income tax rate</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the years ended December 31, 2021 and 2020, the Company incurred book and tax losses and, because it maintains a full valuation allowance on its net deferred tax assets, did not recognize federal or state income tax expense or benefit.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deferred tax assets and liabilities consist of the following (in thousands):</w:t>
      </w:r>
      <w:r>
        <w:rPr>
          <w:rFonts w:ascii="Times New Roman" w:hAnsi="Times New Roman"/>
          <w:sz w:val="20"/>
        </w:rPr>
        <w:t xml:space="preserve"> </w:t>
      </w:r>
    </w:p>
    <w:p>
      <w:pPr>
        <w:pStyle w:val="TextBody"/>
        <w:bidi w:val="0"/>
        <w:spacing w:before="0" w:after="0"/>
        <w:jc w:val="left"/>
        <w:rPr/>
      </w:pPr>
      <w:r>
        <w:rPr/>
        <w:t> </w:t>
      </w:r>
    </w:p>
    <w:tbl>
      <w:tblPr>
        <w:tblW w:w="7000" w:type="dxa"/>
        <w:jc w:val="left"/>
        <w:tblInd w:w="0" w:type="dxa"/>
        <w:tblLayout w:type="fixed"/>
        <w:tblCellMar>
          <w:top w:w="28" w:type="dxa"/>
          <w:left w:w="28" w:type="dxa"/>
          <w:bottom w:w="28" w:type="dxa"/>
          <w:right w:w="28" w:type="dxa"/>
        </w:tblCellMar>
      </w:tblPr>
      <w:tblGrid>
        <w:gridCol w:w="3961"/>
        <w:gridCol w:w="146"/>
        <w:gridCol w:w="244"/>
        <w:gridCol w:w="851"/>
        <w:gridCol w:w="166"/>
        <w:gridCol w:w="146"/>
        <w:gridCol w:w="244"/>
        <w:gridCol w:w="851"/>
        <w:gridCol w:w="3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operating loss carryforwards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46,603</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credit carryforwards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6,842</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Orphan drug credit carryforwards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3,032</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6,722</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1,791</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2,240</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lease incentive</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rent</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deferred tax assets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95,589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68,642</w:t>
            </w:r>
          </w:p>
        </w:tc>
        <w:tc>
          <w:tcPr>
            <w:tcW w:w="391" w:type="dxa"/>
            <w:tcBorders/>
            <w:vAlign w:val="center"/>
          </w:tcPr>
          <w:p>
            <w:pPr>
              <w:pStyle w:val="TableContents"/>
              <w:bidi w:val="0"/>
              <w:spacing w:before="0" w:after="0"/>
              <w:ind w:left="0" w:right="0" w:firstLine="200"/>
              <w:jc w:val="left"/>
              <w:rPr/>
            </w:pPr>
            <w:r>
              <w:rPr/>
              <w:t> </w:t>
            </w:r>
          </w:p>
        </w:tc>
      </w:tr>
      <w:tr>
        <w:trPr/>
        <w:tc>
          <w:tcPr>
            <w:tcW w:w="39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Valuation allowance</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(94,630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(67,427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deferred tax assets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1,215</w:t>
            </w:r>
          </w:p>
        </w:tc>
        <w:tc>
          <w:tcPr>
            <w:tcW w:w="391"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liability</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deferred tax assets</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2021 and 2020. The valuation allowance increased by $27.2</w:t>
      </w:r>
      <w:r>
        <w:rPr>
          <w:rFonts w:ascii="Times New Roman" w:hAnsi="Times New Roman"/>
          <w:sz w:val="20"/>
        </w:rPr>
        <w:t xml:space="preserve"> </w:t>
      </w:r>
      <w:r>
        <w:rPr>
          <w:rFonts w:ascii="Times New Roman;serif" w:hAnsi="Times New Roman;serif"/>
          <w:b w:val="false"/>
          <w:sz w:val="20"/>
        </w:rPr>
        <w:t>million during the year ended December 31, 2021, which is primarily attributable to increases in net operating loss carryforwards as a result of current year net losses and the generation of research and development and orphan drug tax credit carryforwards. The Company reevaluates the positive and negative evidence at each reporting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December 31, 2021, the Company had federal net operating loss carryforwards of approximately $245.8</w:t>
      </w:r>
      <w:r>
        <w:rPr>
          <w:rFonts w:ascii="Times New Roman" w:hAnsi="Times New Roman"/>
          <w:sz w:val="20"/>
        </w:rPr>
        <w:t xml:space="preserve"> </w:t>
      </w:r>
      <w:r>
        <w:rPr>
          <w:rFonts w:ascii="Times New Roman;serif" w:hAnsi="Times New Roman;serif"/>
          <w:b w:val="false"/>
          <w:sz w:val="20"/>
        </w:rPr>
        <w:t>million, a portion of</w:t>
      </w:r>
      <w:r>
        <w:rPr>
          <w:rFonts w:ascii="Times New Roman" w:hAnsi="Times New Roman"/>
          <w:sz w:val="20"/>
        </w:rPr>
        <w:t xml:space="preserve"> </w:t>
      </w:r>
      <w:r>
        <w:rPr>
          <w:rFonts w:ascii="Times New Roman;serif" w:hAnsi="Times New Roman;serif"/>
          <w:b w:val="false"/>
          <w:sz w:val="20"/>
        </w:rPr>
        <w:t>which begin to expire in 2036. Approximately $214.8</w:t>
      </w:r>
      <w:r>
        <w:rPr>
          <w:rFonts w:ascii="Times New Roman" w:hAnsi="Times New Roman"/>
          <w:sz w:val="20"/>
        </w:rPr>
        <w:t xml:space="preserve"> </w:t>
      </w:r>
      <w:r>
        <w:rPr>
          <w:rFonts w:ascii="Times New Roman;serif" w:hAnsi="Times New Roman;serif"/>
          <w:b w:val="false"/>
          <w:sz w:val="20"/>
        </w:rPr>
        <w:t>million of the federal net operating losses can be carried forward indefinitely. As of December 31, 2021, the Company also had state net operating loss carryforwards of approximately $244.0</w:t>
      </w:r>
      <w:r>
        <w:rPr>
          <w:rFonts w:ascii="Times New Roman" w:hAnsi="Times New Roman"/>
          <w:sz w:val="20"/>
        </w:rPr>
        <w:t xml:space="preserve"> </w:t>
      </w:r>
      <w:r>
        <w:rPr>
          <w:rFonts w:ascii="Times New Roman;serif" w:hAnsi="Times New Roman;serif"/>
          <w:b w:val="false"/>
          <w:sz w:val="20"/>
        </w:rPr>
        <w:t>million, which begin to expire in 2036.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December 31, 2021, the Company had federal orphan drug credits of approximately $6.7</w:t>
      </w:r>
      <w:r>
        <w:rPr>
          <w:rFonts w:ascii="Times New Roman" w:hAnsi="Times New Roman"/>
          <w:sz w:val="20"/>
        </w:rPr>
        <w:t xml:space="preserve"> </w:t>
      </w:r>
      <w:r>
        <w:rPr>
          <w:rFonts w:ascii="Times New Roman;serif" w:hAnsi="Times New Roman;serif"/>
          <w:b w:val="false"/>
          <w:sz w:val="20"/>
        </w:rPr>
        <w:t>million, which begin to expire in 2040. As of December 31, 2021, the Company had federal research and development tax credit carryforwards of approximately $6.1</w:t>
      </w:r>
      <w:r>
        <w:rPr>
          <w:rFonts w:ascii="Times New Roman" w:hAnsi="Times New Roman"/>
          <w:sz w:val="20"/>
        </w:rPr>
        <w:t xml:space="preserve"> </w:t>
      </w:r>
      <w:r>
        <w:rPr>
          <w:rFonts w:ascii="Times New Roman;serif" w:hAnsi="Times New Roman;serif"/>
          <w:b w:val="false"/>
          <w:sz w:val="20"/>
        </w:rPr>
        <w:t>million, which begin to expire in 2035. As of December 31, 2021, the Company also had state research and development tax credit carryforwards of approximately $3.3</w:t>
      </w:r>
      <w:r>
        <w:rPr>
          <w:rFonts w:ascii="Times New Roman" w:hAnsi="Times New Roman"/>
          <w:sz w:val="20"/>
        </w:rPr>
        <w:t xml:space="preserve"> </w:t>
      </w:r>
      <w:r>
        <w:rPr>
          <w:rFonts w:ascii="Times New Roman;serif" w:hAnsi="Times New Roman;serif"/>
          <w:b w:val="false"/>
          <w:sz w:val="20"/>
        </w:rPr>
        <w:t>million, which begin to expire in 2030.</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2021, the Company’s tax years are still open under statute from 2016</w:t>
      </w:r>
      <w:r>
        <w:rPr>
          <w:rFonts w:ascii="Times New Roman" w:hAnsi="Times New Roman"/>
          <w:sz w:val="20"/>
        </w:rPr>
        <w:t xml:space="preserve"> </w:t>
      </w:r>
      <w:r>
        <w:rPr>
          <w:rFonts w:ascii="Times New Roman;serif" w:hAnsi="Times New Roman;serif"/>
          <w:b w:val="false"/>
          <w:sz w:val="20"/>
        </w:rPr>
        <w:t>to the present.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It is the Company’s policy to include penalties and interest expense related to income taxes as a component of the provision for income taxes. As of December 31, 2021 and 2020, the Company had no</w:t>
      </w:r>
      <w:r>
        <w:rPr>
          <w:rFonts w:ascii="Times New Roman" w:hAnsi="Times New Roman"/>
          <w:sz w:val="20"/>
        </w:rPr>
        <w:t xml:space="preserve"> </w:t>
      </w:r>
      <w:r>
        <w:rPr>
          <w:rFonts w:ascii="Times New Roman;serif" w:hAnsi="Times New Roman;serif"/>
          <w:b w:val="false"/>
          <w:sz w:val="20"/>
        </w:rPr>
        <w:t>accrued interest or penalties related to uncertain tax positions and no</w:t>
      </w:r>
      <w:r>
        <w:rPr>
          <w:rFonts w:ascii="Times New Roman" w:hAnsi="Times New Roman"/>
          <w:sz w:val="20"/>
        </w:rPr>
        <w:t xml:space="preserve"> </w:t>
      </w:r>
      <w:r>
        <w:rPr>
          <w:rFonts w:ascii="Times New Roman;serif" w:hAnsi="Times New Roman;serif"/>
          <w:b w:val="false"/>
          <w:sz w:val="20"/>
        </w:rPr>
        <w:t>amounts have been recognized in the Company’s statements of operations. For the year ended December 31, 2021,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pStyle w:val="TextBody"/>
        <w:bidi w:val="0"/>
        <w:spacing w:before="360" w:after="0"/>
        <w:jc w:val="left"/>
        <w:rPr>
          <w:rFonts w:ascii="Times New Roman" w:hAnsi="Times New Roman"/>
          <w:sz w:val="20"/>
        </w:rPr>
      </w:pPr>
      <w:r>
        <w:rPr>
          <w:rFonts w:ascii="Times New Roman;serif" w:hAnsi="Times New Roman;serif"/>
          <w:b/>
          <w:sz w:val="20"/>
        </w:rPr>
        <w:t>14. Defined Contribution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 defined contribution savings plan under Section 401(k) of the Internal Revenue Code (the “401(k)</w:t>
      </w:r>
      <w:r>
        <w:rPr>
          <w:rFonts w:ascii="Times New Roman" w:hAnsi="Times New Roman"/>
          <w:sz w:val="20"/>
        </w:rPr>
        <w:t xml:space="preserve"> </w:t>
      </w:r>
      <w:r>
        <w:rPr>
          <w:rFonts w:ascii="Times New Roman;serif" w:hAnsi="Times New Roman;serif"/>
          <w:b w:val="false"/>
          <w:sz w:val="20"/>
        </w:rPr>
        <w:t>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 as of December 31, 2021.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15. 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common stock equivalents were excluded from the calculation of diluted net loss per share for the periods indicated because including them would have had an anti-dilutive effect:</w:t>
      </w:r>
      <w:r>
        <w:rPr>
          <w:rFonts w:ascii="Times New Roman" w:hAnsi="Times New Roman"/>
          <w:sz w:val="20"/>
        </w:rPr>
        <w:t xml:space="preserve"> </w:t>
      </w:r>
    </w:p>
    <w:p>
      <w:pPr>
        <w:pStyle w:val="TextBody"/>
        <w:bidi w:val="0"/>
        <w:spacing w:before="0" w:after="0"/>
        <w:jc w:val="left"/>
        <w:rPr/>
      </w:pPr>
      <w:r>
        <w:rPr/>
        <w:t> </w:t>
      </w:r>
    </w:p>
    <w:tbl>
      <w:tblPr>
        <w:tblW w:w="5544" w:type="dxa"/>
        <w:jc w:val="left"/>
        <w:tblInd w:w="0" w:type="dxa"/>
        <w:tblLayout w:type="fixed"/>
        <w:tblCellMar>
          <w:top w:w="28" w:type="dxa"/>
          <w:left w:w="28" w:type="dxa"/>
          <w:bottom w:w="28" w:type="dxa"/>
          <w:right w:w="28" w:type="dxa"/>
        </w:tblCellMar>
      </w:tblPr>
      <w:tblGrid>
        <w:gridCol w:w="2761"/>
        <w:gridCol w:w="146"/>
        <w:gridCol w:w="146"/>
        <w:gridCol w:w="931"/>
        <w:gridCol w:w="146"/>
        <w:gridCol w:w="146"/>
        <w:gridCol w:w="146"/>
        <w:gridCol w:w="931"/>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5,188,354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2,962,347</w:t>
            </w:r>
          </w:p>
        </w:tc>
        <w:tc>
          <w:tcPr>
            <w:tcW w:w="19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125,836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5,198,528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3,088,183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EXHIBIT INDEX</w:t>
      </w:r>
    </w:p>
    <w:tbl>
      <w:tblPr>
        <w:tblW w:w="10205" w:type="dxa"/>
        <w:jc w:val="left"/>
        <w:tblInd w:w="0" w:type="dxa"/>
        <w:tblLayout w:type="fixed"/>
        <w:tblCellMar>
          <w:top w:w="28" w:type="dxa"/>
          <w:left w:w="28" w:type="dxa"/>
          <w:bottom w:w="28" w:type="dxa"/>
          <w:right w:w="28" w:type="dxa"/>
        </w:tblCellMar>
      </w:tblPr>
      <w:tblGrid>
        <w:gridCol w:w="738"/>
        <w:gridCol w:w="146"/>
        <w:gridCol w:w="9321"/>
      </w:tblGrid>
      <w:tr>
        <w:trPr/>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1" w:type="dxa"/>
            <w:tcBorders/>
            <w:vAlign w:val="center"/>
          </w:tcPr>
          <w:p>
            <w:pPr>
              <w:pStyle w:val="TableContents"/>
              <w:bidi w:val="0"/>
              <w:spacing w:before="0" w:after="283"/>
              <w:jc w:val="left"/>
              <w:rPr>
                <w:sz w:val="4"/>
                <w:szCs w:val="4"/>
              </w:rPr>
            </w:pPr>
            <w:r>
              <w:rPr>
                <w:sz w:val="4"/>
                <w:szCs w:val="4"/>
              </w:rPr>
            </w:r>
          </w:p>
        </w:tc>
      </w:tr>
      <w:tr>
        <w:trPr/>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Restated Certificate of Incorporation of the Registrant (incorporated by reference to Exhibit 3.1 to the Registrant’s Current Report on Form 8-K filed with the Securities and Exchange Commission on July 22,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the Registrant (incorporated by reference to Exhibit 3.2 to the Registrant’s Current Report on Form 8-K filed with the Securities and Exchange Commission on July 22,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4.1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Specimen Stock Certificate evidencing shares of common stock (incorporated by reference to Exhibit 4.1 to the Registrant’s Registration Statement on Form S-1 (File No. 333-232260) filed with the Securities and Exchange Commission on June 21,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4.2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Description of the Registrant’s Securities Registered under Section 12 of the Exchange Act (incorporated by reference to Exhibit 4.2 to the Registrant’s Annual Report on Form 10-K filed with the Securities and Exchange Commission on March 5, 2020).</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Amended and Restated Investors' Rights Agreement, dated as of August 24, 2018, by and among the Registrant and the other parties thereto (incorporated by reference to Exhibit 10.1 to the Registrant’s Registration Statement on Form S-1 (File No. 333-232260) filed with the Securities and Exchange Commission on June 21,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Registration Rights Agreement, dated June 9, 2020, by and among the Registrant and the other parties thereto (incorporated by reference to Exhibit 10.2 of the Registrant's Current Report on Form 8-K filed with the Securities and Exchange Commission on June 10, 2020).</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2016 Stock Incentive Plan, as amended (incorporated by reference to Exhibit 10.2 to the Registrant’s Registration Statement on Form S-1 (File No. 333-232260) filed with the Securities and Exchange Commission on June 21,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9">
              <w:r>
                <w:rPr>
                  <w:rStyle w:val="InternetLink"/>
                  <w:rFonts w:ascii="Times New Roman;serif" w:hAnsi="Times New Roman;serif"/>
                  <w:b w:val="false"/>
                  <w:sz w:val="20"/>
                  <w:u w:val="single"/>
                </w:rPr>
                <w:t>Form of Incentive Stock Option Agreement under the 2016 Stock Incentive Plan (incorporated by reference to Exhibit 10.3 to the Registrant’s Registration Statement on Form S-1 (File No. 333-232260) filed with the Securities and Exchange Commission on June 21, 2019)</w:t>
              </w:r>
            </w:hyperlink>
            <w:r>
              <w:rPr>
                <w:rFonts w:ascii="Times New Roman;serif" w:hAnsi="Times New Roman;serif"/>
                <w:b w:val="false"/>
                <w:sz w:val="20"/>
              </w:rPr>
              <w:t>.</w:t>
            </w:r>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0">
              <w:r>
                <w:rPr>
                  <w:rStyle w:val="InternetLink"/>
                  <w:rFonts w:ascii="Times New Roman;serif" w:hAnsi="Times New Roman;serif"/>
                  <w:b w:val="false"/>
                  <w:sz w:val="20"/>
                  <w:u w:val="single"/>
                </w:rPr>
                <w:t>Form of Non-Statutory Stock Option Agreement under the 2016 Stock Incentive Plan (incorporated by reference to Exhibit 10.4 to the Registrant’s Registration Statement on Form S-1 (File No. 333-232260) filed with the Securities and Exchange Commission on June 21,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1">
              <w:r>
                <w:rPr>
                  <w:rStyle w:val="InternetLink"/>
                  <w:rFonts w:ascii="Times New Roman;serif" w:hAnsi="Times New Roman;serif"/>
                  <w:b w:val="false"/>
                  <w:sz w:val="20"/>
                  <w:u w:val="single"/>
                </w:rPr>
                <w:t>Form of Restricted Stock Agreement under the 2016 Stock Incentive Plan (incorporated by reference to Exhibit 10.5 to the Registrant’s Registration Statement on Form S-1 (File No. 333-232260) filed with the Securities and Exchange Commission on June 21,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2">
              <w:r>
                <w:rPr>
                  <w:rStyle w:val="InternetLink"/>
                  <w:rFonts w:ascii="Times New Roman;serif" w:hAnsi="Times New Roman;serif"/>
                  <w:b w:val="false"/>
                  <w:sz w:val="20"/>
                  <w:u w:val="single"/>
                </w:rPr>
                <w:t>2019 Stock Incentive Plan (incorporated by reference to Exhibit 10.6 to Amendment No. 1 to Registrant’s Registration Statement on Form S-1 (File No. 333-232260) filed with the Securities and Exchange Commission on July 8,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10.8#</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3">
              <w:r>
                <w:rPr>
                  <w:rStyle w:val="InternetLink"/>
                  <w:rFonts w:ascii="Times New Roman;serif" w:hAnsi="Times New Roman;serif"/>
                  <w:b w:val="false"/>
                  <w:sz w:val="20"/>
                  <w:u w:val="single"/>
                </w:rPr>
                <w:t>Form of Stock Option Agreement under the 2019 Stock Incentive Plan (incorporated by reference to Exhibit 10.7 to Amendment No. 1 to Registrant’s Registration Statement on Form S-1 (File No. 333-232260) filed with the Securities and Exchange Commission on July 8,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10.9#</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4">
              <w:r>
                <w:rPr>
                  <w:rStyle w:val="InternetLink"/>
                  <w:rFonts w:ascii="Times New Roman;serif" w:hAnsi="Times New Roman;serif"/>
                  <w:b w:val="false"/>
                  <w:sz w:val="20"/>
                  <w:u w:val="single"/>
                </w:rPr>
                <w:t>Form of Inducement Stock Option Agreement (incorporated by reference to Exhibit 10.1 to the Registrant’s Quarterly Report on Form 10-Q filed with the Securities and Exchange Commission on November 4, 2021).</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5">
              <w:r>
                <w:rPr>
                  <w:rStyle w:val="InternetLink"/>
                  <w:rFonts w:ascii="Times New Roman;serif" w:hAnsi="Times New Roman;serif"/>
                  <w:b w:val="false"/>
                  <w:sz w:val="20"/>
                  <w:u w:val="single"/>
                </w:rPr>
                <w:t>Form of Restricted Stock Unit Agreement under the 2019 Stock Incentive Plan (incorporated by reference to Exhibit 10.10 to the Registrant’s Annual Report on Form 10-K filed with the Securities and Exchange Commission on March 3, 2022).</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6">
              <w:r>
                <w:rPr>
                  <w:rStyle w:val="InternetLink"/>
                  <w:rFonts w:ascii="Times New Roman;serif" w:hAnsi="Times New Roman;serif"/>
                  <w:b w:val="false"/>
                  <w:sz w:val="20"/>
                  <w:u w:val="single"/>
                </w:rPr>
                <w:t>2019 Employee Stock Purchase Plan (incorporated by reference to Exhibit 10.8 to Amendment No. 1 to Registrant’s Registration Statement on Form S-1 (File No. 333-232260) filed with the Securities and Exchange Commission on July 8, 2019).</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7">
              <w:r>
                <w:rPr>
                  <w:rStyle w:val="InternetLink"/>
                  <w:rFonts w:ascii="Times New Roman;serif" w:hAnsi="Times New Roman;serif"/>
                  <w:b w:val="false"/>
                  <w:sz w:val="20"/>
                  <w:u w:val="single"/>
                </w:rPr>
                <w:t>2022 Inducement Stock Incentive Plan (incorporated by reference to Exhibit 10.12 to the Registrant’s Annual Report on Form 10-K filed with the Securities and Exchange Commission on March 3, 2022).</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8">
              <w:r>
                <w:rPr>
                  <w:rStyle w:val="InternetLink"/>
                  <w:rFonts w:ascii="Times New Roman;serif" w:hAnsi="Times New Roman;serif"/>
                  <w:b w:val="false"/>
                  <w:sz w:val="20"/>
                  <w:u w:val="single"/>
                </w:rPr>
                <w:t>Form of Non-Statutory Stock Option Agreement under 2022 Inducement Stock Incentive Plan (incorporated by reference to Exhibit 10.13 to the Registrant’s Annual Report on Form 10-K filed with the Securities and Exchange Commission on March 3, 2022).</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9">
              <w:r>
                <w:rPr>
                  <w:rStyle w:val="InternetLink"/>
                  <w:rFonts w:ascii="Times New Roman;serif" w:hAnsi="Times New Roman;serif"/>
                  <w:b w:val="false"/>
                  <w:sz w:val="20"/>
                  <w:u w:val="single"/>
                </w:rPr>
                <w:t>Form of Restricted Stock Unit Agreement under 2022 Inducement Stock Incentive Plan (incorporated by reference to Exhibit 10.14 to the Registrant’s Annual Report on Form 10-K filed with the Securities and Exchange Commission on March 3, 2022).</w:t>
              </w:r>
            </w:hyperlink>
          </w:p>
        </w:tc>
      </w:tr>
      <w:tr>
        <w:trPr/>
        <w:tc>
          <w:tcPr>
            <w:tcW w:w="73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0">
              <w:r>
                <w:rPr>
                  <w:rStyle w:val="InternetLink"/>
                  <w:rFonts w:ascii="Times New Roman;serif" w:hAnsi="Times New Roman;serif"/>
                  <w:b w:val="false"/>
                  <w:sz w:val="20"/>
                  <w:u w:val="single"/>
                </w:rPr>
                <w:t>Summary of Non-Employee Director Compensation Program (incorporated by reference to Exhibit 10.15 to the Registrant’s Annual Report on Form 10-K filed with the Securities and Exchange Commission on March 3, 2022).</w:t>
              </w:r>
            </w:hyperlink>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30"/>
        <w:gridCol w:w="146"/>
        <w:gridCol w:w="9329"/>
      </w:tblGrid>
      <w:tr>
        <w:trPr/>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9" w:type="dxa"/>
            <w:tcBorders/>
            <w:vAlign w:val="center"/>
          </w:tcPr>
          <w:p>
            <w:pPr>
              <w:pStyle w:val="TableContents"/>
              <w:bidi w:val="0"/>
              <w:spacing w:before="0" w:after="283"/>
              <w:jc w:val="left"/>
              <w:rPr>
                <w:sz w:val="4"/>
                <w:szCs w:val="4"/>
              </w:rPr>
            </w:pPr>
            <w:r>
              <w:rPr>
                <w:sz w:val="4"/>
                <w:szCs w:val="4"/>
              </w:rPr>
            </w:r>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1">
              <w:r>
                <w:rPr>
                  <w:rStyle w:val="InternetLink"/>
                  <w:rFonts w:ascii="Times New Roman;serif" w:hAnsi="Times New Roman;serif"/>
                  <w:b w:val="false"/>
                  <w:sz w:val="20"/>
                  <w:u w:val="single"/>
                </w:rPr>
                <w:t>Form of Employment Agreement for Executive Officers (incorporated by reference to Exhibit 10.12 to Amendment No. 1 to Registrant’s Registration Statement on Form S-1 (File No. 333-232260) filed with the Securities and Exchange Commission on July 8, 2019).</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2">
              <w:r>
                <w:rPr>
                  <w:rStyle w:val="InternetLink"/>
                  <w:rFonts w:ascii="Times New Roman;serif" w:hAnsi="Times New Roman;serif"/>
                  <w:b w:val="false"/>
                  <w:sz w:val="20"/>
                  <w:u w:val="single"/>
                </w:rPr>
                <w:t>Consulting Agreement, dated March 31, 2021, by and between the Registrant and Robert J. Gould (incorporated by reference to Exhibit 10.3 to the Registrant’s Quarterly Report on Form 10-Q filed with the Securities and Exchange Commission on May 6, 2021).</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10.18#</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3">
              <w:r>
                <w:rPr>
                  <w:rStyle w:val="InternetLink"/>
                  <w:rFonts w:ascii="Times New Roman;serif" w:hAnsi="Times New Roman;serif"/>
                  <w:b w:val="false"/>
                  <w:sz w:val="20"/>
                  <w:u w:val="single"/>
                </w:rPr>
                <w:t>Employment Agreement, dated March 31, 2021, by and between the Registrant and Bryan Stuart (incorporated by reference to Exhibit 10.4 to the Registrant’s Quarterly Report on Form 10-Q filed with the Securities and Exchange Commission on May 6, 2021).</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10.19#</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4">
              <w:r>
                <w:rPr>
                  <w:rStyle w:val="InternetLink"/>
                  <w:rFonts w:ascii="Times New Roman;serif" w:hAnsi="Times New Roman;serif"/>
                  <w:b w:val="false"/>
                  <w:sz w:val="20"/>
                  <w:u w:val="single"/>
                </w:rPr>
                <w:t>Employment Agreement, dated October 29, 2020, by and between the Registrant and Curtis Oltmans (incorporated by reference to Exhibit 10.16 to the Registrant’s Annual Report on Form 10-K filed with the Securities and Exchange Commission on March 4, 2021).</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5">
              <w:r>
                <w:rPr>
                  <w:rStyle w:val="InternetLink"/>
                  <w:rFonts w:ascii="Times New Roman;serif" w:hAnsi="Times New Roman;serif"/>
                  <w:b w:val="false"/>
                  <w:sz w:val="20"/>
                  <w:u w:val="single"/>
                </w:rPr>
                <w:t>Employment Agreement, dated February 6, 2021, by and between the Registrant and Christopher Moxham (incorporated by reference to Exhibit 10.1 to the Registrant’s Quarterly Report on Form 10-Q filed with the Securities and Exchange Commission on May 6, 2021).</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6">
              <w:r>
                <w:rPr>
                  <w:rStyle w:val="InternetLink"/>
                  <w:rFonts w:ascii="Times New Roman;serif" w:hAnsi="Times New Roman;serif"/>
                  <w:b w:val="false"/>
                  <w:sz w:val="20"/>
                  <w:u w:val="single"/>
                </w:rPr>
                <w:t>Employment Agreement, dated February 6, 2021, by and between the Registrant and Judith Dunn (incorporated by reference to Exhibit 10.2 to the Registrant’s Quarterly Report on Form 10-Q filed with the Securities and Exchange Commission on May 6, 2021).</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7">
              <w:r>
                <w:rPr>
                  <w:rStyle w:val="InternetLink"/>
                  <w:rFonts w:ascii="Times New Roman;serif" w:hAnsi="Times New Roman;serif"/>
                  <w:b w:val="false"/>
                  <w:sz w:val="20"/>
                  <w:u w:val="single"/>
                </w:rPr>
                <w:t>Employment Agreement, dated May 10, 2021, by and between the Registrant and Christopher Morabito (incorporated by reference to Exhibit 10.1 to the Registrant’s Quarterly Report on Form 10-Q filed with the Securities and Exchange Commission on August 10, 2021).</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8">
              <w:r>
                <w:rPr>
                  <w:rStyle w:val="InternetLink"/>
                  <w:rFonts w:ascii="Times New Roman;serif" w:hAnsi="Times New Roman;serif"/>
                  <w:b w:val="false"/>
                  <w:sz w:val="20"/>
                  <w:u w:val="single"/>
                </w:rPr>
                <w:t>Employment Agreement, dated January 3, 2022, by and between the Registrant and Esther Rajavelu (incorporated by reference to Exhibit 10.23 to the Registrant’s Annual Report on Form 10-K filed with the Securities and Exchange Commission on March 3, 2022).</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9">
              <w:r>
                <w:rPr>
                  <w:rStyle w:val="InternetLink"/>
                  <w:rFonts w:ascii="Times New Roman;serif" w:hAnsi="Times New Roman;serif"/>
                  <w:b w:val="false"/>
                  <w:sz w:val="20"/>
                  <w:u w:val="single"/>
                </w:rPr>
                <w:t>Form of Indemnification Agreement between the Registrant and each of its Executive Officers and Directors (incorporated by reference to Exhibit 10.15 to Registrant’s Registration Statement on Form S-1 (File No. 333-232260) filed with the Securities and Exchange Commission on June 21, 2019).</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10.25</w:t>
            </w:r>
            <w:r>
              <w:rPr>
                <w:rFonts w:ascii="Times New Roman;serif" w:hAnsi="Times New Roman;serif"/>
                <w:b w:val="false"/>
                <w:sz w:val="16"/>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0">
              <w:r>
                <w:rPr>
                  <w:rStyle w:val="InternetLink"/>
                  <w:rFonts w:ascii="Times New Roman;serif" w:hAnsi="Times New Roman;serif"/>
                  <w:b w:val="false"/>
                  <w:sz w:val="20"/>
                  <w:u w:val="single"/>
                </w:rPr>
                <w:t>Right of Reference and License Agreement, dated as of February 8, 2019, by and among the Registrant, GlaxoSmithKline Intellectual Property (No. 2) Limited, GlaxoSmithKline LLC and Glaxo Group Limited (incorporated by reference to Exhibit 10.10 to the Registrant’s Registration Statement on Form S-1 (File No. 333-232260) filed with the Securities and Exchange Commission on June 21, 2019).</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10.26</w:t>
            </w:r>
            <w:r>
              <w:rPr>
                <w:rFonts w:ascii="Times New Roman;serif" w:hAnsi="Times New Roman;serif"/>
                <w:b w:val="false"/>
                <w:sz w:val="16"/>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1">
              <w:r>
                <w:rPr>
                  <w:rStyle w:val="InternetLink"/>
                  <w:rFonts w:ascii="Times New Roman;serif" w:hAnsi="Times New Roman;serif"/>
                  <w:b w:val="false"/>
                  <w:sz w:val="20"/>
                  <w:u w:val="single"/>
                </w:rPr>
                <w:t>First Amendment to the Right of Reference and License Agreement, dated as of September 23, 2020, by and among the Registrant, GlaxoSmithKline Intellectual Property (No. 2) Limited, GlaxoSmithKline LLC and Glaxo Group Limited (incorporated by reference to Exhibit 10.2 to the Registrant’s Quarterly Report on Form 10-Q (File No. 001-38978) filed with the Securities and Exchange Commission on November 10, 2020).</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10.27</w:t>
            </w:r>
            <w:r>
              <w:rPr>
                <w:rFonts w:ascii="Times New Roman;serif" w:hAnsi="Times New Roman;serif"/>
                <w:b w:val="false"/>
                <w:sz w:val="16"/>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2">
              <w:r>
                <w:rPr>
                  <w:rStyle w:val="InternetLink"/>
                  <w:rFonts w:ascii="Times New Roman;serif" w:hAnsi="Times New Roman;serif"/>
                  <w:b w:val="false"/>
                  <w:sz w:val="20"/>
                  <w:u w:val="single"/>
                </w:rPr>
                <w:t>Collaboration and License Agreement, dated as of December 20, 2019, by and between the Registrant and Acceleron Pharma Inc, a wholly-owned subsidiary of Merck &amp; Co., Inc. (incorporated by reference to Exhibit 10.17 to the Registrant’s Annual Report on Form 10-K (File No. 001-38978) filed with the Securities and Exchange Commission on March 5, 2020).</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10.28</w:t>
            </w:r>
            <w:r>
              <w:rPr>
                <w:rFonts w:ascii="Times New Roman;serif" w:hAnsi="Times New Roman;serif"/>
                <w:b w:val="false"/>
                <w:sz w:val="16"/>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3">
              <w:r>
                <w:rPr>
                  <w:rStyle w:val="InternetLink"/>
                  <w:rFonts w:ascii="Times New Roman;serif" w:hAnsi="Times New Roman;serif"/>
                  <w:b w:val="false"/>
                  <w:sz w:val="20"/>
                  <w:u w:val="single"/>
                </w:rPr>
                <w:t>Collaboration and License Agreement, dated as of July 20, 2020, by and between the Registrant and MyoKardia, Inc, a wholly-owned subsidiary of Bristol Myers Squibb Company (incorporated by reference to Exhibit 10.1 to the Registrant’s Quarterly Report on Form 10-Q (File No. 001-38978) filed with the Securities and Exchange Commission on November 10, 2020).</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10.29</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4">
              <w:r>
                <w:rPr>
                  <w:rStyle w:val="InternetLink"/>
                  <w:rFonts w:ascii="Times New Roman;serif" w:hAnsi="Times New Roman;serif"/>
                  <w:b w:val="false"/>
                  <w:sz w:val="20"/>
                  <w:u w:val="single"/>
                </w:rPr>
                <w:t>Lease for 26 Landsdowne Street, dated November 22, 2017, by and between the UP 26 Landsdowne, LLC and the Registrant (incorporated by reference to Exhibit 10.11 to the Registrant’s Registration Statement on Form S-1 (File No. 333-232260) filed with the Securities and Exchange Commission on June 21, 2019).</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10.30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5">
              <w:r>
                <w:rPr>
                  <w:rStyle w:val="InternetLink"/>
                  <w:rFonts w:ascii="Times New Roman;serif" w:hAnsi="Times New Roman;serif"/>
                  <w:b w:val="false"/>
                  <w:sz w:val="20"/>
                  <w:u w:val="single"/>
                </w:rPr>
                <w:t>Equity Distribution Agreement, dated August 11, 2020, by and between the Registrant and Piper Sandler &amp; Co. (incorporated by reference to Exhibit 1.2 to the Registrant’s Registration Statement on Form S-3 (File No. 333-244136) filed with the Securities and Exchange Commission on August 11, 2020).</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10.31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6">
              <w:r>
                <w:rPr>
                  <w:rStyle w:val="InternetLink"/>
                  <w:rFonts w:ascii="Times New Roman;serif" w:hAnsi="Times New Roman;serif"/>
                  <w:b w:val="false"/>
                  <w:sz w:val="20"/>
                  <w:u w:val="single"/>
                </w:rPr>
                <w:t>Amendment No. 1 to the Equity Distribution Agreement, dated November 4, 2021, by and between the Registrant and Piper Sandler &amp; Co. (incorporated by reference to Exhibit 1.3 to the Registrant’s Registration Statement on Form S-3 (File No. 333-260754) filed with the Securities and Exchange Commission on November 4, 2021.</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21.1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7">
              <w:r>
                <w:rPr>
                  <w:rStyle w:val="InternetLink"/>
                  <w:rFonts w:ascii="Times New Roman;serif" w:hAnsi="Times New Roman;serif"/>
                  <w:b w:val="false"/>
                  <w:sz w:val="20"/>
                  <w:u w:val="single"/>
                </w:rPr>
                <w:t>Subsidiary of the Registrant (incorporated by reference to Exhibit 21.1 to the Registrant’s Annual Report on Form 10-K filed with the Securities and Exchange Commission on March 3, 2022).</w:t>
              </w:r>
            </w:hyperlink>
          </w:p>
        </w:tc>
      </w:tr>
      <w:tr>
        <w:trPr/>
        <w:tc>
          <w:tcPr>
            <w:tcW w:w="7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23.1*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ulc-ex23_1.htm">
              <w:r>
                <w:rPr>
                  <w:rStyle w:val="InternetLink"/>
                  <w:rFonts w:ascii="Times New Roman;serif" w:hAnsi="Times New Roman;serif"/>
                  <w:b w:val="false"/>
                  <w:sz w:val="20"/>
                  <w:u w:val="single"/>
                </w:rPr>
                <w:t>Consent of Ernst &amp; Young LLP, independent registered public accounting firm.</w:t>
              </w:r>
            </w:hyperlink>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22"/>
        <w:gridCol w:w="146"/>
        <w:gridCol w:w="9337"/>
      </w:tblGrid>
      <w:tr>
        <w:trPr/>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7" w:type="dxa"/>
            <w:tcBorders/>
            <w:vAlign w:val="center"/>
          </w:tcPr>
          <w:p>
            <w:pPr>
              <w:pStyle w:val="TableContents"/>
              <w:bidi w:val="0"/>
              <w:spacing w:before="0" w:after="283"/>
              <w:jc w:val="left"/>
              <w:rPr>
                <w:sz w:val="4"/>
                <w:szCs w:val="4"/>
              </w:rPr>
            </w:pPr>
            <w:r>
              <w:rPr>
                <w:sz w:val="4"/>
                <w:szCs w:val="4"/>
              </w:rPr>
            </w:r>
          </w:p>
        </w:tc>
      </w:tr>
      <w:tr>
        <w:trPr/>
        <w:tc>
          <w:tcPr>
            <w:tcW w:w="72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3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ulc-ex31_1.htm">
              <w:r>
                <w:rPr>
                  <w:rStyle w:val="InternetLink"/>
                  <w:rFonts w:ascii="Times New Roman;serif" w:hAnsi="Times New Roman;serif"/>
                  <w:b w:val="false"/>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r>
      <w:tr>
        <w:trPr/>
        <w:tc>
          <w:tcPr>
            <w:tcW w:w="72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3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ulc-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r>
      <w:tr>
        <w:trPr/>
        <w:tc>
          <w:tcPr>
            <w:tcW w:w="7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3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r>
      <w:tr>
        <w:trPr/>
        <w:tc>
          <w:tcPr>
            <w:tcW w:w="7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3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3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3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3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3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3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r>
    </w:tbl>
    <w:p>
      <w:pPr>
        <w:pStyle w:val="TextBody"/>
        <w:pBdr>
          <w:bottom w:val="single" w:sz="2" w:space="1" w:color="000000"/>
        </w:pBdr>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Indicates a management contract or any compensatory plan, contract or arrangement.</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Certain portions of this exhibit have been omitted because they are not material and would likely cause competitive harm to the Registrant if disclosed.</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Furnished herewith.</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sz w:val="20"/>
        </w:rPr>
        <w: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36"/>
        <w:gridCol w:w="109"/>
        <w:gridCol w:w="400"/>
        <w:gridCol w:w="8060"/>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60"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Fulcrum Therapeutics, Inc.</w:t>
            </w:r>
          </w:p>
        </w:tc>
      </w:tr>
      <w:tr>
        <w:trPr/>
        <w:tc>
          <w:tcPr>
            <w:tcW w:w="1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06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June 23,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806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Robert J. Gould</w:t>
            </w:r>
          </w:p>
        </w:tc>
      </w:tr>
      <w:tr>
        <w:trPr/>
        <w:tc>
          <w:tcPr>
            <w:tcW w:w="1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06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Robert J. Gould, Ph.D.</w:t>
            </w:r>
          </w:p>
        </w:tc>
      </w:tr>
      <w:tr>
        <w:trPr/>
        <w:tc>
          <w:tcPr>
            <w:tcW w:w="1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06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Interim President and Chief Executive Officer (Principal Executive Officer and 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12" w:name="fulc-ex23_1.htm"/>
      <w:bookmarkStart w:id="13" w:name="ksfulcex23_1"/>
      <w:bookmarkEnd w:id="12"/>
      <w:bookmarkEnd w:id="13"/>
      <w:r>
        <w:rPr/>
        <w:t> </w:t>
      </w:r>
      <w:r>
        <w:br w:type="page"/>
      </w:r>
    </w:p>
    <w:p>
      <w:pPr>
        <w:pStyle w:val="TextBody"/>
        <w:bidi w:val="0"/>
        <w:spacing w:before="0" w:after="0"/>
        <w:jc w:val="center"/>
        <w:rPr/>
      </w:pPr>
      <w:r>
        <w:rPr/>
        <w:t> </w:t>
      </w:r>
    </w:p>
    <w:p>
      <w:pPr>
        <w:pStyle w:val="TextBody"/>
        <w:bidi w:val="0"/>
        <w:spacing w:before="0" w:after="0"/>
        <w:jc w:val="right"/>
        <w:rPr>
          <w:rFonts w:ascii="Times New Roman;serif" w:hAnsi="Times New Roman;serif"/>
          <w:b/>
          <w:sz w:val="20"/>
        </w:rPr>
      </w:pPr>
      <w:bookmarkStart w:id="14" w:name="exhibit_23_1"/>
      <w:bookmarkEnd w:id="14"/>
      <w:r>
        <w:rPr>
          <w:rFonts w:ascii="Times New Roman;serif" w:hAnsi="Times New Roman;serif"/>
          <w:b/>
          <w:sz w:val="20"/>
        </w:rPr>
        <w:t>Exhibit 23.1</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Consent of Independent Registered Public Accounting Firm</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consent to the incorporation by reference in the following Registration Statements:</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Registration Statement (Form S-8 No. 333-233452) pertaining to the 2016 Stock Incentive Plan, as amended, 2019 Stock Incentive Plan, and 2019 Employee Stock Purchase Plan of Fulcrum Therapeutics, Inc.;</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Registration Statement (Form S-8 No. 333-236910) pertaining to the 2019 Stock Incentive Plan and 2019 Employee Stock Purchase Plan of Fulcrum Therapeutics, Inc.;</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Registration Statement (Form S-1 No. 333-239353) and related Prospectus of Fulcrum Therapeutics, Inc. (as amended by Form S-3/A No. 333-239353); </w:t>
      </w:r>
    </w:p>
    <w:p>
      <w:pPr>
        <w:pStyle w:val="TextBody"/>
        <w:bidi w:val="0"/>
        <w:spacing w:before="0" w:after="0"/>
        <w:jc w:val="both"/>
        <w:rPr>
          <w:rFonts w:ascii="Times New Roman" w:hAnsi="Times New Roman"/>
          <w:b w:val="false"/>
          <w:sz w:val="20"/>
        </w:rPr>
      </w:pPr>
      <w:r>
        <w:rPr>
          <w:rFonts w:ascii="Times New Roman" w:hAnsi="Times New Roman"/>
          <w:b w:val="false"/>
          <w:sz w:val="20"/>
        </w:rPr>
        <w:t>4.</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Registration Statement (Form S-8 No. 333-253862) pertaining to the 2019 Stock Incentive Plan and 2019 Employee Stock Purchase Plan of Fulcrum Therapeutics, Inc.,</w:t>
      </w:r>
    </w:p>
    <w:p>
      <w:pPr>
        <w:pStyle w:val="TextBody"/>
        <w:bidi w:val="0"/>
        <w:spacing w:before="0" w:after="0"/>
        <w:jc w:val="both"/>
        <w:rPr>
          <w:rFonts w:ascii="Times New Roman" w:hAnsi="Times New Roman"/>
          <w:b w:val="false"/>
          <w:sz w:val="20"/>
        </w:rPr>
      </w:pPr>
      <w:r>
        <w:rPr>
          <w:rFonts w:ascii="Times New Roman" w:hAnsi="Times New Roman"/>
          <w:b w:val="false"/>
          <w:sz w:val="20"/>
        </w:rPr>
        <w:t>5.</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Registration Statement (Form S-8 No. 333-262356) pertaining to the 2019 Stock Incentive Plan, 2019 Employee Stock Purchase Plan, and Inducement Stock Option Awards (September 2021 – January 2022) of Fulcrum Therapeutics, Inc.,</w:t>
      </w:r>
    </w:p>
    <w:p>
      <w:pPr>
        <w:pStyle w:val="TextBody"/>
        <w:bidi w:val="0"/>
        <w:spacing w:before="0" w:after="0"/>
        <w:jc w:val="both"/>
        <w:rPr>
          <w:rFonts w:ascii="Times New Roman" w:hAnsi="Times New Roman"/>
          <w:b w:val="false"/>
          <w:sz w:val="20"/>
        </w:rPr>
      </w:pPr>
      <w:r>
        <w:rPr>
          <w:rFonts w:ascii="Times New Roman" w:hAnsi="Times New Roman"/>
          <w:b w:val="false"/>
          <w:sz w:val="20"/>
        </w:rPr>
        <w:t>6.</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Registration Statement (Form S-8 No. 333-263249) pertaining to 2022 Inducement Stock Incentive Plan, and Inducement Stock Option Award, as amended (February 2022) of Fulcrum Therapeutics, Inc.; and</w:t>
      </w:r>
    </w:p>
    <w:p>
      <w:pPr>
        <w:pStyle w:val="TextBody"/>
        <w:bidi w:val="0"/>
        <w:spacing w:before="0" w:after="0"/>
        <w:jc w:val="both"/>
        <w:rPr>
          <w:rFonts w:ascii="Times New Roman" w:hAnsi="Times New Roman"/>
          <w:b w:val="false"/>
          <w:sz w:val="20"/>
        </w:rPr>
      </w:pPr>
      <w:r>
        <w:rPr>
          <w:rFonts w:ascii="Times New Roman" w:hAnsi="Times New Roman"/>
          <w:b w:val="false"/>
          <w:sz w:val="20"/>
        </w:rPr>
        <w:t>7.</w:t>
      </w:r>
    </w:p>
    <w:p>
      <w:pPr>
        <w:pStyle w:val="TextBody"/>
        <w:bidi w:val="0"/>
        <w:jc w:val="both"/>
        <w:rPr>
          <w:rFonts w:ascii="Times New Roman;serif" w:hAnsi="Times New Roman;serif"/>
          <w:b w:val="false"/>
          <w:sz w:val="20"/>
        </w:rPr>
      </w:pPr>
      <w:r>
        <w:rPr>
          <w:rFonts w:ascii="Times New Roman;serif" w:hAnsi="Times New Roman;serif"/>
          <w:b w:val="false"/>
          <w:sz w:val="20"/>
        </w:rPr>
        <w:t>Registration Statement (Form S-8 No. 333-270385) pertaining to the 2019 Stock Incentive Plan, the 2019 Employee Stock Purchase Plan and the 2022 Inducement Stock Incentive Plan.</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of our report dated March 3, 2022, with respect to the consolidated financial statements of Fulcrum Therapeutics, Inc. included in this Annual Report (Form 10-K/A) of Fulcrum Therapeutics, Inc. for the year ended December 31, 2021.</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 Ernst &amp; Young LLP</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Boston, Massachusetts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June 23, 2023</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15" w:name="fulc-ex31_1.htm"/>
      <w:bookmarkStart w:id="16" w:name="ksfulcex31_1"/>
      <w:bookmarkEnd w:id="15"/>
      <w:bookmarkEnd w:id="16"/>
      <w:r>
        <w:rPr>
          <w:rFonts w:ascii="Times New Roman;serif" w:hAnsi="Times New Roman;serif"/>
          <w:b/>
          <w:sz w:val="20"/>
        </w:rPr>
        <w:t>Exhibit 31.1</w:t>
      </w:r>
      <w:r>
        <w:rPr>
          <w:rFonts w:ascii="Times New Roman" w:hAnsi="Times New Roman"/>
          <w:sz w:val="20"/>
        </w:rPr>
        <w:t xml:space="preserve"> </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 xml:space="preserve">CERTIFICATION PURSUANT TO RULES 13a-14(a) AND 15d-14(a) UNDER THE SECURITIES </w:t>
        <w:br/>
        <w:t>EXCHANGE ACT OF 1934, AS ADOPTED PURSUANT TO SECTION 302 OF THE SARBANES-</w:t>
        <w:br/>
        <w:t>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Robert J. Gould, certify that: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I have reviewed this Annual Report on Form 10-K, as amended, of Fulcrum Therapeutics, Inc.;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7158" w:type="dxa"/>
        <w:jc w:val="left"/>
        <w:tblInd w:w="0" w:type="dxa"/>
        <w:tblLayout w:type="fixed"/>
        <w:tblCellMar>
          <w:top w:w="28" w:type="dxa"/>
          <w:left w:w="28" w:type="dxa"/>
          <w:bottom w:w="28" w:type="dxa"/>
          <w:right w:w="28" w:type="dxa"/>
        </w:tblCellMar>
      </w:tblPr>
      <w:tblGrid>
        <w:gridCol w:w="1741"/>
        <w:gridCol w:w="406"/>
        <w:gridCol w:w="50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June 23,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Robert J. Gould</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J. Gould, Ph.D.</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President and 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 and 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17" w:name="fulc-ex32_1.htm"/>
      <w:bookmarkStart w:id="18" w:name="ksfulcex32_1"/>
      <w:bookmarkEnd w:id="17"/>
      <w:bookmarkEnd w:id="1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Annual Report on Form 10-K, as amended, of Fulcrum Therapeutics, Inc. (the “Company”) for the year ended December 31, 2021, as filed with the Securities and Exchange Commission on the date hereof (the “Report”), the undersigned, Robert J. Gould, Interim President and Chief Executive Officer of the Company, hereby certifies, pursuant to 18 U.S.C. Section 1350, as adopted pursuant to Section 906 of the Sarbanes-Oxley Act of 2002, that to his knowledge: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7304" w:type="dxa"/>
        <w:jc w:val="left"/>
        <w:tblInd w:w="0" w:type="dxa"/>
        <w:tblLayout w:type="fixed"/>
        <w:tblCellMar>
          <w:top w:w="28" w:type="dxa"/>
          <w:left w:w="28" w:type="dxa"/>
          <w:bottom w:w="28" w:type="dxa"/>
          <w:right w:w="28" w:type="dxa"/>
        </w:tblCellMar>
      </w:tblPr>
      <w:tblGrid>
        <w:gridCol w:w="1741"/>
        <w:gridCol w:w="146"/>
        <w:gridCol w:w="406"/>
        <w:gridCol w:w="50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741" w:type="dxa"/>
            <w:vMerge w:val="restart"/>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June 23, 2023</w:t>
            </w:r>
          </w:p>
        </w:tc>
        <w:tc>
          <w:tcPr>
            <w:tcW w:w="146" w:type="dxa"/>
            <w:tcBorders/>
            <w:vAlign w:val="center"/>
          </w:tcPr>
          <w:p>
            <w:pPr>
              <w:pStyle w:val="TableContents"/>
              <w:bidi w:val="0"/>
              <w:spacing w:before="0" w:after="0"/>
              <w:ind w:left="0" w:right="0" w:hanging="0"/>
              <w:jc w:val="left"/>
              <w:rPr/>
            </w:pPr>
            <w:r>
              <w:rPr/>
              <w:t> </w:t>
            </w:r>
          </w:p>
        </w:tc>
        <w:tc>
          <w:tcPr>
            <w:tcW w:w="406" w:type="dxa"/>
            <w:vMerge w:val="restart"/>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Robert J. Gould</w:t>
            </w:r>
          </w:p>
        </w:tc>
      </w:tr>
      <w:tr>
        <w:trPr/>
        <w:tc>
          <w:tcPr>
            <w:tcW w:w="17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0"/>
              <w:ind w:left="0" w:right="0" w:hanging="0"/>
              <w:jc w:val="left"/>
              <w:rPr/>
            </w:pPr>
            <w:r>
              <w:rPr/>
              <w:t> </w:t>
            </w:r>
          </w:p>
        </w:tc>
        <w:tc>
          <w:tcPr>
            <w:tcW w:w="406" w:type="dxa"/>
            <w:vMerge w:val="continue"/>
            <w:tcBorders/>
            <w:vAlign w:val="center"/>
          </w:tcPr>
          <w:p>
            <w:pPr>
              <w:pStyle w:val="Normal"/>
              <w:bidi w:val="0"/>
              <w:jc w:val="left"/>
              <w:rPr/>
            </w:pPr>
            <w:r>
              <w:rPr/>
            </w:r>
          </w:p>
        </w:tc>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J. Gould, Ph.D.</w:t>
            </w:r>
          </w:p>
        </w:tc>
      </w:tr>
      <w:tr>
        <w:trPr/>
        <w:tc>
          <w:tcPr>
            <w:tcW w:w="174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0"/>
              <w:ind w:left="0" w:right="0" w:hanging="0"/>
              <w:jc w:val="left"/>
              <w:rPr/>
            </w:pPr>
            <w:r>
              <w:rPr/>
              <w:t> </w:t>
            </w:r>
          </w:p>
        </w:tc>
        <w:tc>
          <w:tcPr>
            <w:tcW w:w="406" w:type="dxa"/>
            <w:vMerge w:val="continue"/>
            <w:tcBorders/>
            <w:vAlign w:val="center"/>
          </w:tcPr>
          <w:p>
            <w:pPr>
              <w:pStyle w:val="Normal"/>
              <w:bidi w:val="0"/>
              <w:jc w:val="left"/>
              <w:rPr/>
            </w:pPr>
            <w:r>
              <w:rPr/>
            </w:r>
          </w:p>
        </w:tc>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President and Chief Executive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 and 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80581/000104746919004324/a2239321zex-3_1.htm" TargetMode="External"/><Relationship Id="rId3" Type="http://schemas.openxmlformats.org/officeDocument/2006/relationships/hyperlink" Target="https://www.sec.gov/Archives/edgar/data/0001680581/000104746919004324/a2239321zex-3_2.htm" TargetMode="External"/><Relationship Id="rId4" Type="http://schemas.openxmlformats.org/officeDocument/2006/relationships/hyperlink" Target="https://www.sec.gov/Archives/edgar/data/1680581/000104746919003793/a2239080zex-4_1.htm" TargetMode="External"/><Relationship Id="rId5" Type="http://schemas.openxmlformats.org/officeDocument/2006/relationships/hyperlink" Target="https://www.sec.gov/Archives/edgar/data/1680581/000156459020008951/fulc-ex42_198.htm" TargetMode="External"/><Relationship Id="rId6" Type="http://schemas.openxmlformats.org/officeDocument/2006/relationships/hyperlink" Target="https://www.sec.gov/Archives/edgar/data/1680581/000104746919003793/a2239080zex-10_1.htm" TargetMode="External"/><Relationship Id="rId7" Type="http://schemas.openxmlformats.org/officeDocument/2006/relationships/hyperlink" Target="https://www.sec.gov/Archives/edgar/data/1680581/000119312520165696/d857108dex102.htm" TargetMode="External"/><Relationship Id="rId8" Type="http://schemas.openxmlformats.org/officeDocument/2006/relationships/hyperlink" Target="https://www.sec.gov/Archives/edgar/data/1680581/000104746919003793/a2239080zex-10_2.htm" TargetMode="External"/><Relationship Id="rId9" Type="http://schemas.openxmlformats.org/officeDocument/2006/relationships/hyperlink" Target="https://www.sec.gov/Archives/edgar/data/1680581/000104746919003793/a2239080zex-10_3.htm" TargetMode="External"/><Relationship Id="rId10" Type="http://schemas.openxmlformats.org/officeDocument/2006/relationships/hyperlink" Target="https://www.sec.gov/Archives/edgar/data/1680581/000104746919003793/a2239080zex-10_4.htm" TargetMode="External"/><Relationship Id="rId11" Type="http://schemas.openxmlformats.org/officeDocument/2006/relationships/hyperlink" Target="https://www.sec.gov/Archives/edgar/data/1680581/000104746919003793/a2239080zex-10_5.htm" TargetMode="External"/><Relationship Id="rId12" Type="http://schemas.openxmlformats.org/officeDocument/2006/relationships/hyperlink" Target="https://www.sec.gov/Archives/edgar/data/0001680581/000104746919004014/a2239182zex-10_6.htm" TargetMode="External"/><Relationship Id="rId13" Type="http://schemas.openxmlformats.org/officeDocument/2006/relationships/hyperlink" Target="https://www.sec.gov/Archives/edgar/data/0001680581/000104746919004014/a2239182zex-10_7.htm" TargetMode="External"/><Relationship Id="rId14" Type="http://schemas.openxmlformats.org/officeDocument/2006/relationships/hyperlink" Target="https://www.sec.gov/Archives/edgar/data/1680581/000156459021054234/fulc-ex101_13.htm" TargetMode="External"/><Relationship Id="rId15" Type="http://schemas.openxmlformats.org/officeDocument/2006/relationships/hyperlink" Target="https://www.sec.gov/Archives/edgar/data/1680581/000095017022002727/fulc-ex10_10.htm" TargetMode="External"/><Relationship Id="rId16" Type="http://schemas.openxmlformats.org/officeDocument/2006/relationships/hyperlink" Target="https://www.sec.gov/Archives/edgar/data/0001680581/000104746919004014/a2239182zex-10_8.htm" TargetMode="External"/><Relationship Id="rId17" Type="http://schemas.openxmlformats.org/officeDocument/2006/relationships/hyperlink" Target="https://www.sec.gov/Archives/edgar/data/1680581/000095017022002727/fulc-ex10_12.htm" TargetMode="External"/><Relationship Id="rId18" Type="http://schemas.openxmlformats.org/officeDocument/2006/relationships/hyperlink" Target="https://www.sec.gov/Archives/edgar/data/1680581/000095017022002727/fulc-ex10_13.htm" TargetMode="External"/><Relationship Id="rId19" Type="http://schemas.openxmlformats.org/officeDocument/2006/relationships/hyperlink" Target="https://www.sec.gov/Archives/edgar/data/1680581/000095017022002727/fulc-ex10_14.htm" TargetMode="External"/><Relationship Id="rId20" Type="http://schemas.openxmlformats.org/officeDocument/2006/relationships/hyperlink" Target="https://www.sec.gov/Archives/edgar/data/1680581/000095017022002727/fulc-ex10_15.htm" TargetMode="External"/><Relationship Id="rId21" Type="http://schemas.openxmlformats.org/officeDocument/2006/relationships/hyperlink" Target="https://www.sec.gov/Archives/edgar/data/0001680581/000104746919004014/a2239182zex-10_12.htm" TargetMode="External"/><Relationship Id="rId22" Type="http://schemas.openxmlformats.org/officeDocument/2006/relationships/hyperlink" Target="https://www.sec.gov/Archives/edgar/data/1680581/000156459021024505/fulc-ex103_58.htm" TargetMode="External"/><Relationship Id="rId23" Type="http://schemas.openxmlformats.org/officeDocument/2006/relationships/hyperlink" Target="https://www.sec.gov/Archives/edgar/data/1680581/000156459021024505/fulc-ex104_56.htm" TargetMode="External"/><Relationship Id="rId24" Type="http://schemas.openxmlformats.org/officeDocument/2006/relationships/hyperlink" Target="https://www.sec.gov/Archives/edgar/data/1680581/000156459021010715/fulc-ex1016_279.htm" TargetMode="External"/><Relationship Id="rId25" Type="http://schemas.openxmlformats.org/officeDocument/2006/relationships/hyperlink" Target="https://www.sec.gov/Archives/edgar/data/1680581/000156459021024505/fulc-ex101_59.htm" TargetMode="External"/><Relationship Id="rId26" Type="http://schemas.openxmlformats.org/officeDocument/2006/relationships/hyperlink" Target="https://www.sec.gov/Archives/edgar/data/1680581/000156459021024505/fulc-ex102_57.htm" TargetMode="External"/><Relationship Id="rId27" Type="http://schemas.openxmlformats.org/officeDocument/2006/relationships/hyperlink" Target="https://www.sec.gov/Archives/edgar/data/1680581/000156459021042876/fulc-ex101_12.htm" TargetMode="External"/><Relationship Id="rId28" Type="http://schemas.openxmlformats.org/officeDocument/2006/relationships/hyperlink" Target="https://www.sec.gov/Archives/edgar/data/1680581/000095017022002727/fulc-ex10_23.htm" TargetMode="External"/><Relationship Id="rId29" Type="http://schemas.openxmlformats.org/officeDocument/2006/relationships/hyperlink" Target="https://www.sec.gov/Archives/edgar/data/0001680581/000104746919003793/a2239080zex-10_15.htm" TargetMode="External"/><Relationship Id="rId30" Type="http://schemas.openxmlformats.org/officeDocument/2006/relationships/hyperlink" Target="https://www.sec.gov/Archives/edgar/data/1680581/000104746919003793/a2239080zex-10_10.htm" TargetMode="External"/><Relationship Id="rId31" Type="http://schemas.openxmlformats.org/officeDocument/2006/relationships/hyperlink" Target="https://www.sec.gov/Archives/edgar/data/1680581/000156459020052732/fulc-ex102_13.htm" TargetMode="External"/><Relationship Id="rId32" Type="http://schemas.openxmlformats.org/officeDocument/2006/relationships/hyperlink" Target="https://www.sec.gov/Archives/edgar/data/1680581/000156459020008951/fulc-ex1017_693.htm" TargetMode="External"/><Relationship Id="rId33" Type="http://schemas.openxmlformats.org/officeDocument/2006/relationships/hyperlink" Target="https://www.sec.gov/Archives/edgar/data/1680581/000156459020052732/fulc-ex101_12.htm" TargetMode="External"/><Relationship Id="rId34" Type="http://schemas.openxmlformats.org/officeDocument/2006/relationships/hyperlink" Target="https://www.sec.gov/Archives/edgar/data/1680581/000104746919003793/a2239080zex-10_11.htm" TargetMode="External"/><Relationship Id="rId35" Type="http://schemas.openxmlformats.org/officeDocument/2006/relationships/hyperlink" Target="https://www.sec.gov/Archives/edgar/data/1680581/000119312520215668/d235715dex12.htm" TargetMode="External"/><Relationship Id="rId36" Type="http://schemas.openxmlformats.org/officeDocument/2006/relationships/hyperlink" Target="https://www.sec.gov/Archives/edgar/data/1680581/000119312521319344/d245897dex13.htm" TargetMode="External"/><Relationship Id="rId37" Type="http://schemas.openxmlformats.org/officeDocument/2006/relationships/hyperlink" Target="https://www.sec.gov/Archives/edgar/data/1680581/000095017022002727/fulc-ex21_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19343</Words>
  <Characters>108847</Characters>
  <CharactersWithSpaces>128865</CharactersWithSpaces>
  <Paragraphs>3537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