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On May 9 2022, Fulcrum Therapeutics, Inc. (the “Company”) entered into an equity distribution agreement (the “Agreement”) with Piper Sandler &amp; Co., as sales agent (the “Sales Agent”), with respect to an at-the-market offering program pursuant to which the Company may offer and sell, from time to time in its sole discretion, shares of the Company’s common stock, par value $0.001 per share (the “Common Stock”), having an aggregate offering price of up to $50 million (the “Shares”) through the Sales Agent (the “Offering”).</w:t>
      </w:r>
    </w:p>
    <w:p>
      <w:pPr>
        <w:spacing w:after="0" w:line="18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Any Shares offered and sold in the Offering will be issued pursuant to the registration statement on Form S-3 (File No. 333-260754), initially filed with the Securities and Exchange Commission (the “Commission”) on November 4, 2021, as amended or supplemented (the “Registration Statement”), the prospectus supplement relating to the Offering filed with the SEC on May 9, 2022, and any applicable additional prospectus supplements related to the Offering that form a part of the Registration Statement.</w:t>
      </w:r>
    </w:p>
    <w:p>
      <w:pPr>
        <w:spacing w:after="0" w:line="187" w:lineRule="exact"/>
        <w:rPr>
          <w:sz w:val="20"/>
          <w:szCs w:val="20"/>
          <w:color w:val="auto"/>
        </w:rPr>
      </w:pPr>
    </w:p>
    <w:p>
      <w:pPr>
        <w:ind w:left="4" w:right="460"/>
        <w:spacing w:after="0" w:line="291" w:lineRule="auto"/>
        <w:rPr>
          <w:sz w:val="20"/>
          <w:szCs w:val="20"/>
          <w:color w:val="auto"/>
        </w:rPr>
      </w:pPr>
      <w:r>
        <w:rPr>
          <w:rFonts w:ascii="Arial" w:cs="Arial" w:eastAsia="Arial" w:hAnsi="Arial"/>
          <w:sz w:val="16"/>
          <w:szCs w:val="16"/>
          <w:color w:val="auto"/>
        </w:rPr>
        <w:t>The Sales Agent may sell the Shares by any method permitted by law deemed to be an “at the market offering” as defined in Rule 415(a)(4) of the Securities Act of 1933, as amended, including, without limitation, sales made (A) in privately negotiated transactions; (B) as block transactions; or</w:t>
      </w:r>
    </w:p>
    <w:p>
      <w:pPr>
        <w:ind w:left="4" w:right="60" w:hanging="4"/>
        <w:spacing w:after="0" w:line="290" w:lineRule="auto"/>
        <w:tabs>
          <w:tab w:leader="none" w:pos="289" w:val="left"/>
        </w:tabs>
        <w:numPr>
          <w:ilvl w:val="0"/>
          <w:numId w:val="2"/>
        </w:numPr>
        <w:rPr>
          <w:rFonts w:ascii="Arial" w:cs="Arial" w:eastAsia="Arial" w:hAnsi="Arial"/>
          <w:sz w:val="16"/>
          <w:szCs w:val="16"/>
          <w:color w:val="auto"/>
        </w:rPr>
      </w:pPr>
      <w:r>
        <w:rPr>
          <w:rFonts w:ascii="Arial" w:cs="Arial" w:eastAsia="Arial" w:hAnsi="Arial"/>
          <w:sz w:val="16"/>
          <w:szCs w:val="16"/>
          <w:color w:val="auto"/>
        </w:rPr>
        <w:t>by any other method permitted by law that is deemed to be an “at the market offering, including sales made directly through The Nasdaq Global Market (“Nasdaq”) or on any other existing trading market for the Common Stock, in each case, subject to the prior written consent of the Company. The Sales Agent will use commercially reasonable efforts to sell the Shares from time to time consistent with their normal sales practices and applicable federal rules, regulations and Nasdaq rules, based upon instructions from the Company (including any price, time or size limits or other customary parameters or conditions the Company may impose). The Company will pay the Sales Agent a commission equal to 3.0% of the gross sales proceeds of any Shares sold through the Sales Agent under the Agreement, and also has provided the Agent with customary indemnification and contribution rights.</w:t>
      </w:r>
    </w:p>
    <w:p>
      <w:pPr>
        <w:spacing w:after="0" w:line="164"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Sales Agent is not required to sell any specific number or dollar amount of securities, but will use commercially reasonable efforts to sell, on behalf of the Company, all of the shares of Common Stock requested to be sold by the Company, consistent with their normal trading and sales practices, on mutually agreed terms among the Sales Agent and the Company. There is no arrangement for funds to be received in any escrow, trust or similar arrangement.</w:t>
      </w:r>
    </w:p>
    <w:p>
      <w:pPr>
        <w:spacing w:after="0" w:line="187"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 A copy of the opinion of Goodwin Procter LLP relating to the legality of the issuance and sale of the shares in the Offering is attached as Exhibit 5.1 hereto.</w:t>
      </w:r>
    </w:p>
    <w:p>
      <w:pPr>
        <w:spacing w:after="0" w:line="16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4"/>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2"/>
                <w:szCs w:val="22"/>
                <w:color w:val="auto"/>
              </w:rPr>
            </w:pPr>
          </w:p>
        </w:tc>
        <w:tc>
          <w:tcPr>
            <w:tcW w:w="9560" w:type="dxa"/>
            <w:vAlign w:val="bottom"/>
            <w:tcBorders>
              <w:top w:val="single" w:sz="8" w:color="auto"/>
            </w:tcBorders>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Equity Distribution Agreement, dated May 9, 2022, by and between the Company and Piper Sandler &amp; Co.</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60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Opinion of Goodwin Procter LLP as to the legality of the securities being registered</w:t>
              </w:r>
            </w:hyperlink>
          </w:p>
        </w:tc>
        <w:tc>
          <w:tcPr>
            <w:tcW w:w="166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4800" w:type="dxa"/>
            <w:vAlign w:val="bottom"/>
            <w:tcBorders>
              <w:bottom w:val="single" w:sz="8" w:color="0000EE"/>
            </w:tcBorders>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Consent of Goodwin Procter LLP (contained in Exhibit 5.1 above)</w:t>
              </w:r>
            </w:hyperlink>
          </w:p>
        </w:tc>
        <w:tc>
          <w:tcPr>
            <w:tcW w:w="4760" w:type="dxa"/>
            <w:vAlign w:val="bottom"/>
            <w:gridSpan w:val="3"/>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297"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Bryan E. Stuart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Bancorp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As further set forth in this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Fulcrum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proposes to issue and sell from time to time through Piper Sandler &amp; Co.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xml:space="preserve">), as sales agent, the Company’s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having an aggregate gross offering price of up to $50,000,000 (such shares of Common Stock to be sold pursuant to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on terms set forth herein. Notwithstanding anything to the contrary contained herein, the parties hereto agree that compliance with the limitation set forth in Section 2 of this Agreement on the number of Shares issued and sold under this Agreement shall be the sole responsibility of the Company, and the Agent shall have no obligation in connection with such compliance.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confirms its agreement with the Agent with respect to the sale of the Shares.</w:t>
      </w:r>
    </w:p>
    <w:p>
      <w:pPr>
        <w:spacing w:after="0" w:line="225"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Warranties of the Company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right="60" w:firstLine="987"/>
        <w:spacing w:after="0" w:line="259" w:lineRule="auto"/>
        <w:tabs>
          <w:tab w:leader="none" w:pos="123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Agent that, unless such representation, warranty or agreement species a different time, as of the date of this Agreement, each Representation Date (as defined in Section 3(o) below), each date on which a Placement Notice (as defined in Section 2(a)(i) below) is given (each, a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and each date on which Shares are sold hereunder (each, an “</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and each Settlement Date (as defined in Section 2(a)(vii) below) as follows:</w:t>
      </w:r>
    </w:p>
    <w:p>
      <w:pPr>
        <w:spacing w:after="0" w:line="78" w:lineRule="exact"/>
        <w:rPr>
          <w:rFonts w:ascii="Arial" w:cs="Arial" w:eastAsia="Arial" w:hAnsi="Arial"/>
          <w:sz w:val="18"/>
          <w:szCs w:val="18"/>
          <w:color w:val="auto"/>
        </w:rPr>
      </w:pPr>
    </w:p>
    <w:p>
      <w:pPr>
        <w:ind w:left="440" w:right="20" w:firstLine="948"/>
        <w:spacing w:after="0" w:line="287" w:lineRule="auto"/>
        <w:tabs>
          <w:tab w:leader="none" w:pos="1607" w:val="left"/>
        </w:tabs>
        <w:numPr>
          <w:ilvl w:val="2"/>
          <w:numId w:val="3"/>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Company has filed, in accordance with the provisions of the Securities Act of 1933,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amended, and the rules and regulations thereunder (collectively,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S-3, including a base prospectus, relating to certain securities, including the Common Stock,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Company has prepared a prospectus supplement to the base prospectus included as part of such registration statement specifically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relating to the Shares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The Company has furnished to the Agent, for use by Agent, copies of the prospectus included as part of such registration statement as supplemented by the Prospectus Supplement, relating to the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w:t>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registration statement pursuant to Rule 430B or 462(b) of the Securities Act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w:t>
      </w:r>
      <w:r>
        <w:rPr>
          <w:rFonts w:ascii="Arial" w:cs="Arial" w:eastAsia="Arial" w:hAnsi="Arial"/>
          <w:sz w:val="17"/>
          <w:szCs w:val="17"/>
          <w:b w:val="1"/>
          <w:bCs w:val="1"/>
          <w:i w:val="1"/>
          <w:iCs w:val="1"/>
          <w:color w:val="auto"/>
        </w:rPr>
        <w:t>issuer free writing prospectus</w:t>
      </w:r>
      <w:r>
        <w:rPr>
          <w:rFonts w:ascii="Arial" w:cs="Arial" w:eastAsia="Arial" w:hAnsi="Arial"/>
          <w:sz w:val="17"/>
          <w:szCs w:val="17"/>
          <w:color w:val="auto"/>
        </w:rPr>
        <w:t>,” as defined in Rule 433 of the Securities Act (</w:t>
      </w:r>
      <w:r>
        <w:rPr>
          <w:rFonts w:ascii="Arial" w:cs="Arial" w:eastAsia="Arial" w:hAnsi="Arial"/>
          <w:sz w:val="17"/>
          <w:szCs w:val="17"/>
          <w:b w:val="1"/>
          <w:bCs w:val="1"/>
          <w:i w:val="1"/>
          <w:iCs w:val="1"/>
          <w:color w:val="auto"/>
        </w:rPr>
        <w:t>“Rule 433”</w:t>
      </w:r>
      <w:r>
        <w:rPr>
          <w:rFonts w:ascii="Arial" w:cs="Arial" w:eastAsia="Arial" w:hAnsi="Arial"/>
          <w:sz w:val="17"/>
          <w:szCs w:val="17"/>
          <w:color w:val="auto"/>
        </w:rPr>
        <w:t xml:space="preserve">), relating to 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 The Company’s obligations under this Agreement to furnish, provide, deliver or make available (and all other references of like import) copies of any filing, report or statement shall be deemed satisfied if the same is filed with the Commission through EDGAR or any successor system.</w:t>
      </w:r>
    </w:p>
    <w:p>
      <w:pPr>
        <w:spacing w:after="0" w:line="74" w:lineRule="exact"/>
        <w:rPr>
          <w:sz w:val="20"/>
          <w:szCs w:val="20"/>
          <w:color w:val="auto"/>
        </w:rPr>
      </w:pPr>
    </w:p>
    <w:p>
      <w:pPr>
        <w:ind w:right="60" w:firstLine="948"/>
        <w:spacing w:after="0" w:line="275" w:lineRule="auto"/>
        <w:tabs>
          <w:tab w:leader="none" w:pos="121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Continuing Effectiveness of Registration Statement</w:t>
      </w:r>
      <w:r>
        <w:rPr>
          <w:rFonts w:ascii="Arial" w:cs="Arial" w:eastAsia="Arial" w:hAnsi="Arial"/>
          <w:sz w:val="17"/>
          <w:szCs w:val="17"/>
          <w:color w:val="auto"/>
        </w:rPr>
        <w:t>. The Company has complied with all requests of the Commission for</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or supplemental information. No stop order suspending the effectiveness of the Registration Statement or any Rule 462(b) Registration Statement, if any, is in effect and no proceedings for such purpose have been instituted or are pending or, to the knowledge of the Company, contemplated or threatened by the Commission. The Company meets the requirements for use of Form S-3 under the Securities Act. The sale of the Shares hereunder meets the requirements of General Instruction I.B.1. of Form S-3.</w:t>
      </w:r>
    </w:p>
    <w:p>
      <w:pPr>
        <w:spacing w:after="0" w:line="68" w:lineRule="exact"/>
        <w:rPr>
          <w:rFonts w:ascii="Arial" w:cs="Arial" w:eastAsia="Arial" w:hAnsi="Arial"/>
          <w:sz w:val="17"/>
          <w:szCs w:val="17"/>
          <w:color w:val="auto"/>
        </w:rPr>
      </w:pPr>
    </w:p>
    <w:p>
      <w:pPr>
        <w:ind w:firstLine="948"/>
        <w:spacing w:after="0" w:line="287" w:lineRule="auto"/>
        <w:tabs>
          <w:tab w:leader="none" w:pos="126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No Material Misstatements or Omissions</w:t>
      </w:r>
      <w:r>
        <w:rPr>
          <w:rFonts w:ascii="Arial" w:cs="Arial" w:eastAsia="Arial" w:hAnsi="Arial"/>
          <w:sz w:val="16"/>
          <w:szCs w:val="16"/>
          <w:color w:val="auto"/>
        </w:rPr>
        <w:t>. The Prospectus when filed complied, and as amended or supplemented, if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will comply in all material respects with the Securities Act. Each of the Registration Statement, any Rule 462(b) Registration Statement, the Prospectus and any post-effective amendments or supplements thereto, at the time it became effective or its date, as applicable, complied in all material respects with the Securities Act, and, as of each effective date, did not and will not contain any untrue statement of a material fact or omit to state a material fact required to be stated therein or necessary to make the statements therein not misleading. The Prospectus, as amended or supplemented, as of its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filed as exhibits to the Registration Statement which have not filed as required.</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274" w:right="479" w:bottom="1440" w:gutter="0" w:footer="0" w:header="0"/>
        </w:sectPr>
      </w:pPr>
    </w:p>
    <w:bookmarkStart w:id="5" w:name="page6"/>
    <w:bookmarkEnd w:id="5"/>
    <w:p>
      <w:pPr>
        <w:ind w:right="80" w:firstLine="948"/>
        <w:spacing w:after="0" w:line="290" w:lineRule="auto"/>
        <w:tabs>
          <w:tab w:leader="none" w:pos="125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Eligible Issuer. </w:t>
      </w:r>
      <w:r>
        <w:rPr>
          <w:rFonts w:ascii="Arial" w:cs="Arial" w:eastAsia="Arial" w:hAnsi="Arial"/>
          <w:sz w:val="16"/>
          <w:szCs w:val="16"/>
          <w:color w:val="auto"/>
        </w:rPr>
        <w:t>The Company is not an “ineligible issuer” in connection with the offering pursuant to Rules 164, 405 and 433</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and electronic road shows, if any, each furnished to the Agent before first use, the Company has not prepared, used or referred to, and will not, without the prior consent of the Agent, prepare, use or refer to, any free writing prospectus.</w:t>
      </w:r>
    </w:p>
    <w:p>
      <w:pPr>
        <w:spacing w:after="0" w:line="57" w:lineRule="exact"/>
        <w:rPr>
          <w:rFonts w:ascii="Arial" w:cs="Arial" w:eastAsia="Arial" w:hAnsi="Arial"/>
          <w:sz w:val="16"/>
          <w:szCs w:val="16"/>
          <w:color w:val="auto"/>
        </w:rPr>
      </w:pPr>
    </w:p>
    <w:p>
      <w:pPr>
        <w:ind w:right="180" w:firstLine="948"/>
        <w:spacing w:after="0" w:line="308" w:lineRule="auto"/>
        <w:tabs>
          <w:tab w:leader="none" w:pos="120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Emerging Growth Company. </w:t>
      </w:r>
      <w:r>
        <w:rPr>
          <w:rFonts w:ascii="Arial" w:cs="Arial" w:eastAsia="Arial" w:hAnsi="Arial"/>
          <w:sz w:val="17"/>
          <w:szCs w:val="17"/>
          <w:color w:val="auto"/>
        </w:rPr>
        <w:t>From the time of initial filing of the Registration Statement to the Commission through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the Company has been and is an “</w:t>
      </w:r>
      <w:r>
        <w:rPr>
          <w:rFonts w:ascii="Arial" w:cs="Arial" w:eastAsia="Arial" w:hAnsi="Arial"/>
          <w:sz w:val="17"/>
          <w:szCs w:val="17"/>
          <w:i w:val="1"/>
          <w:iCs w:val="1"/>
          <w:color w:val="auto"/>
        </w:rPr>
        <w:t>emerging growth company</w:t>
      </w:r>
      <w:r>
        <w:rPr>
          <w:rFonts w:ascii="Arial" w:cs="Arial" w:eastAsia="Arial" w:hAnsi="Arial"/>
          <w:sz w:val="17"/>
          <w:szCs w:val="17"/>
          <w:color w:val="auto"/>
        </w:rPr>
        <w:t>,” as defined in Section 2(a) of the Securities Act.</w:t>
      </w:r>
    </w:p>
    <w:p>
      <w:pPr>
        <w:spacing w:after="0" w:line="38" w:lineRule="exact"/>
        <w:rPr>
          <w:rFonts w:ascii="Arial" w:cs="Arial" w:eastAsia="Arial" w:hAnsi="Arial"/>
          <w:sz w:val="17"/>
          <w:szCs w:val="17"/>
          <w:color w:val="auto"/>
        </w:rPr>
      </w:pPr>
    </w:p>
    <w:p>
      <w:pPr>
        <w:ind w:right="60" w:firstLine="948"/>
        <w:spacing w:after="0" w:line="287" w:lineRule="auto"/>
        <w:tabs>
          <w:tab w:leader="none" w:pos="125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consolidated financial statements of the Company included in the Registration Statement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together with the related notes, present fairly in all material respects the financial position of the Company and its consolidated subsidiaries at the dates indicated and, in the case of the statements of operations, stockholders’ equity and cash flows of the Company and its consolidated subsidiaries, for the periods specified. The consolidated financial statements of the Company included in the Registration Statement and the Prospectus comply in all material respects with the applicable requirements of the Securities Act and have been prepared in conformity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supporting schedules are required to be included or incorporated by reference in the Registration Statement or the Prospectus under the Securities Act and the rules and regulations of the Commission thereunder. All other financial information included in the Registration Statement and the Prospectus has been derived from the accounting records of the Company and its consolidated subsidiaries and presents fairly in all material respects the information shown thereby.</w:t>
      </w:r>
    </w:p>
    <w:p>
      <w:pPr>
        <w:spacing w:after="0" w:line="63" w:lineRule="exact"/>
        <w:rPr>
          <w:rFonts w:ascii="Arial" w:cs="Arial" w:eastAsia="Arial" w:hAnsi="Arial"/>
          <w:sz w:val="16"/>
          <w:szCs w:val="16"/>
          <w:color w:val="auto"/>
        </w:rPr>
      </w:pPr>
    </w:p>
    <w:p>
      <w:pPr>
        <w:ind w:right="20" w:firstLine="948"/>
        <w:spacing w:after="0" w:line="263" w:lineRule="auto"/>
        <w:tabs>
          <w:tab w:leader="none" w:pos="130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Auditor Independence. </w:t>
      </w:r>
      <w:r>
        <w:rPr>
          <w:rFonts w:ascii="Arial" w:cs="Arial" w:eastAsia="Arial" w:hAnsi="Arial"/>
          <w:sz w:val="18"/>
          <w:szCs w:val="18"/>
          <w:color w:val="auto"/>
        </w:rPr>
        <w:t>Ernst &amp; Young LLP, which has certified certain financial statements of the Company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is an independent registered public accounting firm as required by the Securities Act and the rules and regulations of the Commission thereunder and the rules and regulations of the Public Company Accounting Oversight Board (United States).</w:t>
      </w:r>
    </w:p>
    <w:p>
      <w:pPr>
        <w:spacing w:after="0" w:line="75" w:lineRule="exact"/>
        <w:rPr>
          <w:rFonts w:ascii="Arial" w:cs="Arial" w:eastAsia="Arial" w:hAnsi="Arial"/>
          <w:sz w:val="18"/>
          <w:szCs w:val="18"/>
          <w:color w:val="auto"/>
        </w:rPr>
      </w:pPr>
    </w:p>
    <w:p>
      <w:pPr>
        <w:ind w:firstLine="948"/>
        <w:spacing w:after="0" w:line="271" w:lineRule="auto"/>
        <w:tabs>
          <w:tab w:leader="none" w:pos="135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has been duly incorporated, is validly existing as a corporation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State of Delaware, has the corporate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Each of the Company’s subsidiaries has been duly organized, is validly existing and in good standing under the laws of the applicable jurisdiction of organization, has the corporate power and authority to own its property and to conduct its business as described in the Prospectus and is duly qualified to transact business and is in good standing in each jurisdiction in which the conduct of its business</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6" w:name="page7"/>
    <w:bookmarkEnd w:id="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its ownership or leasing of property requires such qualification, except to the extent that the failure to be so qualified or be in good standing would not reasonably be expected to have a material adverse effect on the Company and its subsidiaries, taken as a whole. The Company does not, directly or indirectly, own capital stock or other equity or ownership or proprietary interests in any corporation, partnership, association, trust or other entity other than the subsidiaries listed in Exhibit 21.1 to the most recent annual report on Form 10-K and incorporated by reference in the Registration Statement and the Prospectus.</w:t>
      </w:r>
    </w:p>
    <w:p>
      <w:pPr>
        <w:spacing w:after="0" w:line="80" w:lineRule="exact"/>
        <w:rPr>
          <w:sz w:val="20"/>
          <w:szCs w:val="20"/>
          <w:color w:val="auto"/>
        </w:rPr>
      </w:pPr>
    </w:p>
    <w:p>
      <w:pPr>
        <w:ind w:right="280" w:firstLine="948"/>
        <w:spacing w:after="0" w:line="277" w:lineRule="auto"/>
        <w:tabs>
          <w:tab w:leader="none" w:pos="12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Neither the Company nor its subsidiaries have any securities rated by any “nationally recognized statistical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as such term is defined in Section 3(a)(62) of the Exchange Act.</w:t>
      </w:r>
    </w:p>
    <w:p>
      <w:pPr>
        <w:spacing w:after="0" w:line="62" w:lineRule="exact"/>
        <w:rPr>
          <w:rFonts w:ascii="Arial" w:cs="Arial" w:eastAsia="Arial" w:hAnsi="Arial"/>
          <w:sz w:val="18"/>
          <w:szCs w:val="18"/>
          <w:color w:val="auto"/>
        </w:rPr>
      </w:pPr>
    </w:p>
    <w:p>
      <w:pPr>
        <w:jc w:val="both"/>
        <w:ind w:right="180" w:firstLine="948"/>
        <w:spacing w:after="0" w:line="259" w:lineRule="auto"/>
        <w:tabs>
          <w:tab w:leader="none" w:pos="120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All shares of the Company outstanding prior to the issuance of the Shares have been duly authorized and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are fully paid and non-assessable. All of the issued shares of capital stock of each subsidiary of the Company have been duly and validly authorized and issued, are fully paid and non-assessable and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right="140" w:firstLine="948"/>
        <w:spacing w:after="0" w:line="311" w:lineRule="auto"/>
        <w:tabs>
          <w:tab w:leader="none" w:pos="12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Due Authorization, Valid Issuance and Non-Assessiblity of Shares</w:t>
      </w:r>
      <w:r>
        <w:rPr>
          <w:rFonts w:ascii="Arial" w:cs="Arial" w:eastAsia="Arial" w:hAnsi="Arial"/>
          <w:sz w:val="16"/>
          <w:szCs w:val="16"/>
          <w:color w:val="auto"/>
        </w:rPr>
        <w:t>. The Shares to be issued and sold by the Company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duly authorized and, upon payment and delivery of such Shares in accordance with this Agreement, will be validly issued, fully paid and non-assessable, and the issuance of such Shares will not be subject to any preemptive or similar rights that have not been validly waived.</w:t>
      </w:r>
    </w:p>
    <w:p>
      <w:pPr>
        <w:spacing w:after="0" w:line="40" w:lineRule="exact"/>
        <w:rPr>
          <w:rFonts w:ascii="Arial" w:cs="Arial" w:eastAsia="Arial" w:hAnsi="Arial"/>
          <w:sz w:val="16"/>
          <w:szCs w:val="16"/>
          <w:color w:val="auto"/>
        </w:rPr>
      </w:pPr>
    </w:p>
    <w:p>
      <w:pPr>
        <w:ind w:left="1300" w:hanging="35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Authority to Enter into this Agreement</w:t>
      </w:r>
      <w:r>
        <w:rPr>
          <w:rFonts w:ascii="Arial" w:cs="Arial" w:eastAsia="Arial" w:hAnsi="Arial"/>
          <w:sz w:val="17"/>
          <w:szCs w:val="17"/>
          <w:color w:val="auto"/>
        </w:rPr>
        <w:t>. This Agreement has been duly and validly authorized, executed and delivered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02" w:lineRule="exact"/>
        <w:rPr>
          <w:rFonts w:ascii="Arial" w:cs="Arial" w:eastAsia="Arial" w:hAnsi="Arial"/>
          <w:sz w:val="17"/>
          <w:szCs w:val="17"/>
          <w:color w:val="auto"/>
        </w:rPr>
      </w:pPr>
    </w:p>
    <w:p>
      <w:pPr>
        <w:ind w:firstLine="948"/>
        <w:spacing w:after="0" w:line="271" w:lineRule="auto"/>
        <w:tabs>
          <w:tab w:leader="none" w:pos="135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Neither the execution and delivery by the Company of, and the performance by the Company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this Agreement, nor the issuance and sale of the Shares, will (A) contravene any provision of applicable law, (B) contravene any provision of the certificate of incorporation or by-laws of the Company, (C) conflict with or result in a breach or violation of any of the terms or provisions of, or constitute a default under, any agreement or other instrument binding upon the Company or its subsidiaries that is material to the Company and its subsidiaries, taken as a whole, or (D) result in any violation of any judgment, order or decree of any governmental body, agency or court having jurisdiction over the Company or its subsidiaries, except, in the case of clause (A) and (C), as would not, individually or in the aggregate, reasonably be expected to have a material adverse effect on the Company and its subsidiaries, taken as a whole, or on the power and ability of the Company to perform its obligations under this Agreement.</w:t>
      </w:r>
    </w:p>
    <w:p>
      <w:pPr>
        <w:spacing w:after="0" w:line="70" w:lineRule="exact"/>
        <w:rPr>
          <w:rFonts w:ascii="Arial" w:cs="Arial" w:eastAsia="Arial" w:hAnsi="Arial"/>
          <w:sz w:val="17"/>
          <w:szCs w:val="17"/>
          <w:color w:val="auto"/>
        </w:rPr>
      </w:pPr>
    </w:p>
    <w:p>
      <w:pPr>
        <w:ind w:right="40" w:firstLine="948"/>
        <w:spacing w:after="0" w:line="275" w:lineRule="auto"/>
        <w:tabs>
          <w:tab w:leader="none" w:pos="134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Consent or Approval Required</w:t>
      </w:r>
      <w:r>
        <w:rPr>
          <w:rFonts w:ascii="Arial" w:cs="Arial" w:eastAsia="Arial" w:hAnsi="Arial"/>
          <w:sz w:val="17"/>
          <w:szCs w:val="17"/>
          <w:color w:val="auto"/>
        </w:rPr>
        <w:t>. No consent, approval, authorization or order of, or qualification with, any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body or agency is required for the issue and sale of the Shares or for the performance by the Company of its obligations under this Agreement, except (A) for the registration of the Shares under the Securities Act and (B) such as have already been obtained or made or as may be required by the securities or Blue Sky laws of the various states or the rules and regulations of the Financial Industry Regulatory Authority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or the Nasdaq Global Market in connection with the offer and sale of the Shares.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7" w:name="page8"/>
    <w:bookmarkEnd w:id="7"/>
    <w:p>
      <w:pPr>
        <w:ind w:left="4" w:right="60" w:firstLine="948"/>
        <w:spacing w:after="0" w:line="270"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Internal Controls. </w:t>
      </w:r>
      <w:r>
        <w:rPr>
          <w:rFonts w:ascii="Arial" w:cs="Arial" w:eastAsia="Arial" w:hAnsi="Arial"/>
          <w:sz w:val="17"/>
          <w:szCs w:val="17"/>
          <w:color w:val="auto"/>
        </w:rPr>
        <w:t>The Company and its subsidiaries maintain a system of internal accounting controls sufficient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72" w:lineRule="exact"/>
        <w:rPr>
          <w:rFonts w:ascii="Arial" w:cs="Arial" w:eastAsia="Arial" w:hAnsi="Arial"/>
          <w:sz w:val="17"/>
          <w:szCs w:val="17"/>
          <w:color w:val="auto"/>
        </w:rPr>
      </w:pPr>
    </w:p>
    <w:p>
      <w:pPr>
        <w:ind w:left="4" w:right="60" w:firstLine="948"/>
        <w:spacing w:after="0" w:line="263" w:lineRule="auto"/>
        <w:tabs>
          <w:tab w:leader="none" w:pos="135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eXtensible Business Reporting Language</w:t>
      </w:r>
      <w:r>
        <w:rPr>
          <w:rFonts w:ascii="Arial" w:cs="Arial" w:eastAsia="Arial" w:hAnsi="Arial"/>
          <w:sz w:val="18"/>
          <w:szCs w:val="18"/>
          <w:color w:val="auto"/>
        </w:rPr>
        <w:t>. The interactive data in eXtensible Business Reporting Language included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left="4" w:right="60" w:firstLine="948"/>
        <w:spacing w:after="0" w:line="259" w:lineRule="auto"/>
        <w:tabs>
          <w:tab w:leader="none" w:pos="14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w:t>
      </w:r>
      <w:r>
        <w:rPr>
          <w:rFonts w:ascii="Arial" w:cs="Arial" w:eastAsia="Arial" w:hAnsi="Arial"/>
          <w:sz w:val="18"/>
          <w:szCs w:val="18"/>
          <w:color w:val="auto"/>
        </w:rPr>
        <w:t>The Company maintains disclosure controls and procedures (as such term is defined in Rule 13a-15(e)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designed to comply with the requirements of the Exchange Act applicable to the Company. Such disclosure controls and procedures have been designed to ensure that material information relating to the Company is made known to the Company’s principal executive officer and principal financial officer by others within the Company.</w:t>
      </w:r>
    </w:p>
    <w:p>
      <w:pPr>
        <w:spacing w:after="0" w:line="78" w:lineRule="exact"/>
        <w:rPr>
          <w:rFonts w:ascii="Arial" w:cs="Arial" w:eastAsia="Arial" w:hAnsi="Arial"/>
          <w:sz w:val="18"/>
          <w:szCs w:val="18"/>
          <w:color w:val="auto"/>
        </w:rPr>
      </w:pPr>
    </w:p>
    <w:p>
      <w:pPr>
        <w:ind w:left="4" w:right="60" w:firstLine="948"/>
        <w:spacing w:after="0" w:line="285" w:lineRule="auto"/>
        <w:tabs>
          <w:tab w:leader="none" w:pos="145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Exceptions</w:t>
      </w:r>
      <w:r>
        <w:rPr>
          <w:rFonts w:ascii="Arial" w:cs="Arial" w:eastAsia="Arial" w:hAnsi="Arial"/>
          <w:sz w:val="16"/>
          <w:szCs w:val="16"/>
          <w:color w:val="auto"/>
        </w:rPr>
        <w:t>. Subsequent to the respective dates as of which information is given in each of the Registration Statement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 the Company and its subsidiaries have not incurred any material liability or obligation, direct or contingent, nor entered into any material transaction; (B) the Company has not purchased any of its outstanding capital stock (other than from its employees or other service providers in connection with termination of such individuals’ service to the Company pursuant to plans or agreements, as applicable), nor declared, paid or otherwise made any dividend or distribution of any kind on its capital stock other than ordinary and customary dividends; and</w:t>
      </w:r>
    </w:p>
    <w:p>
      <w:pPr>
        <w:spacing w:after="0" w:line="1" w:lineRule="exact"/>
        <w:rPr>
          <w:rFonts w:ascii="Arial" w:cs="Arial" w:eastAsia="Arial" w:hAnsi="Arial"/>
          <w:sz w:val="16"/>
          <w:szCs w:val="16"/>
          <w:color w:val="auto"/>
        </w:rPr>
      </w:pPr>
    </w:p>
    <w:p>
      <w:pPr>
        <w:ind w:left="4" w:right="160" w:hanging="4"/>
        <w:spacing w:after="0" w:line="260" w:lineRule="auto"/>
        <w:tabs>
          <w:tab w:leader="none" w:pos="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not been any material change in the capital stock, short-term debt or long-term debt of the Company and its subsidiaries, except in each case as described in each of the Registration Statement and the Prospectus, respectively.</w:t>
      </w:r>
    </w:p>
    <w:p>
      <w:pPr>
        <w:spacing w:after="0" w:line="77" w:lineRule="exact"/>
        <w:rPr>
          <w:rFonts w:ascii="Arial" w:cs="Arial" w:eastAsia="Arial" w:hAnsi="Arial"/>
          <w:sz w:val="18"/>
          <w:szCs w:val="18"/>
          <w:color w:val="auto"/>
        </w:rPr>
      </w:pPr>
    </w:p>
    <w:p>
      <w:pPr>
        <w:ind w:left="4" w:right="20" w:firstLine="948"/>
        <w:spacing w:after="0" w:line="271" w:lineRule="auto"/>
        <w:tabs>
          <w:tab w:leader="none" w:pos="135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Valid Title. </w:t>
      </w:r>
      <w:r>
        <w:rPr>
          <w:rFonts w:ascii="Arial" w:cs="Arial" w:eastAsia="Arial" w:hAnsi="Arial"/>
          <w:sz w:val="17"/>
          <w:szCs w:val="17"/>
          <w:color w:val="auto"/>
        </w:rPr>
        <w:t>Except as described in the Prospectus, the Company and each of its subsidiaries do not own any real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good and marketable title to all personal property owned by them which is material to the business of the Company and its subsidiaries, in each case free and clear of all liens, encumbrances and defects, except such as are described in the Prospectus or such as do not materially affect the value of such property and do not interfere in any material respect with the use made and proposed to be made of such property by the Company and its subsidiaries; and any real property and buildings held under lease by the Company and each of its subsidiaries are held by them, as applicable, under valid, subsisting and, to the Company’s knowledge, enforceable leases with such exceptions as are not material and do not interfere in any material respect with the use made and proposed to be made of such property and buildings by the Company and each of its subsidiaries, in each case except as described in the Prospectus.</w:t>
      </w:r>
    </w:p>
    <w:p>
      <w:pPr>
        <w:spacing w:after="0" w:line="70" w:lineRule="exact"/>
        <w:rPr>
          <w:rFonts w:ascii="Arial" w:cs="Arial" w:eastAsia="Arial" w:hAnsi="Arial"/>
          <w:sz w:val="17"/>
          <w:szCs w:val="17"/>
          <w:color w:val="auto"/>
        </w:rPr>
      </w:pPr>
    </w:p>
    <w:p>
      <w:pPr>
        <w:jc w:val="both"/>
        <w:ind w:left="4" w:firstLine="948"/>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Except as described in the Registration Statement or Prospectus, the Company and each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own or have a valid license to all patents and patent applications,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color w:val="auto"/>
        </w:rPr>
        <w:t>”) used in or reasonably</w:t>
      </w:r>
    </w:p>
    <w:p>
      <w:pPr>
        <w:spacing w:after="0" w:line="119"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4"/>
          </w:cols>
          <w:pgMar w:left="876" w:top="274" w:right="519" w:bottom="1440" w:gutter="0" w:footer="0" w:header="0"/>
        </w:sectPr>
      </w:pPr>
    </w:p>
    <w:bookmarkStart w:id="8" w:name="page9"/>
    <w:bookmarkEnd w:id="8"/>
    <w:p>
      <w:pPr>
        <w:ind w:left="4"/>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for the conduct of the Company’s and it subsidiaries’ businesses in the manner described in the Registration Statement and the Prospectus. Furthermore, except as described in the Registration Statement or Prospectus, (A) the Intellectual Property Rights owned by the Company and each of its subsidiaries and, to the Company’s knowledge, the Intellectual Property Rights licensed to the Company and each of its subsidiaries, are valid, subsisting and enforceable, and there is no pending or, to the Company’s knowledge, threatened action, suit, proceeding or claim by others challenging the validity, scope, inventorship, ownership or enforceability of any such Intellectual Property Rights; (B) neither the Company nor any of its subsidiaries has received any notice alleging any infringement, misappropriation or other violation of Intellectual Property Rights; (C) to the Company’s knowledge, no third party is infringing, misappropriating or otherwise violating, or has infringed, misappropriated or otherwise violated, any Intellectual Property Rights owned by the Company that would materially adversely affect the Company and each of its subsidiaries, taken as a whole; (D) neither the Company nor any of its subsidiaries infringes, misappropriates or otherwise violates (including, if the Company’s product candidates described in the Prospectus were manufactured, marketed, used or sold as of the date hereof) in any material respect, or has infringed, misappropriated or otherwise violated, any right or valid patent claim of any third party in any material respect; (E) all employees, consultants or contractors engaged in the development of Intellectual Property Rights on behalf of the Company or any of its subsidiaries have executed an invention assignment agreement whereby such employees, consultants or contractors presently assign all of their right, title and interest in and to such Intellectual Property Rights to the Company or any of its subsidiaries, and to the Company’s knowledge no such agreement has been breached or violated in any material respect; (F) the Company and each of its subsidiaries use, and have used, commercially reasonable efforts to appropriately maintain all information intended to be maintained as a trade secret; (G) to the knowledge of the Company, none of the Intellectual Property Rights of the Company have been obtained or are being used by the Company in material violation of any contractual obligation binding on the Company or, to the knowledge of the Company, upon any of its officers, consultants, directors or employees; (H) the Intellectual Property Rights owned or purported to be owned by the Company are free and clear of all material liens or encumbrances; (I) no third party, including any academic or governmental organization, possesses rights to the Intellectual Property Rights of the Company which, if exercised, could enable such party to develop, market or sell products competitive with those of the Company or to license a third party to so develop, market or sell products competitive with those of the Company; (J) except as described in the Prospectus, the Company is not obligated to pay a material royalty, grant a license to, obtain a license from or provide other material consideration to any third party in connection with the Intellectual Property Rights of the Company; and (K) all patents and patent applications owned by or licensed to the Company and included within the Intellectual Property Rights, to the knowledge of the Company, have been duly and properly filed, prosecuted and maintained.</w:t>
      </w:r>
    </w:p>
    <w:p>
      <w:pPr>
        <w:spacing w:after="0" w:line="91" w:lineRule="exact"/>
        <w:rPr>
          <w:sz w:val="20"/>
          <w:szCs w:val="20"/>
          <w:color w:val="auto"/>
        </w:rPr>
      </w:pPr>
    </w:p>
    <w:p>
      <w:pPr>
        <w:ind w:left="4" w:firstLine="948"/>
        <w:spacing w:after="0" w:line="284" w:lineRule="auto"/>
        <w:tabs>
          <w:tab w:leader="none" w:pos="135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Compliance with Health Care Laws</w:t>
      </w:r>
      <w:r>
        <w:rPr>
          <w:rFonts w:ascii="Arial" w:cs="Arial" w:eastAsia="Arial" w:hAnsi="Arial"/>
          <w:sz w:val="16"/>
          <w:szCs w:val="16"/>
          <w:color w:val="auto"/>
        </w:rPr>
        <w:t>. The Company and its subsidiaries (A) are and at all times have been,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in compliance with all statutes, rules, and regulations applicable to the ownership, research, testing, development, manufacture, packaging, processing, use, storage, import, export or disposal of any product candidates of the Company or its subsidiaries, including, without limitation, the Federal Food, Drug and Cosmetic Act (21 U.S.C.§ 301 et seq.), the regulations promulgated pursuant to such laws, and any successor government programs, and comparable state laws, and all other local, state, federal, and foreign laws, rules, regulations, policies and final administrative guidance relating to the regulation of the Company (collectively, the “</w:t>
      </w:r>
      <w:r>
        <w:rPr>
          <w:rFonts w:ascii="Arial" w:cs="Arial" w:eastAsia="Arial" w:hAnsi="Arial"/>
          <w:sz w:val="16"/>
          <w:szCs w:val="16"/>
          <w:b w:val="1"/>
          <w:bCs w:val="1"/>
          <w:i w:val="1"/>
          <w:iCs w:val="1"/>
          <w:color w:val="auto"/>
        </w:rPr>
        <w:t>Applicable Regulatory Laws</w:t>
      </w:r>
      <w:r>
        <w:rPr>
          <w:rFonts w:ascii="Arial" w:cs="Arial" w:eastAsia="Arial" w:hAnsi="Arial"/>
          <w:sz w:val="16"/>
          <w:szCs w:val="16"/>
          <w:color w:val="auto"/>
        </w:rPr>
        <w:t>”); (B) possess all licenses, exemptions, certificates, approvals, consents, clearances, authorizations, permits, registrations and supplements or amendments thereto required by any such Applicable Regulatory Laws (“</w:t>
      </w:r>
      <w:r>
        <w:rPr>
          <w:rFonts w:ascii="Arial" w:cs="Arial" w:eastAsia="Arial" w:hAnsi="Arial"/>
          <w:sz w:val="16"/>
          <w:szCs w:val="16"/>
          <w:b w:val="1"/>
          <w:bCs w:val="1"/>
          <w:i w:val="1"/>
          <w:iCs w:val="1"/>
          <w:color w:val="auto"/>
        </w:rPr>
        <w:t>Regulatory Authorizations</w:t>
      </w:r>
      <w:r>
        <w:rPr>
          <w:rFonts w:ascii="Arial" w:cs="Arial" w:eastAsia="Arial" w:hAnsi="Arial"/>
          <w:sz w:val="16"/>
          <w:szCs w:val="16"/>
          <w:color w:val="auto"/>
        </w:rPr>
        <w:t>”) and such Regulatory Authorizations are valid and in full force and effect;</w:t>
      </w:r>
    </w:p>
    <w:p>
      <w:pPr>
        <w:ind w:left="284" w:hanging="284"/>
        <w:spacing w:after="0"/>
        <w:tabs>
          <w:tab w:leader="none" w:pos="2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compliance, in all material respects, with and are not in violation of, or in default under, any such Regulatory Authorization, and to the Company’s knowledge, no event has occurred which allows, or after notice or lapse of time would allow, revocation, termination or modification of any Regulatory Authorization or result in any other material impairment of the rights of the holder of any Regulatory Authorization, and the Company does not have any reason to believe that any Regulatory Authorization will not be renewed in the ordinary course; (D) have not received written notice that any court or arbitrator or governmental or regulatory authority has taken, is taking, or intends to take action to limit, suspend, modify or revoke any Regulatory Authorizations nor, to the Company’s knowledge, is any such limitation, suspension, modification or revocation threatened; (E) have not received any notice of any claim, action, suit, proceeding, hearing, enforcement, investigation, arbitration or other action, or any U.S.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Form 483, notice of adverse finding, warning letter, untitled letter or other communication from any court or arbitrator or governmental or regulatory authority alleging or asserting non-compliance with any Applicable Regulatory Laws or Regulatory Authorizations, nor, to the Company’s knowledge, is any such claim, action, suit, proceeding, hearing, enforcement, investigation, arbitration or other action or communication threatened; (F) have filed, obtained, maintained or submitted all material reports, documents, forms, notices, applications, records, claims, submissions and supplements or amendments as required by any Applicable Regulatory Laws or Regulatory Authorizations, and all such reports, documents, forms, notices, applications, records, claims, submissions and supplements or amendments were complete and accurate on the date filed in all material respects (or were corrected or supplemented by a subsequent submission); and (G) are not a party to any corporate integrity agreements, monitoring agreements, consent decrees, settlement orders, or similar agreements with or imposed by any governmental or regulatory authority. Except as described in the Registration Statement or Prospectus, none of the Company’s or its subsidiaries’ product candidates has received marketing approval from any Regulatory Authority.</w:t>
      </w:r>
    </w:p>
    <w:p>
      <w:pPr>
        <w:spacing w:after="0" w:line="66" w:lineRule="exact"/>
        <w:rPr>
          <w:sz w:val="20"/>
          <w:szCs w:val="20"/>
          <w:color w:val="auto"/>
        </w:rPr>
      </w:pPr>
    </w:p>
    <w:p>
      <w:pPr>
        <w:ind w:right="40" w:firstLine="948"/>
        <w:spacing w:after="0" w:line="269" w:lineRule="auto"/>
        <w:tabs>
          <w:tab w:leader="none" w:pos="139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All clinical and pre-clinical trials conducted by or on behalf of, or sponsored by, the Company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in which the Company or its subsidiaries have participated, that are described or referred to in the Registration Statement and the Prospectus were and, if still pending, are being conducted, in all material respects, in compliance with the experimental protocols established for such trials, with accepted medical and scientific standards, and with all Applicable Regulatory Laws, including regulations relating to Good Clinical Practices and Good Laboratory Practices, and all Regulatory Authorizations. The descriptions of the clinical and pre-clinical trials, including the results thereof, contained in the Registration Statement and the Prospectus are accurate and complete in all material respects and fairly present the data derived from such trials in all material respects; and neither the Company nor its subsidiaries are aware of any other clinical or pre-clinical trials, the results of which reasonably call into question the results described in the Registration Statement and the Prospectus. Neither the Company nor its subsidiaries have received any notices or correspondence from FDA or similar foreign, state, and local governmental or regulatory authorities or institutional review boards or comparable authorities requiring the termination, suspension, material modification or clinical hold of any clinical or pre-clinical trials conducted by or on behalf of the Company, and to the Company’s knowledge, there are no reasonable grounds for the same.</w:t>
      </w:r>
    </w:p>
    <w:p>
      <w:pPr>
        <w:spacing w:after="0" w:line="70" w:lineRule="exact"/>
        <w:rPr>
          <w:rFonts w:ascii="Arial" w:cs="Arial" w:eastAsia="Arial" w:hAnsi="Arial"/>
          <w:sz w:val="17"/>
          <w:szCs w:val="17"/>
          <w:color w:val="auto"/>
        </w:rPr>
      </w:pPr>
    </w:p>
    <w:p>
      <w:pPr>
        <w:ind w:right="60" w:firstLine="948"/>
        <w:spacing w:after="0" w:line="255" w:lineRule="auto"/>
        <w:tabs>
          <w:tab w:leader="none" w:pos="144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Absence of Legal or Governmental Proceedings. </w:t>
      </w:r>
      <w:r>
        <w:rPr>
          <w:rFonts w:ascii="Arial" w:cs="Arial" w:eastAsia="Arial" w:hAnsi="Arial"/>
          <w:sz w:val="18"/>
          <w:szCs w:val="18"/>
          <w:color w:val="auto"/>
        </w:rPr>
        <w:t>There are no legal or governmental proceedings pending or, to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threatened to which the Company or its subsidiaries is a party or to which any of the properties of the Company or its subsidiaries is subject (A) other than proceedings described in the Prospectus and proceedings that, singly or in the aggregate, would not have a material adverse effect on the Company and its subsidiaries, taken as a whole, or on the power or ability of the Company to perform its obligations under this Agreement or to consummate the transactions contemplated by the Prospectus or (B) that are required to be described in the Registration Statement or the Prospectus and are not so described.</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right="280" w:firstLine="948"/>
        <w:spacing w:after="0" w:line="342" w:lineRule="auto"/>
        <w:tabs>
          <w:tab w:leader="none" w:pos="143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Contracts. </w:t>
      </w:r>
      <w:r>
        <w:rPr>
          <w:rFonts w:ascii="Arial" w:cs="Arial" w:eastAsia="Arial" w:hAnsi="Arial"/>
          <w:sz w:val="16"/>
          <w:szCs w:val="16"/>
          <w:color w:val="auto"/>
        </w:rPr>
        <w:t>There are no statutes, regulations, contracts or other documents that are required to be described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the Prospectus or to be filed as exhibits to the Registration Statement that are not described or filed as required.</w:t>
      </w:r>
    </w:p>
    <w:p>
      <w:pPr>
        <w:spacing w:after="0" w:line="15" w:lineRule="exact"/>
        <w:rPr>
          <w:rFonts w:ascii="Arial" w:cs="Arial" w:eastAsia="Arial" w:hAnsi="Arial"/>
          <w:sz w:val="16"/>
          <w:szCs w:val="16"/>
          <w:color w:val="auto"/>
        </w:rPr>
      </w:pPr>
    </w:p>
    <w:p>
      <w:pPr>
        <w:ind w:right="20" w:firstLine="948"/>
        <w:spacing w:after="0" w:line="293" w:lineRule="auto"/>
        <w:tabs>
          <w:tab w:leader="none" w:pos="138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and each of its subsidiaries are insured by insurers of recognized financial responsibility against such</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risks and in such amounts as, in the Company’s judgment,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its subsidiaries, taken as a whole, except as described in the Prospectus.</w:t>
      </w:r>
    </w:p>
    <w:p>
      <w:pPr>
        <w:spacing w:after="0" w:line="56" w:lineRule="exact"/>
        <w:rPr>
          <w:rFonts w:ascii="Arial" w:cs="Arial" w:eastAsia="Arial" w:hAnsi="Arial"/>
          <w:sz w:val="16"/>
          <w:szCs w:val="16"/>
          <w:color w:val="auto"/>
        </w:rPr>
      </w:pPr>
    </w:p>
    <w:p>
      <w:pPr>
        <w:jc w:val="both"/>
        <w:ind w:firstLine="948"/>
        <w:spacing w:after="0" w:line="259" w:lineRule="auto"/>
        <w:tabs>
          <w:tab w:leader="none" w:pos="143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 Labor Dispute</w:t>
      </w:r>
      <w:r>
        <w:rPr>
          <w:rFonts w:ascii="Arial" w:cs="Arial" w:eastAsia="Arial" w:hAnsi="Arial"/>
          <w:sz w:val="18"/>
          <w:szCs w:val="18"/>
          <w:color w:val="auto"/>
        </w:rPr>
        <w:t>. No material labor dispute with the employees of the Company or its subsidiaries exists, except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Prospectus, or, to the knowledge of the Company, is imminent; and the Company is not aware of any existing, threatened or imminent labor disturbance by the employees of any of its principal suppliers, manufacturers or contractors that could have a material adverse effect on the Company and any of its subsidiaries, taken as a whole.</w:t>
      </w:r>
    </w:p>
    <w:p>
      <w:pPr>
        <w:spacing w:after="0" w:line="78" w:lineRule="exact"/>
        <w:rPr>
          <w:rFonts w:ascii="Arial" w:cs="Arial" w:eastAsia="Arial" w:hAnsi="Arial"/>
          <w:sz w:val="18"/>
          <w:szCs w:val="18"/>
          <w:color w:val="auto"/>
        </w:rPr>
      </w:pPr>
    </w:p>
    <w:p>
      <w:pPr>
        <w:ind w:right="120" w:firstLine="948"/>
        <w:spacing w:after="0" w:line="269" w:lineRule="auto"/>
        <w:tabs>
          <w:tab w:leader="none" w:pos="148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Environmental Laws. </w:t>
      </w:r>
      <w:r>
        <w:rPr>
          <w:rFonts w:ascii="Arial" w:cs="Arial" w:eastAsia="Arial" w:hAnsi="Arial"/>
          <w:sz w:val="17"/>
          <w:szCs w:val="17"/>
          <w:color w:val="auto"/>
        </w:rPr>
        <w:t>The Company and each of its subsidiaries (A) are in compliance with any and all applicable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have a material adverse effect on the Company and its subsidiaries, taken as a whole.</w:t>
      </w:r>
    </w:p>
    <w:p>
      <w:pPr>
        <w:spacing w:after="0" w:line="73" w:lineRule="exact"/>
        <w:rPr>
          <w:rFonts w:ascii="Arial" w:cs="Arial" w:eastAsia="Arial" w:hAnsi="Arial"/>
          <w:sz w:val="17"/>
          <w:szCs w:val="17"/>
          <w:color w:val="auto"/>
        </w:rPr>
      </w:pPr>
    </w:p>
    <w:p>
      <w:pPr>
        <w:ind w:firstLine="948"/>
        <w:spacing w:after="0" w:line="271" w:lineRule="auto"/>
        <w:tabs>
          <w:tab w:leader="none" w:pos="153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filed all federal, state, local and foreign tax returns required to be filed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this Agreement or have requested extensions thereof (except where the failure to file would not, individually or in the aggregate, reasonably be expected to have a material adverse effect)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except as set forth in the Prospectus, no tax deficiency has been determined adversely to the Company or its subsidiaries which has had (nor does the Company nor its subsidiaries have any notice or knowledge of any tax deficiency which would reasonably be expected to be determined adversely to the Company or its subsidiaries and which would reasonably be expected to have) a material adverse effect.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1" w:name="page12"/>
    <w:bookmarkEnd w:id="11"/>
    <w:p>
      <w:pPr>
        <w:ind w:right="40" w:firstLine="948"/>
        <w:spacing w:after="0" w:line="293" w:lineRule="auto"/>
        <w:tabs>
          <w:tab w:leader="none" w:pos="143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ERISA Compliance. </w:t>
      </w:r>
      <w:r>
        <w:rPr>
          <w:rFonts w:ascii="Arial" w:cs="Arial" w:eastAsia="Arial" w:hAnsi="Arial"/>
          <w:sz w:val="16"/>
          <w:szCs w:val="16"/>
          <w:color w:val="auto"/>
        </w:rPr>
        <w:t>Except (A) as described in the Prospectus or (B) as would not, singly or in the aggregate, reasonably be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have a material adverse effect on the Company and its subsidiaries, taken as a whole, each employee benefit plan, within the meaning of Section 3(3)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sponsors or maintains has been maintained, in all material respects, in compliance with its terms and the requirements of any applicable statutes, orders, rules and regulations, including but not limited to ERISA and the Code.</w:t>
      </w:r>
    </w:p>
    <w:p>
      <w:pPr>
        <w:spacing w:after="0" w:line="56" w:lineRule="exact"/>
        <w:rPr>
          <w:rFonts w:ascii="Arial" w:cs="Arial" w:eastAsia="Arial" w:hAnsi="Arial"/>
          <w:sz w:val="16"/>
          <w:szCs w:val="16"/>
          <w:color w:val="auto"/>
        </w:rPr>
      </w:pPr>
    </w:p>
    <w:p>
      <w:pPr>
        <w:ind w:right="380" w:firstLine="948"/>
        <w:spacing w:after="0" w:line="263" w:lineRule="auto"/>
        <w:tabs>
          <w:tab w:leader="none" w:pos="138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Not an Investment Company. </w:t>
      </w:r>
      <w:r>
        <w:rPr>
          <w:rFonts w:ascii="Arial" w:cs="Arial" w:eastAsia="Arial" w:hAnsi="Arial"/>
          <w:sz w:val="18"/>
          <w:szCs w:val="18"/>
          <w:color w:val="auto"/>
        </w:rPr>
        <w:t>The Company is not, and after giving effect to the offering and sale of the Shares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the proceeds thereof as described in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right="160" w:firstLine="948"/>
        <w:spacing w:after="0" w:line="257" w:lineRule="auto"/>
        <w:tabs>
          <w:tab w:leader="none" w:pos="143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Except as described in the Prospectus, there are no contracts, agreements or understandings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all such rights have been validly waived or complied with in connection with the issuance and sales of the Shares contemplated hereby.</w:t>
      </w:r>
    </w:p>
    <w:p>
      <w:pPr>
        <w:spacing w:after="0" w:line="79" w:lineRule="exact"/>
        <w:rPr>
          <w:rFonts w:ascii="Arial" w:cs="Arial" w:eastAsia="Arial" w:hAnsi="Arial"/>
          <w:sz w:val="18"/>
          <w:szCs w:val="18"/>
          <w:color w:val="auto"/>
        </w:rPr>
      </w:pPr>
    </w:p>
    <w:p>
      <w:pPr>
        <w:ind w:firstLine="948"/>
        <w:spacing w:after="0" w:line="269" w:lineRule="auto"/>
        <w:tabs>
          <w:tab w:leader="none" w:pos="148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(A) None of the Company, its subsidiaries or the Company’s controlled affiliates, or any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or, to the Company’s knowledge, any agent, representative or employee of the Company, its subsidiaries or the Company’s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(B)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0" w:lineRule="exact"/>
        <w:rPr>
          <w:rFonts w:ascii="Arial" w:cs="Arial" w:eastAsia="Arial" w:hAnsi="Arial"/>
          <w:sz w:val="17"/>
          <w:szCs w:val="17"/>
          <w:color w:val="auto"/>
        </w:rPr>
      </w:pPr>
    </w:p>
    <w:p>
      <w:pPr>
        <w:ind w:firstLine="948"/>
        <w:spacing w:after="0" w:line="290" w:lineRule="auto"/>
        <w:tabs>
          <w:tab w:leader="none" w:pos="153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Anti-Money Laundering Compliance. </w:t>
      </w:r>
      <w:r>
        <w:rPr>
          <w:rFonts w:ascii="Arial" w:cs="Arial" w:eastAsia="Arial" w:hAnsi="Arial"/>
          <w:sz w:val="16"/>
          <w:szCs w:val="16"/>
          <w:color w:val="auto"/>
        </w:rPr>
        <w:t>The operations of the Company and its subsidiaries are and have been conducted at all</w:t>
      </w:r>
      <w:r>
        <w:rPr>
          <w:rFonts w:ascii="Arial" w:cs="Arial" w:eastAsia="Arial" w:hAnsi="Arial"/>
          <w:sz w:val="16"/>
          <w:szCs w:val="16"/>
          <w:i w:val="1"/>
          <w:iCs w:val="1"/>
          <w:color w:val="auto"/>
        </w:rPr>
        <w:t xml:space="preserve"> </w:t>
      </w:r>
      <w:r>
        <w:rPr>
          <w:rFonts w:ascii="Arial" w:cs="Arial" w:eastAsia="Arial" w:hAnsi="Arial"/>
          <w:sz w:val="16"/>
          <w:szCs w:val="16"/>
          <w:color w:val="auto"/>
        </w:rPr>
        <w:t>times, in all material respects,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its subsidiaries conduct business, the rules and regulations thereunder and any related or similar rules, regulations or guidelines, issued, administered or enforced by any governmental agency having jurisdiction over the Company or its subsidiaries (collectively, the “</w:t>
      </w:r>
      <w:r>
        <w:rPr>
          <w:rFonts w:ascii="Arial" w:cs="Arial" w:eastAsia="Arial" w:hAnsi="Arial"/>
          <w:sz w:val="16"/>
          <w:szCs w:val="16"/>
          <w:b w:val="1"/>
          <w:bCs w:val="1"/>
          <w:i w:val="1"/>
          <w:i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its subsidiaries with respect to the Anti-Money Laundering Laws is pending or, to the knowledge of the Company, threatened.</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left="1520" w:hanging="572"/>
        <w:spacing w:after="0"/>
        <w:tabs>
          <w:tab w:leader="none" w:pos="152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p>
    <w:p>
      <w:pPr>
        <w:spacing w:after="0" w:line="117" w:lineRule="exact"/>
        <w:rPr>
          <w:rFonts w:ascii="Arial" w:cs="Arial" w:eastAsia="Arial" w:hAnsi="Arial"/>
          <w:sz w:val="18"/>
          <w:szCs w:val="18"/>
          <w:color w:val="auto"/>
        </w:rPr>
      </w:pPr>
    </w:p>
    <w:p>
      <w:pPr>
        <w:jc w:val="both"/>
        <w:ind w:firstLine="419"/>
        <w:spacing w:after="0" w:line="263" w:lineRule="auto"/>
        <w:tabs>
          <w:tab w:leader="none" w:pos="7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its subsidiaries or any director, officer, or employee thereof, or, to the Company’s knowledge, any agent, affiliate or representative of the Company or its subsidiaries, is an individual or entity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540" w:right="80" w:firstLine="408"/>
        <w:spacing w:after="0" w:line="263" w:lineRule="auto"/>
        <w:tabs>
          <w:tab w:leader="none" w:pos="11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540" w:right="380" w:firstLine="408"/>
        <w:spacing w:after="0" w:line="277" w:lineRule="auto"/>
        <w:tabs>
          <w:tab w:leader="none" w:pos="12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Russia and Syria).</w:t>
      </w:r>
    </w:p>
    <w:p>
      <w:pPr>
        <w:spacing w:after="0" w:line="62" w:lineRule="exact"/>
        <w:rPr>
          <w:rFonts w:ascii="Arial" w:cs="Arial" w:eastAsia="Arial" w:hAnsi="Arial"/>
          <w:sz w:val="18"/>
          <w:szCs w:val="18"/>
          <w:color w:val="auto"/>
        </w:rPr>
      </w:pPr>
    </w:p>
    <w:p>
      <w:pPr>
        <w:ind w:right="500" w:firstLine="419"/>
        <w:spacing w:after="0" w:line="277" w:lineRule="auto"/>
        <w:tabs>
          <w:tab w:leader="none" w:pos="7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of the Shares,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540" w:right="80" w:firstLine="408"/>
        <w:spacing w:after="0" w:line="277" w:lineRule="auto"/>
        <w:tabs>
          <w:tab w:leader="none" w:pos="115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540" w:right="140" w:firstLine="408"/>
        <w:spacing w:after="0" w:line="277" w:lineRule="auto"/>
        <w:tabs>
          <w:tab w:leader="none" w:pos="12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of the Shares, whether as underwriter, advisor, investor or otherwise).</w:t>
      </w:r>
    </w:p>
    <w:p>
      <w:pPr>
        <w:spacing w:after="0" w:line="62" w:lineRule="exact"/>
        <w:rPr>
          <w:rFonts w:ascii="Arial" w:cs="Arial" w:eastAsia="Arial" w:hAnsi="Arial"/>
          <w:sz w:val="18"/>
          <w:szCs w:val="18"/>
          <w:color w:val="auto"/>
        </w:rPr>
      </w:pPr>
    </w:p>
    <w:p>
      <w:pPr>
        <w:ind w:right="460" w:firstLine="419"/>
        <w:spacing w:after="0" w:line="263"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right="560" w:firstLine="948"/>
        <w:spacing w:after="0" w:line="311" w:lineRule="auto"/>
        <w:tabs>
          <w:tab w:leader="none" w:pos="1476"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No Immunity. </w:t>
      </w:r>
      <w:r>
        <w:rPr>
          <w:rFonts w:ascii="Arial" w:cs="Arial" w:eastAsia="Arial" w:hAnsi="Arial"/>
          <w:sz w:val="16"/>
          <w:szCs w:val="16"/>
          <w:color w:val="auto"/>
        </w:rPr>
        <w:t>Neither the Company nor any of its subsidiaries, nor any of their respective properties or assets, has any</w:t>
      </w:r>
      <w:r>
        <w:rPr>
          <w:rFonts w:ascii="Arial" w:cs="Arial" w:eastAsia="Arial" w:hAnsi="Arial"/>
          <w:sz w:val="16"/>
          <w:szCs w:val="16"/>
          <w:i w:val="1"/>
          <w:iCs w:val="1"/>
          <w:color w:val="auto"/>
        </w:rPr>
        <w:t xml:space="preserve"> </w:t>
      </w:r>
      <w:r>
        <w:rPr>
          <w:rFonts w:ascii="Arial" w:cs="Arial" w:eastAsia="Arial" w:hAnsi="Arial"/>
          <w:sz w:val="16"/>
          <w:szCs w:val="16"/>
          <w:color w:val="auto"/>
        </w:rPr>
        <w:t>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40" w:lineRule="exact"/>
        <w:rPr>
          <w:rFonts w:ascii="Arial" w:cs="Arial" w:eastAsia="Arial" w:hAnsi="Arial"/>
          <w:sz w:val="16"/>
          <w:szCs w:val="16"/>
          <w:color w:val="auto"/>
        </w:rPr>
      </w:pPr>
    </w:p>
    <w:p>
      <w:pPr>
        <w:ind w:right="360" w:firstLine="948"/>
        <w:spacing w:after="0" w:line="277" w:lineRule="auto"/>
        <w:tabs>
          <w:tab w:leader="none" w:pos="1526"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No Legal, Accounting or Tax Advice. </w:t>
      </w:r>
      <w:r>
        <w:rPr>
          <w:rFonts w:ascii="Arial" w:cs="Arial" w:eastAsia="Arial" w:hAnsi="Arial"/>
          <w:sz w:val="18"/>
          <w:szCs w:val="18"/>
          <w:color w:val="auto"/>
        </w:rPr>
        <w:t>The Company has not relied upon the Agent or legal counsel for the Agent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legal, tax or accounting advice in connection with the offering and sale of the Shares.</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0"/>
          </w:cols>
          <w:pgMar w:left="880" w:top="274" w:right="499" w:bottom="1440" w:gutter="0" w:footer="0" w:header="0"/>
        </w:sectPr>
      </w:pPr>
    </w:p>
    <w:bookmarkStart w:id="13" w:name="page14"/>
    <w:bookmarkEnd w:id="13"/>
    <w:p>
      <w:pPr>
        <w:ind w:left="420" w:right="140" w:firstLine="948"/>
        <w:spacing w:after="0" w:line="263" w:lineRule="auto"/>
        <w:tabs>
          <w:tab w:leader="none" w:pos="1996" w:val="left"/>
        </w:tabs>
        <w:numPr>
          <w:ilvl w:val="2"/>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as Representation and Warranty. </w:t>
      </w:r>
      <w:r>
        <w:rPr>
          <w:rFonts w:ascii="Arial" w:cs="Arial" w:eastAsia="Arial" w:hAnsi="Arial"/>
          <w:sz w:val="18"/>
          <w:szCs w:val="18"/>
          <w:color w:val="auto"/>
        </w:rPr>
        <w:t>Any certificate signed by any officer of the Company and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the Agent’s counsel in connection with the offering of the Shares shall be deemed a representation and warranty by the Company to the Agent as to the matters covered thereby on the date of such certificate.</w:t>
      </w:r>
    </w:p>
    <w:p>
      <w:pPr>
        <w:spacing w:after="0" w:line="75" w:lineRule="exact"/>
        <w:rPr>
          <w:rFonts w:ascii="Arial" w:cs="Arial" w:eastAsia="Arial" w:hAnsi="Arial"/>
          <w:sz w:val="18"/>
          <w:szCs w:val="18"/>
          <w:color w:val="auto"/>
        </w:rPr>
      </w:pPr>
    </w:p>
    <w:p>
      <w:pPr>
        <w:ind w:left="420" w:right="40" w:firstLine="948"/>
        <w:spacing w:after="0" w:line="270" w:lineRule="auto"/>
        <w:tabs>
          <w:tab w:leader="none" w:pos="2046" w:val="left"/>
        </w:tabs>
        <w:numPr>
          <w:ilvl w:val="2"/>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Data Privacy Laws. </w:t>
      </w:r>
      <w:r>
        <w:rPr>
          <w:rFonts w:ascii="Arial" w:cs="Arial" w:eastAsia="Arial" w:hAnsi="Arial"/>
          <w:sz w:val="17"/>
          <w:szCs w:val="17"/>
          <w:color w:val="auto"/>
        </w:rPr>
        <w:t>The Company and each of its subsidiaries have complied and are presently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all internal and external privacy policies, contractual obligations, industry standards, applicable laws, statutes, judgments, orders, rules and regulations of any court or arbitrator or other governmental or regulatory authority with jurisdiction over the Company, in each case, relating to the collection, use, transfer, import, export, storage, protection, disposal and disclosure by the Company or any of its subsidiaries of personal, personally identifiable, household, sensitive, confidential or regulated data (“</w:t>
      </w:r>
      <w:r>
        <w:rPr>
          <w:rFonts w:ascii="Arial" w:cs="Arial" w:eastAsia="Arial" w:hAnsi="Arial"/>
          <w:sz w:val="17"/>
          <w:szCs w:val="17"/>
          <w:b w:val="1"/>
          <w:bCs w:val="1"/>
          <w:i w:val="1"/>
          <w:iCs w:val="1"/>
          <w:color w:val="auto"/>
        </w:rPr>
        <w:t>Data Security Obligations</w:t>
      </w:r>
      <w:r>
        <w:rPr>
          <w:rFonts w:ascii="Arial" w:cs="Arial" w:eastAsia="Arial" w:hAnsi="Arial"/>
          <w:sz w:val="17"/>
          <w:szCs w:val="17"/>
          <w:color w:val="auto"/>
        </w:rPr>
        <w:t>”, and such data, “</w:t>
      </w:r>
      <w:r>
        <w:rPr>
          <w:rFonts w:ascii="Arial" w:cs="Arial" w:eastAsia="Arial" w:hAnsi="Arial"/>
          <w:sz w:val="17"/>
          <w:szCs w:val="17"/>
          <w:b w:val="1"/>
          <w:bCs w:val="1"/>
          <w:i w:val="1"/>
          <w:i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has not received any notification of or complaint regarding and is unaware of any other facts that, individually or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would reasonably indicate material non-compliance with any Data Security Obligation; and there is no action, suit or proceeding by or before any court or governmental agency, authority or body pending or, to the Company’s knowledge, threatened alleging material non-compliance with any Data Security Obligation.</w:t>
      </w:r>
    </w:p>
    <w:p>
      <w:pPr>
        <w:spacing w:after="0" w:line="72" w:lineRule="exact"/>
        <w:rPr>
          <w:rFonts w:ascii="Arial" w:cs="Arial" w:eastAsia="Arial" w:hAnsi="Arial"/>
          <w:sz w:val="17"/>
          <w:szCs w:val="17"/>
          <w:color w:val="auto"/>
        </w:rPr>
      </w:pPr>
    </w:p>
    <w:p>
      <w:pPr>
        <w:ind w:left="420" w:firstLine="948"/>
        <w:spacing w:after="0" w:line="286" w:lineRule="auto"/>
        <w:tabs>
          <w:tab w:leader="none" w:pos="1946" w:val="left"/>
        </w:tabs>
        <w:numPr>
          <w:ilvl w:val="2"/>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w:t>
      </w:r>
      <w:r>
        <w:rPr>
          <w:rFonts w:ascii="Arial" w:cs="Arial" w:eastAsia="Arial" w:hAnsi="Arial"/>
          <w:sz w:val="16"/>
          <w:szCs w:val="16"/>
          <w:color w:val="auto"/>
        </w:rPr>
        <w:t>The Company and its subsidiaries’ information technology assets and equipment, computers,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hardware, software, websites, applications and databases used to process, store, maintain and operate data, information and functions are adequate for, and operate and perform in all material respects as required in connection with, the operation of the business of the Company and the subsidiaries as currently conducted. The Company and its subsidiaries have taken all reasonable technical and organizational measures to protect the information technology systems and Confidential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Confidential Data used in connection with the operation of the Company’s and its subsidiaries’ businesses (“</w:t>
      </w:r>
      <w:r>
        <w:rPr>
          <w:rFonts w:ascii="Arial" w:cs="Arial" w:eastAsia="Arial" w:hAnsi="Arial"/>
          <w:sz w:val="16"/>
          <w:szCs w:val="16"/>
          <w:b w:val="1"/>
          <w:bCs w:val="1"/>
          <w:i w:val="1"/>
          <w:iCs w:val="1"/>
          <w:color w:val="auto"/>
        </w:rPr>
        <w:t>Breach</w:t>
      </w:r>
      <w:r>
        <w:rPr>
          <w:rFonts w:ascii="Arial" w:cs="Arial" w:eastAsia="Arial" w:hAnsi="Arial"/>
          <w:sz w:val="16"/>
          <w:szCs w:val="16"/>
          <w:color w:val="auto"/>
        </w:rPr>
        <w:t>”). Except as disclosed in the Prospectus, there has been no material Breach, and the Company and its subsidiaries have not been notified of, and have no knowledge of any event or condition that would reasonably be expected to result in, any material Breach.</w:t>
      </w:r>
    </w:p>
    <w:p>
      <w:pPr>
        <w:spacing w:after="0" w:line="65" w:lineRule="exact"/>
        <w:rPr>
          <w:rFonts w:ascii="Arial" w:cs="Arial" w:eastAsia="Arial" w:hAnsi="Arial"/>
          <w:sz w:val="16"/>
          <w:szCs w:val="16"/>
          <w:color w:val="auto"/>
        </w:rPr>
      </w:pPr>
    </w:p>
    <w:p>
      <w:pPr>
        <w:ind w:left="600" w:hanging="184"/>
        <w:spacing w:after="0"/>
        <w:tabs>
          <w:tab w:leader="none" w:pos="6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Sale and Delivery of Shares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20" w:firstLine="987"/>
        <w:spacing w:after="0" w:line="270" w:lineRule="auto"/>
        <w:tabs>
          <w:tab w:leader="none" w:pos="1216"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At-the-Market Sales. </w:t>
      </w:r>
      <w:r>
        <w:rPr>
          <w:rFonts w:ascii="Arial" w:cs="Arial" w:eastAsia="Arial" w:hAnsi="Arial"/>
          <w:sz w:val="17"/>
          <w:szCs w:val="17"/>
          <w:color w:val="auto"/>
        </w:rPr>
        <w:t>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14" w:name="page15"/>
    <w:bookmarkEnd w:id="14"/>
    <w:p>
      <w:pPr>
        <w:ind w:firstLine="948"/>
        <w:spacing w:after="0" w:line="285" w:lineRule="auto"/>
        <w:tabs>
          <w:tab w:leader="none" w:pos="1167"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time that the Company wishes to issue and sell the Shares hereunder (each, a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xml:space="preserve">), it will notify the Agent by email notice (or other method mutually agreed to in writing by the parties) (a </w:t>
      </w:r>
      <w:r>
        <w:rPr>
          <w:rFonts w:ascii="Arial" w:cs="Arial" w:eastAsia="Arial" w:hAnsi="Arial"/>
          <w:sz w:val="16"/>
          <w:szCs w:val="16"/>
          <w:b w:val="1"/>
          <w:bCs w:val="1"/>
          <w:i w:val="1"/>
          <w:iCs w:val="1"/>
          <w:color w:val="auto"/>
        </w:rPr>
        <w:t>“Placement Notice”</w:t>
      </w:r>
      <w:r>
        <w:rPr>
          <w:rFonts w:ascii="Arial" w:cs="Arial" w:eastAsia="Arial" w:hAnsi="Arial"/>
          <w:sz w:val="16"/>
          <w:szCs w:val="16"/>
          <w:color w:val="auto"/>
        </w:rPr>
        <w:t xml:space="preserve">)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any day on which the Company’s Common Stock is purchased and sold on the principal market on which the Common Stock is listed or quoted.</w:t>
      </w:r>
    </w:p>
    <w:p>
      <w:pPr>
        <w:spacing w:after="0" w:line="60" w:lineRule="exact"/>
        <w:rPr>
          <w:rFonts w:ascii="Arial" w:cs="Arial" w:eastAsia="Arial" w:hAnsi="Arial"/>
          <w:sz w:val="16"/>
          <w:szCs w:val="16"/>
          <w:color w:val="auto"/>
        </w:rPr>
      </w:pPr>
    </w:p>
    <w:p>
      <w:pPr>
        <w:ind w:right="160" w:firstLine="948"/>
        <w:spacing w:after="0" w:line="259" w:lineRule="auto"/>
        <w:tabs>
          <w:tab w:leader="none" w:pos="12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78" w:lineRule="exact"/>
        <w:rPr>
          <w:rFonts w:ascii="Arial" w:cs="Arial" w:eastAsia="Arial" w:hAnsi="Arial"/>
          <w:sz w:val="18"/>
          <w:szCs w:val="18"/>
          <w:color w:val="auto"/>
        </w:rPr>
      </w:pPr>
    </w:p>
    <w:p>
      <w:pPr>
        <w:ind w:right="60" w:firstLine="948"/>
        <w:spacing w:after="0" w:line="271" w:lineRule="auto"/>
        <w:tabs>
          <w:tab w:leader="none" w:pos="12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or a duly authorized committee thereof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suspension or termination shall not affect or impair the parties’ respective obligations with respect to the Shares sold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5" w:name="page16"/>
    <w:bookmarkEnd w:id="15"/>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the Agent shall not be obligated to sell or offer to sell any Shares.</w:t>
      </w:r>
    </w:p>
    <w:p>
      <w:pPr>
        <w:spacing w:after="0" w:line="57" w:lineRule="exact"/>
        <w:rPr>
          <w:sz w:val="20"/>
          <w:szCs w:val="20"/>
          <w:color w:val="auto"/>
        </w:rPr>
      </w:pPr>
    </w:p>
    <w:p>
      <w:pPr>
        <w:ind w:left="4" w:right="180" w:firstLine="948"/>
        <w:spacing w:after="0" w:line="291" w:lineRule="auto"/>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Subject to the terms of the Placement Notice, the Agent may sell the Shares by any method permitted by law and deemed to be an “at the market offering” as defined in Rule 415(a)(4) under the Securities Act, including (i) sales made directly on or through an Exchange;</w:t>
      </w:r>
    </w:p>
    <w:p>
      <w:pPr>
        <w:ind w:left="4" w:right="480" w:hanging="4"/>
        <w:spacing w:after="0" w:line="323" w:lineRule="auto"/>
        <w:tabs>
          <w:tab w:leader="none" w:pos="2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privately negotiated transactions; (iii) as block transactions; or (iv) by any other method permitted by law and deemed to be an “at the market offering” as defined in Rule 415(a)(4) under the Securities Act, in each case, subject to the prior written consent of the Company.</w:t>
      </w:r>
    </w:p>
    <w:p>
      <w:pPr>
        <w:spacing w:after="0" w:line="30" w:lineRule="exact"/>
        <w:rPr>
          <w:rFonts w:ascii="Arial" w:cs="Arial" w:eastAsia="Arial" w:hAnsi="Arial"/>
          <w:sz w:val="16"/>
          <w:szCs w:val="16"/>
          <w:color w:val="auto"/>
        </w:rPr>
      </w:pPr>
    </w:p>
    <w:p>
      <w:pPr>
        <w:ind w:left="4" w:right="180" w:firstLine="948"/>
        <w:spacing w:after="0" w:line="293" w:lineRule="auto"/>
        <w:tabs>
          <w:tab w:leader="none" w:pos="12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compensation to the Agent for sales of the Shares, as an agent of the Company, shall be 3.0% of the gross sales price of the Shares sold pursuant to this Section 2(a), payable in cash (the </w:t>
      </w:r>
      <w:r>
        <w:rPr>
          <w:rFonts w:ascii="Arial" w:cs="Arial" w:eastAsia="Arial" w:hAnsi="Arial"/>
          <w:sz w:val="16"/>
          <w:szCs w:val="16"/>
          <w:b w:val="1"/>
          <w:bCs w:val="1"/>
          <w:i w:val="1"/>
          <w:iCs w:val="1"/>
          <w:color w:val="auto"/>
        </w:rPr>
        <w:t>“Sales Commission”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combined Sales Commission and reimbursement of the Agent for its out-of-pocket expenses pursuant to Section 3(g), including reasonable fees and disbursements of the Agent’s counsel, shall not exceed 8.0% of the gross sales price of the Shares.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right="60" w:firstLine="948"/>
        <w:spacing w:after="0" w:line="301" w:lineRule="auto"/>
        <w:tabs>
          <w:tab w:leader="none" w:pos="12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Agent will provide written confirmation to the Company (including by email correspondence to each of the individuals of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no later than the opening of the Trading Day immediately following the Trading Day on which it has made sales of Shares hereunder, setting forth the number of Shares sold on such day, the volume-weighted average price of the Shares sold, the Net Proceeds payable to the Company and the compensation payable by the Company to the Agent with respect to such sales.</w:t>
      </w:r>
    </w:p>
    <w:p>
      <w:pPr>
        <w:spacing w:after="0" w:line="49" w:lineRule="exact"/>
        <w:rPr>
          <w:rFonts w:ascii="Arial" w:cs="Arial" w:eastAsia="Arial" w:hAnsi="Arial"/>
          <w:sz w:val="16"/>
          <w:szCs w:val="16"/>
          <w:color w:val="auto"/>
        </w:rPr>
      </w:pPr>
    </w:p>
    <w:p>
      <w:pPr>
        <w:ind w:left="4" w:firstLine="948"/>
        <w:spacing w:after="0" w:line="286" w:lineRule="auto"/>
        <w:tabs>
          <w:tab w:leader="none" w:pos="13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Shares sold pursuant to this Section 2(a) will be delivered by the Company to the Agent for the account of the Agent, against payment of the Net Proceeds therefor, by wire transfer of same-day funds payable to the order of the Company at the offices of Piper Sandler &amp; Co., U.S. Bancorp Center, 800 Nicollet Mall, Minneapolis, Minnesota 55402, or such other location as may be mutually acceptable, at 9:00 a.m. Central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through no fault of the Agent, the Company agrees that in addition to and in no way limiting the rights and obligations set forth in Section 5 hereto, it will (i) hold the Agent harmless against any loss, claim, damage, or expense (including reasonable and documented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10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16" w:name="page17"/>
    <w:bookmarkEnd w:id="16"/>
    <w:p>
      <w:pPr>
        <w:ind w:left="4" w:firstLine="987"/>
        <w:spacing w:after="0" w:line="255" w:lineRule="auto"/>
        <w:tabs>
          <w:tab w:leader="none" w:pos="1250" w:val="left"/>
        </w:tabs>
        <w:numPr>
          <w:ilvl w:val="2"/>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Amount</w:t>
      </w:r>
      <w:r>
        <w:rPr>
          <w:rFonts w:ascii="Arial" w:cs="Arial" w:eastAsia="Arial" w:hAnsi="Arial"/>
          <w:sz w:val="18"/>
          <w:szCs w:val="18"/>
          <w:color w:val="auto"/>
        </w:rPr>
        <w:t>. Under no circumstances shall the aggregate number or aggregate value of the Shares sold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exceed: (i) the aggregate number and aggregate dollar amount of shares of Common Stock available for issuance under the Registration Statement (including any limit set forth in General Instruction I.B.6 thereof, if applicable), (ii) the aggregate number of authorized but unissued shares of Common Stock that are available for issuance under the Company’s certificate of incorporation or (iii) the aggregate number or aggregate dollar amount of shares of Common Stock for which the Company has filed any Prospectus or prospectus supplement in connection with the Shares (the lesser of (i), (ii), (iii) and (iv)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Maximum Amount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244" w:hanging="253"/>
        <w:spacing w:after="0"/>
        <w:tabs>
          <w:tab w:leader="none" w:pos="1244" w:val="left"/>
        </w:tabs>
        <w:numPr>
          <w:ilvl w:val="2"/>
          <w:numId w:val="22"/>
        </w:numPr>
        <w:rPr>
          <w:rFonts w:ascii="Arial" w:cs="Arial" w:eastAsia="Arial" w:hAnsi="Arial"/>
          <w:sz w:val="16"/>
          <w:szCs w:val="16"/>
          <w:color w:val="auto"/>
        </w:rPr>
      </w:pPr>
      <w:r>
        <w:rPr>
          <w:rFonts w:ascii="Arial" w:cs="Arial" w:eastAsia="Arial" w:hAnsi="Arial"/>
          <w:sz w:val="16"/>
          <w:szCs w:val="16"/>
          <w:i w:val="1"/>
          <w:iCs w:val="1"/>
          <w:color w:val="auto"/>
        </w:rPr>
        <w:t>No Association or Partnership</w:t>
      </w:r>
      <w:r>
        <w:rPr>
          <w:rFonts w:ascii="Arial" w:cs="Arial" w:eastAsia="Arial" w:hAnsi="Arial"/>
          <w:sz w:val="16"/>
          <w:szCs w:val="16"/>
          <w:color w:val="auto"/>
        </w:rPr>
        <w:t>. Nothing herein contained shall constitute the Agent as an unincorporated association or partner with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4" w:right="400" w:firstLine="987"/>
        <w:spacing w:after="0" w:line="277" w:lineRule="auto"/>
        <w:tabs>
          <w:tab w:leader="none" w:pos="1250" w:val="left"/>
        </w:tabs>
        <w:numPr>
          <w:ilvl w:val="2"/>
          <w:numId w:val="22"/>
        </w:numPr>
        <w:rPr>
          <w:rFonts w:ascii="Arial" w:cs="Arial" w:eastAsia="Arial" w:hAnsi="Arial"/>
          <w:sz w:val="18"/>
          <w:szCs w:val="18"/>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Under no circumstances shall any Shares be sold pursuant to this Agreement after the date which is three years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is first declared effective by the Commission.</w:t>
      </w:r>
    </w:p>
    <w:p>
      <w:pPr>
        <w:spacing w:after="0" w:line="62" w:lineRule="exact"/>
        <w:rPr>
          <w:rFonts w:ascii="Arial" w:cs="Arial" w:eastAsia="Arial" w:hAnsi="Arial"/>
          <w:sz w:val="18"/>
          <w:szCs w:val="18"/>
          <w:color w:val="auto"/>
        </w:rPr>
      </w:pPr>
    </w:p>
    <w:p>
      <w:pPr>
        <w:ind w:left="4" w:firstLine="987"/>
        <w:spacing w:after="0" w:line="293" w:lineRule="auto"/>
        <w:tabs>
          <w:tab w:leader="none" w:pos="1240" w:val="left"/>
        </w:tabs>
        <w:numPr>
          <w:ilvl w:val="2"/>
          <w:numId w:val="22"/>
        </w:numPr>
        <w:rPr>
          <w:rFonts w:ascii="Arial" w:cs="Arial" w:eastAsia="Arial" w:hAnsi="Arial"/>
          <w:sz w:val="16"/>
          <w:szCs w:val="16"/>
          <w:color w:val="auto"/>
        </w:rPr>
      </w:pPr>
      <w:r>
        <w:rPr>
          <w:rFonts w:ascii="Arial" w:cs="Arial" w:eastAsia="Arial" w:hAnsi="Arial"/>
          <w:sz w:val="16"/>
          <w:szCs w:val="16"/>
          <w:i w:val="1"/>
          <w:iCs w:val="1"/>
          <w:color w:val="auto"/>
        </w:rPr>
        <w:t>Market Transactions by Agent</w:t>
      </w:r>
      <w:r>
        <w:rPr>
          <w:rFonts w:ascii="Arial" w:cs="Arial" w:eastAsia="Arial" w:hAnsi="Arial"/>
          <w:sz w:val="16"/>
          <w:szCs w:val="16"/>
          <w:color w:val="auto"/>
        </w:rPr>
        <w:t>. The Company acknowledges and agrees that the Agent has informed the Company that the Agent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extent permitted under the Securities Act, the Exchange Act and this Agreement, purchase and sell shares of Common Stock for its own account while this Agreement is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56" w:lineRule="exact"/>
        <w:rPr>
          <w:rFonts w:ascii="Arial" w:cs="Arial" w:eastAsia="Arial" w:hAnsi="Arial"/>
          <w:sz w:val="16"/>
          <w:szCs w:val="16"/>
          <w:color w:val="auto"/>
        </w:rPr>
      </w:pPr>
    </w:p>
    <w:p>
      <w:pPr>
        <w:ind w:left="624" w:hanging="184"/>
        <w:spacing w:after="0"/>
        <w:tabs>
          <w:tab w:leader="none" w:pos="624"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Agent as follows:</w:t>
      </w:r>
    </w:p>
    <w:p>
      <w:pPr>
        <w:spacing w:after="0" w:line="117" w:lineRule="exact"/>
        <w:rPr>
          <w:rFonts w:ascii="Arial" w:cs="Arial" w:eastAsia="Arial" w:hAnsi="Arial"/>
          <w:sz w:val="18"/>
          <w:szCs w:val="18"/>
          <w:b w:val="1"/>
          <w:bCs w:val="1"/>
          <w:i w:val="1"/>
          <w:iCs w:val="1"/>
          <w:color w:val="auto"/>
        </w:rPr>
      </w:pPr>
    </w:p>
    <w:p>
      <w:pPr>
        <w:ind w:left="4" w:right="20" w:firstLine="987"/>
        <w:spacing w:after="0" w:line="283" w:lineRule="auto"/>
        <w:tabs>
          <w:tab w:leader="none" w:pos="1240" w:val="left"/>
        </w:tabs>
        <w:numPr>
          <w:ilvl w:val="2"/>
          <w:numId w:val="23"/>
        </w:numPr>
        <w:rPr>
          <w:rFonts w:ascii="Arial" w:cs="Arial" w:eastAsia="Arial" w:hAnsi="Arial"/>
          <w:sz w:val="16"/>
          <w:szCs w:val="16"/>
          <w:color w:val="auto"/>
        </w:rPr>
      </w:pPr>
      <w:r>
        <w:rPr>
          <w:rFonts w:ascii="Arial" w:cs="Arial" w:eastAsia="Arial" w:hAnsi="Arial"/>
          <w:sz w:val="16"/>
          <w:szCs w:val="16"/>
          <w:i w:val="1"/>
          <w:iCs w:val="1"/>
          <w:color w:val="auto"/>
        </w:rPr>
        <w:t>Amendments to Registration Statement and Prospectus</w:t>
      </w:r>
      <w:r>
        <w:rPr>
          <w:rFonts w:ascii="Arial" w:cs="Arial" w:eastAsia="Arial" w:hAnsi="Arial"/>
          <w:sz w:val="16"/>
          <w:szCs w:val="16"/>
          <w:color w:val="auto"/>
        </w:rPr>
        <w:t>. After the date of this Agreement and during any period in which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the failure of the Agent to make such objection shall not relieve the Company of any obligation or liability hereunder, or affect the Agent’s right to rely on the representations and warranties made by the Company in this Agreement),</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no obligation to provide the Agent any advance copy of such filing or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7" w:name="page18"/>
    <w:bookmarkEnd w:id="1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(v) cause each amendment or supplement to the Prospectus, other than documents incorporated by reference, to be filed with the Commission as required pursuant to the applicable paragraph of Rule 424(b) of the Securities Act. Notwithstanding the foregoing, in the alternative the Company may suspend or terminate the pending Placement Notice, upon written notice to the Agent and delay the filing of any amendment or supplement, if in the judgment of the Company, it is in the best interest of the Company; provided that if such suspension or termination of the pending Placement Notice shall occur prior to the Settlement Date for any sale of Shares, such Shares shall settle in accordance with the provisions of this Agreement.</w:t>
      </w:r>
    </w:p>
    <w:p>
      <w:pPr>
        <w:spacing w:after="0" w:line="77" w:lineRule="exact"/>
        <w:rPr>
          <w:sz w:val="20"/>
          <w:szCs w:val="20"/>
          <w:color w:val="auto"/>
        </w:rPr>
      </w:pPr>
    </w:p>
    <w:p>
      <w:pPr>
        <w:ind w:right="200" w:firstLine="987"/>
        <w:spacing w:after="0" w:line="257"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Stop Order</w:t>
      </w:r>
      <w:r>
        <w:rPr>
          <w:rFonts w:ascii="Arial" w:cs="Arial" w:eastAsia="Arial" w:hAnsi="Arial"/>
          <w:sz w:val="18"/>
          <w:szCs w:val="18"/>
          <w:color w:val="auto"/>
        </w:rPr>
        <w:t>. The Company will advise the Agent, promptly after it receives notice or obtains knowledge thereof, of the issuance or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79" w:lineRule="exact"/>
        <w:rPr>
          <w:rFonts w:ascii="Arial" w:cs="Arial" w:eastAsia="Arial" w:hAnsi="Arial"/>
          <w:sz w:val="18"/>
          <w:szCs w:val="18"/>
          <w:color w:val="auto"/>
        </w:rPr>
      </w:pPr>
    </w:p>
    <w:p>
      <w:pPr>
        <w:ind w:right="40" w:firstLine="987"/>
        <w:spacing w:after="0" w:line="286" w:lineRule="auto"/>
        <w:tabs>
          <w:tab w:leader="none" w:pos="123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Continuing Amendments</w:t>
      </w:r>
      <w:r>
        <w:rPr>
          <w:rFonts w:ascii="Arial" w:cs="Arial" w:eastAsia="Arial" w:hAnsi="Arial"/>
          <w:sz w:val="16"/>
          <w:szCs w:val="16"/>
          <w:color w:val="auto"/>
        </w:rPr>
        <w:t>. During any period in which a Prospectus relating to the Shares is required to be delivered by the Agent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 (it being acknowledged that the Company may delay the filing of any amendment or supplement, if, in the judgment of the Company, it is in the best interest of the Company); provided that if such suspension shall occur prior to the Settlement Date for any sale of Shares, such Shares shall settle in accordance with the provisions of this Agreement.</w:t>
      </w:r>
    </w:p>
    <w:p>
      <w:pPr>
        <w:spacing w:after="0" w:line="65" w:lineRule="exact"/>
        <w:rPr>
          <w:rFonts w:ascii="Arial" w:cs="Arial" w:eastAsia="Arial" w:hAnsi="Arial"/>
          <w:sz w:val="16"/>
          <w:szCs w:val="16"/>
          <w:color w:val="auto"/>
        </w:rPr>
      </w:pPr>
    </w:p>
    <w:p>
      <w:pPr>
        <w:ind w:firstLine="987"/>
        <w:spacing w:after="0" w:line="255"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Qualification of the Shares</w:t>
      </w:r>
      <w:r>
        <w:rPr>
          <w:rFonts w:ascii="Arial" w:cs="Arial" w:eastAsia="Arial" w:hAnsi="Arial"/>
          <w:sz w:val="18"/>
          <w:szCs w:val="18"/>
          <w:color w:val="auto"/>
        </w:rPr>
        <w:t>. The Company shall take or cause to be taken all necessary action to qualify the Shares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jurisdictions in the United States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ind w:left="4" w:right="80" w:firstLine="987"/>
        <w:spacing w:after="0" w:line="263" w:lineRule="auto"/>
        <w:tabs>
          <w:tab w:leader="none" w:pos="124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of Registration Statement and Prospectus</w:t>
      </w:r>
      <w:r>
        <w:rPr>
          <w:rFonts w:ascii="Arial" w:cs="Arial" w:eastAsia="Arial" w:hAnsi="Arial"/>
          <w:sz w:val="18"/>
          <w:szCs w:val="18"/>
          <w:color w:val="auto"/>
        </w:rPr>
        <w:t>. The Company will furnish to the Agent and counsel for the Agent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Prospectus and all amendments and supplements to such documents, in each case as soon as available and in such quantities as the Agent may from time to time reasonably request.</w:t>
      </w:r>
    </w:p>
    <w:p>
      <w:pPr>
        <w:spacing w:after="0" w:line="75" w:lineRule="exact"/>
        <w:rPr>
          <w:rFonts w:ascii="Arial" w:cs="Arial" w:eastAsia="Arial" w:hAnsi="Arial"/>
          <w:sz w:val="18"/>
          <w:szCs w:val="18"/>
          <w:color w:val="auto"/>
        </w:rPr>
      </w:pPr>
    </w:p>
    <w:p>
      <w:pPr>
        <w:ind w:left="4" w:right="40" w:firstLine="987"/>
        <w:spacing w:after="0" w:line="259" w:lineRule="auto"/>
        <w:tabs>
          <w:tab w:leader="none" w:pos="12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Section 11(a)</w:t>
      </w:r>
      <w:r>
        <w:rPr>
          <w:rFonts w:ascii="Arial" w:cs="Arial" w:eastAsia="Arial" w:hAnsi="Arial"/>
          <w:sz w:val="18"/>
          <w:szCs w:val="18"/>
          <w:color w:val="auto"/>
        </w:rPr>
        <w:t>. The Company will make generally available to its security holders as soon as practicable an earnings statement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need not be audited) covering a 12-month period that shall satisfy the provisions of Section 11(a) of the Securities Act and Rule 158 promulgated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to the extent it is filed on EDGAR or any successor system.</w:t>
      </w:r>
    </w:p>
    <w:p>
      <w:pPr>
        <w:spacing w:after="0" w:line="78" w:lineRule="exact"/>
        <w:rPr>
          <w:rFonts w:ascii="Arial" w:cs="Arial" w:eastAsia="Arial" w:hAnsi="Arial"/>
          <w:sz w:val="18"/>
          <w:szCs w:val="18"/>
          <w:color w:val="auto"/>
        </w:rPr>
      </w:pPr>
    </w:p>
    <w:p>
      <w:pPr>
        <w:ind w:left="4" w:right="40" w:firstLine="987"/>
        <w:spacing w:after="0" w:line="285" w:lineRule="auto"/>
        <w:tabs>
          <w:tab w:leader="none" w:pos="125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whether or not the transactions contemplated hereunder are consummated or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underwriting documents or closing documents, including Blue Sky memoranda (covering the states and other applicable jurisdictions) and including the cost to furnish copies of each thereof to the Agent, (iii) all filing fees, (iv) the reasonable and documented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and documented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reasonable costs and expenses incident to the performance of its obligations hereunder that are not otherwise specifically provided for herein. In addition to (iv) and (vi) above, the Company shall reimburse the Agent for its out-of-pocket expenses, including reasonable fees and disbursements of the Agent’s counsel in connection with this Agreement, the Registration Statement, the Prospectus and ongoing services in connection with the transactions contemplated hereunder, in an amount which, taken together with the fees and disbursement of Agent’s counsel under clause (iv) of this paragraph, shall not exceed $50,000.</w:t>
      </w:r>
    </w:p>
    <w:p>
      <w:pPr>
        <w:spacing w:after="0" w:line="65" w:lineRule="exact"/>
        <w:rPr>
          <w:rFonts w:ascii="Arial" w:cs="Arial" w:eastAsia="Arial" w:hAnsi="Arial"/>
          <w:sz w:val="16"/>
          <w:szCs w:val="16"/>
          <w:color w:val="auto"/>
        </w:rPr>
      </w:pPr>
    </w:p>
    <w:p>
      <w:pPr>
        <w:ind w:left="1244" w:hanging="253"/>
        <w:spacing w:after="0"/>
        <w:tabs>
          <w:tab w:leader="none" w:pos="1244"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apply the net proceeds from the sale of the Shares in the manner described in the Prospectus.</w:t>
      </w:r>
    </w:p>
    <w:p>
      <w:pPr>
        <w:spacing w:after="0" w:line="140" w:lineRule="exact"/>
        <w:rPr>
          <w:rFonts w:ascii="Arial" w:cs="Arial" w:eastAsia="Arial" w:hAnsi="Arial"/>
          <w:sz w:val="16"/>
          <w:szCs w:val="16"/>
          <w:color w:val="auto"/>
        </w:rPr>
      </w:pPr>
    </w:p>
    <w:p>
      <w:pPr>
        <w:ind w:left="4" w:right="20" w:firstLine="987"/>
        <w:spacing w:after="0" w:line="287" w:lineRule="auto"/>
        <w:tabs>
          <w:tab w:leader="none" w:pos="121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Restrictions on Future Sales</w:t>
      </w:r>
      <w:r>
        <w:rPr>
          <w:rFonts w:ascii="Arial" w:cs="Arial" w:eastAsia="Arial" w:hAnsi="Arial"/>
          <w:sz w:val="16"/>
          <w:szCs w:val="16"/>
          <w:color w:val="auto"/>
        </w:rPr>
        <w:t>. Unless a waiver applies under section 3(o) hereof, without the written consent of the Agent,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beginning on the third Trading Day immediately prior to the date on which any Placement Notice is delivered to the Agent hereunder and ending on the third Trading Day immediately following the earlier of (x) the Settlement Date with respect to Shares sold pursuant to such Placement Notice and</w:t>
      </w:r>
    </w:p>
    <w:p>
      <w:pPr>
        <w:spacing w:after="0" w:line="2" w:lineRule="exact"/>
        <w:rPr>
          <w:rFonts w:ascii="Arial" w:cs="Arial" w:eastAsia="Arial" w:hAnsi="Arial"/>
          <w:sz w:val="16"/>
          <w:szCs w:val="16"/>
          <w:color w:val="auto"/>
        </w:rPr>
      </w:pPr>
    </w:p>
    <w:p>
      <w:pPr>
        <w:ind w:left="4" w:hanging="4"/>
        <w:spacing w:after="0" w:line="270" w:lineRule="auto"/>
        <w:tabs>
          <w:tab w:leader="none" w:pos="25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termination or suspension by the Company of such Placement Notice, the Company will not,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9" w:name="page20"/>
    <w:bookmarkEnd w:id="1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options or rights, except for: (i) the registration of the Shares and the sales through the Agent pursuant to this Agreement, (ii) the issuance or sale of shares through any dividend reinvestment and stock purchase plan of the Company described in or incorporated by reference in the Registration Statement and Prospectus, (iii) issuance or sale of shares of restricted stock, restricted stock units, options and other equity awards granted pursuant to any employee or director share option, incentive or benefit plan, long-term incentive plan, inducement award under Nasdaq rules or other compensation plan of the Company, whether now in effect or hereafter implemented, disclosed in filings by the Company available on EDGAR or any successor system (or, in the case of an inducement award under Nasdaq rules, disclosed by press release) and incorporated by reference in the Registration Statement and Prospectus, and the Common Stock issuable upon the exercise of such outstanding options or vesting of such restricted stock units,</w:t>
      </w:r>
    </w:p>
    <w:p>
      <w:pPr>
        <w:spacing w:after="0" w:line="2" w:lineRule="exact"/>
        <w:rPr>
          <w:sz w:val="20"/>
          <w:szCs w:val="20"/>
          <w:color w:val="auto"/>
        </w:rPr>
      </w:pPr>
    </w:p>
    <w:p>
      <w:pPr>
        <w:ind w:left="4" w:right="360" w:hanging="4"/>
        <w:spacing w:after="0" w:line="281" w:lineRule="auto"/>
        <w:tabs>
          <w:tab w:leader="none" w:pos="3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issuance of shares pursuant to the exercise of warrants (v) the filing of registration statements on Form S-8, (vi) sales of shares of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for the primary purpose of capital raising, and</w:t>
      </w:r>
    </w:p>
    <w:p>
      <w:pPr>
        <w:spacing w:after="0" w:line="2" w:lineRule="exact"/>
        <w:rPr>
          <w:rFonts w:ascii="Arial" w:cs="Arial" w:eastAsia="Arial" w:hAnsi="Arial"/>
          <w:sz w:val="16"/>
          <w:szCs w:val="16"/>
          <w:color w:val="auto"/>
        </w:rPr>
      </w:pPr>
    </w:p>
    <w:p>
      <w:pPr>
        <w:ind w:left="364" w:hanging="364"/>
        <w:spacing w:after="0"/>
        <w:tabs>
          <w:tab w:leader="none" w:pos="3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modification of any outstanding options, warrants or any rights to purchase or acquire shares of Common Stock.</w:t>
      </w:r>
    </w:p>
    <w:p>
      <w:pPr>
        <w:spacing w:after="0" w:line="102" w:lineRule="exact"/>
        <w:rPr>
          <w:rFonts w:ascii="Arial" w:cs="Arial" w:eastAsia="Arial" w:hAnsi="Arial"/>
          <w:sz w:val="18"/>
          <w:szCs w:val="18"/>
          <w:color w:val="auto"/>
        </w:rPr>
      </w:pPr>
    </w:p>
    <w:p>
      <w:pPr>
        <w:ind w:left="4" w:firstLine="987"/>
        <w:spacing w:after="0" w:line="271" w:lineRule="auto"/>
        <w:tabs>
          <w:tab w:leader="none" w:pos="1210"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No Stabilization or Manipulation</w:t>
      </w:r>
      <w:r>
        <w:rPr>
          <w:rFonts w:ascii="Arial" w:cs="Arial" w:eastAsia="Arial" w:hAnsi="Arial"/>
          <w:sz w:val="17"/>
          <w:szCs w:val="17"/>
          <w:color w:val="auto"/>
        </w:rPr>
        <w:t>. The Company has not taken and will not take, directly or indirectly, any action designed to, 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might reasonably be expected to cause or result in, or which constitutes: (i) the stabilization or manipulation of the price of the Common Stock or any other security of the Company to facilitate the sale or resale of the Shares, (ii) a violation of Regulation M. The Company shall notify the Agent of any violation of Regulation M by the Company or any of its subsidiaries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Arial" w:cs="Arial" w:eastAsia="Arial" w:hAnsi="Arial"/>
          <w:sz w:val="17"/>
          <w:szCs w:val="17"/>
          <w:b w:val="1"/>
          <w:bCs w:val="1"/>
          <w:i w:val="1"/>
          <w:iCs w:val="1"/>
          <w:color w:val="auto"/>
        </w:rPr>
        <w:t>“Commodity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or otherwise complies with the Commodity Act. The Company will not engage in any activities bearing on the Commodity Act, unless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are exempt from the Commodity Act or otherwise comply with the Commodity Act.</w:t>
      </w:r>
    </w:p>
    <w:p>
      <w:pPr>
        <w:spacing w:after="0" w:line="70" w:lineRule="exact"/>
        <w:rPr>
          <w:rFonts w:ascii="Arial" w:cs="Arial" w:eastAsia="Arial" w:hAnsi="Arial"/>
          <w:sz w:val="17"/>
          <w:szCs w:val="17"/>
          <w:color w:val="auto"/>
        </w:rPr>
      </w:pPr>
    </w:p>
    <w:p>
      <w:pPr>
        <w:ind w:left="4" w:right="140" w:firstLine="987"/>
        <w:spacing w:after="0" w:line="277" w:lineRule="auto"/>
        <w:tabs>
          <w:tab w:leader="none" w:pos="125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No Other Broker</w:t>
      </w:r>
      <w:r>
        <w:rPr>
          <w:rFonts w:ascii="Arial" w:cs="Arial" w:eastAsia="Arial" w:hAnsi="Arial"/>
          <w:sz w:val="18"/>
          <w:szCs w:val="18"/>
          <w:color w:val="auto"/>
        </w:rPr>
        <w:t>. The Company will not incur any liability for any finder’s or broker’s fee or agent’s commission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execution and delivery of this Agreement, or the consummation of the transactions contemplated hereby.</w:t>
      </w:r>
    </w:p>
    <w:p>
      <w:pPr>
        <w:spacing w:after="0" w:line="62" w:lineRule="exact"/>
        <w:rPr>
          <w:rFonts w:ascii="Arial" w:cs="Arial" w:eastAsia="Arial" w:hAnsi="Arial"/>
          <w:sz w:val="18"/>
          <w:szCs w:val="18"/>
          <w:color w:val="auto"/>
        </w:rPr>
      </w:pPr>
    </w:p>
    <w:p>
      <w:pPr>
        <w:ind w:left="4" w:right="240" w:firstLine="987"/>
        <w:spacing w:after="0" w:line="263" w:lineRule="auto"/>
        <w:tabs>
          <w:tab w:leader="none" w:pos="121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Timely Securities Act and Exchange Act Reports</w:t>
      </w:r>
      <w:r>
        <w:rPr>
          <w:rFonts w:ascii="Arial" w:cs="Arial" w:eastAsia="Arial" w:hAnsi="Arial"/>
          <w:sz w:val="18"/>
          <w:szCs w:val="18"/>
          <w:color w:val="auto"/>
        </w:rPr>
        <w:t>. During any prospectus delivery period, the Company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file on a timely basis with the Commission such periodic and special reports as required by the Securities Act and the Exchange Act.</w:t>
      </w:r>
    </w:p>
    <w:p>
      <w:pPr>
        <w:spacing w:after="0" w:line="75" w:lineRule="exact"/>
        <w:rPr>
          <w:rFonts w:ascii="Arial" w:cs="Arial" w:eastAsia="Arial" w:hAnsi="Arial"/>
          <w:sz w:val="18"/>
          <w:szCs w:val="18"/>
          <w:color w:val="auto"/>
        </w:rPr>
      </w:pPr>
    </w:p>
    <w:p>
      <w:pPr>
        <w:ind w:left="4" w:right="60" w:firstLine="987"/>
        <w:spacing w:after="0" w:line="271" w:lineRule="auto"/>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Company and its subsidiaries will maintain such controls and other procedures,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274" w:right="519" w:bottom="1440" w:gutter="0" w:footer="0" w:header="0"/>
        </w:sectPr>
      </w:pPr>
    </w:p>
    <w:bookmarkStart w:id="20" w:name="page21"/>
    <w:bookmarkEnd w:id="20"/>
    <w:p>
      <w:pPr>
        <w:ind w:left="4" w:right="60" w:firstLine="987"/>
        <w:spacing w:after="0" w:line="271" w:lineRule="auto"/>
        <w:tabs>
          <w:tab w:leader="none" w:pos="125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Free Writing Prospectus</w:t>
      </w:r>
      <w:r>
        <w:rPr>
          <w:rFonts w:ascii="Arial" w:cs="Arial" w:eastAsia="Arial" w:hAnsi="Arial"/>
          <w:sz w:val="17"/>
          <w:szCs w:val="17"/>
          <w:color w:val="auto"/>
        </w:rPr>
        <w:t>. The Company represents and agrees that, unless it obtains the prior written consent of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Agent severally represents and agrees that, unless it obtains the prior written consent of the Company, it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70" w:lineRule="exact"/>
        <w:rPr>
          <w:rFonts w:ascii="Arial" w:cs="Arial" w:eastAsia="Arial" w:hAnsi="Arial"/>
          <w:sz w:val="17"/>
          <w:szCs w:val="17"/>
          <w:color w:val="auto"/>
        </w:rPr>
      </w:pPr>
    </w:p>
    <w:p>
      <w:pPr>
        <w:ind w:left="4" w:right="20" w:firstLine="987"/>
        <w:spacing w:after="0" w:line="255" w:lineRule="auto"/>
        <w:tabs>
          <w:tab w:leader="none" w:pos="125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Representation Date and Opinions of Counsel</w:t>
      </w:r>
      <w:r>
        <w:rPr>
          <w:rFonts w:ascii="Arial" w:cs="Arial" w:eastAsia="Arial" w:hAnsi="Arial"/>
          <w:sz w:val="18"/>
          <w:szCs w:val="18"/>
          <w:color w:val="auto"/>
        </w:rPr>
        <w:t>. On or prior to the date of the first Placement Notice, and thereafter during the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or other information “furnished” pursuant to Item 2.02 or 7.01 of Form 8-K) under the Exchange Act, (each of the dates in (A), (B) and (C) are referred to herein as a “</w:t>
      </w:r>
      <w:r>
        <w:rPr>
          <w:rFonts w:ascii="Arial" w:cs="Arial" w:eastAsia="Arial" w:hAnsi="Arial"/>
          <w:sz w:val="18"/>
          <w:szCs w:val="18"/>
          <w:b w:val="1"/>
          <w:bCs w:val="1"/>
          <w:i w:val="1"/>
          <w:iCs w:val="1"/>
          <w:color w:val="auto"/>
        </w:rPr>
        <w:t>Representation Date</w:t>
      </w:r>
      <w:r>
        <w:rPr>
          <w:rFonts w:ascii="Arial" w:cs="Arial" w:eastAsia="Arial" w:hAnsi="Arial"/>
          <w:sz w:val="18"/>
          <w:szCs w:val="18"/>
          <w:color w:val="auto"/>
        </w:rPr>
        <w:t>”), the Company shall cause:</w:t>
      </w:r>
    </w:p>
    <w:p>
      <w:pPr>
        <w:spacing w:after="0" w:line="84" w:lineRule="exact"/>
        <w:rPr>
          <w:rFonts w:ascii="Arial" w:cs="Arial" w:eastAsia="Arial" w:hAnsi="Arial"/>
          <w:sz w:val="18"/>
          <w:szCs w:val="18"/>
          <w:color w:val="auto"/>
        </w:rPr>
      </w:pPr>
    </w:p>
    <w:p>
      <w:pPr>
        <w:ind w:left="444" w:firstLine="948"/>
        <w:spacing w:after="0" w:line="257" w:lineRule="auto"/>
        <w:tabs>
          <w:tab w:leader="none" w:pos="16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Goodwin Procter LLP, counsel for the Company, to furnish to the Agent the opinion and negative assurance letter of such counsel, dated as of such date and addressed to the Agent, in the form reasonably satisfactory to the Agent (in the case of the first Placement Notice), and, in the case of any subsequent Representation Date with respect to which the Company is obligated to deliver an opinion pursuant to this Section 3(o) for which no waiver is applicable, such counsel shall furnish to the Agent only a negative assurance letter, dated as of such date and addressed to the Agent, in the form reasonably satisfactory to the Agent.</w:t>
      </w:r>
    </w:p>
    <w:p>
      <w:pPr>
        <w:spacing w:after="0" w:line="79" w:lineRule="exact"/>
        <w:rPr>
          <w:rFonts w:ascii="Arial" w:cs="Arial" w:eastAsia="Arial" w:hAnsi="Arial"/>
          <w:sz w:val="18"/>
          <w:szCs w:val="18"/>
          <w:color w:val="auto"/>
        </w:rPr>
      </w:pPr>
    </w:p>
    <w:p>
      <w:pPr>
        <w:jc w:val="both"/>
        <w:ind w:left="444" w:right="400" w:firstLine="948"/>
        <w:spacing w:after="0" w:line="263" w:lineRule="auto"/>
        <w:tabs>
          <w:tab w:leader="none" w:pos="16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Goodwin Procter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184"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Notwithstanding the foregoing, (i) the Company shall be required to furnish no more than one opinion pursuant to Section 3(o)(i) above per annual report on Form 10-K and quarterly report on Form 10-Q filed by the Company, and (ii) the requirement to provide counsel opinions under this Section 3(o) shall be automatically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opinions under this</w:t>
      </w:r>
    </w:p>
    <w:p>
      <w:pPr>
        <w:spacing w:after="0" w:line="2" w:lineRule="exact"/>
        <w:rPr>
          <w:sz w:val="20"/>
          <w:szCs w:val="20"/>
          <w:color w:val="auto"/>
        </w:rPr>
      </w:pPr>
    </w:p>
    <w:p>
      <w:pPr>
        <w:ind w:left="4" w:right="420"/>
        <w:spacing w:after="0" w:line="260" w:lineRule="auto"/>
        <w:rPr>
          <w:sz w:val="20"/>
          <w:szCs w:val="20"/>
          <w:color w:val="auto"/>
        </w:rPr>
      </w:pPr>
      <w:r>
        <w:rPr>
          <w:rFonts w:ascii="Arial" w:cs="Arial" w:eastAsia="Arial" w:hAnsi="Arial"/>
          <w:sz w:val="18"/>
          <w:szCs w:val="18"/>
          <w:color w:val="auto"/>
        </w:rPr>
        <w:t>Section 3(o), then before the Agent sells any Shares pursuant to Section 2(a), the Company shall cause the opinions, comfort letter, certificates and documents that would be delivered on a Representation Date to be delivered.</w:t>
      </w:r>
    </w:p>
    <w:p>
      <w:pPr>
        <w:spacing w:after="0" w:line="77" w:lineRule="exact"/>
        <w:rPr>
          <w:sz w:val="20"/>
          <w:szCs w:val="20"/>
          <w:color w:val="auto"/>
        </w:rPr>
      </w:pPr>
    </w:p>
    <w:p>
      <w:pPr>
        <w:ind w:left="4" w:right="320" w:firstLine="987"/>
        <w:spacing w:after="0" w:line="287" w:lineRule="auto"/>
        <w:tabs>
          <w:tab w:leader="none" w:pos="125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Representation Date and Comfort Letter</w:t>
      </w:r>
      <w:r>
        <w:rPr>
          <w:rFonts w:ascii="Arial" w:cs="Arial" w:eastAsia="Arial" w:hAnsi="Arial"/>
          <w:sz w:val="16"/>
          <w:szCs w:val="16"/>
          <w:color w:val="auto"/>
        </w:rPr>
        <w:t>. On or prior to the date of the first Placement Notice and thereafter during the term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on each Representation Date to which a waiver does not apply, the Company shall cause Ernst &amp; Young LLP, or other independent accountants satisfactory to the Agent (the “</w:t>
      </w:r>
      <w:r>
        <w:rPr>
          <w:rFonts w:ascii="Arial" w:cs="Arial" w:eastAsia="Arial" w:hAnsi="Arial"/>
          <w:sz w:val="16"/>
          <w:szCs w:val="16"/>
          <w:b w:val="1"/>
          <w:bCs w:val="1"/>
          <w:i w:val="1"/>
          <w:iCs w:val="1"/>
          <w:color w:val="auto"/>
        </w:rPr>
        <w:t>Accountants</w:t>
      </w:r>
      <w:r>
        <w:rPr>
          <w:rFonts w:ascii="Arial" w:cs="Arial" w:eastAsia="Arial" w:hAnsi="Arial"/>
          <w:sz w:val="16"/>
          <w:szCs w:val="16"/>
          <w:color w:val="auto"/>
        </w:rPr>
        <w:t>”), to deliver to the Agent a letter, dated as of such date and addressed to the Agent,</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confirming that they are independent public accountants within the meaning of the Securities Act and are in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1" w:name="page22"/>
    <w:bookmarkEnd w:id="2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the applicable requirements relating to the qualifications of accountants under Rule 2-01 of Regulation S-X of the Commission, and</w:t>
      </w:r>
    </w:p>
    <w:p>
      <w:pPr>
        <w:spacing w:after="0" w:line="46" w:lineRule="exact"/>
        <w:rPr>
          <w:sz w:val="20"/>
          <w:szCs w:val="20"/>
          <w:color w:val="auto"/>
        </w:rPr>
      </w:pPr>
    </w:p>
    <w:p>
      <w:pPr>
        <w:ind w:left="4" w:right="160" w:hanging="4"/>
        <w:spacing w:after="0" w:line="277" w:lineRule="auto"/>
        <w:tabs>
          <w:tab w:leader="none" w:pos="269"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stating the conclusions and findings of said firm with respect to the financial information and other matters covered by its letter in form and substance satisfactory to the Agent of the same tenor as the first such letter received hereunder; provided that the Company shall be required to furnish no more than one comfort letter hereunder per annual report on Form 10-K and quarterly report on Form 10-Q filed by the Company.</w:t>
      </w:r>
    </w:p>
    <w:p>
      <w:pPr>
        <w:spacing w:after="0" w:line="64" w:lineRule="exact"/>
        <w:rPr>
          <w:rFonts w:ascii="Arial" w:cs="Arial" w:eastAsia="Arial" w:hAnsi="Arial"/>
          <w:sz w:val="17"/>
          <w:szCs w:val="17"/>
          <w:color w:val="auto"/>
        </w:rPr>
      </w:pPr>
    </w:p>
    <w:p>
      <w:pPr>
        <w:ind w:left="4" w:right="20" w:firstLine="987"/>
        <w:spacing w:after="0" w:line="259" w:lineRule="auto"/>
        <w:tabs>
          <w:tab w:leader="none" w:pos="1250"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Representation Date and Representation Certificate</w:t>
      </w:r>
      <w:r>
        <w:rPr>
          <w:rFonts w:ascii="Arial" w:cs="Arial" w:eastAsia="Arial" w:hAnsi="Arial"/>
          <w:sz w:val="18"/>
          <w:szCs w:val="18"/>
          <w:color w:val="auto"/>
        </w:rPr>
        <w:t>. On or prior to the date of the first Placement Notice and thereafter during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this Agreement, on each Representation Date to which a waiver does not apply, the Company shall furnish to the Agent a certificate (the </w:t>
      </w:r>
      <w:r>
        <w:rPr>
          <w:rFonts w:ascii="Arial" w:cs="Arial" w:eastAsia="Arial" w:hAnsi="Arial"/>
          <w:sz w:val="18"/>
          <w:szCs w:val="18"/>
          <w:b w:val="1"/>
          <w:bCs w:val="1"/>
          <w:i w:val="1"/>
          <w:iCs w:val="1"/>
          <w:color w:val="auto"/>
        </w:rPr>
        <w:t>“Representation Certificate”</w:t>
      </w:r>
      <w:r>
        <w:rPr>
          <w:rFonts w:ascii="Arial" w:cs="Arial" w:eastAsia="Arial" w:hAnsi="Arial"/>
          <w:sz w:val="18"/>
          <w:szCs w:val="18"/>
          <w:color w:val="auto"/>
        </w:rPr>
        <w:t>), substantially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and dated as of such date, addressed to the Agent and signed by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the chief financial officer or chief operating officer of the Company.</w:t>
      </w:r>
    </w:p>
    <w:p>
      <w:pPr>
        <w:spacing w:after="0" w:line="78" w:lineRule="exact"/>
        <w:rPr>
          <w:rFonts w:ascii="Arial" w:cs="Arial" w:eastAsia="Arial" w:hAnsi="Arial"/>
          <w:sz w:val="18"/>
          <w:szCs w:val="18"/>
          <w:color w:val="auto"/>
        </w:rPr>
      </w:pPr>
    </w:p>
    <w:p>
      <w:pPr>
        <w:jc w:val="both"/>
        <w:ind w:left="4" w:right="60" w:firstLine="987"/>
        <w:spacing w:after="0" w:line="263" w:lineRule="auto"/>
        <w:tabs>
          <w:tab w:leader="none" w:pos="1220"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Disclosure of Shares Sold</w:t>
      </w:r>
      <w:r>
        <w:rPr>
          <w:rFonts w:ascii="Arial" w:cs="Arial" w:eastAsia="Arial" w:hAnsi="Arial"/>
          <w:sz w:val="18"/>
          <w:szCs w:val="18"/>
          <w:color w:val="auto"/>
        </w:rPr>
        <w:t>. The Company shall disclose in its quarterly reports on Form 10-Q and in its annual report on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the Shares sold through the Agent under this Agreement, and the net proceeds to the Company with respect to sales of the Shares pursuant to this Agreement during the relevant quarter.</w:t>
      </w:r>
    </w:p>
    <w:p>
      <w:pPr>
        <w:spacing w:after="0" w:line="75" w:lineRule="exact"/>
        <w:rPr>
          <w:rFonts w:ascii="Arial" w:cs="Arial" w:eastAsia="Arial" w:hAnsi="Arial"/>
          <w:sz w:val="18"/>
          <w:szCs w:val="18"/>
          <w:color w:val="auto"/>
        </w:rPr>
      </w:pPr>
    </w:p>
    <w:p>
      <w:pPr>
        <w:ind w:left="4" w:right="160" w:firstLine="987"/>
        <w:spacing w:after="0" w:line="277" w:lineRule="auto"/>
        <w:tabs>
          <w:tab w:leader="none" w:pos="1230"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Continued Listing of Shares</w:t>
      </w:r>
      <w:r>
        <w:rPr>
          <w:rFonts w:ascii="Arial" w:cs="Arial" w:eastAsia="Arial" w:hAnsi="Arial"/>
          <w:sz w:val="18"/>
          <w:szCs w:val="18"/>
          <w:color w:val="auto"/>
        </w:rPr>
        <w:t>. The Company shall use its commercially reasonable efforts to maintain the listing of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Exchange.</w:t>
      </w:r>
    </w:p>
    <w:p>
      <w:pPr>
        <w:spacing w:after="0" w:line="62" w:lineRule="exact"/>
        <w:rPr>
          <w:rFonts w:ascii="Arial" w:cs="Arial" w:eastAsia="Arial" w:hAnsi="Arial"/>
          <w:sz w:val="18"/>
          <w:szCs w:val="18"/>
          <w:color w:val="auto"/>
        </w:rPr>
      </w:pPr>
    </w:p>
    <w:p>
      <w:pPr>
        <w:ind w:left="4" w:right="240" w:firstLine="987"/>
        <w:spacing w:after="0" w:line="277" w:lineRule="auto"/>
        <w:tabs>
          <w:tab w:leader="none" w:pos="1210"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Maximum Amount</w:t>
      </w:r>
      <w:r>
        <w:rPr>
          <w:rFonts w:ascii="Arial" w:cs="Arial" w:eastAsia="Arial" w:hAnsi="Arial"/>
          <w:sz w:val="18"/>
          <w:szCs w:val="18"/>
          <w:color w:val="auto"/>
        </w:rPr>
        <w:t>. The Company will not instruct the Agent to sell or otherwise attempt to sell Shares pursuant to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the Maximum Amount.</w:t>
      </w:r>
    </w:p>
    <w:p>
      <w:pPr>
        <w:spacing w:after="0" w:line="62" w:lineRule="exact"/>
        <w:rPr>
          <w:rFonts w:ascii="Arial" w:cs="Arial" w:eastAsia="Arial" w:hAnsi="Arial"/>
          <w:sz w:val="18"/>
          <w:szCs w:val="18"/>
          <w:color w:val="auto"/>
        </w:rPr>
      </w:pPr>
    </w:p>
    <w:p>
      <w:pPr>
        <w:ind w:left="4" w:right="220" w:firstLine="987"/>
        <w:spacing w:after="0" w:line="286" w:lineRule="auto"/>
        <w:tabs>
          <w:tab w:leader="none" w:pos="1250" w:val="left"/>
        </w:tabs>
        <w:numPr>
          <w:ilvl w:val="2"/>
          <w:numId w:val="33"/>
        </w:numPr>
        <w:rPr>
          <w:rFonts w:ascii="Arial" w:cs="Arial" w:eastAsia="Arial" w:hAnsi="Arial"/>
          <w:sz w:val="17"/>
          <w:szCs w:val="17"/>
          <w:color w:val="auto"/>
        </w:rPr>
      </w:pPr>
      <w:r>
        <w:rPr>
          <w:rFonts w:ascii="Arial" w:cs="Arial" w:eastAsia="Arial" w:hAnsi="Arial"/>
          <w:sz w:val="17"/>
          <w:szCs w:val="17"/>
          <w:i w:val="1"/>
          <w:iCs w:val="1"/>
          <w:color w:val="auto"/>
        </w:rPr>
        <w:t>Notice of Changes</w:t>
      </w:r>
      <w:r>
        <w:rPr>
          <w:rFonts w:ascii="Arial" w:cs="Arial" w:eastAsia="Arial" w:hAnsi="Arial"/>
          <w:sz w:val="17"/>
          <w:szCs w:val="17"/>
          <w:color w:val="auto"/>
        </w:rPr>
        <w:t>. At any time prior to tendering a Placement Notice for a sale of Shares hereunder, the Company shall advise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Agent immediately after it shall have received notice or obtain knowledge thereof, of any information or fact that would alter or affect in any material respect any opinion, certificate, letter and other document provided to the Agent pursuant to this Section 3.</w:t>
      </w:r>
    </w:p>
    <w:p>
      <w:pPr>
        <w:spacing w:after="0" w:line="57" w:lineRule="exact"/>
        <w:rPr>
          <w:rFonts w:ascii="Arial" w:cs="Arial" w:eastAsia="Arial" w:hAnsi="Arial"/>
          <w:sz w:val="17"/>
          <w:szCs w:val="17"/>
          <w:color w:val="auto"/>
        </w:rPr>
      </w:pPr>
    </w:p>
    <w:p>
      <w:pPr>
        <w:ind w:left="4" w:firstLine="436"/>
        <w:spacing w:after="0" w:line="287" w:lineRule="auto"/>
        <w:tabs>
          <w:tab w:leader="none" w:pos="624" w:val="left"/>
        </w:tabs>
        <w:numPr>
          <w:ilvl w:val="1"/>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Conditions of Agent’s Obligations</w:t>
      </w:r>
      <w:r>
        <w:rPr>
          <w:rFonts w:ascii="Arial" w:cs="Arial" w:eastAsia="Arial" w:hAnsi="Arial"/>
          <w:sz w:val="16"/>
          <w:szCs w:val="16"/>
          <w:color w:val="auto"/>
        </w:rPr>
        <w:t>. The obligations of the Agent hereunder are subject to (i) the accuracy, as of the date of this Agreement,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w:t>
      </w:r>
    </w:p>
    <w:p>
      <w:pPr>
        <w:spacing w:after="0" w:line="2" w:lineRule="exact"/>
        <w:rPr>
          <w:rFonts w:ascii="Arial" w:cs="Arial" w:eastAsia="Arial" w:hAnsi="Arial"/>
          <w:sz w:val="16"/>
          <w:szCs w:val="16"/>
          <w:b w:val="1"/>
          <w:bCs w:val="1"/>
          <w:i w:val="1"/>
          <w:iCs w:val="1"/>
          <w:color w:val="auto"/>
        </w:rPr>
      </w:pPr>
    </w:p>
    <w:p>
      <w:pPr>
        <w:ind w:left="324" w:hanging="324"/>
        <w:spacing w:after="0"/>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102" w:lineRule="exact"/>
        <w:rPr>
          <w:rFonts w:ascii="Arial" w:cs="Arial" w:eastAsia="Arial" w:hAnsi="Arial"/>
          <w:sz w:val="18"/>
          <w:szCs w:val="18"/>
          <w:color w:val="auto"/>
        </w:rPr>
      </w:pPr>
    </w:p>
    <w:p>
      <w:pPr>
        <w:ind w:left="4" w:right="140" w:firstLine="987"/>
        <w:spacing w:after="0" w:line="271" w:lineRule="auto"/>
        <w:tabs>
          <w:tab w:leader="none" w:pos="1240" w:val="left"/>
        </w:tabs>
        <w:numPr>
          <w:ilvl w:val="2"/>
          <w:numId w:val="34"/>
        </w:numPr>
        <w:rPr>
          <w:rFonts w:ascii="Arial" w:cs="Arial" w:eastAsia="Arial" w:hAnsi="Arial"/>
          <w:sz w:val="17"/>
          <w:szCs w:val="17"/>
          <w:color w:val="auto"/>
        </w:rPr>
      </w:pPr>
      <w:r>
        <w:rPr>
          <w:rFonts w:ascii="Arial" w:cs="Arial" w:eastAsia="Arial" w:hAnsi="Arial"/>
          <w:sz w:val="17"/>
          <w:szCs w:val="17"/>
          <w:i w:val="1"/>
          <w:iCs w:val="1"/>
          <w:color w:val="auto"/>
        </w:rPr>
        <w:t>Continuing Amendments; No Stop Order</w:t>
      </w:r>
      <w:r>
        <w:rPr>
          <w:rFonts w:ascii="Arial" w:cs="Arial" w:eastAsia="Arial" w:hAnsi="Arial"/>
          <w:sz w:val="17"/>
          <w:szCs w:val="17"/>
          <w:color w:val="auto"/>
        </w:rPr>
        <w:t>. If filing of the Prospectus, or any amendment or supplement thereto, or any Permitted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reasonable satisfaction.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2" w:name="page23"/>
    <w:bookmarkEnd w:id="22"/>
    <w:p>
      <w:pPr>
        <w:ind w:right="120" w:firstLine="987"/>
        <w:spacing w:after="0" w:line="268" w:lineRule="auto"/>
        <w:tabs>
          <w:tab w:leader="none" w:pos="124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Certain Events</w:t>
      </w:r>
      <w:r>
        <w:rPr>
          <w:rFonts w:ascii="Arial" w:cs="Arial" w:eastAsia="Arial" w:hAnsi="Arial"/>
          <w:sz w:val="17"/>
          <w:szCs w:val="17"/>
          <w:color w:val="auto"/>
        </w:rPr>
        <w:t>. None of the following events shall have occurred and be continuing: (i) receipt by the Company 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which have not been made;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78" w:lineRule="exact"/>
        <w:rPr>
          <w:rFonts w:ascii="Arial" w:cs="Arial" w:eastAsia="Arial" w:hAnsi="Arial"/>
          <w:sz w:val="17"/>
          <w:szCs w:val="17"/>
          <w:color w:val="auto"/>
        </w:rPr>
      </w:pPr>
    </w:p>
    <w:p>
      <w:pPr>
        <w:ind w:right="480" w:firstLine="987"/>
        <w:spacing w:after="0" w:line="286"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No Material Misstatement or Omission</w:t>
      </w:r>
      <w:r>
        <w:rPr>
          <w:rFonts w:ascii="Arial" w:cs="Arial" w:eastAsia="Arial" w:hAnsi="Arial"/>
          <w:sz w:val="17"/>
          <w:szCs w:val="17"/>
          <w:color w:val="auto"/>
        </w:rPr>
        <w:t>. The Agent shall not have advised the Company that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contains an untrue statement of fact which, in the Agent’s reasonable opinion, is material, or omits to state a fact which, in the Agent’s reasonable opinion, is material and is required to be stated therein or necessary to make the statements therein not misleading.</w:t>
      </w:r>
    </w:p>
    <w:p>
      <w:pPr>
        <w:spacing w:after="0" w:line="57" w:lineRule="exact"/>
        <w:rPr>
          <w:rFonts w:ascii="Arial" w:cs="Arial" w:eastAsia="Arial" w:hAnsi="Arial"/>
          <w:sz w:val="17"/>
          <w:szCs w:val="17"/>
          <w:color w:val="auto"/>
        </w:rPr>
      </w:pPr>
    </w:p>
    <w:p>
      <w:pPr>
        <w:ind w:firstLine="987"/>
        <w:spacing w:after="0" w:line="269" w:lineRule="auto"/>
        <w:tabs>
          <w:tab w:leader="none" w:pos="124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No Adverse Changes</w:t>
      </w:r>
      <w:r>
        <w:rPr>
          <w:rFonts w:ascii="Arial" w:cs="Arial" w:eastAsia="Arial" w:hAnsi="Arial"/>
          <w:sz w:val="17"/>
          <w:szCs w:val="17"/>
          <w:color w:val="auto"/>
        </w:rPr>
        <w:t>. Except as contemplated in the Prospectus, subsequent to the respective dates as of which information is given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Company’s capital stock (other than a change in the number of outstanding shares of Common Stock due to the issuance of shares of Common Stock upon the exercise of outstanding options or warrants), or any material change in the short-term or long-term debt of the Company, or any issuance of options, warrants, convertible securities or other rights to purchase the capital stock of the Company or any of its subsidiaries, or any development involving a prospective Material Adverse Effect (whether or not arising in the ordinary course of business), or any loss by strike, fire, flood, earthquake, accident or other calamity, whether or not covered by insurance, incurred by the Company or any of its subsidiaries, the effect of which, in any such case described above, in the Agent’s judgment, makes it impractical or inadvisable to offer or deliver the Shares on the terms and in the manner contemplated in the Prospectus.</w:t>
      </w:r>
    </w:p>
    <w:p>
      <w:pPr>
        <w:spacing w:after="0" w:line="77" w:lineRule="exact"/>
        <w:rPr>
          <w:rFonts w:ascii="Arial" w:cs="Arial" w:eastAsia="Arial" w:hAnsi="Arial"/>
          <w:sz w:val="17"/>
          <w:szCs w:val="17"/>
          <w:color w:val="auto"/>
        </w:rPr>
      </w:pPr>
    </w:p>
    <w:p>
      <w:pPr>
        <w:ind w:left="1240" w:hanging="253"/>
        <w:spacing w:after="0"/>
        <w:tabs>
          <w:tab w:leader="none" w:pos="12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Compliance with Certain Obligations</w:t>
      </w:r>
      <w:r>
        <w:rPr>
          <w:rFonts w:ascii="Arial" w:cs="Arial" w:eastAsia="Arial" w:hAnsi="Arial"/>
          <w:sz w:val="16"/>
          <w:szCs w:val="16"/>
          <w:color w:val="auto"/>
        </w:rPr>
        <w:t>. The Company shall have performed each of its obligations under Section 3(o) through 3(q)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02" w:lineRule="exact"/>
        <w:rPr>
          <w:rFonts w:ascii="Arial" w:cs="Arial" w:eastAsia="Arial" w:hAnsi="Arial"/>
          <w:sz w:val="16"/>
          <w:szCs w:val="16"/>
          <w:color w:val="auto"/>
        </w:rPr>
      </w:pPr>
    </w:p>
    <w:p>
      <w:pPr>
        <w:ind w:right="40" w:firstLine="987"/>
        <w:spacing w:after="0" w:line="275" w:lineRule="auto"/>
        <w:tabs>
          <w:tab w:leader="none" w:pos="121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Opinion of Agent Counsel</w:t>
      </w:r>
      <w:r>
        <w:rPr>
          <w:rFonts w:ascii="Arial" w:cs="Arial" w:eastAsia="Arial" w:hAnsi="Arial"/>
          <w:sz w:val="17"/>
          <w:szCs w:val="17"/>
          <w:color w:val="auto"/>
        </w:rPr>
        <w:t>. On each Representation Date to which a waiver does not apply, there shall have been furnished to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the opinion and negative assurance letter of Ropes &amp; Gray LLP,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Ropes &amp; Gray LLP shall only be required prior to the first Placement Notice, and thereafter, only a negative assurance letter of such counsel shall be required for each subsequent Representation Date.</w:t>
      </w:r>
    </w:p>
    <w:p>
      <w:pPr>
        <w:spacing w:after="0" w:line="68" w:lineRule="exact"/>
        <w:rPr>
          <w:rFonts w:ascii="Arial" w:cs="Arial" w:eastAsia="Arial" w:hAnsi="Arial"/>
          <w:sz w:val="17"/>
          <w:szCs w:val="17"/>
          <w:color w:val="auto"/>
        </w:rPr>
      </w:pPr>
    </w:p>
    <w:p>
      <w:pPr>
        <w:ind w:left="1240" w:hanging="253"/>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Representation Certificate</w:t>
      </w:r>
      <w:r>
        <w:rPr>
          <w:rFonts w:ascii="Arial" w:cs="Arial" w:eastAsia="Arial" w:hAnsi="Arial"/>
          <w:sz w:val="17"/>
          <w:szCs w:val="17"/>
          <w:color w:val="auto"/>
        </w:rPr>
        <w:t>. On or prior to the first Placement Notice, the Agent shall have received the Representation Certificate.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3" w:name="page24"/>
    <w:bookmarkEnd w:id="23"/>
    <w:p>
      <w:pPr>
        <w:ind w:left="1244" w:hanging="253"/>
        <w:spacing w:after="0"/>
        <w:tabs>
          <w:tab w:leader="none" w:pos="124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Objection by FINRA</w:t>
      </w:r>
      <w:r>
        <w:rPr>
          <w:rFonts w:ascii="Arial" w:cs="Arial" w:eastAsia="Arial" w:hAnsi="Arial"/>
          <w:sz w:val="17"/>
          <w:szCs w:val="17"/>
          <w:color w:val="auto"/>
        </w:rPr>
        <w:t>. FINRA shall have raised no objection to the fairness and reasonableness of the underwriting terms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arrangements.</w:t>
      </w:r>
    </w:p>
    <w:p>
      <w:pPr>
        <w:spacing w:after="0" w:line="102" w:lineRule="exact"/>
        <w:rPr>
          <w:rFonts w:ascii="Arial" w:cs="Arial" w:eastAsia="Arial" w:hAnsi="Arial"/>
          <w:sz w:val="17"/>
          <w:szCs w:val="17"/>
          <w:color w:val="auto"/>
        </w:rPr>
      </w:pPr>
    </w:p>
    <w:p>
      <w:pPr>
        <w:ind w:left="4" w:firstLine="987"/>
        <w:spacing w:after="0" w:line="263" w:lineRule="auto"/>
        <w:tabs>
          <w:tab w:leader="none" w:pos="121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Timely Filing of Prospectus and Prospectus Supplement</w:t>
      </w:r>
      <w:r>
        <w:rPr>
          <w:rFonts w:ascii="Arial" w:cs="Arial" w:eastAsia="Arial" w:hAnsi="Arial"/>
          <w:sz w:val="18"/>
          <w:szCs w:val="18"/>
          <w:color w:val="auto"/>
        </w:rPr>
        <w:t>. All filings with the Commission required by Rule 424 under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been filed by the Settlement Date, as the case may be, shall have been made within the applicable time period prescribed for such filing by Rule 424 under the Securities Act.</w:t>
      </w:r>
    </w:p>
    <w:p>
      <w:pPr>
        <w:spacing w:after="0" w:line="75" w:lineRule="exact"/>
        <w:rPr>
          <w:rFonts w:ascii="Arial" w:cs="Arial" w:eastAsia="Arial" w:hAnsi="Arial"/>
          <w:sz w:val="18"/>
          <w:szCs w:val="18"/>
          <w:color w:val="auto"/>
        </w:rPr>
      </w:pPr>
    </w:p>
    <w:p>
      <w:pPr>
        <w:ind w:left="4" w:right="520" w:firstLine="987"/>
        <w:spacing w:after="0" w:line="277" w:lineRule="auto"/>
        <w:tabs>
          <w:tab w:leader="none" w:pos="121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Additional Documents and Certificates</w:t>
      </w:r>
      <w:r>
        <w:rPr>
          <w:rFonts w:ascii="Arial" w:cs="Arial" w:eastAsia="Arial" w:hAnsi="Arial"/>
          <w:sz w:val="18"/>
          <w:szCs w:val="18"/>
          <w:color w:val="auto"/>
        </w:rPr>
        <w:t>. The Company shall have furnished to the Agent and the Agent’s counsel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certificates and evidence as they may have reasonably requested.</w:t>
      </w:r>
    </w:p>
    <w:p>
      <w:pPr>
        <w:spacing w:after="0" w:line="170"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All opinions, certificates, letters and other documents described in this Section 4 will be in compliance with the provisions hereof only if they are reasonably satisfactory in form and substance to the Agent and the Agent’s counsel (it being agreed that the forms of opinions and Representation Certificate attached to this Agreement are satisfactory). The Company will furnish the Agent with such conformed copies of such opinions, certificates, letters and other documents as the Agent shall reasonably request.</w:t>
      </w:r>
    </w:p>
    <w:p>
      <w:pPr>
        <w:spacing w:after="0" w:line="79" w:lineRule="exact"/>
        <w:rPr>
          <w:sz w:val="20"/>
          <w:szCs w:val="20"/>
          <w:color w:val="auto"/>
        </w:rPr>
      </w:pPr>
    </w:p>
    <w:p>
      <w:pPr>
        <w:ind w:left="624" w:hanging="184"/>
        <w:spacing w:after="0"/>
        <w:tabs>
          <w:tab w:leader="none" w:pos="62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4" w:right="220" w:firstLine="987"/>
        <w:spacing w:after="0" w:line="257" w:lineRule="auto"/>
        <w:tabs>
          <w:tab w:leader="none" w:pos="12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Company Indemnification</w:t>
      </w:r>
      <w:r>
        <w:rPr>
          <w:rFonts w:ascii="Arial" w:cs="Arial" w:eastAsia="Arial" w:hAnsi="Arial"/>
          <w:sz w:val="18"/>
          <w:szCs w:val="18"/>
          <w:color w:val="auto"/>
        </w:rPr>
        <w:t>. The Company agrees to indemnify and hold harmless the Agent, its affiliates,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80" w:lineRule="exact"/>
        <w:rPr>
          <w:sz w:val="20"/>
          <w:szCs w:val="20"/>
          <w:color w:val="auto"/>
        </w:rPr>
      </w:pPr>
    </w:p>
    <w:p>
      <w:pPr>
        <w:ind w:left="4" w:firstLine="987"/>
        <w:spacing w:after="0" w:line="284" w:lineRule="auto"/>
        <w:tabs>
          <w:tab w:leader="none" w:pos="12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xml:space="preserve">), or an omission or alleged omission to state therein a material fact required to be stated therein or necessary to make the statements therein not misleading; and will reimburse the Agent for any legal or other expenses reasonably incurred by it in connection with investigating or defending against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liable in any such case of (i) through</w:t>
      </w:r>
    </w:p>
    <w:p>
      <w:pPr>
        <w:ind w:left="4" w:right="160" w:hanging="4"/>
        <w:spacing w:after="0" w:line="253" w:lineRule="auto"/>
        <w:tabs>
          <w:tab w:leader="none" w:pos="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Arial" w:cs="Arial" w:eastAsia="Arial" w:hAnsi="Arial"/>
          <w:sz w:val="18"/>
          <w:szCs w:val="18"/>
          <w:b w:val="1"/>
          <w:bCs w:val="1"/>
          <w:i w:val="1"/>
          <w:iCs w:val="1"/>
          <w:color w:val="auto"/>
        </w:rPr>
        <w:t>Rule 430B Information</w:t>
      </w:r>
      <w:r>
        <w:rPr>
          <w:rFonts w:ascii="Arial" w:cs="Arial" w:eastAsia="Arial" w:hAnsi="Arial"/>
          <w:sz w:val="18"/>
          <w:szCs w:val="18"/>
          <w:color w:val="auto"/>
        </w:rPr>
        <w:t>,” as used herein, means information with respect to the Shares and the offering thereof permitted to be omitted from the Registration Statement when it becomes effective pursuant to Rule 430B;</w:t>
      </w:r>
    </w:p>
    <w:p>
      <w:pPr>
        <w:spacing w:after="0" w:line="82" w:lineRule="exact"/>
        <w:rPr>
          <w:rFonts w:ascii="Arial" w:cs="Arial" w:eastAsia="Arial" w:hAnsi="Arial"/>
          <w:sz w:val="18"/>
          <w:szCs w:val="18"/>
          <w:color w:val="auto"/>
        </w:rPr>
      </w:pPr>
    </w:p>
    <w:p>
      <w:pPr>
        <w:ind w:left="4" w:right="240" w:firstLine="987"/>
        <w:spacing w:after="0" w:line="277" w:lineRule="auto"/>
        <w:tabs>
          <w:tab w:leader="none" w:pos="1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investigation or proceeding by any governmental authority, commenced or threatened (whether or not the Agent is a target of or party to such investigation or proceeding); and</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failure of the Company to perform its respective obligations hereunder or under law.</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4" w:name="page25"/>
    <w:bookmarkEnd w:id="24"/>
    <w:p>
      <w:pPr>
        <w:ind w:right="10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58" w:lineRule="exact"/>
        <w:rPr>
          <w:sz w:val="20"/>
          <w:szCs w:val="20"/>
          <w:color w:val="auto"/>
        </w:rPr>
      </w:pPr>
    </w:p>
    <w:p>
      <w:pPr>
        <w:ind w:right="60" w:firstLine="987"/>
        <w:spacing w:after="0" w:line="287"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Agent Indemnification</w:t>
      </w:r>
      <w:r>
        <w:rPr>
          <w:rFonts w:ascii="Arial" w:cs="Arial" w:eastAsia="Arial" w:hAnsi="Arial"/>
          <w:sz w:val="16"/>
          <w:szCs w:val="16"/>
          <w:color w:val="auto"/>
        </w:rPr>
        <w:t>. The Agent agrees to indemnify and hold harmless the Company, each of its directors, each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who signed the Registration Statement, and each person, if any, who controls the Company within the meaning of Section 15 of the Securities Act or Section 20 of the Exchange Act, against any losses, claims, damages or liabilities to which such party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second paragraph under the caption “Plan of Distribution” in the Prospectus, and will reimburse such party for any legal or other expenses reasonably incurred by such party in connection with investigating or defending against any such loss, claim, damage, liability or action.</w:t>
      </w:r>
    </w:p>
    <w:p>
      <w:pPr>
        <w:spacing w:after="0" w:line="59" w:lineRule="exact"/>
        <w:rPr>
          <w:rFonts w:ascii="Arial" w:cs="Arial" w:eastAsia="Arial" w:hAnsi="Arial"/>
          <w:sz w:val="16"/>
          <w:szCs w:val="16"/>
          <w:color w:val="auto"/>
        </w:rPr>
      </w:pPr>
    </w:p>
    <w:p>
      <w:pPr>
        <w:ind w:firstLine="987"/>
        <w:spacing w:after="0" w:line="268" w:lineRule="auto"/>
        <w:tabs>
          <w:tab w:leader="none" w:pos="1236"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Notice and Procedures</w:t>
      </w:r>
      <w:r>
        <w:rPr>
          <w:rFonts w:ascii="Arial" w:cs="Arial" w:eastAsia="Arial" w:hAnsi="Arial"/>
          <w:sz w:val="17"/>
          <w:szCs w:val="17"/>
          <w:color w:val="auto"/>
        </w:rPr>
        <w:t>.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 w:name="page26"/>
    <w:bookmarkEnd w:id="25"/>
    <w:p>
      <w:pPr>
        <w:ind w:left="4" w:right="4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78" w:lineRule="exact"/>
        <w:rPr>
          <w:sz w:val="20"/>
          <w:szCs w:val="20"/>
          <w:color w:val="auto"/>
        </w:rPr>
      </w:pPr>
    </w:p>
    <w:p>
      <w:pPr>
        <w:ind w:left="4" w:firstLine="987"/>
        <w:spacing w:after="0" w:line="286" w:lineRule="auto"/>
        <w:tabs>
          <w:tab w:leader="none" w:pos="1250" w:val="left"/>
        </w:tabs>
        <w:numPr>
          <w:ilvl w:val="2"/>
          <w:numId w:val="41"/>
        </w:numPr>
        <w:rPr>
          <w:rFonts w:ascii="Arial" w:cs="Arial" w:eastAsia="Arial" w:hAnsi="Arial"/>
          <w:sz w:val="16"/>
          <w:szCs w:val="16"/>
          <w:color w:val="auto"/>
        </w:rPr>
      </w:pPr>
      <w:r>
        <w:rPr>
          <w:rFonts w:ascii="Arial" w:cs="Arial" w:eastAsia="Arial" w:hAnsi="Arial"/>
          <w:sz w:val="16"/>
          <w:szCs w:val="16"/>
          <w:i w:val="1"/>
          <w:iCs w:val="1"/>
          <w:color w:val="auto"/>
        </w:rPr>
        <w:t>Contribution; Limitations on Liability; Non-Exclusive Remedy</w:t>
      </w:r>
      <w:r>
        <w:rPr>
          <w:rFonts w:ascii="Arial" w:cs="Arial" w:eastAsia="Arial" w:hAnsi="Arial"/>
          <w:sz w:val="16"/>
          <w:szCs w:val="16"/>
          <w:color w:val="auto"/>
        </w:rPr>
        <w:t>. If the indemnification provided for in this Section 5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67" w:lineRule="exact"/>
        <w:rPr>
          <w:rFonts w:ascii="Arial" w:cs="Arial" w:eastAsia="Arial" w:hAnsi="Arial"/>
          <w:sz w:val="16"/>
          <w:szCs w:val="16"/>
          <w:color w:val="auto"/>
        </w:rPr>
      </w:pPr>
    </w:p>
    <w:p>
      <w:pPr>
        <w:ind w:left="4" w:right="40" w:firstLine="436"/>
        <w:spacing w:after="0" w:line="257" w:lineRule="auto"/>
        <w:tabs>
          <w:tab w:leader="none" w:pos="624" w:val="left"/>
        </w:tabs>
        <w:numPr>
          <w:ilvl w:val="1"/>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4" w:right="499" w:bottom="1440" w:gutter="0" w:footer="0" w:header="0"/>
        </w:sectPr>
      </w:pPr>
    </w:p>
    <w:bookmarkStart w:id="26" w:name="page27"/>
    <w:bookmarkEnd w:id="26"/>
    <w:p>
      <w:pPr>
        <w:ind w:left="620" w:hanging="184"/>
        <w:spacing w:after="0"/>
        <w:tabs>
          <w:tab w:leader="none" w:pos="6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this Agreement.</w:t>
      </w:r>
    </w:p>
    <w:p>
      <w:pPr>
        <w:spacing w:after="0" w:line="117" w:lineRule="exact"/>
        <w:rPr>
          <w:rFonts w:ascii="Arial" w:cs="Arial" w:eastAsia="Arial" w:hAnsi="Arial"/>
          <w:sz w:val="18"/>
          <w:szCs w:val="18"/>
          <w:b w:val="1"/>
          <w:bCs w:val="1"/>
          <w:i w:val="1"/>
          <w:iCs w:val="1"/>
          <w:color w:val="auto"/>
        </w:rPr>
      </w:pPr>
    </w:p>
    <w:p>
      <w:pPr>
        <w:ind w:right="20" w:firstLine="987"/>
        <w:spacing w:after="0" w:line="272" w:lineRule="auto"/>
        <w:tabs>
          <w:tab w:leader="none" w:pos="1236"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 Upon termination of this Agreement, the Company shall not have any liability to the Agent for any discount, commission or other compensation with respect to any Shares not sold by the Agent under this Agreement at the time of termination of such provisions.</w:t>
      </w:r>
    </w:p>
    <w:p>
      <w:pPr>
        <w:spacing w:after="0" w:line="69" w:lineRule="exact"/>
        <w:rPr>
          <w:rFonts w:ascii="Arial" w:cs="Arial" w:eastAsia="Arial" w:hAnsi="Arial"/>
          <w:sz w:val="17"/>
          <w:szCs w:val="17"/>
          <w:color w:val="auto"/>
        </w:rPr>
      </w:pPr>
    </w:p>
    <w:p>
      <w:pPr>
        <w:ind w:right="20" w:firstLine="987"/>
        <w:spacing w:after="0" w:line="259" w:lineRule="auto"/>
        <w:tabs>
          <w:tab w:leader="none" w:pos="12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Agent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78" w:lineRule="exact"/>
        <w:rPr>
          <w:rFonts w:ascii="Arial" w:cs="Arial" w:eastAsia="Arial" w:hAnsi="Arial"/>
          <w:sz w:val="18"/>
          <w:szCs w:val="18"/>
          <w:color w:val="auto"/>
        </w:rPr>
      </w:pPr>
    </w:p>
    <w:p>
      <w:pPr>
        <w:ind w:right="180" w:firstLine="987"/>
        <w:spacing w:after="0" w:line="263" w:lineRule="auto"/>
        <w:tabs>
          <w:tab w:leader="none" w:pos="12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7, this Agreement shall automatically terminate upon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75"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75" w:lineRule="exact"/>
        <w:rPr>
          <w:rFonts w:ascii="Arial" w:cs="Arial" w:eastAsia="Arial" w:hAnsi="Arial"/>
          <w:sz w:val="18"/>
          <w:szCs w:val="18"/>
          <w:color w:val="auto"/>
        </w:rPr>
      </w:pPr>
    </w:p>
    <w:p>
      <w:pPr>
        <w:ind w:firstLine="987"/>
        <w:spacing w:after="0" w:line="259" w:lineRule="auto"/>
        <w:tabs>
          <w:tab w:leader="none" w:pos="12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78" w:lineRule="exact"/>
        <w:rPr>
          <w:rFonts w:ascii="Arial" w:cs="Arial" w:eastAsia="Arial" w:hAnsi="Arial"/>
          <w:sz w:val="18"/>
          <w:szCs w:val="18"/>
          <w:color w:val="auto"/>
        </w:rPr>
      </w:pPr>
    </w:p>
    <w:p>
      <w:pPr>
        <w:ind w:right="120" w:firstLine="436"/>
        <w:spacing w:after="0" w:line="275" w:lineRule="auto"/>
        <w:tabs>
          <w:tab w:leader="none" w:pos="620"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Default by the Company</w:t>
      </w:r>
      <w:r>
        <w:rPr>
          <w:rFonts w:ascii="Arial" w:cs="Arial" w:eastAsia="Arial" w:hAnsi="Arial"/>
          <w:sz w:val="17"/>
          <w:szCs w:val="17"/>
          <w:color w:val="auto"/>
        </w:rPr>
        <w:t>. If the Company shall fail at any Settlement Date to sell and deliver the number of Shares which it is obligated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68" w:lineRule="exact"/>
        <w:rPr>
          <w:rFonts w:ascii="Arial" w:cs="Arial" w:eastAsia="Arial" w:hAnsi="Arial"/>
          <w:sz w:val="17"/>
          <w:szCs w:val="17"/>
          <w:b w:val="1"/>
          <w:bCs w:val="1"/>
          <w:i w:val="1"/>
          <w:iCs w:val="1"/>
          <w:color w:val="auto"/>
        </w:rPr>
      </w:pPr>
    </w:p>
    <w:p>
      <w:pPr>
        <w:ind w:right="80" w:firstLine="436"/>
        <w:spacing w:after="0" w:line="254" w:lineRule="auto"/>
        <w:tabs>
          <w:tab w:leader="none" w:pos="6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Except as otherwise provided herein, all communications under this Agreement shall be in writing and, if to the Agent,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via overnight delivery services to (i) Piper Sandler &amp; Co., U.S. Bancorp Center, 800 Nicollet Mall, Minneapolis, Minnesota 55402, Attention: Equity Capital Markets, with a copy to Piper Sandler General Counsel at 800 Nicollet Mall, Minneapolis, MN 55402 and LegalCapMarkets@pjc.com; and (ii) the Company at 26 Landsdowne Street, Cambridge, Massachusetts 02139, Attention: Chief Executive Officer, with a copy to Goodwin Procter LLP, 3 Embarcadero Center, San Francisco, California, Attention: Marianne Sarrazin;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 w:name="page28"/>
    <w:bookmarkEnd w:id="27"/>
    <w:p>
      <w:pPr>
        <w:ind w:left="4" w:right="240" w:firstLine="436"/>
        <w:spacing w:after="0" w:line="257" w:lineRule="auto"/>
        <w:tabs>
          <w:tab w:leader="none" w:pos="714" w:val="left"/>
        </w:tabs>
        <w:numPr>
          <w:ilvl w:val="1"/>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79" w:lineRule="exact"/>
        <w:rPr>
          <w:rFonts w:ascii="Arial" w:cs="Arial" w:eastAsia="Arial" w:hAnsi="Arial"/>
          <w:sz w:val="18"/>
          <w:szCs w:val="18"/>
          <w:b w:val="1"/>
          <w:bCs w:val="1"/>
          <w:i w:val="1"/>
          <w:iCs w:val="1"/>
          <w:color w:val="auto"/>
        </w:rPr>
      </w:pPr>
    </w:p>
    <w:p>
      <w:pPr>
        <w:ind w:left="4" w:right="60" w:firstLine="436"/>
        <w:spacing w:after="0" w:line="283" w:lineRule="auto"/>
        <w:tabs>
          <w:tab w:leader="none" w:pos="704" w:val="left"/>
        </w:tabs>
        <w:numPr>
          <w:ilvl w:val="1"/>
          <w:numId w:val="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having been advised by counsel, acknowledges and agrees that: (a) the Agent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on the one hand, and the Agent on the other, has been created or will be created in respect of any of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shall have any duty or obligation to the Company or any Company Representative except as set forth in this Agreement; (c)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w:t>
      </w:r>
    </w:p>
    <w:p>
      <w:pPr>
        <w:spacing w:after="0" w:line="1" w:lineRule="exact"/>
        <w:rPr>
          <w:rFonts w:ascii="Arial" w:cs="Arial" w:eastAsia="Arial" w:hAnsi="Arial"/>
          <w:sz w:val="16"/>
          <w:szCs w:val="16"/>
          <w:b w:val="1"/>
          <w:bCs w:val="1"/>
          <w:i w:val="1"/>
          <w:iCs w:val="1"/>
          <w:color w:val="auto"/>
        </w:rPr>
      </w:pPr>
    </w:p>
    <w:p>
      <w:pPr>
        <w:ind w:left="4" w:right="80" w:hanging="4"/>
        <w:spacing w:after="0" w:line="252" w:lineRule="auto"/>
        <w:tabs>
          <w:tab w:leader="none" w:pos="2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84" w:lineRule="exact"/>
        <w:rPr>
          <w:rFonts w:ascii="Arial" w:cs="Arial" w:eastAsia="Arial" w:hAnsi="Arial"/>
          <w:sz w:val="18"/>
          <w:szCs w:val="18"/>
          <w:color w:val="auto"/>
        </w:rPr>
      </w:pPr>
    </w:p>
    <w:p>
      <w:pPr>
        <w:ind w:left="704" w:hanging="264"/>
        <w:spacing w:after="0"/>
        <w:tabs>
          <w:tab w:leader="none" w:pos="704" w:val="left"/>
        </w:tabs>
        <w:numPr>
          <w:ilvl w:val="1"/>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i w:val="1"/>
          <w:iCs w:val="1"/>
          <w:color w:val="auto"/>
        </w:rPr>
      </w:pPr>
    </w:p>
    <w:p>
      <w:pPr>
        <w:ind w:left="4" w:firstLine="987"/>
        <w:spacing w:after="0" w:line="259" w:lineRule="auto"/>
        <w:tabs>
          <w:tab w:leader="none" w:pos="12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80" w:firstLine="987"/>
        <w:spacing w:after="0" w:line="259" w:lineRule="auto"/>
        <w:tabs>
          <w:tab w:leader="none" w:pos="1250" w:val="left"/>
        </w:tabs>
        <w:numPr>
          <w:ilvl w:val="2"/>
          <w:numId w:val="4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8" w:name="page29"/>
    <w:bookmarkEnd w:id="2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As used in this section: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4"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Special Resolution Regime</w:t>
      </w:r>
      <w:r>
        <w:rPr>
          <w:rFonts w:ascii="Arial" w:cs="Arial" w:eastAsia="Arial" w:hAnsi="Arial"/>
          <w:sz w:val="16"/>
          <w:szCs w:val="16"/>
          <w:color w:val="auto"/>
        </w:rPr>
        <w:t>” means each of (i) the Federal Deposit Insurance Act and the regulations promulgated thereunder and</w:t>
      </w:r>
    </w:p>
    <w:p>
      <w:pPr>
        <w:spacing w:after="0" w:line="46" w:lineRule="exact"/>
        <w:rPr>
          <w:sz w:val="20"/>
          <w:szCs w:val="20"/>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102" w:lineRule="exact"/>
        <w:rPr>
          <w:rFonts w:ascii="Arial" w:cs="Arial" w:eastAsia="Arial" w:hAnsi="Arial"/>
          <w:sz w:val="18"/>
          <w:szCs w:val="18"/>
          <w:color w:val="auto"/>
        </w:rPr>
      </w:pPr>
    </w:p>
    <w:p>
      <w:pPr>
        <w:ind w:left="4" w:firstLine="436"/>
        <w:spacing w:after="0" w:line="273" w:lineRule="auto"/>
        <w:tabs>
          <w:tab w:leader="none" w:pos="714" w:val="left"/>
        </w:tabs>
        <w:numPr>
          <w:ilvl w:val="1"/>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Governing Law and Waiver of Jury Trial</w:t>
      </w:r>
      <w:r>
        <w:rPr>
          <w:rFonts w:ascii="Arial" w:cs="Arial" w:eastAsia="Arial" w:hAnsi="Arial"/>
          <w:sz w:val="17"/>
          <w:szCs w:val="17"/>
          <w:color w:val="auto"/>
        </w:rPr>
        <w:t>. This Agreement and any transaction contemplated by this Agreement and any claim, controversy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69" w:lineRule="exact"/>
        <w:rPr>
          <w:rFonts w:ascii="Arial" w:cs="Arial" w:eastAsia="Arial" w:hAnsi="Arial"/>
          <w:sz w:val="17"/>
          <w:szCs w:val="17"/>
          <w:b w:val="1"/>
          <w:bCs w:val="1"/>
          <w:i w:val="1"/>
          <w:iCs w:val="1"/>
          <w:color w:val="auto"/>
        </w:rPr>
      </w:pPr>
    </w:p>
    <w:p>
      <w:pPr>
        <w:jc w:val="both"/>
        <w:ind w:left="4" w:right="40" w:firstLine="436"/>
        <w:spacing w:after="0" w:line="275" w:lineRule="auto"/>
        <w:tabs>
          <w:tab w:leader="none" w:pos="714" w:val="left"/>
        </w:tabs>
        <w:numPr>
          <w:ilvl w:val="1"/>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Submission to Jurisdiction, Etc. </w:t>
      </w:r>
      <w:r>
        <w:rPr>
          <w:rFonts w:ascii="Arial" w:cs="Arial" w:eastAsia="Arial" w:hAnsi="Arial"/>
          <w:sz w:val="17"/>
          <w:szCs w:val="17"/>
          <w:color w:val="auto"/>
        </w:rPr>
        <w:t>Each party hereby submits to the exclusive jurisdiction of the U.S. federal and New York state courts sitting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68" w:lineRule="exact"/>
        <w:rPr>
          <w:rFonts w:ascii="Arial" w:cs="Arial" w:eastAsia="Arial" w:hAnsi="Arial"/>
          <w:sz w:val="17"/>
          <w:szCs w:val="17"/>
          <w:b w:val="1"/>
          <w:bCs w:val="1"/>
          <w:i w:val="1"/>
          <w:iCs w:val="1"/>
          <w:color w:val="auto"/>
        </w:rPr>
      </w:pPr>
    </w:p>
    <w:p>
      <w:pPr>
        <w:ind w:left="4" w:right="20" w:firstLine="436"/>
        <w:spacing w:after="0" w:line="275" w:lineRule="auto"/>
        <w:tabs>
          <w:tab w:leader="none" w:pos="714" w:val="left"/>
        </w:tabs>
        <w:numPr>
          <w:ilvl w:val="1"/>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Counterparts; Electronic Signatures</w:t>
      </w:r>
      <w:r>
        <w:rPr>
          <w:rFonts w:ascii="Arial" w:cs="Arial" w:eastAsia="Arial" w:hAnsi="Arial"/>
          <w:sz w:val="17"/>
          <w:szCs w:val="17"/>
          <w:color w:val="auto"/>
        </w:rPr>
        <w:t>. This Agreement may be executed in counterparts, each of which shall be deemed an original, and all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together shall constitute one and the same instrument.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68" w:lineRule="exact"/>
        <w:rPr>
          <w:rFonts w:ascii="Arial" w:cs="Arial" w:eastAsia="Arial" w:hAnsi="Arial"/>
          <w:sz w:val="17"/>
          <w:szCs w:val="17"/>
          <w:b w:val="1"/>
          <w:bCs w:val="1"/>
          <w:i w:val="1"/>
          <w:iCs w:val="1"/>
          <w:color w:val="auto"/>
        </w:rPr>
      </w:pPr>
    </w:p>
    <w:p>
      <w:pPr>
        <w:ind w:left="4" w:right="40" w:firstLine="436"/>
        <w:spacing w:after="0" w:line="279" w:lineRule="auto"/>
        <w:tabs>
          <w:tab w:leader="none" w:pos="714" w:val="left"/>
        </w:tabs>
        <w:numPr>
          <w:ilvl w:val="1"/>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Construction. </w:t>
      </w:r>
      <w:r>
        <w:rPr>
          <w:rFonts w:ascii="Arial" w:cs="Arial" w:eastAsia="Arial" w:hAnsi="Arial"/>
          <w:sz w:val="17"/>
          <w:szCs w:val="17"/>
          <w:color w:val="auto"/>
        </w:rPr>
        <w:t>The section and exhibit headings herein are for convenience only and shall not affect the construction hereof. References herein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29" w:name="page30"/>
    <w:bookmarkEnd w:id="2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Stuart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Equity Distribution Agreement]</w:t>
      </w:r>
    </w:p>
    <w:p>
      <w:pPr>
        <w:sectPr>
          <w:pgSz w:w="11900" w:h="16838" w:orient="portrait"/>
          <w:cols w:equalWidth="0" w:num="1">
            <w:col w:w="10760"/>
          </w:cols>
          <w:pgMar w:left="440" w:top="274" w:right="6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Bassett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Bassett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[Signature Page to Equity Distribution Agreement]</w:t>
      </w:r>
    </w:p>
    <w:p>
      <w:pPr>
        <w:sectPr>
          <w:pgSz w:w="11900" w:h="16838" w:orient="portrait"/>
          <w:cols w:equalWidth="0" w:num="1">
            <w:col w:w="10019"/>
          </w:cols>
          <w:pgMar w:left="440" w:top="274"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SCHEDULE 1</w:t>
            </w:r>
          </w:p>
        </w:tc>
      </w:tr>
      <w:tr>
        <w:trPr>
          <w:trHeight w:val="432"/>
        </w:trPr>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tcPr>
          <w:p>
            <w:pPr>
              <w:jc w:val="center"/>
              <w:ind w:left="710"/>
              <w:spacing w:after="0"/>
              <w:rPr>
                <w:sz w:val="20"/>
                <w:szCs w:val="20"/>
                <w:color w:val="auto"/>
              </w:rPr>
            </w:pPr>
            <w:r>
              <w:rPr>
                <w:rFonts w:ascii="Arial" w:cs="Arial" w:eastAsia="Arial" w:hAnsi="Arial"/>
                <w:sz w:val="18"/>
                <w:szCs w:val="18"/>
                <w:b w:val="1"/>
                <w:bCs w:val="1"/>
                <w:color w:val="auto"/>
              </w:rPr>
              <w:t>FORM OF PLACEMENT NOTICE</w:t>
            </w:r>
          </w:p>
        </w:tc>
      </w:tr>
      <w:tr>
        <w:trPr>
          <w:trHeight w:val="432"/>
        </w:trPr>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tcPr>
          <w:p>
            <w:pPr>
              <w:jc w:val="center"/>
              <w:ind w:left="710"/>
              <w:spacing w:after="0"/>
              <w:rPr>
                <w:sz w:val="20"/>
                <w:szCs w:val="20"/>
                <w:color w:val="auto"/>
              </w:rPr>
            </w:pPr>
            <w:r>
              <w:rPr>
                <w:rFonts w:ascii="Arial" w:cs="Arial" w:eastAsia="Arial" w:hAnsi="Arial"/>
                <w:sz w:val="18"/>
                <w:szCs w:val="18"/>
                <w:b w:val="1"/>
                <w:bCs w:val="1"/>
                <w:color w:val="auto"/>
                <w:w w:val="90"/>
              </w:rPr>
              <w:t>No Facsimile and No Voicemail</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From:</w:t>
            </w:r>
          </w:p>
        </w:tc>
        <w:tc>
          <w:tcPr>
            <w:tcW w:w="5800" w:type="dxa"/>
            <w:vAlign w:val="bottom"/>
            <w:gridSpan w:val="6"/>
          </w:tcPr>
          <w:p>
            <w:pPr>
              <w:spacing w:after="0"/>
              <w:rPr>
                <w:sz w:val="20"/>
                <w:szCs w:val="20"/>
                <w:color w:val="auto"/>
              </w:rPr>
            </w:pPr>
            <w:r>
              <w:rPr>
                <w:rFonts w:ascii="Arial" w:cs="Arial" w:eastAsia="Arial" w:hAnsi="Arial"/>
                <w:sz w:val="18"/>
                <w:szCs w:val="18"/>
                <w:color w:val="auto"/>
              </w:rPr>
              <w:t>Fulcrum Therapeutics, Inc.</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To:</w:t>
            </w:r>
          </w:p>
        </w:tc>
        <w:tc>
          <w:tcPr>
            <w:tcW w:w="5800" w:type="dxa"/>
            <w:vAlign w:val="bottom"/>
            <w:gridSpan w:val="6"/>
          </w:tcPr>
          <w:p>
            <w:pPr>
              <w:spacing w:after="0"/>
              <w:rPr>
                <w:sz w:val="20"/>
                <w:szCs w:val="20"/>
                <w:color w:val="auto"/>
              </w:rPr>
            </w:pPr>
            <w:r>
              <w:rPr>
                <w:rFonts w:ascii="Arial" w:cs="Arial" w:eastAsia="Arial" w:hAnsi="Arial"/>
                <w:sz w:val="18"/>
                <w:szCs w:val="18"/>
                <w:color w:val="auto"/>
              </w:rPr>
              <w:t>Piper Sandler &amp; Co.</w:t>
            </w:r>
          </w:p>
        </w:tc>
      </w:tr>
      <w:tr>
        <w:trPr>
          <w:trHeight w:val="338"/>
        </w:trPr>
        <w:tc>
          <w:tcPr>
            <w:tcW w:w="110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rPr>
              <w:t>Attention:</w:t>
            </w:r>
          </w:p>
        </w:tc>
      </w:tr>
      <w:tr>
        <w:trPr>
          <w:trHeight w:val="323"/>
        </w:trPr>
        <w:tc>
          <w:tcPr>
            <w:tcW w:w="110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rPr>
              <w:t>Michael Basset</w:t>
            </w:r>
          </w:p>
        </w:tc>
      </w:tr>
      <w:tr>
        <w:trPr>
          <w:trHeight w:val="190"/>
        </w:trPr>
        <w:tc>
          <w:tcPr>
            <w:tcW w:w="1100" w:type="dxa"/>
            <w:vAlign w:val="bottom"/>
          </w:tcPr>
          <w:p>
            <w:pPr>
              <w:spacing w:after="0"/>
              <w:rPr>
                <w:sz w:val="16"/>
                <w:szCs w:val="16"/>
                <w:color w:val="auto"/>
              </w:rPr>
            </w:pPr>
          </w:p>
        </w:tc>
        <w:tc>
          <w:tcPr>
            <w:tcW w:w="192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89"/>
              </w:rPr>
              <w:t>Michael.Bassett@psc.com</w:t>
            </w:r>
          </w:p>
        </w:tc>
        <w:tc>
          <w:tcPr>
            <w:tcW w:w="3880" w:type="dxa"/>
            <w:vAlign w:val="bottom"/>
            <w:gridSpan w:val="3"/>
          </w:tcPr>
          <w:p>
            <w:pPr>
              <w:spacing w:after="0"/>
              <w:rPr>
                <w:sz w:val="16"/>
                <w:szCs w:val="16"/>
                <w:color w:val="auto"/>
              </w:rPr>
            </w:pPr>
          </w:p>
        </w:tc>
      </w:tr>
      <w:tr>
        <w:trPr>
          <w:trHeight w:val="344"/>
        </w:trPr>
        <w:tc>
          <w:tcPr>
            <w:tcW w:w="110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rPr>
              <w:t>Neil A. Riley</w:t>
            </w:r>
          </w:p>
        </w:tc>
      </w:tr>
      <w:tr>
        <w:trPr>
          <w:trHeight w:val="190"/>
        </w:trPr>
        <w:tc>
          <w:tcPr>
            <w:tcW w:w="1100" w:type="dxa"/>
            <w:vAlign w:val="bottom"/>
          </w:tcPr>
          <w:p>
            <w:pPr>
              <w:spacing w:after="0"/>
              <w:rPr>
                <w:sz w:val="16"/>
                <w:szCs w:val="16"/>
                <w:color w:val="auto"/>
              </w:rPr>
            </w:pPr>
          </w:p>
        </w:tc>
        <w:tc>
          <w:tcPr>
            <w:tcW w:w="5800" w:type="dxa"/>
            <w:vAlign w:val="bottom"/>
            <w:gridSpan w:val="6"/>
          </w:tcPr>
          <w:p>
            <w:pPr>
              <w:spacing w:after="0" w:line="190" w:lineRule="exact"/>
              <w:rPr>
                <w:sz w:val="20"/>
                <w:szCs w:val="20"/>
                <w:color w:val="auto"/>
              </w:rPr>
            </w:pPr>
            <w:r>
              <w:rPr>
                <w:rFonts w:ascii="Arial" w:cs="Arial" w:eastAsia="Arial" w:hAnsi="Arial"/>
                <w:sz w:val="18"/>
                <w:szCs w:val="18"/>
                <w:color w:val="auto"/>
              </w:rPr>
              <w:t>Neil.A.Riley@pjc.com</w:t>
            </w:r>
          </w:p>
        </w:tc>
      </w:tr>
      <w:tr>
        <w:trPr>
          <w:trHeight w:val="344"/>
        </w:trPr>
        <w:tc>
          <w:tcPr>
            <w:tcW w:w="1100" w:type="dxa"/>
            <w:vAlign w:val="bottom"/>
          </w:tcPr>
          <w:p>
            <w:pPr>
              <w:spacing w:after="0"/>
              <w:rPr>
                <w:sz w:val="24"/>
                <w:szCs w:val="24"/>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Connor N. Anderson</w:t>
            </w:r>
          </w:p>
        </w:tc>
        <w:tc>
          <w:tcPr>
            <w:tcW w:w="4140" w:type="dxa"/>
            <w:vAlign w:val="bottom"/>
            <w:gridSpan w:val="5"/>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200" w:type="dxa"/>
            <w:vAlign w:val="bottom"/>
            <w:tcBorders>
              <w:bottom w:val="single" w:sz="8" w:color="auto"/>
            </w:tcBorders>
            <w:gridSpan w:val="5"/>
          </w:tcPr>
          <w:p>
            <w:pPr>
              <w:spacing w:after="0" w:line="190" w:lineRule="exact"/>
              <w:rPr>
                <w:sz w:val="20"/>
                <w:szCs w:val="20"/>
                <w:color w:val="auto"/>
              </w:rPr>
            </w:pPr>
            <w:r>
              <w:rPr>
                <w:rFonts w:ascii="Arial" w:cs="Arial" w:eastAsia="Arial" w:hAnsi="Arial"/>
                <w:sz w:val="18"/>
                <w:szCs w:val="18"/>
                <w:color w:val="auto"/>
                <w:w w:val="91"/>
              </w:rPr>
              <w:t>Connor.N.Anderson@pjc.com</w:t>
            </w:r>
          </w:p>
        </w:tc>
        <w:tc>
          <w:tcPr>
            <w:tcW w:w="3600" w:type="dxa"/>
            <w:vAlign w:val="bottom"/>
          </w:tcPr>
          <w:p>
            <w:pPr>
              <w:spacing w:after="0"/>
              <w:rPr>
                <w:sz w:val="16"/>
                <w:szCs w:val="16"/>
                <w:color w:val="auto"/>
              </w:rPr>
            </w:pPr>
          </w:p>
        </w:tc>
      </w:tr>
      <w:tr>
        <w:trPr>
          <w:trHeight w:val="344"/>
        </w:trPr>
        <w:tc>
          <w:tcPr>
            <w:tcW w:w="110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Arial" w:cs="Arial" w:eastAsia="Arial" w:hAnsi="Arial"/>
                <w:sz w:val="18"/>
                <w:szCs w:val="18"/>
                <w:color w:val="auto"/>
              </w:rPr>
              <w:t>Tom Wright</w:t>
            </w:r>
          </w:p>
        </w:tc>
      </w:tr>
      <w:tr>
        <w:trPr>
          <w:trHeight w:val="190"/>
        </w:trPr>
        <w:tc>
          <w:tcPr>
            <w:tcW w:w="1100" w:type="dxa"/>
            <w:vAlign w:val="bottom"/>
          </w:tcPr>
          <w:p>
            <w:pPr>
              <w:spacing w:after="0"/>
              <w:rPr>
                <w:sz w:val="16"/>
                <w:szCs w:val="16"/>
                <w:color w:val="auto"/>
              </w:rPr>
            </w:pPr>
          </w:p>
        </w:tc>
        <w:tc>
          <w:tcPr>
            <w:tcW w:w="5800" w:type="dxa"/>
            <w:vAlign w:val="bottom"/>
            <w:gridSpan w:val="6"/>
          </w:tcPr>
          <w:p>
            <w:pPr>
              <w:spacing w:after="0" w:line="190" w:lineRule="exact"/>
              <w:rPr>
                <w:sz w:val="20"/>
                <w:szCs w:val="20"/>
                <w:color w:val="auto"/>
              </w:rPr>
            </w:pPr>
            <w:r>
              <w:rPr>
                <w:rFonts w:ascii="Arial" w:cs="Arial" w:eastAsia="Arial" w:hAnsi="Arial"/>
                <w:sz w:val="18"/>
                <w:szCs w:val="18"/>
                <w:color w:val="auto"/>
              </w:rPr>
              <w:t>Thomas.E.Wright@pjc.com</w:t>
            </w:r>
          </w:p>
        </w:tc>
      </w:tr>
      <w:tr>
        <w:trPr>
          <w:trHeight w:val="344"/>
        </w:trPr>
        <w:tc>
          <w:tcPr>
            <w:tcW w:w="1100" w:type="dxa"/>
            <w:vAlign w:val="bottom"/>
          </w:tcPr>
          <w:p>
            <w:pPr>
              <w:spacing w:after="0"/>
              <w:rPr>
                <w:sz w:val="24"/>
                <w:szCs w:val="24"/>
                <w:color w:val="auto"/>
              </w:rPr>
            </w:pPr>
          </w:p>
        </w:tc>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Jay A. Hershey</w:t>
            </w:r>
          </w:p>
        </w:tc>
        <w:tc>
          <w:tcPr>
            <w:tcW w:w="3780" w:type="dxa"/>
            <w:vAlign w:val="bottom"/>
            <w:gridSpan w:val="2"/>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18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Jay.A.Hershey@pjc.com</w:t>
            </w:r>
          </w:p>
        </w:tc>
        <w:tc>
          <w:tcPr>
            <w:tcW w:w="4000" w:type="dxa"/>
            <w:vAlign w:val="bottom"/>
            <w:gridSpan w:val="4"/>
          </w:tcPr>
          <w:p>
            <w:pPr>
              <w:spacing w:after="0"/>
              <w:rPr>
                <w:sz w:val="16"/>
                <w:szCs w:val="16"/>
                <w:color w:val="auto"/>
              </w:rPr>
            </w:pPr>
          </w:p>
        </w:tc>
      </w:tr>
      <w:tr>
        <w:trPr>
          <w:trHeight w:val="358"/>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gridSpan w:val="6"/>
          </w:tcPr>
          <w:p>
            <w:pPr>
              <w:spacing w:after="0"/>
              <w:rPr>
                <w:sz w:val="20"/>
                <w:szCs w:val="20"/>
                <w:color w:val="auto"/>
              </w:rPr>
            </w:pPr>
            <w:r>
              <w:rPr>
                <w:rFonts w:ascii="Arial" w:cs="Arial" w:eastAsia="Arial" w:hAnsi="Arial"/>
                <w:sz w:val="18"/>
                <w:szCs w:val="18"/>
                <w:color w:val="auto"/>
              </w:rPr>
              <w:t>[•], 20[•]</w:t>
            </w:r>
          </w:p>
        </w:tc>
      </w:tr>
      <w:tr>
        <w:trPr>
          <w:trHeight w:val="338"/>
        </w:trPr>
        <w:tc>
          <w:tcPr>
            <w:tcW w:w="1100" w:type="dxa"/>
            <w:vAlign w:val="bottom"/>
          </w:tcPr>
          <w:p>
            <w:pPr>
              <w:spacing w:after="0"/>
              <w:rPr>
                <w:sz w:val="20"/>
                <w:szCs w:val="20"/>
                <w:color w:val="auto"/>
              </w:rPr>
            </w:pPr>
            <w:r>
              <w:rPr>
                <w:rFonts w:ascii="Arial" w:cs="Arial" w:eastAsia="Arial" w:hAnsi="Arial"/>
                <w:sz w:val="18"/>
                <w:szCs w:val="18"/>
                <w:color w:val="auto"/>
              </w:rPr>
              <w:t>Subject:</w:t>
            </w:r>
          </w:p>
        </w:tc>
        <w:tc>
          <w:tcPr>
            <w:tcW w:w="5800" w:type="dxa"/>
            <w:vAlign w:val="bottom"/>
            <w:gridSpan w:val="6"/>
          </w:tcPr>
          <w:p>
            <w:pPr>
              <w:spacing w:after="0"/>
              <w:rPr>
                <w:sz w:val="20"/>
                <w:szCs w:val="20"/>
                <w:color w:val="auto"/>
              </w:rPr>
            </w:pPr>
            <w:r>
              <w:rPr>
                <w:rFonts w:ascii="Arial" w:cs="Arial" w:eastAsia="Arial" w:hAnsi="Arial"/>
                <w:sz w:val="18"/>
                <w:szCs w:val="18"/>
                <w:color w:val="auto"/>
              </w:rPr>
              <w:t>Equity Distribution Agreement – Placement Notice</w:t>
            </w:r>
          </w:p>
        </w:tc>
      </w:tr>
      <w:tr>
        <w:trPr>
          <w:trHeight w:val="338"/>
        </w:trPr>
        <w:tc>
          <w:tcPr>
            <w:tcW w:w="1100" w:type="dxa"/>
            <w:vAlign w:val="bottom"/>
          </w:tcPr>
          <w:p>
            <w:pPr>
              <w:spacing w:after="0"/>
              <w:rPr>
                <w:sz w:val="20"/>
                <w:szCs w:val="20"/>
                <w:color w:val="auto"/>
              </w:rPr>
            </w:pPr>
            <w:r>
              <w:rPr>
                <w:rFonts w:ascii="Arial" w:cs="Arial" w:eastAsia="Arial" w:hAnsi="Arial"/>
                <w:sz w:val="18"/>
                <w:szCs w:val="18"/>
                <w:color w:val="auto"/>
              </w:rPr>
              <w:t>Gentlemen:</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Pursuant to the terms and subject to the conditions contained in the Equity Distribution Agreement between Fulcrum Therapeutics, Inc. (“</w:t>
      </w:r>
      <w:r>
        <w:rPr>
          <w:rFonts w:ascii="Arial" w:cs="Arial" w:eastAsia="Arial" w:hAnsi="Arial"/>
          <w:sz w:val="18"/>
          <w:szCs w:val="18"/>
          <w:b w:val="1"/>
          <w:bCs w:val="1"/>
          <w:color w:val="auto"/>
        </w:rPr>
        <w:t>Company</w:t>
      </w:r>
      <w:r>
        <w:rPr>
          <w:rFonts w:ascii="Arial" w:cs="Arial" w:eastAsia="Arial" w:hAnsi="Arial"/>
          <w:sz w:val="18"/>
          <w:szCs w:val="18"/>
          <w:color w:val="auto"/>
        </w:rPr>
        <w:t>”), and Piper Sandler &amp; Co. (“</w:t>
      </w:r>
      <w:r>
        <w:rPr>
          <w:rFonts w:ascii="Arial" w:cs="Arial" w:eastAsia="Arial" w:hAnsi="Arial"/>
          <w:sz w:val="18"/>
          <w:szCs w:val="18"/>
          <w:b w:val="1"/>
          <w:bCs w:val="1"/>
          <w:color w:val="auto"/>
        </w:rPr>
        <w:t>Agent</w:t>
      </w:r>
      <w:r>
        <w:rPr>
          <w:rFonts w:ascii="Arial" w:cs="Arial" w:eastAsia="Arial" w:hAnsi="Arial"/>
          <w:sz w:val="18"/>
          <w:szCs w:val="18"/>
          <w:color w:val="auto"/>
        </w:rPr>
        <w:t>”) dated May 9, 2022 (the “</w:t>
      </w:r>
      <w:r>
        <w:rPr>
          <w:rFonts w:ascii="Arial" w:cs="Arial" w:eastAsia="Arial" w:hAnsi="Arial"/>
          <w:sz w:val="18"/>
          <w:szCs w:val="18"/>
          <w:b w:val="1"/>
          <w:bCs w:val="1"/>
          <w:color w:val="auto"/>
        </w:rPr>
        <w:t>Agreement</w:t>
      </w:r>
      <w:r>
        <w:rPr>
          <w:rFonts w:ascii="Arial" w:cs="Arial" w:eastAsia="Arial" w:hAnsi="Arial"/>
          <w:sz w:val="18"/>
          <w:szCs w:val="18"/>
          <w:color w:val="auto"/>
        </w:rPr>
        <w:t>”), the Company hereby requests that Agent sell up to [•] shares of the Company’s common stock, par value $0.001 per share, at a minimum market price of $[•] per share. Sales should begin on the date of this Placement Notice and shall continue until [•]/[all shares are sold].</w:t>
      </w:r>
    </w:p>
    <w:p>
      <w:pPr>
        <w:sectPr>
          <w:pgSz w:w="11900" w:h="16838" w:orient="portrait"/>
          <w:cols w:equalWidth="0" w:num="1">
            <w:col w:w="10860"/>
          </w:cols>
          <w:pgMar w:left="440" w:top="270" w:right="599" w:bottom="1440" w:gutter="0" w:footer="0" w:header="0"/>
        </w:sectPr>
      </w:pPr>
    </w:p>
    <w:bookmarkStart w:id="32" w:name="page33"/>
    <w:bookmarkEnd w:id="3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NOTICE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Fulcrum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bryan@fulcrumtx.com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Esther Rajavelu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erajavelu@fulcrumtx.com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Curtis Oltmans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coltmans@fulcrumtx.com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Greg Tourangeau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gtourangeau@fulcrumtx.com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Sandler &amp; 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Bassett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Michael.Bassett@psc.com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Neil Riley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Neil.Riley@psc.com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Connor Anderson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Connor.Anderson@psc.com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Wright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Thomas.Wright@psc.com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Jay Hershey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Jay.Hershey@psc.com</w:t>
      </w:r>
    </w:p>
    <w:p>
      <w:pPr>
        <w:sectPr>
          <w:pgSz w:w="11900" w:h="16838" w:orient="portrait"/>
          <w:cols w:equalWidth="0" w:num="1">
            <w:col w:w="10019"/>
          </w:cols>
          <w:pgMar w:left="440" w:top="270" w:right="1440" w:bottom="1440" w:gutter="0" w:footer="0" w:header="0"/>
        </w:sectPr>
      </w:pPr>
    </w:p>
    <w:bookmarkStart w:id="33" w:name="page34"/>
    <w:bookmarkEnd w:id="33"/>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 REPRESENTATION CERTIFICATE</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PURSUANT TO SECTION 3(Q) OF THE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Minneapolis, MN 55402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Sir:</w:t>
      </w:r>
    </w:p>
    <w:p>
      <w:pPr>
        <w:spacing w:after="0" w:line="113"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The undersigned, the duly qualified and elected [•], of Fulcrum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does hereby certify solely in such capacity and on behalf of the Company and not in his individual capacity, pursuant to </w:t>
      </w:r>
      <w:r>
        <w:rPr>
          <w:rFonts w:ascii="Arial" w:cs="Arial" w:eastAsia="Arial" w:hAnsi="Arial"/>
          <w:sz w:val="18"/>
          <w:szCs w:val="18"/>
          <w:u w:val="single" w:color="auto"/>
          <w:color w:val="auto"/>
        </w:rPr>
        <w:t>Section 3(q)</w:t>
      </w:r>
      <w:r>
        <w:rPr>
          <w:rFonts w:ascii="Arial" w:cs="Arial" w:eastAsia="Arial" w:hAnsi="Arial"/>
          <w:sz w:val="18"/>
          <w:szCs w:val="18"/>
          <w:color w:val="auto"/>
        </w:rPr>
        <w:t xml:space="preserve"> of the Equity Distribution Agreement, dated May 9, 2022 (the “</w:t>
      </w:r>
      <w:r>
        <w:rPr>
          <w:rFonts w:ascii="Arial" w:cs="Arial" w:eastAsia="Arial" w:hAnsi="Arial"/>
          <w:sz w:val="18"/>
          <w:szCs w:val="18"/>
          <w:b w:val="1"/>
          <w:bCs w:val="1"/>
          <w:color w:val="auto"/>
        </w:rPr>
        <w:t>Equity Distribution Agreement</w:t>
      </w:r>
      <w:r>
        <w:rPr>
          <w:rFonts w:ascii="Arial" w:cs="Arial" w:eastAsia="Arial" w:hAnsi="Arial"/>
          <w:sz w:val="18"/>
          <w:szCs w:val="18"/>
          <w:color w:val="auto"/>
        </w:rPr>
        <w:t>”), between the Company and Piper Sandler &amp; Co., that to the best of the knowledge of the undersigned:</w:t>
      </w:r>
    </w:p>
    <w:p>
      <w:pPr>
        <w:spacing w:after="0" w:line="76" w:lineRule="exact"/>
        <w:rPr>
          <w:sz w:val="20"/>
          <w:szCs w:val="20"/>
          <w:color w:val="auto"/>
        </w:rPr>
      </w:pPr>
    </w:p>
    <w:p>
      <w:pPr>
        <w:ind w:left="4" w:hanging="4"/>
        <w:spacing w:after="0" w:line="301" w:lineRule="auto"/>
        <w:tabs>
          <w:tab w:leader="none" w:pos="2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in this Agreement are true and correct, in all material respects, as if made at and as of the date of the certificate, and the Company has complied with all the agreements and satisfied all the conditions on its part to be performed or satisfied at or prior to the date of this certificate, except for those representations and warranties that speak solely as of a specific date and which were true and correct as of such date; provided, however, that such representations and warranties also shall be qualified by the disclosure included in the Prospectus;</w:t>
      </w:r>
    </w:p>
    <w:p>
      <w:pPr>
        <w:spacing w:after="0" w:line="49" w:lineRule="exact"/>
        <w:rPr>
          <w:rFonts w:ascii="Arial" w:cs="Arial" w:eastAsia="Arial" w:hAnsi="Arial"/>
          <w:sz w:val="16"/>
          <w:szCs w:val="16"/>
          <w:color w:val="auto"/>
        </w:rPr>
      </w:pPr>
    </w:p>
    <w:p>
      <w:pPr>
        <w:ind w:left="4" w:right="160" w:hanging="4"/>
        <w:spacing w:after="0" w:line="277"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complied with all the agreements and satisfied all the conditions on its part to be performed or satisfied at or prior to the date of this certificate;</w:t>
      </w:r>
    </w:p>
    <w:p>
      <w:pPr>
        <w:spacing w:after="0" w:line="62" w:lineRule="exact"/>
        <w:rPr>
          <w:rFonts w:ascii="Arial" w:cs="Arial" w:eastAsia="Arial" w:hAnsi="Arial"/>
          <w:sz w:val="18"/>
          <w:szCs w:val="18"/>
          <w:color w:val="auto"/>
        </w:rPr>
      </w:pPr>
    </w:p>
    <w:p>
      <w:pPr>
        <w:jc w:val="both"/>
        <w:ind w:left="4" w:right="540" w:hanging="4"/>
        <w:spacing w:after="0" w:line="311" w:lineRule="auto"/>
        <w:tabs>
          <w:tab w:leader="none" w:pos="3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stop order or other order suspending the effectiveness of the Registration Statement or any part thereof or any amendment thereof or the qualification of the Shares for Registration Statement, nor suspending or preventing the use of the Prospectus Supplement, the Prospectus or any Permitted Free Writing Prospectus, has been issued, and no proceeding for the issuance of such an order has been initiated or threatened; and</w:t>
      </w:r>
    </w:p>
    <w:p>
      <w:pPr>
        <w:spacing w:after="0" w:line="40" w:lineRule="exact"/>
        <w:rPr>
          <w:rFonts w:ascii="Arial" w:cs="Arial" w:eastAsia="Arial" w:hAnsi="Arial"/>
          <w:sz w:val="16"/>
          <w:szCs w:val="16"/>
          <w:color w:val="auto"/>
        </w:rPr>
      </w:pPr>
    </w:p>
    <w:p>
      <w:pPr>
        <w:ind w:left="4" w:right="60" w:hanging="4"/>
        <w:spacing w:after="0" w:line="277" w:lineRule="auto"/>
        <w:tabs>
          <w:tab w:leader="none" w:pos="3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event or condition of a type described in Section 4(b) or 4(d) of the Equity Distribution Agreement has occurred and is continuing, which event or condition is not described in the Prospectus or otherwise disclosed in the Company’s reports filed with the Commission.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Capitalized terms used herein without definition shall have the meanings given to such terms in the Equity Distribution Agreement.</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-10160</wp:posOffset>
            </wp:positionV>
            <wp:extent cx="2228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126365</wp:posOffset>
            </wp:positionV>
            <wp:extent cx="514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-10160</wp:posOffset>
            </wp:positionV>
            <wp:extent cx="2228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215"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126365</wp:posOffset>
            </wp:positionV>
            <wp:extent cx="342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-10160</wp:posOffset>
            </wp:positionV>
            <wp:extent cx="2228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215"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126365</wp:posOffset>
            </wp:positionV>
            <wp:extent cx="4000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ectPr>
          <w:pgSz w:w="11900" w:h="16838" w:orient="portrait"/>
          <w:cols w:equalWidth="0" w:num="1">
            <w:col w:w="10944"/>
          </w:cols>
          <w:pgMar w:left="436" w:top="270" w:right="5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255" w:lineRule="exact"/>
        <w:rPr>
          <w:sz w:val="20"/>
          <w:szCs w:val="20"/>
          <w:color w:val="auto"/>
        </w:rPr>
      </w:pPr>
    </w:p>
    <w:p>
      <w:pPr>
        <w:ind w:left="7624"/>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89420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4205" cy="428625"/>
                    </a:xfrm>
                    <a:prstGeom prst="rect">
                      <a:avLst/>
                    </a:prstGeom>
                    <a:noFill/>
                  </pic:spPr>
                </pic:pic>
              </a:graphicData>
            </a:graphic>
          </wp:anchor>
        </w:drawing>
      </w:r>
    </w:p>
    <w:p>
      <w:pPr>
        <w:ind w:left="7624"/>
        <w:spacing w:after="0" w:line="234" w:lineRule="auto"/>
        <w:rPr>
          <w:sz w:val="20"/>
          <w:szCs w:val="20"/>
          <w:color w:val="auto"/>
        </w:rPr>
      </w:pPr>
      <w:r>
        <w:rPr>
          <w:rFonts w:ascii="Arial" w:cs="Arial" w:eastAsia="Arial" w:hAnsi="Arial"/>
          <w:sz w:val="18"/>
          <w:szCs w:val="18"/>
          <w:color w:val="auto"/>
        </w:rPr>
        <w:t>3 Embarcadero Center</w:t>
      </w:r>
    </w:p>
    <w:p>
      <w:pPr>
        <w:spacing w:after="0" w:line="1" w:lineRule="exact"/>
        <w:rPr>
          <w:sz w:val="20"/>
          <w:szCs w:val="20"/>
          <w:color w:val="auto"/>
        </w:rPr>
      </w:pPr>
    </w:p>
    <w:p>
      <w:pPr>
        <w:ind w:left="7624"/>
        <w:spacing w:after="0"/>
        <w:rPr>
          <w:sz w:val="20"/>
          <w:szCs w:val="20"/>
          <w:color w:val="auto"/>
        </w:rPr>
      </w:pPr>
      <w:r>
        <w:rPr>
          <w:rFonts w:ascii="Arial" w:cs="Arial" w:eastAsia="Arial" w:hAnsi="Arial"/>
          <w:sz w:val="18"/>
          <w:szCs w:val="18"/>
          <w:color w:val="auto"/>
        </w:rPr>
        <w:t>San Francisco, CA 94111</w:t>
      </w:r>
    </w:p>
    <w:p>
      <w:pPr>
        <w:spacing w:after="0" w:line="234" w:lineRule="exact"/>
        <w:rPr>
          <w:sz w:val="20"/>
          <w:szCs w:val="20"/>
          <w:color w:val="auto"/>
        </w:rPr>
      </w:pPr>
    </w:p>
    <w:p>
      <w:pPr>
        <w:ind w:left="7624"/>
        <w:spacing w:after="0"/>
        <w:rPr>
          <w:sz w:val="20"/>
          <w:szCs w:val="20"/>
          <w:color w:val="auto"/>
        </w:rPr>
      </w:pPr>
      <w:r>
        <w:rPr>
          <w:rFonts w:ascii="Arial" w:cs="Arial" w:eastAsia="Arial" w:hAnsi="Arial"/>
          <w:sz w:val="18"/>
          <w:szCs w:val="18"/>
          <w:color w:val="auto"/>
        </w:rPr>
        <w:t>goodwinlaw.com</w:t>
      </w:r>
    </w:p>
    <w:p>
      <w:pPr>
        <w:ind w:left="7624"/>
        <w:spacing w:after="0"/>
        <w:rPr>
          <w:sz w:val="20"/>
          <w:szCs w:val="20"/>
          <w:color w:val="auto"/>
        </w:rPr>
      </w:pPr>
      <w:r>
        <w:rPr>
          <w:rFonts w:ascii="Arial" w:cs="Arial" w:eastAsia="Arial" w:hAnsi="Arial"/>
          <w:sz w:val="18"/>
          <w:szCs w:val="18"/>
          <w:color w:val="auto"/>
        </w:rPr>
        <w:t>+1 (415) 733-6000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9, 2022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Fulcrum Therapeutics, Inc.</w:t>
      </w:r>
    </w:p>
    <w:p>
      <w:pPr>
        <w:ind w:left="4"/>
        <w:spacing w:after="0" w:line="234" w:lineRule="auto"/>
        <w:rPr>
          <w:sz w:val="20"/>
          <w:szCs w:val="20"/>
          <w:color w:val="auto"/>
        </w:rPr>
      </w:pPr>
      <w:r>
        <w:rPr>
          <w:rFonts w:ascii="Arial" w:cs="Arial" w:eastAsia="Arial" w:hAnsi="Arial"/>
          <w:sz w:val="18"/>
          <w:szCs w:val="18"/>
          <w:color w:val="auto"/>
        </w:rPr>
        <w:t>26 Landsdowne Street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Massachusetts 02139</w:t>
      </w:r>
    </w:p>
    <w:p>
      <w:pPr>
        <w:spacing w:after="0" w:line="239"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Securities Being Registered under Registration Statement on Form S-3</w:t>
      </w:r>
    </w:p>
    <w:p>
      <w:pPr>
        <w:spacing w:after="0" w:line="104" w:lineRule="exact"/>
        <w:rPr>
          <w:sz w:val="20"/>
          <w:szCs w:val="20"/>
          <w:color w:val="auto"/>
        </w:rPr>
      </w:pPr>
    </w:p>
    <w:p>
      <w:pPr>
        <w:ind w:left="4" w:right="140"/>
        <w:spacing w:after="0" w:line="236" w:lineRule="auto"/>
        <w:rPr>
          <w:sz w:val="20"/>
          <w:szCs w:val="20"/>
          <w:color w:val="auto"/>
        </w:rPr>
      </w:pPr>
      <w:r>
        <w:rPr>
          <w:rFonts w:ascii="Arial" w:cs="Arial" w:eastAsia="Arial" w:hAnsi="Arial"/>
          <w:sz w:val="18"/>
          <w:szCs w:val="18"/>
          <w:color w:val="auto"/>
        </w:rPr>
        <w:t>We have acted as counsel to you in connection with your filing of Amendment No. 2 to the Registration Statement on Form S-3 (File No. 333-260754) (as amended or supplemented, the “Registration Statement”), filed on March 3, 2022 with the Securities and Exchange Commission (the “Commission”) pursuant to the Securities Act of 1933, as amended (the “Securities Act”), relating to the registration of the offering by Fulcrum Therapeutics, Inc., a Delaware corporation (the “Company”), of up to $ 250,000,000 of any combination of securities of the types specified therein. The Registration Statement was declared effective on April 28, 2022. Reference is made to our opinion letter dated March 3, 2022 and included as Exhibit 5.1 to the Registration Statement. We are delivering this supplemental opinion letter in connection with the prospectus supplement (the “Prospectus Supplement”) filed on May 9, 2022 by the Company with the Commission pursuant to Rule 424 under the Securities Act. The Prospectus Supplement relates to the offering by the Company of up to $50,000,000 of shares (the “Shares”) of the Company’s common stock, par value $0.001 per share (“Common Stock”) covered by the Registration Statement. The Shares are being offered and sold by the sales agent named in, and pursuant to, distribution agreement among the Company and such sales agent.</w:t>
      </w:r>
    </w:p>
    <w:p>
      <w:pPr>
        <w:spacing w:after="0" w:line="205" w:lineRule="exact"/>
        <w:rPr>
          <w:sz w:val="20"/>
          <w:szCs w:val="20"/>
          <w:color w:val="auto"/>
        </w:rPr>
      </w:pPr>
    </w:p>
    <w:p>
      <w:pPr>
        <w:ind w:left="4" w:right="220"/>
        <w:spacing w:after="0"/>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203" w:lineRule="exact"/>
        <w:rPr>
          <w:sz w:val="20"/>
          <w:szCs w:val="20"/>
          <w:color w:val="auto"/>
        </w:rPr>
      </w:pPr>
    </w:p>
    <w:p>
      <w:pPr>
        <w:ind w:left="4" w:right="40"/>
        <w:spacing w:after="0" w:line="238" w:lineRule="auto"/>
        <w:rPr>
          <w:sz w:val="20"/>
          <w:szCs w:val="20"/>
          <w:color w:val="auto"/>
        </w:rPr>
      </w:pPr>
      <w:r>
        <w:rPr>
          <w:rFonts w:ascii="Arial" w:cs="Arial" w:eastAsia="Arial" w:hAnsi="Arial"/>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205" w:lineRule="exact"/>
        <w:rPr>
          <w:sz w:val="20"/>
          <w:szCs w:val="20"/>
          <w:color w:val="auto"/>
        </w:rPr>
      </w:pPr>
    </w:p>
    <w:p>
      <w:pPr>
        <w:ind w:left="4" w:right="60"/>
        <w:spacing w:after="0" w:line="248" w:lineRule="auto"/>
        <w:rPr>
          <w:sz w:val="20"/>
          <w:szCs w:val="20"/>
          <w:color w:val="auto"/>
        </w:rPr>
      </w:pPr>
      <w:r>
        <w:rPr>
          <w:rFonts w:ascii="Arial" w:cs="Arial" w:eastAsia="Arial" w:hAnsi="Arial"/>
          <w:sz w:val="17"/>
          <w:szCs w:val="17"/>
          <w:color w:val="auto"/>
        </w:rPr>
        <w:t>For purposes of the opinion set forth below, we refer to the following as “Future Approval and Issuance”: (a) the approval by the Company’s board of directors (or a duly authorized committee of the board of directors) of the issuance of the Shares (the “Approval”) and</w:t>
      </w:r>
    </w:p>
    <w:p>
      <w:pPr>
        <w:spacing w:after="0" w:line="1" w:lineRule="exact"/>
        <w:rPr>
          <w:sz w:val="20"/>
          <w:szCs w:val="20"/>
          <w:color w:val="auto"/>
        </w:rPr>
      </w:pPr>
    </w:p>
    <w:p>
      <w:pPr>
        <w:ind w:left="4" w:right="260" w:hanging="4"/>
        <w:spacing w:after="0" w:line="246" w:lineRule="auto"/>
        <w:tabs>
          <w:tab w:leader="none" w:pos="2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of the Shares in accordance with the Approval and the receipt by the Company of the consideration (which shall not be less than the par value of such Shares) to be paid in accordance with the Approval.</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12" w:lineRule="exact"/>
        <w:rPr>
          <w:sz w:val="20"/>
          <w:szCs w:val="20"/>
          <w:color w:val="auto"/>
        </w:rPr>
      </w:pPr>
    </w:p>
    <w:p>
      <w:pPr>
        <w:ind w:left="4" w:right="60"/>
        <w:spacing w:after="0" w:line="246" w:lineRule="auto"/>
        <w:rPr>
          <w:sz w:val="20"/>
          <w:szCs w:val="20"/>
          <w:color w:val="auto"/>
        </w:rPr>
      </w:pPr>
      <w:r>
        <w:rPr>
          <w:rFonts w:ascii="Arial" w:cs="Arial" w:eastAsia="Arial" w:hAnsi="Arial"/>
          <w:sz w:val="18"/>
          <w:szCs w:val="18"/>
          <w:color w:val="auto"/>
        </w:rPr>
        <w:t>Based on the foregoing, we are of the opinion that the Shares have been duly authorized and, upon Future Approval and Issuance, will be validly issued, fully paid and nonassessable.</w:t>
      </w:r>
    </w:p>
    <w:p>
      <w:pPr>
        <w:spacing w:after="0" w:line="197" w:lineRule="exact"/>
        <w:rPr>
          <w:sz w:val="20"/>
          <w:szCs w:val="20"/>
          <w:color w:val="auto"/>
        </w:rPr>
      </w:pPr>
    </w:p>
    <w:p>
      <w:pPr>
        <w:ind w:left="4" w:right="100"/>
        <w:spacing w:after="0" w:line="261" w:lineRule="auto"/>
        <w:rPr>
          <w:sz w:val="20"/>
          <w:szCs w:val="20"/>
          <w:color w:val="auto"/>
        </w:rPr>
      </w:pPr>
      <w:r>
        <w:rPr>
          <w:rFonts w:ascii="Arial" w:cs="Arial" w:eastAsia="Arial" w:hAnsi="Arial"/>
          <w:sz w:val="17"/>
          <w:szCs w:val="17"/>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w:t>
      </w:r>
    </w:p>
    <w:p>
      <w:pPr>
        <w:sectPr>
          <w:pgSz w:w="11900" w:h="16838" w:orient="portrait"/>
          <w:cols w:equalWidth="0" w:num="1">
            <w:col w:w="11024"/>
          </w:cols>
          <w:pgMar w:left="436" w:top="118"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giving our consent, we do not admit that we are in the category of persons whose consent is required under Section 7 of the Securities Act or the rules and regulations thereunder.</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upperLetter"/>
      <w:start w:val="3"/>
    </w:lvl>
  </w:abstractNum>
  <w:abstractNum w:abstractNumId="2">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B03E0C6"/>
    <w:multiLevelType w:val="hybridMultilevel"/>
    <w:lvl w:ilvl="0">
      <w:lvlJc w:val="left"/>
      <w:lvlText w:val="(%1)"/>
      <w:numFmt w:val="lowerRoman"/>
      <w:start w:val="2"/>
    </w:lvl>
  </w:abstractNum>
  <w:abstractNum w:abstractNumId="4">
    <w:nsid w:val="189A769B"/>
    <w:multiLevelType w:val="hybridMultilevel"/>
    <w:lvl w:ilvl="0">
      <w:lvlJc w:val="left"/>
      <w:lvlText w:val="(%1)"/>
      <w:numFmt w:val="lowerRoman"/>
      <w:start w:val="4"/>
    </w:lvl>
  </w:abstractNum>
  <w:abstractNum w:abstractNumId="5">
    <w:nsid w:val="54E49EB4"/>
    <w:multiLevelType w:val="hybridMultilevel"/>
    <w:lvl w:ilvl="0">
      <w:lvlJc w:val="left"/>
      <w:lvlText w:val="(%1)"/>
      <w:numFmt w:val="lowerRoman"/>
      <w:start w:val="9"/>
    </w:lvl>
  </w:abstractNum>
  <w:abstractNum w:abstractNumId="6">
    <w:nsid w:val="71F32454"/>
    <w:multiLevelType w:val="hybridMultilevel"/>
    <w:lvl w:ilvl="0">
      <w:lvlJc w:val="left"/>
      <w:lvlText w:val="%1"/>
      <w:numFmt w:val="upperLetter"/>
      <w:start w:val="1"/>
    </w:lvl>
    <w:lvl w:ilvl="1">
      <w:lvlJc w:val="left"/>
      <w:lvlText w:val="(%2)"/>
      <w:numFmt w:val="lowerRoman"/>
      <w:start w:val="15"/>
    </w:lvl>
  </w:abstractNum>
  <w:abstractNum w:abstractNumId="7">
    <w:nsid w:val="2CA88611"/>
    <w:multiLevelType w:val="hybridMultilevel"/>
    <w:lvl w:ilvl="0">
      <w:lvlJc w:val="left"/>
      <w:lvlText w:val="(%1)"/>
      <w:numFmt w:val="upperLetter"/>
      <w:start w:val="3"/>
    </w:lvl>
    <w:lvl w:ilvl="1">
      <w:lvlJc w:val="left"/>
      <w:lvlText w:val="(%2)"/>
      <w:numFmt w:val="lowerRoman"/>
      <w:start w:val="19"/>
    </w:lvl>
  </w:abstractNum>
  <w:abstractNum w:abstractNumId="8">
    <w:nsid w:val="836C40E"/>
    <w:multiLevelType w:val="hybridMultilevel"/>
    <w:lvl w:ilvl="0">
      <w:lvlJc w:val="left"/>
      <w:lvlText w:val="%1"/>
      <w:numFmt w:val="upperLetter"/>
      <w:start w:val="1"/>
    </w:lvl>
    <w:lvl w:ilvl="1">
      <w:lvlJc w:val="left"/>
      <w:lvlText w:val="(%2)"/>
      <w:numFmt w:val="lowerRoman"/>
      <w:start w:val="21"/>
    </w:lvl>
  </w:abstractNum>
  <w:abstractNum w:abstractNumId="9">
    <w:nsid w:val="2901D82"/>
    <w:multiLevelType w:val="hybridMultilevel"/>
    <w:lvl w:ilvl="0">
      <w:lvlJc w:val="left"/>
      <w:lvlText w:val="(%1)"/>
      <w:numFmt w:val="upperLetter"/>
      <w:start w:val="3"/>
    </w:lvl>
    <w:lvl w:ilvl="1">
      <w:lvlJc w:val="left"/>
      <w:lvlText w:val="%2"/>
      <w:numFmt w:val="lowerRoman"/>
      <w:start w:val="1"/>
    </w:lvl>
  </w:abstractNum>
  <w:abstractNum w:abstractNumId="10">
    <w:nsid w:val="3A95F874"/>
    <w:multiLevelType w:val="hybridMultilevel"/>
    <w:lvl w:ilvl="0">
      <w:lvlJc w:val="left"/>
      <w:lvlText w:val="(%1)"/>
      <w:numFmt w:val="lowerRoman"/>
      <w:start w:val="22"/>
    </w:lvl>
  </w:abstractNum>
  <w:abstractNum w:abstractNumId="11">
    <w:nsid w:val="8138641"/>
    <w:multiLevelType w:val="hybridMultilevel"/>
    <w:lvl w:ilvl="0">
      <w:lvlJc w:val="left"/>
      <w:lvlText w:val="(%1)"/>
      <w:numFmt w:val="lowerRoman"/>
      <w:start w:val="24"/>
    </w:lvl>
  </w:abstractNum>
  <w:abstractNum w:abstractNumId="12">
    <w:nsid w:val="1E7FF521"/>
    <w:multiLevelType w:val="hybridMultilevel"/>
    <w:lvl w:ilvl="0">
      <w:lvlJc w:val="left"/>
      <w:lvlText w:val="(%1)"/>
      <w:numFmt w:val="lowerRoman"/>
      <w:start w:val="29"/>
    </w:lvl>
  </w:abstractNum>
  <w:abstractNum w:abstractNumId="13">
    <w:nsid w:val="7C3DBD3D"/>
    <w:multiLevelType w:val="hybridMultilevel"/>
    <w:lvl w:ilvl="0">
      <w:lvlJc w:val="left"/>
      <w:lvlText w:val="%1"/>
      <w:numFmt w:val="upperLetter"/>
      <w:start w:val="1"/>
    </w:lvl>
    <w:lvl w:ilvl="1">
      <w:lvlJc w:val="left"/>
      <w:lvlText w:val="(%2)"/>
      <w:numFmt w:val="lowerRoman"/>
      <w:start w:val="34"/>
    </w:lvl>
  </w:abstractNum>
  <w:abstractNum w:abstractNumId="14">
    <w:nsid w:val="737B8DDC"/>
    <w:multiLevelType w:val="hybridMultilevel"/>
    <w:lvl w:ilvl="0">
      <w:lvlJc w:val="left"/>
      <w:lvlText w:val="(%1)"/>
      <w:numFmt w:val="upperLetter"/>
      <w:start w:val="1"/>
    </w:lvl>
    <w:lvl w:ilvl="1">
      <w:lvlJc w:val="left"/>
      <w:lvlText w:val="(%2)"/>
      <w:numFmt w:val="lowerRoman"/>
      <w:start w:val="1"/>
    </w:lvl>
  </w:abstractNum>
  <w:abstractNum w:abstractNumId="15">
    <w:nsid w:val="6CEAF087"/>
    <w:multiLevelType w:val="hybridMultilevel"/>
    <w:lvl w:ilvl="0">
      <w:lvlJc w:val="left"/>
      <w:lvlText w:val="%1"/>
      <w:numFmt w:val="upperLetter"/>
      <w:start w:val="1"/>
    </w:lvl>
    <w:lvl w:ilvl="1">
      <w:lvlJc w:val="left"/>
      <w:lvlText w:val="(%2)"/>
      <w:numFmt w:val="lowerRoman"/>
      <w:start w:val="35"/>
    </w:lvl>
  </w:abstractNum>
  <w:abstractNum w:abstractNumId="16">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7"/>
    </w:lvl>
  </w:abstractNum>
  <w:abstractNum w:abstractNumId="17">
    <w:nsid w:val="4516D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3006C83E"/>
    <w:multiLevelType w:val="hybridMultilevel"/>
    <w:lvl w:ilvl="0">
      <w:lvlJc w:val="left"/>
      <w:lvlText w:val="(%1)"/>
      <w:numFmt w:val="lowerRoman"/>
      <w:start w:val="1"/>
    </w:lvl>
  </w:abstractNum>
  <w:abstractNum w:abstractNumId="19">
    <w:nsid w:val="614FD4A1"/>
    <w:multiLevelType w:val="hybridMultilevel"/>
    <w:lvl w:ilvl="0">
      <w:lvlJc w:val="left"/>
      <w:lvlText w:val="%1"/>
      <w:numFmt w:val="lowerRoman"/>
      <w:start w:val="1"/>
    </w:lvl>
    <w:lvl w:ilvl="1">
      <w:lvlJc w:val="left"/>
      <w:lvlText w:val="(%2)"/>
      <w:numFmt w:val="lowerRoman"/>
      <w:start w:val="4"/>
    </w:lvl>
  </w:abstractNum>
  <w:abstractNum w:abstractNumId="20">
    <w:nsid w:val="419AC241"/>
    <w:multiLevelType w:val="hybridMultilevel"/>
    <w:lvl w:ilvl="0">
      <w:lvlJc w:val="left"/>
      <w:lvlText w:val="(%1)"/>
      <w:numFmt w:val="lowerRoman"/>
      <w:start w:val="2"/>
    </w:lvl>
    <w:lvl w:ilvl="1">
      <w:lvlJc w:val="left"/>
      <w:lvlText w:val="(%2)"/>
      <w:numFmt w:val="lowerRoman"/>
      <w:start w:val="5"/>
    </w:lvl>
  </w:abstractNum>
  <w:abstractNum w:abstractNumId="21">
    <w:nsid w:val="5577F8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2">
    <w:nsid w:val="440BADFC"/>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3">
    <w:nsid w:val="507236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1"/>
      <w:numFmt w:val="lowerLetter"/>
      <w:start w:val="1"/>
    </w:lvl>
    <w:lvl w:ilvl="1">
      <w:lvlJc w:val="left"/>
      <w:lvlText w:val="(%2)"/>
      <w:numFmt w:val="lowerLetter"/>
      <w:start w:val="5"/>
    </w:lvl>
  </w:abstractNum>
  <w:abstractNum w:abstractNumId="26">
    <w:nsid w:val="7724C67E"/>
    <w:multiLevelType w:val="hybridMultilevel"/>
    <w:lvl w:ilvl="0">
      <w:lvlJc w:val="left"/>
      <w:lvlText w:val="(%1)"/>
      <w:numFmt w:val="lowerLetter"/>
      <w:start w:val="25"/>
    </w:lvl>
    <w:lvl w:ilvl="1">
      <w:lvlJc w:val="left"/>
      <w:lvlText w:val="%2"/>
      <w:numFmt w:val="lowerLetter"/>
      <w:start w:val="1"/>
    </w:lvl>
  </w:abstractNum>
  <w:abstractNum w:abstractNumId="27">
    <w:nsid w:val="5C482A97"/>
    <w:multiLevelType w:val="hybridMultilevel"/>
    <w:lvl w:ilvl="0">
      <w:lvlJc w:val="left"/>
      <w:lvlText w:val="(%1)"/>
      <w:numFmt w:val="lowerRoman"/>
      <w:start w:val="4"/>
    </w:lvl>
    <w:lvl w:ilvl="1">
      <w:lvlJc w:val="left"/>
      <w:lvlText w:val="%2"/>
      <w:numFmt w:val="lowerLetter"/>
      <w:start w:val="1"/>
    </w:lvl>
  </w:abstractNum>
  <w:abstractNum w:abstractNumId="28">
    <w:nsid w:val="2463B9EA"/>
    <w:multiLevelType w:val="hybridMultilevel"/>
    <w:lvl w:ilvl="0">
      <w:lvlJc w:val="left"/>
      <w:lvlText w:val="(%1)"/>
      <w:numFmt w:val="lowerRoman"/>
      <w:start w:val="7"/>
    </w:lvl>
    <w:lvl w:ilvl="1">
      <w:lvlJc w:val="left"/>
      <w:lvlText w:val="(%2)"/>
      <w:numFmt w:val="lowerLetter"/>
      <w:start w:val="10"/>
    </w:lvl>
  </w:abstractNum>
  <w:abstractNum w:abstractNumId="29">
    <w:nsid w:val="5E884ADC"/>
    <w:multiLevelType w:val="hybridMultilevel"/>
    <w:lvl w:ilvl="0">
      <w:lvlJc w:val="left"/>
      <w:lvlText w:val="(%1)"/>
      <w:numFmt w:val="lowerLetter"/>
      <w:start w:val="14"/>
    </w:lvl>
    <w:lvl w:ilvl="1">
      <w:lvlJc w:val="left"/>
      <w:lvlText w:val="(%2)"/>
      <w:numFmt w:val="lowerRoman"/>
      <w:start w:val="1"/>
    </w:lvl>
  </w:abstractNum>
  <w:abstractNum w:abstractNumId="30">
    <w:nsid w:val="51EAD36B"/>
    <w:multiLevelType w:val="hybridMultilevel"/>
    <w:lvl w:ilvl="0">
      <w:lvlJc w:val="left"/>
      <w:lvlText w:val="%1"/>
      <w:numFmt w:val="lowerLetter"/>
      <w:start w:val="1"/>
    </w:lvl>
    <w:lvl w:ilvl="1">
      <w:lvlJc w:val="left"/>
      <w:lvlText w:val="(%2)"/>
      <w:numFmt w:val="lowerLetter"/>
      <w:start w:val="16"/>
    </w:lvl>
  </w:abstractNum>
  <w:abstractNum w:abstractNumId="31">
    <w:nsid w:val="2D517796"/>
    <w:multiLevelType w:val="hybridMultilevel"/>
    <w:lvl w:ilvl="0">
      <w:lvlJc w:val="left"/>
      <w:lvlText w:val="(%1)"/>
      <w:numFmt w:val="lowerLetter"/>
      <w:start w:val="9"/>
    </w:lvl>
    <w:lvl w:ilvl="1">
      <w:lvlJc w:val="left"/>
      <w:lvlText w:val="%2"/>
      <w:numFmt w:val="lowerLetter"/>
      <w:start w:val="1"/>
    </w:lvl>
  </w:abstractNum>
  <w:abstractNum w:abstractNumId="32">
    <w:nsid w:val="580BD78F"/>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7"/>
    </w:lvl>
  </w:abstractNum>
  <w:abstractNum w:abstractNumId="33">
    <w:nsid w:val="153EA43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lowerLetter"/>
      <w:start w:val="8"/>
    </w:lvl>
  </w:abstractNum>
  <w:abstractNum w:abstractNumId="36">
    <w:nsid w:val="6A2342EC"/>
    <w:multiLevelType w:val="hybridMultilevel"/>
    <w:lvl w:ilvl="0">
      <w:lvlJc w:val="left"/>
      <w:lvlText w:val="%1."/>
      <w:numFmt w:val="decimal"/>
      <w:start w:val="5"/>
    </w:lvl>
    <w:lvl w:ilvl="1">
      <w:lvlJc w:val="left"/>
      <w:lvlText w:val="(%2)"/>
      <w:numFmt w:val="lowerLetter"/>
      <w:start w:val="1"/>
    </w:lvl>
  </w:abstractNum>
  <w:abstractNum w:abstractNumId="37">
    <w:nsid w:val="2A487CB0"/>
    <w:multiLevelType w:val="hybridMultilevel"/>
    <w:lvl w:ilvl="0">
      <w:lvlJc w:val="left"/>
      <w:lvlText w:val="%1"/>
      <w:numFmt w:val="lowerRoman"/>
      <w:start w:val="1"/>
    </w:lvl>
    <w:lvl w:ilvl="1">
      <w:lvlJc w:val="left"/>
      <w:lvlText w:val="(%2)"/>
      <w:numFmt w:val="lowerRoman"/>
      <w:start w:val="1"/>
    </w:lvl>
  </w:abstractNum>
  <w:abstractNum w:abstractNumId="38">
    <w:nsid w:val="1D4ED43B"/>
    <w:multiLevelType w:val="hybridMultilevel"/>
    <w:lvl w:ilvl="0">
      <w:lvlJc w:val="left"/>
      <w:lvlText w:val="(%1)"/>
      <w:numFmt w:val="lowerRoman"/>
      <w:start w:val="3"/>
    </w:lvl>
    <w:lvl w:ilvl="1">
      <w:lvlJc w:val="left"/>
      <w:lvlText w:val="(%2)"/>
      <w:numFmt w:val="lowerRoman"/>
      <w:start w:val="2"/>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1">
    <w:nsid w:val="57E4CCAF"/>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42">
    <w:nsid w:val="7A6D8D3C"/>
    <w:multiLevelType w:val="hybridMultilevel"/>
    <w:lvl w:ilvl="0">
      <w:lvlJc w:val="left"/>
      <w:lvlText w:val="%1."/>
      <w:numFmt w:val="decimal"/>
      <w:start w:val="7"/>
    </w:lvl>
    <w:lvl w:ilvl="1">
      <w:lvlJc w:val="left"/>
      <w:lvlText w:val="(%2)"/>
      <w:numFmt w:val="lowerLetter"/>
      <w:start w:val="1"/>
    </w:lvl>
  </w:abstractNum>
  <w:abstractNum w:abstractNumId="43">
    <w:nsid w:val="4B588F5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4">
    <w:nsid w:val="542289EC"/>
    <w:multiLevelType w:val="hybridMultilevel"/>
    <w:lvl w:ilvl="0">
      <w:lvlJc w:val="left"/>
      <w:lvlText w:val="(%1)"/>
      <w:numFmt w:val="lowerLetter"/>
      <w:start w:val="6"/>
    </w:lvl>
    <w:lvl w:ilvl="1">
      <w:lvlJc w:val="left"/>
      <w:lvlText w:val="%2."/>
      <w:numFmt w:val="decimal"/>
      <w:start w:val="12"/>
    </w:lvl>
    <w:lvl w:ilvl="2">
      <w:lvlJc w:val="left"/>
      <w:lvlText w:val="(%3)"/>
      <w:numFmt w:val="lowerLetter"/>
      <w:start w:val="1"/>
    </w:lvl>
  </w:abstractNum>
  <w:abstractNum w:abstractNumId="45">
    <w:nsid w:val="6DE91B18"/>
    <w:multiLevelType w:val="hybridMultilevel"/>
    <w:lvl w:ilvl="0">
      <w:lvlJc w:val="left"/>
      <w:lvlText w:val="(%1)"/>
      <w:numFmt w:val="lowerRoman"/>
      <w:start w:val="2"/>
    </w:lvl>
    <w:lvl w:ilvl="1">
      <w:lvlJc w:val="left"/>
      <w:lvlText w:val="%2."/>
      <w:numFmt w:val="decimal"/>
      <w:start w:val="13"/>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2022-05-10T05:28:09Z</dcterms:created>
  <dcterms:modified xsi:type="dcterms:W3CDTF">2022-05-10T05:28:09Z</dcterms:modified>
</cp:coreProperties>
</file>