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w:t>
      </w:r>
    </w:p>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Fulcrum Therapeutics, Inc.</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359616109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February 3, 2020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660" w:firstLine="5"/>
        <w:spacing w:after="0" w:line="572"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238" w:lineRule="auto"/>
        <w:rPr>
          <w:sz w:val="20"/>
          <w:szCs w:val="20"/>
          <w:color w:val="auto"/>
        </w:rPr>
      </w:pPr>
      <w:r>
        <w:rPr>
          <w:rFonts w:ascii="Courier New" w:cs="Courier New" w:eastAsia="Courier New" w:hAnsi="Courier New"/>
          <w:sz w:val="18"/>
          <w:szCs w:val="18"/>
          <w:color w:val="auto"/>
        </w:rPr>
        <w:t>__________</w:t>
      </w:r>
    </w:p>
    <w:p>
      <w:pPr>
        <w:ind w:right="100"/>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45"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CUSIP No</w:t>
            </w:r>
          </w:p>
        </w:tc>
        <w:tc>
          <w:tcPr>
            <w:tcW w:w="286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w w:val="86"/>
              </w:rPr>
              <w:t>359616109</w:t>
            </w:r>
          </w:p>
        </w:tc>
      </w:tr>
    </w:tbl>
    <w:p>
      <w:pPr>
        <w:spacing w:after="0" w:line="202" w:lineRule="exact"/>
        <w:rPr>
          <w:sz w:val="20"/>
          <w:szCs w:val="20"/>
          <w:color w:val="auto"/>
        </w:rPr>
      </w:pPr>
    </w:p>
    <w:p>
      <w:pPr>
        <w:ind w:left="1160" w:right="6960" w:hanging="1152"/>
        <w:spacing w:after="0" w:line="501"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 Casdin Capital, LLC</w:t>
      </w:r>
    </w:p>
    <w:p>
      <w:pPr>
        <w:ind w:left="1160" w:hanging="1152"/>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160" w:hanging="115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60" w:hanging="115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60" w:right="778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160" w:right="752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1,239,285</w:t>
      </w:r>
    </w:p>
    <w:p>
      <w:pPr>
        <w:ind w:left="1160" w:right="738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60" w:right="712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1,239,285</w:t>
      </w:r>
    </w:p>
    <w:p>
      <w:pPr>
        <w:ind w:left="1160" w:right="308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1,239,285</w:t>
      </w:r>
    </w:p>
    <w:p>
      <w:pPr>
        <w:ind w:left="1160" w:hanging="115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9" w:lineRule="exact"/>
        <w:rPr>
          <w:sz w:val="20"/>
          <w:szCs w:val="20"/>
          <w:color w:val="auto"/>
        </w:rPr>
      </w:pPr>
    </w:p>
    <w:p>
      <w:pPr>
        <w:ind w:left="1160" w:right="4580" w:hanging="1152"/>
        <w:spacing w:after="0" w:line="49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spacing w:after="0" w:line="1" w:lineRule="exact"/>
        <w:rPr>
          <w:rFonts w:ascii="Arial" w:cs="Arial" w:eastAsia="Arial" w:hAnsi="Arial"/>
          <w:sz w:val="18"/>
          <w:szCs w:val="18"/>
          <w:color w:val="auto"/>
        </w:rPr>
      </w:pPr>
    </w:p>
    <w:p>
      <w:pPr>
        <w:ind w:left="1160" w:right="5300" w:hanging="1152"/>
        <w:spacing w:after="0" w:line="52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800"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CUSIP No</w:t>
            </w:r>
          </w:p>
        </w:tc>
        <w:tc>
          <w:tcPr>
            <w:tcW w:w="286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w w:val="86"/>
              </w:rPr>
              <w:t>359616109</w:t>
            </w:r>
          </w:p>
        </w:tc>
      </w:tr>
    </w:tbl>
    <w:p>
      <w:pPr>
        <w:spacing w:after="0" w:line="202" w:lineRule="exact"/>
        <w:rPr>
          <w:sz w:val="20"/>
          <w:szCs w:val="20"/>
          <w:color w:val="auto"/>
        </w:rPr>
      </w:pPr>
    </w:p>
    <w:p>
      <w:pPr>
        <w:ind w:left="1160" w:right="6960" w:hanging="1152"/>
        <w:spacing w:after="0" w:line="563"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PERSONS Casdin Partners Master Fund, L.P.</w:t>
      </w:r>
    </w:p>
    <w:p>
      <w:pPr>
        <w:spacing w:after="0" w:line="1" w:lineRule="exact"/>
        <w:rPr>
          <w:rFonts w:ascii="Arial" w:cs="Arial" w:eastAsia="Arial" w:hAnsi="Arial"/>
          <w:sz w:val="16"/>
          <w:szCs w:val="16"/>
          <w:color w:val="auto"/>
        </w:rPr>
      </w:pPr>
    </w:p>
    <w:p>
      <w:pPr>
        <w:ind w:left="1160" w:hanging="115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160" w:hanging="115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60" w:hanging="115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60" w:right="778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160" w:right="752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1,239,285</w:t>
      </w:r>
    </w:p>
    <w:p>
      <w:pPr>
        <w:ind w:left="1160" w:right="738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60" w:right="712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1,239,285</w:t>
      </w:r>
    </w:p>
    <w:p>
      <w:pPr>
        <w:ind w:left="1160" w:right="308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1,239,285</w:t>
      </w:r>
    </w:p>
    <w:p>
      <w:pPr>
        <w:ind w:left="1160" w:hanging="115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160" w:right="4580" w:hanging="1152"/>
        <w:spacing w:after="0" w:line="501"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1160" w:right="5300" w:hanging="115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800"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CUSIP No</w:t>
            </w:r>
          </w:p>
        </w:tc>
        <w:tc>
          <w:tcPr>
            <w:tcW w:w="286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w w:val="86"/>
              </w:rPr>
              <w:t>359616109</w:t>
            </w:r>
          </w:p>
        </w:tc>
      </w:tr>
    </w:tbl>
    <w:p>
      <w:pPr>
        <w:spacing w:after="0" w:line="202" w:lineRule="exact"/>
        <w:rPr>
          <w:sz w:val="20"/>
          <w:szCs w:val="20"/>
          <w:color w:val="auto"/>
        </w:rPr>
      </w:pPr>
    </w:p>
    <w:p>
      <w:pPr>
        <w:ind w:left="1160" w:right="6960" w:hanging="1152"/>
        <w:spacing w:after="0" w:line="563"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REPORTING PERSONS Casdin Partners GP, LLC</w:t>
      </w:r>
    </w:p>
    <w:p>
      <w:pPr>
        <w:spacing w:after="0" w:line="1" w:lineRule="exact"/>
        <w:rPr>
          <w:rFonts w:ascii="Arial" w:cs="Arial" w:eastAsia="Arial" w:hAnsi="Arial"/>
          <w:sz w:val="16"/>
          <w:szCs w:val="16"/>
          <w:color w:val="auto"/>
        </w:rPr>
      </w:pPr>
    </w:p>
    <w:p>
      <w:pPr>
        <w:ind w:left="1160" w:hanging="115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160" w:hanging="115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60" w:hanging="115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60" w:right="7780" w:hanging="1152"/>
        <w:spacing w:after="0" w:line="50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160" w:right="7520" w:hanging="1152"/>
        <w:spacing w:after="0" w:line="50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1,239,285</w:t>
      </w:r>
    </w:p>
    <w:p>
      <w:pPr>
        <w:ind w:left="1160" w:right="7380" w:hanging="1152"/>
        <w:spacing w:after="0" w:line="50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60" w:right="7120" w:hanging="1152"/>
        <w:spacing w:after="0" w:line="50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1,239,285</w:t>
      </w:r>
    </w:p>
    <w:p>
      <w:pPr>
        <w:ind w:left="1160" w:right="3080" w:hanging="1152"/>
        <w:spacing w:after="0" w:line="50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1,239,285</w:t>
      </w:r>
    </w:p>
    <w:p>
      <w:pPr>
        <w:ind w:left="1160" w:hanging="115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160" w:right="4580" w:hanging="1152"/>
        <w:spacing w:after="0" w:line="501"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1160" w:right="5300" w:hanging="115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800"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CUSIP No</w:t>
            </w:r>
          </w:p>
        </w:tc>
        <w:tc>
          <w:tcPr>
            <w:tcW w:w="286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w w:val="86"/>
              </w:rPr>
              <w:t>359616109</w:t>
            </w:r>
          </w:p>
        </w:tc>
      </w:tr>
    </w:tbl>
    <w:p>
      <w:pPr>
        <w:spacing w:after="0" w:line="202" w:lineRule="exact"/>
        <w:rPr>
          <w:sz w:val="20"/>
          <w:szCs w:val="20"/>
          <w:color w:val="auto"/>
        </w:rPr>
      </w:pPr>
    </w:p>
    <w:p>
      <w:pPr>
        <w:ind w:left="1160" w:right="6960" w:hanging="1152"/>
        <w:spacing w:after="0" w:line="501"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 Eli Casdin</w:t>
      </w:r>
    </w:p>
    <w:p>
      <w:pPr>
        <w:ind w:left="1160" w:hanging="115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160" w:hanging="115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60" w:hanging="115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60" w:right="7780" w:hanging="1152"/>
        <w:spacing w:after="0" w:line="501"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1160" w:right="7520" w:hanging="1152"/>
        <w:spacing w:after="0" w:line="501"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1,239,285</w:t>
      </w:r>
    </w:p>
    <w:p>
      <w:pPr>
        <w:ind w:left="1160" w:right="7380" w:hanging="1152"/>
        <w:spacing w:after="0" w:line="501"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60" w:right="7120" w:hanging="1152"/>
        <w:spacing w:after="0" w:line="501"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1,239,285</w:t>
      </w:r>
    </w:p>
    <w:p>
      <w:pPr>
        <w:ind w:left="1160" w:right="3080" w:hanging="1152"/>
        <w:spacing w:after="0" w:line="501"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1,239,285</w:t>
      </w:r>
    </w:p>
    <w:p>
      <w:pPr>
        <w:ind w:left="1160" w:hanging="115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160" w:right="4580" w:hanging="1152"/>
        <w:spacing w:after="0" w:line="501"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1160" w:right="5300" w:hanging="115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800" w:right="8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CUSIP No</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359616109</w:t>
            </w:r>
          </w:p>
        </w:tc>
        <w:tc>
          <w:tcPr>
            <w:tcW w:w="58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600" w:type="dxa"/>
            <w:vAlign w:val="bottom"/>
          </w:tcPr>
          <w:p>
            <w:pPr>
              <w:ind w:left="20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1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Fulcrum Therapeutics, Inc.</w:t>
            </w:r>
          </w:p>
        </w:tc>
        <w:tc>
          <w:tcPr>
            <w:tcW w:w="114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14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26 Landsdowne Street</w:t>
            </w:r>
          </w:p>
        </w:tc>
        <w:tc>
          <w:tcPr>
            <w:tcW w:w="114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Cambridge, Massachusetts 02139</w:t>
            </w:r>
          </w:p>
        </w:tc>
        <w:tc>
          <w:tcPr>
            <w:tcW w:w="1140" w:type="dxa"/>
            <w:vAlign w:val="bottom"/>
          </w:tcPr>
          <w:p>
            <w:pPr>
              <w:spacing w:after="0"/>
              <w:rPr>
                <w:sz w:val="20"/>
                <w:szCs w:val="20"/>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600" w:type="dxa"/>
            <w:vAlign w:val="bottom"/>
          </w:tcPr>
          <w:p>
            <w:pPr>
              <w:ind w:left="20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14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Capital, LLC</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Partners Master Fund, L.P.</w:t>
            </w: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Partners GP, LLC</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Eli Casdin</w:t>
            </w:r>
          </w:p>
        </w:tc>
        <w:tc>
          <w:tcPr>
            <w:tcW w:w="1140" w:type="dxa"/>
            <w:vAlign w:val="bottom"/>
          </w:tcPr>
          <w:p>
            <w:pPr>
              <w:spacing w:after="0"/>
              <w:rPr>
                <w:sz w:val="20"/>
                <w:szCs w:val="20"/>
                <w:color w:val="auto"/>
              </w:rPr>
            </w:pPr>
          </w:p>
        </w:tc>
      </w:tr>
      <w:tr>
        <w:trPr>
          <w:trHeight w:val="426"/>
        </w:trPr>
        <w:tc>
          <w:tcPr>
            <w:tcW w:w="96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14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Capital, LLC</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1350 Avenue of the Americas, Suite 2600</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c>
          <w:tcPr>
            <w:tcW w:w="1140" w:type="dxa"/>
            <w:vAlign w:val="bottom"/>
          </w:tcPr>
          <w:p>
            <w:pPr>
              <w:spacing w:after="0"/>
              <w:rPr>
                <w:sz w:val="20"/>
                <w:szCs w:val="20"/>
                <w:color w:val="auto"/>
              </w:rPr>
            </w:pPr>
          </w:p>
        </w:tc>
      </w:tr>
      <w:tr>
        <w:trPr>
          <w:trHeight w:val="418"/>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Partners Master Fund, L.P.</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1350 Avenue of the Americas, Suite 2600</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c>
          <w:tcPr>
            <w:tcW w:w="1140" w:type="dxa"/>
            <w:vAlign w:val="bottom"/>
          </w:tcPr>
          <w:p>
            <w:pPr>
              <w:spacing w:after="0"/>
              <w:rPr>
                <w:sz w:val="20"/>
                <w:szCs w:val="20"/>
                <w:color w:val="auto"/>
              </w:rPr>
            </w:pPr>
          </w:p>
        </w:tc>
      </w:tr>
      <w:tr>
        <w:trPr>
          <w:trHeight w:val="418"/>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Partners GP, LLC</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1350 Avenue of the Americas, Suite 2600</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c>
          <w:tcPr>
            <w:tcW w:w="1140" w:type="dxa"/>
            <w:vAlign w:val="bottom"/>
          </w:tcPr>
          <w:p>
            <w:pPr>
              <w:spacing w:after="0"/>
              <w:rPr>
                <w:sz w:val="20"/>
                <w:szCs w:val="20"/>
                <w:color w:val="auto"/>
              </w:rPr>
            </w:pPr>
          </w:p>
        </w:tc>
      </w:tr>
      <w:tr>
        <w:trPr>
          <w:trHeight w:val="418"/>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Eli Casdin</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1350 Avenue of the Americas, Suite 2600</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c>
          <w:tcPr>
            <w:tcW w:w="1140" w:type="dxa"/>
            <w:vAlign w:val="bottom"/>
          </w:tcPr>
          <w:p>
            <w:pPr>
              <w:spacing w:after="0"/>
              <w:rPr>
                <w:sz w:val="20"/>
                <w:szCs w:val="20"/>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tcBorders>
              <w:bottom w:val="single" w:sz="8" w:color="auto"/>
            </w:tcBorders>
            <w:gridSpan w:val="2"/>
          </w:tcPr>
          <w:p>
            <w:pPr>
              <w:spacing w:after="0"/>
              <w:rPr>
                <w:sz w:val="18"/>
                <w:szCs w:val="18"/>
                <w:color w:val="auto"/>
              </w:rPr>
            </w:pPr>
          </w:p>
        </w:tc>
        <w:tc>
          <w:tcPr>
            <w:tcW w:w="1140" w:type="dxa"/>
            <w:vAlign w:val="bottom"/>
          </w:tcPr>
          <w:p>
            <w:pPr>
              <w:spacing w:after="0"/>
              <w:rPr>
                <w:sz w:val="18"/>
                <w:szCs w:val="18"/>
                <w:color w:val="auto"/>
              </w:rPr>
            </w:pPr>
          </w:p>
        </w:tc>
      </w:tr>
      <w:tr>
        <w:trPr>
          <w:trHeight w:val="426"/>
        </w:trPr>
        <w:tc>
          <w:tcPr>
            <w:tcW w:w="96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14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Capital, LLC - Delaware</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Partners Master Fund, L.P. – Cayman Islands</w:t>
            </w: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Casdin Partners GP, LLC - Delaware</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Eli Casdin– United States of America</w:t>
            </w:r>
          </w:p>
        </w:tc>
        <w:tc>
          <w:tcPr>
            <w:tcW w:w="1140" w:type="dxa"/>
            <w:vAlign w:val="bottom"/>
          </w:tcPr>
          <w:p>
            <w:pPr>
              <w:spacing w:after="0"/>
              <w:rPr>
                <w:sz w:val="20"/>
                <w:szCs w:val="20"/>
                <w:color w:val="auto"/>
              </w:rPr>
            </w:pPr>
          </w:p>
        </w:tc>
      </w:tr>
      <w:tr>
        <w:trPr>
          <w:trHeight w:val="426"/>
        </w:trPr>
        <w:tc>
          <w:tcPr>
            <w:tcW w:w="96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1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$0.001 per share</w:t>
            </w:r>
          </w:p>
        </w:tc>
        <w:tc>
          <w:tcPr>
            <w:tcW w:w="114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1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gridSpan w:val="3"/>
          </w:tcPr>
          <w:p>
            <w:pPr>
              <w:ind w:left="180"/>
              <w:spacing w:after="0"/>
              <w:rPr>
                <w:sz w:val="20"/>
                <w:szCs w:val="20"/>
                <w:color w:val="auto"/>
              </w:rPr>
            </w:pPr>
            <w:r>
              <w:rPr>
                <w:rFonts w:ascii="Arial" w:cs="Arial" w:eastAsia="Arial" w:hAnsi="Arial"/>
                <w:sz w:val="18"/>
                <w:szCs w:val="18"/>
                <w:color w:val="auto"/>
              </w:rPr>
              <w:t>359616109</w:t>
            </w:r>
          </w:p>
        </w:tc>
        <w:tc>
          <w:tcPr>
            <w:tcW w:w="58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34"/>
        </w:trPr>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top w:val="single" w:sz="8" w:color="auto"/>
              <w:bottom w:val="single" w:sz="8" w:color="auto"/>
            </w:tcBorders>
          </w:tcPr>
          <w:p>
            <w:pPr>
              <w:spacing w:after="0"/>
              <w:rPr>
                <w:sz w:val="24"/>
                <w:szCs w:val="24"/>
                <w:color w:val="auto"/>
              </w:rPr>
            </w:pPr>
          </w:p>
        </w:tc>
        <w:tc>
          <w:tcPr>
            <w:tcW w:w="5820" w:type="dxa"/>
            <w:vAlign w:val="bottom"/>
            <w:tcBorders>
              <w:top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6" w:name="page7"/>
    <w:bookmarkEnd w:id="6"/>
    <w:p>
      <w:pPr>
        <w:spacing w:after="0"/>
        <w:tabs>
          <w:tab w:leader="none" w:pos="11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25" w:lineRule="exact"/>
        <w:rPr>
          <w:sz w:val="20"/>
          <w:szCs w:val="20"/>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300" w:right="440" w:hanging="1144"/>
        <w:spacing w:after="0" w:line="277" w:lineRule="auto"/>
        <w:tabs>
          <w:tab w:leader="none" w:pos="17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0" w:lineRule="exact"/>
        <w:rPr>
          <w:sz w:val="20"/>
          <w:szCs w:val="20"/>
          <w:color w:val="auto"/>
        </w:rPr>
      </w:pP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720" w:hanging="564"/>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1,239,285 shares deemed beneficially owned by Casdin Capital, LLC</w:t>
      </w:r>
    </w:p>
    <w:p>
      <w:pPr>
        <w:spacing w:after="0" w:line="23" w:lineRule="exact"/>
        <w:rPr>
          <w:rFonts w:ascii="Arial" w:cs="Arial" w:eastAsia="Arial" w:hAnsi="Arial"/>
          <w:sz w:val="18"/>
          <w:szCs w:val="18"/>
          <w:color w:val="auto"/>
        </w:rPr>
      </w:pPr>
    </w:p>
    <w:p>
      <w:pPr>
        <w:ind w:left="1720" w:right="3560"/>
        <w:spacing w:after="0" w:line="277" w:lineRule="auto"/>
        <w:rPr>
          <w:rFonts w:ascii="Arial" w:cs="Arial" w:eastAsia="Arial" w:hAnsi="Arial"/>
          <w:sz w:val="18"/>
          <w:szCs w:val="18"/>
          <w:color w:val="auto"/>
        </w:rPr>
      </w:pPr>
      <w:r>
        <w:rPr>
          <w:rFonts w:ascii="Arial" w:cs="Arial" w:eastAsia="Arial" w:hAnsi="Arial"/>
          <w:sz w:val="17"/>
          <w:szCs w:val="17"/>
          <w:color w:val="auto"/>
        </w:rPr>
        <w:t>1,239,285 shares deemed beneficially owned by Casdin Partners Master Fund, L.P. 1,239,285 shares deemed beneficially owned by Casdin Partners GP, LLC 1,239,285 shares deemed beneficially owned by Eli Casdin</w:t>
      </w:r>
    </w:p>
    <w:p>
      <w:pPr>
        <w:spacing w:after="0" w:line="186" w:lineRule="exact"/>
        <w:rPr>
          <w:rFonts w:ascii="Arial" w:cs="Arial" w:eastAsia="Arial" w:hAnsi="Arial"/>
          <w:sz w:val="18"/>
          <w:szCs w:val="18"/>
          <w:color w:val="auto"/>
        </w:rPr>
      </w:pPr>
    </w:p>
    <w:p>
      <w:pPr>
        <w:ind w:left="1720" w:hanging="564"/>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5.3% deemed beneficially owned by Casdin Capital, LLC</w:t>
      </w:r>
    </w:p>
    <w:p>
      <w:pPr>
        <w:spacing w:after="0" w:line="2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5.3% deemed beneficially owned by Casdin Partners Master Fund, L.P.</w:t>
      </w:r>
    </w:p>
    <w:p>
      <w:pPr>
        <w:spacing w:after="0" w:line="9"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5.3% deemed beneficially owned by Casdin Partners GP, LLC</w:t>
      </w:r>
    </w:p>
    <w:p>
      <w:pPr>
        <w:spacing w:after="0" w:line="9"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5.3% deemed beneficially owned by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-962660</wp:posOffset>
            </wp:positionV>
            <wp:extent cx="6157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5715</wp:posOffset>
            </wp:positionV>
            <wp:extent cx="6157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00" w:right="399" w:bottom="1440" w:gutter="0" w:footer="0" w:header="0"/>
        </w:sectPr>
      </w:pPr>
    </w:p>
    <w:bookmarkStart w:id="7" w:name="page8"/>
    <w:bookmarkEnd w:id="7"/>
    <w:p>
      <w:pPr>
        <w:ind w:left="1720" w:hanging="564"/>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Casdin Capital, LLC has: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w:t>
            </w:r>
          </w:p>
        </w:tc>
        <w:tc>
          <w:tcPr>
            <w:tcW w:w="586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(ii)</w:t>
            </w:r>
          </w:p>
        </w:tc>
        <w:tc>
          <w:tcPr>
            <w:tcW w:w="586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1,239,285,</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(iii)</w:t>
            </w:r>
          </w:p>
        </w:tc>
        <w:tc>
          <w:tcPr>
            <w:tcW w:w="586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(iv)</w:t>
            </w:r>
          </w:p>
        </w:tc>
        <w:tc>
          <w:tcPr>
            <w:tcW w:w="586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1,239,285.</w:t>
            </w:r>
          </w:p>
        </w:tc>
      </w:tr>
      <w:tr>
        <w:trPr>
          <w:trHeight w:val="426"/>
        </w:trPr>
        <w:tc>
          <w:tcPr>
            <w:tcW w:w="840" w:type="dxa"/>
            <w:vAlign w:val="bottom"/>
          </w:tcPr>
          <w:p>
            <w:pPr>
              <w:spacing w:after="0"/>
              <w:rPr>
                <w:sz w:val="24"/>
                <w:szCs w:val="24"/>
                <w:color w:val="auto"/>
              </w:rPr>
            </w:pPr>
          </w:p>
        </w:tc>
        <w:tc>
          <w:tcPr>
            <w:tcW w:w="7160" w:type="dxa"/>
            <w:vAlign w:val="bottom"/>
            <w:gridSpan w:val="2"/>
          </w:tcPr>
          <w:p>
            <w:pPr>
              <w:ind w:left="880"/>
              <w:spacing w:after="0"/>
              <w:rPr>
                <w:sz w:val="20"/>
                <w:szCs w:val="20"/>
                <w:color w:val="auto"/>
              </w:rPr>
            </w:pPr>
            <w:r>
              <w:rPr>
                <w:rFonts w:ascii="Arial" w:cs="Arial" w:eastAsia="Arial" w:hAnsi="Arial"/>
                <w:sz w:val="18"/>
                <w:szCs w:val="18"/>
                <w:color w:val="auto"/>
              </w:rPr>
              <w:t>Number of shares as to which Casdin Partners Master Fund, L.P. has:</w:t>
            </w:r>
          </w:p>
        </w:tc>
        <w:tc>
          <w:tcPr>
            <w:tcW w:w="28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w:t>
            </w:r>
          </w:p>
        </w:tc>
        <w:tc>
          <w:tcPr>
            <w:tcW w:w="586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(ii)</w:t>
            </w:r>
          </w:p>
        </w:tc>
        <w:tc>
          <w:tcPr>
            <w:tcW w:w="586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1,239,285,</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(iii)</w:t>
            </w:r>
          </w:p>
        </w:tc>
        <w:tc>
          <w:tcPr>
            <w:tcW w:w="586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(iv)</w:t>
            </w:r>
          </w:p>
        </w:tc>
        <w:tc>
          <w:tcPr>
            <w:tcW w:w="586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1,239,285.</w:t>
            </w:r>
          </w:p>
        </w:tc>
      </w:tr>
      <w:tr>
        <w:trPr>
          <w:trHeight w:val="426"/>
        </w:trPr>
        <w:tc>
          <w:tcPr>
            <w:tcW w:w="840" w:type="dxa"/>
            <w:vAlign w:val="bottom"/>
          </w:tcPr>
          <w:p>
            <w:pPr>
              <w:spacing w:after="0"/>
              <w:rPr>
                <w:sz w:val="24"/>
                <w:szCs w:val="24"/>
                <w:color w:val="auto"/>
              </w:rPr>
            </w:pPr>
          </w:p>
        </w:tc>
        <w:tc>
          <w:tcPr>
            <w:tcW w:w="7160" w:type="dxa"/>
            <w:vAlign w:val="bottom"/>
            <w:gridSpan w:val="2"/>
          </w:tcPr>
          <w:p>
            <w:pPr>
              <w:ind w:left="880"/>
              <w:spacing w:after="0"/>
              <w:rPr>
                <w:sz w:val="20"/>
                <w:szCs w:val="20"/>
                <w:color w:val="auto"/>
              </w:rPr>
            </w:pPr>
            <w:r>
              <w:rPr>
                <w:rFonts w:ascii="Arial" w:cs="Arial" w:eastAsia="Arial" w:hAnsi="Arial"/>
                <w:sz w:val="18"/>
                <w:szCs w:val="18"/>
                <w:color w:val="auto"/>
              </w:rPr>
              <w:t>Number of shares as to which Casdin Partners GP, LLC has:</w:t>
            </w:r>
          </w:p>
        </w:tc>
        <w:tc>
          <w:tcPr>
            <w:tcW w:w="28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w:t>
            </w:r>
          </w:p>
        </w:tc>
        <w:tc>
          <w:tcPr>
            <w:tcW w:w="586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(ii)</w:t>
            </w:r>
          </w:p>
        </w:tc>
        <w:tc>
          <w:tcPr>
            <w:tcW w:w="586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1,239,285,</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(iii)</w:t>
            </w:r>
          </w:p>
        </w:tc>
        <w:tc>
          <w:tcPr>
            <w:tcW w:w="586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(iv)</w:t>
            </w:r>
          </w:p>
        </w:tc>
        <w:tc>
          <w:tcPr>
            <w:tcW w:w="586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1,239,285.</w:t>
            </w:r>
          </w:p>
        </w:tc>
      </w:tr>
      <w:tr>
        <w:trPr>
          <w:trHeight w:val="426"/>
        </w:trPr>
        <w:tc>
          <w:tcPr>
            <w:tcW w:w="840" w:type="dxa"/>
            <w:vAlign w:val="bottom"/>
          </w:tcPr>
          <w:p>
            <w:pPr>
              <w:spacing w:after="0"/>
              <w:rPr>
                <w:sz w:val="24"/>
                <w:szCs w:val="24"/>
                <w:color w:val="auto"/>
              </w:rPr>
            </w:pPr>
          </w:p>
        </w:tc>
        <w:tc>
          <w:tcPr>
            <w:tcW w:w="7160" w:type="dxa"/>
            <w:vAlign w:val="bottom"/>
            <w:gridSpan w:val="2"/>
          </w:tcPr>
          <w:p>
            <w:pPr>
              <w:ind w:left="880"/>
              <w:spacing w:after="0"/>
              <w:rPr>
                <w:sz w:val="20"/>
                <w:szCs w:val="20"/>
                <w:color w:val="auto"/>
              </w:rPr>
            </w:pPr>
            <w:r>
              <w:rPr>
                <w:rFonts w:ascii="Arial" w:cs="Arial" w:eastAsia="Arial" w:hAnsi="Arial"/>
                <w:sz w:val="18"/>
                <w:szCs w:val="18"/>
                <w:color w:val="auto"/>
              </w:rPr>
              <w:t>Number of shares as to which Eli Casdin has:</w:t>
            </w:r>
          </w:p>
        </w:tc>
        <w:tc>
          <w:tcPr>
            <w:tcW w:w="28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w:t>
            </w:r>
          </w:p>
        </w:tc>
        <w:tc>
          <w:tcPr>
            <w:tcW w:w="586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(ii)</w:t>
            </w:r>
          </w:p>
        </w:tc>
        <w:tc>
          <w:tcPr>
            <w:tcW w:w="586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1,239,285,</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(iii)</w:t>
            </w:r>
          </w:p>
        </w:tc>
        <w:tc>
          <w:tcPr>
            <w:tcW w:w="586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3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w:t>
            </w:r>
          </w:p>
        </w:tc>
      </w:tr>
      <w:tr>
        <w:trPr>
          <w:trHeight w:val="426"/>
        </w:trPr>
        <w:tc>
          <w:tcPr>
            <w:tcW w:w="8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(iv)</w:t>
            </w:r>
          </w:p>
        </w:tc>
        <w:tc>
          <w:tcPr>
            <w:tcW w:w="586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1,239,285.</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7160" w:type="dxa"/>
            <w:vAlign w:val="bottom"/>
            <w:gridSpan w:val="2"/>
          </w:tcPr>
          <w:p>
            <w:pPr>
              <w:ind w:left="320"/>
              <w:spacing w:after="0"/>
              <w:rPr>
                <w:sz w:val="20"/>
                <w:szCs w:val="20"/>
                <w:color w:val="auto"/>
              </w:rPr>
            </w:pPr>
            <w:r>
              <w:rPr>
                <w:rFonts w:ascii="Arial" w:cs="Arial" w:eastAsia="Arial" w:hAnsi="Arial"/>
                <w:sz w:val="18"/>
                <w:szCs w:val="18"/>
                <w:color w:val="auto"/>
              </w:rPr>
              <w:t>Ownership of Five Percent or Less of a Class.</w:t>
            </w:r>
          </w:p>
        </w:tc>
        <w:tc>
          <w:tcPr>
            <w:tcW w:w="28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bl>
    <w:p>
      <w:pPr>
        <w:spacing w:after="0" w:line="202" w:lineRule="exact"/>
        <w:rPr>
          <w:sz w:val="20"/>
          <w:szCs w:val="20"/>
          <w:color w:val="auto"/>
        </w:rPr>
      </w:pPr>
    </w:p>
    <w:p>
      <w:pPr>
        <w:ind w:left="1160"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254635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734695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spacing w:after="0"/>
        <w:tabs>
          <w:tab w:leader="none" w:pos="1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160" w:right="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left="1160" w:right="340"/>
        <w:spacing w:after="0" w:line="286" w:lineRule="auto"/>
        <w:rPr>
          <w:sz w:val="20"/>
          <w:szCs w:val="20"/>
          <w:color w:val="auto"/>
        </w:rPr>
      </w:pPr>
      <w:r>
        <w:rPr>
          <w:rFonts w:ascii="Arial" w:cs="Arial" w:eastAsia="Arial" w:hAnsi="Arial"/>
          <w:sz w:val="17"/>
          <w:szCs w:val="17"/>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160" w:right="100" w:hanging="7"/>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160" w:right="260" w:hanging="7"/>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February 20, 2020</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383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Eli Casdin</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Casdin, Managing Member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Eli Casdin</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Casdin, Managing Member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Eli Casdin</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Casdin, Managing Member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Eli Casdin*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The Reporting Persons disclaim beneficial ownership in the Shares reported herein except to the extent of their pecuniary interest therein.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undersigned agree that this Schedule 13G dated February 20, 2020 relating to the Common Stock, par value $0.001 per share of Gristone Oncology, Inc., shall be filed on behalf of the undersigned.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Eli Casdin</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Casdin, Managing Member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Eli Casdin</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Casdin, Managing Member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Eli Casdin</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Casdin, Managing Member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Eli Casdin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1."/>
      <w:numFmt w:val="decimal"/>
      <w:start w:val="1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2020-02-20T15:18:35Z</dcterms:created>
  <dcterms:modified xsi:type="dcterms:W3CDTF">2020-02-20T15:18:35Z</dcterms:modified>
</cp:coreProperties>
</file>