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August 11, 2020</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spacing w:after="0" w:line="8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UNDER</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47-4839948</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651-8851</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Robert J. Gould, Ph.D.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Fulcrum Therapeutics,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26 Landsdowne Street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651-8851</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37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Lia Der Marderosian, Esq.</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5"/>
              </w:rPr>
              <w:t>Bryan E. Stuart</w:t>
            </w:r>
          </w:p>
        </w:tc>
      </w:tr>
      <w:tr>
        <w:trPr>
          <w:trHeight w:val="216"/>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Wilmer Cutler Pickering Hale and Dorr LLP</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2"/>
              </w:rPr>
              <w:t>Chief Operating Officer</w:t>
            </w:r>
          </w:p>
        </w:tc>
      </w:tr>
      <w:tr>
        <w:trPr>
          <w:trHeight w:val="216"/>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60 State Street</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2"/>
              </w:rPr>
              <w:t>Fulcrum Therapeutics, Inc.</w:t>
            </w:r>
          </w:p>
        </w:tc>
      </w:tr>
      <w:tr>
        <w:trPr>
          <w:trHeight w:val="216"/>
        </w:trPr>
        <w:tc>
          <w:tcPr>
            <w:tcW w:w="378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Boston, Massachusetts 02109</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26 Landsdowne Street</w:t>
            </w:r>
          </w:p>
        </w:tc>
      </w:tr>
      <w:tr>
        <w:trPr>
          <w:trHeight w:val="216"/>
        </w:trPr>
        <w:tc>
          <w:tcPr>
            <w:tcW w:w="3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(617) 526-6000</w:t>
            </w: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Cambridge, Massachusetts 02139</w:t>
            </w:r>
          </w:p>
        </w:tc>
      </w:tr>
      <w:tr>
        <w:trPr>
          <w:trHeight w:val="234"/>
        </w:trPr>
        <w:tc>
          <w:tcPr>
            <w:tcW w:w="3780" w:type="dxa"/>
            <w:vAlign w:val="bottom"/>
          </w:tcPr>
          <w:p>
            <w:pPr>
              <w:spacing w:after="0"/>
              <w:rPr>
                <w:sz w:val="20"/>
                <w:szCs w:val="20"/>
                <w:color w:val="auto"/>
              </w:rPr>
            </w:pPr>
          </w:p>
        </w:tc>
        <w:tc>
          <w:tcPr>
            <w:tcW w:w="48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Approximate date of commencement of proposed sale to the public: From time to time after this registration statement becomes effective.</w:t>
      </w:r>
    </w:p>
    <w:p>
      <w:pPr>
        <w:spacing w:after="0" w:line="144" w:lineRule="exact"/>
        <w:rPr>
          <w:sz w:val="24"/>
          <w:szCs w:val="24"/>
          <w:color w:val="auto"/>
        </w:rPr>
      </w:pPr>
    </w:p>
    <w:p>
      <w:pPr>
        <w:ind w:left="120" w:right="66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left="120" w:righ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4" w:lineRule="exact"/>
        <w:rPr>
          <w:sz w:val="24"/>
          <w:szCs w:val="24"/>
          <w:color w:val="auto"/>
        </w:rPr>
      </w:pPr>
    </w:p>
    <w:p>
      <w:pPr>
        <w:ind w:left="120" w:right="22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4" w:lineRule="exact"/>
        <w:rPr>
          <w:sz w:val="24"/>
          <w:szCs w:val="24"/>
          <w:color w:val="auto"/>
        </w:rPr>
      </w:pPr>
    </w:p>
    <w:p>
      <w:pPr>
        <w:ind w:left="120" w:right="14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left="12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7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8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8"/>
              </w:rPr>
              <w:t>Per Unit(1)</w:t>
            </w:r>
          </w:p>
        </w:tc>
        <w:tc>
          <w:tcPr>
            <w:tcW w:w="186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6"/>
              </w:rPr>
              <w:t>Offering Price(1)</w:t>
            </w:r>
          </w:p>
        </w:tc>
        <w:tc>
          <w:tcPr>
            <w:tcW w:w="18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par value $0.001 per share</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Depositary Shares(2)</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Units(3)</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0"/>
              </w:rPr>
              <w:t>$250,000,000(4)</w:t>
            </w:r>
          </w:p>
        </w:tc>
        <w:tc>
          <w:tcPr>
            <w:tcW w:w="18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$32,450</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20" w:hanging="424"/>
        <w:spacing w:after="0" w:line="284"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Form S-3 General Instruction II.D, this information is not required to be included.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as shall have an aggregate initial offering price not to exceed $250,000,000.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will represent an interest in a fractional share or multiple shares of preferred stock and will be evidenced by a depositary receipt.</w:t>
      </w:r>
    </w:p>
    <w:p>
      <w:pPr>
        <w:ind w:left="540" w:right="4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comprised of one or more debt securities, capital securities or any other securities, in any combination, which may or may not be separable from one another.</w:t>
      </w:r>
    </w:p>
    <w:p>
      <w:pPr>
        <w:ind w:left="540" w:right="480" w:hanging="424"/>
        <w:spacing w:after="0" w:line="26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total amount to be registered and the proposed maximum aggregate offering price are estimated solely for the purpose of calculating the registration fee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6"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46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base prospectus covering the offering, issuance and sale by the Registrant of up to $250,000,000 of the Registrant’s debt securities, common stock, preferred stock, depositary shares, units and/or warrants from time to time in one or more offerings; and</w:t>
      </w:r>
    </w:p>
    <w:p>
      <w:pPr>
        <w:spacing w:after="0" w:line="29" w:lineRule="exact"/>
        <w:rPr>
          <w:rFonts w:ascii="Arial" w:cs="Arial" w:eastAsia="Arial" w:hAnsi="Arial"/>
          <w:sz w:val="16"/>
          <w:szCs w:val="16"/>
          <w:color w:val="auto"/>
        </w:rPr>
      </w:pPr>
    </w:p>
    <w:p>
      <w:pPr>
        <w:ind w:left="1080" w:right="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equity distribution agreement prospectus covering the offering, issuance and sale by the Registrant of up to $75,000,000 of the Registrant’s common stock that may be issued and sold from time to time under an equity distribution agreement with Piper Sandler &amp; Co.</w:t>
      </w:r>
    </w:p>
    <w:p>
      <w:pPr>
        <w:spacing w:after="0" w:line="12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equity distribution agreement prospectus immediately follows the base prospectus. The common stock that may be offered, issued and sold by the Registrant under the equity distribution agreement prospectus is included in the $250,000,000 of securities that may be offered, issued and sold by the Registrant under the base prospectus.</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August 11,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750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120" w:right="100" w:firstLine="440"/>
        <w:spacing w:after="0" w:line="255" w:lineRule="auto"/>
        <w:rPr>
          <w:sz w:val="20"/>
          <w:szCs w:val="20"/>
          <w:color w:val="auto"/>
        </w:rPr>
      </w:pPr>
      <w:r>
        <w:rPr>
          <w:rFonts w:ascii="Arial" w:cs="Arial" w:eastAsia="Arial" w:hAnsi="Arial"/>
          <w:sz w:val="18"/>
          <w:szCs w:val="18"/>
          <w:color w:val="auto"/>
        </w:rPr>
        <w:t>We may offer and sell up to $250,000,000 in the aggregate of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these securities involves significant risks. See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69"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38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120"/>
          </w:cols>
          <w:pgMar w:left="320" w:top="459" w:right="4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1740" w:type="dxa"/>
            <w:vAlign w:val="bottom"/>
          </w:tcPr>
          <w:p>
            <w:pPr>
              <w:spacing w:after="0"/>
              <w:rPr>
                <w:sz w:val="20"/>
                <w:szCs w:val="20"/>
                <w:color w:val="auto"/>
              </w:rPr>
            </w:pPr>
          </w:p>
        </w:tc>
      </w:tr>
      <w:tr>
        <w:trPr>
          <w:trHeight w:val="513"/>
        </w:trPr>
        <w:tc>
          <w:tcPr>
            <w:tcW w:w="93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4"/>
                <w:szCs w:val="24"/>
                <w:color w:val="auto"/>
              </w:rPr>
            </w:pPr>
          </w:p>
        </w:tc>
      </w:tr>
      <w:tr>
        <w:trPr>
          <w:trHeight w:val="456"/>
        </w:trPr>
        <w:tc>
          <w:tcPr>
            <w:tcW w:w="934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934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INCORPORATION OF CERTAIN DOCUMENTS BY REFERENCE</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CAUTIONARY NOTE REGARDING FORWARD-LOOKING STATEMENTS AND INDUSTRY DATA</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29"/>
        </w:trPr>
        <w:tc>
          <w:tcPr>
            <w:tcW w:w="9340" w:type="dxa"/>
            <w:vAlign w:val="bottom"/>
          </w:tcPr>
          <w:p>
            <w:pPr>
              <w:ind w:left="120"/>
              <w:spacing w:after="0"/>
              <w:rPr>
                <w:rFonts w:ascii="Arial" w:cs="Arial" w:eastAsia="Arial" w:hAnsi="Arial"/>
                <w:sz w:val="18"/>
                <w:szCs w:val="18"/>
                <w:color w:val="0000EE"/>
              </w:rPr>
            </w:pPr>
            <w:hyperlink w:anchor="page9">
              <w:r>
                <w:rPr>
                  <w:rFonts w:ascii="Arial" w:cs="Arial" w:eastAsia="Arial" w:hAnsi="Arial"/>
                  <w:sz w:val="18"/>
                  <w:szCs w:val="18"/>
                  <w:u w:val="single" w:color="auto"/>
                  <w:color w:val="0000EE"/>
                </w:rPr>
                <w:t>ABOUT FULCRUM THERAPEUTICS, INC</w:t>
              </w:r>
              <w:r>
                <w:rPr>
                  <w:rFonts w:ascii="Arial" w:cs="Arial" w:eastAsia="Arial" w:hAnsi="Arial"/>
                  <w:sz w:val="18"/>
                  <w:szCs w:val="18"/>
                  <w:color w:val="0000EE"/>
                </w:rPr>
                <w:t>.</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340" w:type="dxa"/>
            <w:vAlign w:val="bottom"/>
          </w:tcPr>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DEBT SECURITIES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9340" w:type="dxa"/>
            <w:vAlign w:val="bottom"/>
          </w:tcPr>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CAPITAL STOCK</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DEPOSITARY SHARES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9340" w:type="dxa"/>
            <w:vAlign w:val="bottom"/>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DESCRIPTION OF UNITS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WARRANTS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FORMS OF SECURITIES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934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PLAN OF DISTRIBUTION</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29"/>
        </w:trPr>
        <w:tc>
          <w:tcPr>
            <w:tcW w:w="93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MATTERS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50"/>
        </w:trPr>
        <w:tc>
          <w:tcPr>
            <w:tcW w:w="93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EXPERTS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34</w:t>
            </w: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on page 2 of this prospectus.</w:t>
      </w:r>
    </w:p>
    <w:p>
      <w:pPr>
        <w:spacing w:after="0" w:line="17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212" w:lineRule="exact"/>
        <w:rPr>
          <w:sz w:val="20"/>
          <w:szCs w:val="20"/>
          <w:color w:val="auto"/>
        </w:rPr>
      </w:pPr>
    </w:p>
    <w:p>
      <w:pPr>
        <w:ind w:left="1080" w:right="56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Annual Report on </w:t>
      </w:r>
      <w:hyperlink r:id="rId3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2019, including the information specifically incorporated by reference into the Annual Report on Form 10-K from our </w:t>
      </w:r>
      <w:hyperlink r:id="rId31">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2020 Annual Meeting of Stockholders;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w:t>
      </w:r>
      <w:hyperlink r:id="rId32">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June 30,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on </w:t>
      </w:r>
      <w:hyperlink r:id="rId34">
        <w:r>
          <w:rPr>
            <w:rFonts w:ascii="Arial" w:cs="Arial" w:eastAsia="Arial" w:hAnsi="Arial"/>
            <w:sz w:val="16"/>
            <w:szCs w:val="16"/>
            <w:u w:val="single" w:color="auto"/>
            <w:color w:val="0000EE"/>
          </w:rPr>
          <w:t>January 6, 2020</w:t>
        </w:r>
      </w:hyperlink>
      <w:r>
        <w:rPr>
          <w:rFonts w:ascii="Arial" w:cs="Arial" w:eastAsia="Arial" w:hAnsi="Arial"/>
          <w:sz w:val="16"/>
          <w:szCs w:val="16"/>
          <w:color w:val="auto"/>
        </w:rPr>
        <w:t xml:space="preserve">, </w:t>
      </w:r>
      <w:hyperlink r:id="rId35">
        <w:r>
          <w:rPr>
            <w:rFonts w:ascii="Arial" w:cs="Arial" w:eastAsia="Arial" w:hAnsi="Arial"/>
            <w:sz w:val="16"/>
            <w:szCs w:val="16"/>
            <w:u w:val="single" w:color="auto"/>
            <w:color w:val="0000EE"/>
          </w:rPr>
          <w:t>April 2, 2020</w:t>
        </w:r>
      </w:hyperlink>
      <w:r>
        <w:rPr>
          <w:rFonts w:ascii="Arial" w:cs="Arial" w:eastAsia="Arial" w:hAnsi="Arial"/>
          <w:sz w:val="16"/>
          <w:szCs w:val="16"/>
          <w:color w:val="auto"/>
        </w:rPr>
        <w:t xml:space="preserve">, </w:t>
      </w:r>
      <w:hyperlink r:id="rId36">
        <w:r>
          <w:rPr>
            <w:rFonts w:ascii="Arial" w:cs="Arial" w:eastAsia="Arial" w:hAnsi="Arial"/>
            <w:sz w:val="16"/>
            <w:szCs w:val="16"/>
            <w:u w:val="single" w:color="auto"/>
            <w:color w:val="0000EE"/>
          </w:rPr>
          <w:t>June 10, 2020</w:t>
        </w:r>
      </w:hyperlink>
      <w:r>
        <w:rPr>
          <w:rFonts w:ascii="Arial" w:cs="Arial" w:eastAsia="Arial" w:hAnsi="Arial"/>
          <w:sz w:val="16"/>
          <w:szCs w:val="16"/>
          <w:color w:val="auto"/>
        </w:rPr>
        <w:t xml:space="preserve">, </w:t>
      </w:r>
      <w:hyperlink r:id="rId37">
        <w:r>
          <w:rPr>
            <w:rFonts w:ascii="Arial" w:cs="Arial" w:eastAsia="Arial" w:hAnsi="Arial"/>
            <w:sz w:val="16"/>
            <w:szCs w:val="16"/>
            <w:u w:val="single" w:color="auto"/>
            <w:color w:val="0000EE"/>
          </w:rPr>
          <w:t xml:space="preserve">June 11, 2020, </w:t>
        </w:r>
      </w:hyperlink>
      <w:hyperlink r:id="rId38">
        <w:r>
          <w:rPr>
            <w:rFonts w:ascii="Arial" w:cs="Arial" w:eastAsia="Arial" w:hAnsi="Arial"/>
            <w:sz w:val="16"/>
            <w:szCs w:val="16"/>
            <w:u w:val="single" w:color="auto"/>
            <w:color w:val="auto"/>
          </w:rPr>
          <w:t xml:space="preserve">June </w:t>
        </w:r>
        <w:r>
          <w:rPr>
            <w:rFonts w:ascii="Arial" w:cs="Arial" w:eastAsia="Arial" w:hAnsi="Arial"/>
            <w:sz w:val="16"/>
            <w:szCs w:val="16"/>
            <w:u w:val="single" w:color="auto"/>
            <w:color w:val="0000EE"/>
          </w:rPr>
          <w:t>26, 2020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39">
        <w:r>
          <w:rPr>
            <w:rFonts w:ascii="Arial" w:cs="Arial" w:eastAsia="Arial" w:hAnsi="Arial"/>
            <w:sz w:val="16"/>
            <w:szCs w:val="16"/>
            <w:u w:val="single" w:color="auto"/>
            <w:color w:val="0000EE"/>
          </w:rPr>
          <w:t>July 23, 2020</w:t>
        </w:r>
      </w:hyperlink>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1080" w:right="7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July 12, 2019, including any amendments or reports filed for the purpose of updating such description.</w:t>
      </w:r>
    </w:p>
    <w:p>
      <w:pPr>
        <w:spacing w:after="0" w:line="170"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6"/>
          <w:szCs w:val="16"/>
          <w:color w:val="auto"/>
        </w:rPr>
      </w:pPr>
    </w:p>
    <w:p>
      <w:pPr>
        <w:ind w:left="5500" w:hanging="438"/>
        <w:spacing w:after="0"/>
        <w:tabs>
          <w:tab w:leader="none" w:pos="5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651-8851</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7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and uncertainties described under “Risk Factors” in our most recent Annual Report on Form 10-K, our most recent Quarterly Report on Form 10-Q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7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net proceeds.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0"/>
          </w:cols>
          <w:pgMar w:left="320" w:top="459" w:right="7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8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events of defaults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under the senior indenture with respect to senior debt securities of each series:</w:t>
      </w:r>
    </w:p>
    <w:p>
      <w:pPr>
        <w:spacing w:after="0" w:line="76" w:lineRule="exact"/>
        <w:rPr>
          <w:sz w:val="20"/>
          <w:szCs w:val="20"/>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100"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780" w:firstLine="440"/>
        <w:spacing w:after="0" w:line="342" w:lineRule="auto"/>
        <w:rPr>
          <w:sz w:val="20"/>
          <w:szCs w:val="20"/>
          <w:color w:val="auto"/>
        </w:rPr>
      </w:pPr>
      <w:r>
        <w:rPr>
          <w:rFonts w:ascii="Arial" w:cs="Arial" w:eastAsia="Arial" w:hAnsi="Arial"/>
          <w:sz w:val="16"/>
          <w:szCs w:val="16"/>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will apply to any series of debt securities issued under the indentures.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right="2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76"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540" w:right="264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or other property in accordance with the terms of the senior debt securities; or</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i w:val="1"/>
          <w:iCs w:val="1"/>
          <w:color w:val="auto"/>
        </w:rPr>
        <w:t xml:space="preserve">No Personal Liability of Incorporators, Stockholders, Officers or Directors. </w:t>
      </w:r>
      <w:r>
        <w:rPr>
          <w:rFonts w:ascii="Arial" w:cs="Arial" w:eastAsia="Arial" w:hAnsi="Arial"/>
          <w:sz w:val="16"/>
          <w:szCs w:val="16"/>
          <w:color w:val="auto"/>
        </w:rPr>
        <w:t>The senior indenture provides that no recourse shall be had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6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i w:val="1"/>
          <w:iCs w:val="1"/>
          <w:color w:val="auto"/>
        </w:rPr>
        <w:t xml:space="preserve">Concerning the Trustee. </w:t>
      </w:r>
      <w:r>
        <w:rPr>
          <w:rFonts w:ascii="Arial" w:cs="Arial" w:eastAsia="Arial" w:hAnsi="Arial"/>
          <w:sz w:val="17"/>
          <w:szCs w:val="17"/>
          <w:color w:val="auto"/>
        </w:rPr>
        <w:t>The senior indenture provides that, except during the continuance of an event of default, the trustee will not be liable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the senior debt securities that remain unclaimed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6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June 30, 2020, we had issued and outstanding 27,452,872 shares of our common stock held by 75 stockholders of record (not including beneficial owners whose shares are held in “nominee” or “street” name), including 229,076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4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7" w:lineRule="exact"/>
        <w:rPr>
          <w:sz w:val="20"/>
          <w:szCs w:val="20"/>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97"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73"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 declared by our board of directors,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at such rates and on such dates described in the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8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 our affairs, then, before we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8"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w:t>
      </w:r>
      <w:r>
        <w:rPr>
          <w:rFonts w:ascii="Arial" w:cs="Arial" w:eastAsia="Arial" w:hAnsi="Arial"/>
          <w:sz w:val="16"/>
          <w:szCs w:val="16"/>
          <w:i w:val="1"/>
          <w:iCs w:val="1"/>
          <w:color w:val="auto"/>
        </w:rPr>
        <w:t xml:space="preserve"> </w:t>
      </w:r>
      <w:r>
        <w:rPr>
          <w:rFonts w:ascii="Arial" w:cs="Arial" w:eastAsia="Arial" w:hAnsi="Arial"/>
          <w:sz w:val="16"/>
          <w:szCs w:val="16"/>
          <w:color w:val="auto"/>
        </w:rPr>
        <w:t>our option, as a whole or in part, in each case upon the terms, at the times and at the redemption prices set forth in such prospectus supplement.</w:t>
      </w:r>
    </w:p>
    <w:p>
      <w:pPr>
        <w:spacing w:after="0" w:line="12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prospectus supplement relating to a series of preferred stock that is subject to mandatory redemption will specify the number of shares of preferred stock that shall be redeemed by us in each year commencing after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84" w:lineRule="exact"/>
        <w:rPr>
          <w:sz w:val="20"/>
          <w:szCs w:val="20"/>
          <w:color w:val="auto"/>
        </w:rPr>
      </w:pPr>
    </w:p>
    <w:p>
      <w:pPr>
        <w:ind w:left="1080" w:right="20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23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Transfer Agent and Registrar</w:t>
      </w:r>
      <w:r>
        <w:rPr>
          <w:rFonts w:ascii="Arial" w:cs="Arial" w:eastAsia="Arial" w:hAnsi="Arial"/>
          <w:sz w:val="16"/>
          <w:szCs w:val="16"/>
          <w:color w:val="auto"/>
        </w:rPr>
        <w:t>. The transfer agent and registrar for the preferred stock will be set forth in the applicable prospectus supplement.</w:t>
      </w:r>
    </w:p>
    <w:p>
      <w:pPr>
        <w:spacing w:after="0" w:line="352" w:lineRule="exact"/>
        <w:rPr>
          <w:sz w:val="20"/>
          <w:szCs w:val="20"/>
          <w:color w:val="auto"/>
        </w:rPr>
      </w:pPr>
    </w:p>
    <w:p>
      <w:pPr>
        <w:ind w:left="120" w:right="5360"/>
        <w:spacing w:after="0" w:line="378" w:lineRule="auto"/>
        <w:rPr>
          <w:sz w:val="20"/>
          <w:szCs w:val="20"/>
          <w:color w:val="auto"/>
        </w:rPr>
      </w:pPr>
      <w:r>
        <w:rPr>
          <w:rFonts w:ascii="Arial" w:cs="Arial" w:eastAsia="Arial" w:hAnsi="Arial"/>
          <w:sz w:val="18"/>
          <w:szCs w:val="18"/>
          <w:b w:val="1"/>
          <w:bCs w:val="1"/>
          <w:color w:val="auto"/>
        </w:rPr>
        <w:t xml:space="preserve">Delaware Anti-Takeover Law and Certain Charter and Bylaw Provisions </w:t>
      </w:r>
      <w:r>
        <w:rPr>
          <w:rFonts w:ascii="Arial" w:cs="Arial" w:eastAsia="Arial" w:hAnsi="Arial"/>
          <w:sz w:val="18"/>
          <w:szCs w:val="18"/>
          <w:b w:val="1"/>
          <w:bCs w:val="1"/>
          <w:i w:val="1"/>
          <w:iCs w:val="1"/>
          <w:color w:val="auto"/>
        </w:rPr>
        <w:t>Delaware Law</w:t>
      </w:r>
    </w:p>
    <w:p>
      <w:pPr>
        <w:ind w:left="120" w:right="20" w:firstLine="44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w:t>
      </w:r>
    </w:p>
    <w:p>
      <w:pPr>
        <w:spacing w:after="0" w:line="2" w:lineRule="exact"/>
        <w:rPr>
          <w:sz w:val="20"/>
          <w:szCs w:val="20"/>
          <w:color w:val="auto"/>
        </w:rPr>
      </w:pPr>
    </w:p>
    <w:p>
      <w:pPr>
        <w:ind w:left="120" w:right="80" w:hanging="4"/>
        <w:spacing w:after="0" w:line="273" w:lineRule="auto"/>
        <w:tabs>
          <w:tab w:leader="none" w:pos="3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39"/>
          </w:cols>
          <w:pgMar w:left="32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may issue units comprised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1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provisions relating to the issuance, payment, settlement, transfer or exchange of the units or of the securities comprising the units;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9"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issue the debt securities,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7"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320" w:top="459"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340360</wp:posOffset>
            </wp:positionV>
            <wp:extent cx="2897505" cy="711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Debt Securities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Common Stock</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Preferred Stock</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Depositary Shares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Units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871855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August 11,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171450</wp:posOffset>
            </wp:positionV>
            <wp:extent cx="2897505" cy="711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$75,000,000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have entered into an Equity Distribution Agreement, or equity distribution agreement, with Piper Sandler &amp; Co., or Piper Sandler, dated August 11, 2020, relating to the sale of shares of our common stock offered by this prospectus. In accordance with the terms of the equity distribution agreement, under this prospectus we may offer and sell shares of our common stock, $0.001 par value per share, having an aggregate offering price of up to $75,000,000 from time to time through Piper Sandler, acting as our agent.</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“FULC”. On August 7, 2020, the last sale price of our common stock as reported on The Nasdaq Global Market was $17.13 per share.</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Sales of our common stock, if any, under this prospectus may be made by any method permitted by law that is deemed to be an “at the market offering” as defined in Rule 415(a)(4) under the Securities Act of 1933, as amended, or the Securities Act, including sales made directly on or through The Nasdaq Global Market, the existing trading market for our common stock. Piper Sandler is not required to sell any specific amount, but will act as our sales agent using commercially reasonable efforts, consistent with its normal trading and sales practices. There is no arrangement for funds to be received in an escrow, trust or similar arrangement.</w:t>
      </w:r>
    </w:p>
    <w:p>
      <w:pPr>
        <w:spacing w:after="0" w:line="188"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The compensation to Piper Sandler for sales of common stock sold pursuant to the equity distribution agreement will be 3.0% of the gross proceeds of any shares of common stock sold under the equity distribution agreement. See “Plan of Distribution” beginning on page SA-13 for additional information regarding the compensation to be paid to Piper Sandler. In connection with the sale of the common stock on our behalf, Piper Sandler will be deemed to be an “underwriter” within the meaning of the Securities Act and the compensation of Piper Sandler will be deemed to be underwriting commissions or discounts. We have also agreed to provide indemnification and contribution to Piper Sandler with respect to certain liabilities, including civil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4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significant risks. See “</w:t>
      </w:r>
      <w:hyperlink w:anchor="page4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SA-5 of this prospectus and in the documents incorporated by reference in this prospectus for a discussion of the factors you should carefully consider before deciding to purchase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Piper Sandler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2020</w:t>
      </w:r>
    </w:p>
    <w:p>
      <w:pPr>
        <w:sectPr>
          <w:pgSz w:w="11900" w:h="16838" w:orient="portrait"/>
          <w:cols w:equalWidth="0" w:num="1">
            <w:col w:w="11100"/>
          </w:cols>
          <w:pgMar w:left="320" w:top="459" w:right="4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1860" w:type="dxa"/>
            <w:vAlign w:val="bottom"/>
          </w:tcPr>
          <w:p>
            <w:pPr>
              <w:spacing w:after="0"/>
              <w:rPr>
                <w:sz w:val="20"/>
                <w:szCs w:val="20"/>
                <w:color w:val="auto"/>
              </w:rPr>
            </w:pPr>
          </w:p>
        </w:tc>
      </w:tr>
      <w:tr>
        <w:trPr>
          <w:trHeight w:val="513"/>
        </w:trPr>
        <w:tc>
          <w:tcPr>
            <w:tcW w:w="92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4"/>
                <w:szCs w:val="24"/>
                <w:color w:val="auto"/>
              </w:rPr>
            </w:pPr>
          </w:p>
        </w:tc>
      </w:tr>
      <w:tr>
        <w:trPr>
          <w:trHeight w:val="445"/>
        </w:trPr>
        <w:tc>
          <w:tcPr>
            <w:tcW w:w="920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ABOUT THIS PROSPECTUS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SA-1</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CAUTIONARY NOTE REGARDING FORWARD-LOOKING STATEMENTS AND INDUSTRY DATA</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SA-2</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PROSPECTUS SUMMARY</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SA-3</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THE OFFERING</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SA-4</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RISK FACTORS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SA-5</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SA-7</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DILUTION</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SA-8</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CAPITAL STOCK</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SA-9</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 OF DISTRIBUTION</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SA-13</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LEGAL MATTERS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SA-15</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EXPERTS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SA-15</w:t>
            </w:r>
          </w:p>
        </w:tc>
      </w:tr>
      <w:tr>
        <w:trPr>
          <w:trHeight w:val="216"/>
        </w:trPr>
        <w:tc>
          <w:tcPr>
            <w:tcW w:w="9200" w:type="dxa"/>
            <w:vAlign w:val="bottom"/>
          </w:tcPr>
          <w:p>
            <w:pPr>
              <w:ind w:left="1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WHERE YOU CAN FIND MORE INFORMATION</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SA-16</w:t>
            </w:r>
          </w:p>
        </w:tc>
      </w:tr>
      <w:tr>
        <w:trPr>
          <w:trHeight w:val="230"/>
        </w:trPr>
        <w:tc>
          <w:tcPr>
            <w:tcW w:w="9200" w:type="dxa"/>
            <w:vAlign w:val="bottom"/>
          </w:tcPr>
          <w:p>
            <w:pPr>
              <w:ind w:left="1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INCORPORATION OF CERTAIN DOCUMENTS BY REFERENCE</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SA-16</w:t>
            </w:r>
          </w:p>
        </w:tc>
      </w:tr>
      <w:tr>
        <w:trPr>
          <w:trHeight w:val="365"/>
        </w:trPr>
        <w:tc>
          <w:tcPr>
            <w:tcW w:w="9200" w:type="dxa"/>
            <w:vAlign w:val="bottom"/>
          </w:tcPr>
          <w:p>
            <w:pPr>
              <w:ind w:left="5460"/>
              <w:spacing w:after="0"/>
              <w:rPr>
                <w:sz w:val="20"/>
                <w:szCs w:val="20"/>
                <w:color w:val="auto"/>
              </w:rPr>
            </w:pPr>
            <w:r>
              <w:rPr>
                <w:rFonts w:ascii="Arial" w:cs="Arial" w:eastAsia="Arial" w:hAnsi="Arial"/>
                <w:sz w:val="18"/>
                <w:szCs w:val="18"/>
                <w:color w:val="auto"/>
              </w:rPr>
              <w:t>SA-i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utilizing a “shelf” registration process. Under this shelf registration process, we may from time to time sell shares of our common stock having an aggregate offering price of up to $250,000,000. Under this prospectus, we may from time to time sell shares of our common stock having an aggregate offering price of up to $75,000,000, at prices and on terms to be determined by market conditions at the time of the offering. The $75,000,000 of shares of our common stock that may be sold under this prospectus are included in the $250,000,000 of shares of common stock that may be sold under the registration statement.</w:t>
      </w:r>
    </w:p>
    <w:p>
      <w:pPr>
        <w:spacing w:after="0" w:line="16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Before buying any of the common stock that we are offering, we urge you to carefully read this prospectus and all of the information in the documents that are incorporated by reference in this prospectus, as well as the additional information described under the headings “Where You Can Find More Information” and “Incorporation of Certain Documents by Reference.” These documents contain important information that you should consider when making your investment decision.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8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have not, and Piper Sandler has not, authorized anyone to provide you with any information other than that contained or incorporated by reference in this prospectus or any accompanying prospectus supplement or in any related free writing prospectus to which we have referred you. We and Piper Sandler take no responsibility for, and can provide no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of Certain Documents by Reference” in this prospectus.</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“Fulcrum” “we,” “our,” “us” and “the Company” refer, collectively, to Fulcrum Therapeutics, Inc., a Delaware corporation and its consolidated subsidiary.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7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80" w:firstLine="426"/>
        <w:spacing w:after="0" w:line="275"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this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SA-5 of this prospectus, along with our consolidated financial statements and notes to those consolidated financial statements and the other documents incorporated by reference in this prospectus.</w:t>
      </w: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7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192" w:lineRule="exact"/>
        <w:rPr>
          <w:sz w:val="20"/>
          <w:szCs w:val="20"/>
          <w:color w:val="auto"/>
        </w:rPr>
      </w:pPr>
    </w:p>
    <w:p>
      <w:pPr>
        <w:ind w:left="300" w:right="120" w:firstLine="426"/>
        <w:spacing w:after="0" w:line="254"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SA-3</w:t>
      </w:r>
    </w:p>
    <w:p>
      <w:pPr>
        <w:sectPr>
          <w:pgSz w:w="11900" w:h="16838" w:orient="portrait"/>
          <w:cols w:equalWidth="0" w:num="1">
            <w:col w:w="10920"/>
          </w:cols>
          <w:pgMar w:left="320" w:top="459" w:right="6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90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$75,000,000.</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8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to be Outstanding Immediately</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Up to 31,831,155 shares, assuming sales of 4,378,283 shares of our common stock in this offering at a price of $17.13 per share, which was the last reported sale price of our common stock on The Nasdaq Global Market on August 7, 2020. The actual number of shares issued will vary depending on the sales price under this offering</w:t>
      </w:r>
    </w:p>
    <w:p>
      <w:pPr>
        <w:spacing w:after="0" w:line="200" w:lineRule="exact"/>
        <w:rPr>
          <w:sz w:val="20"/>
          <w:szCs w:val="20"/>
          <w:color w:val="auto"/>
        </w:rPr>
      </w:pPr>
    </w:p>
    <w:p>
      <w:pPr>
        <w:sectPr>
          <w:pgSz w:w="11900" w:h="16838" w:orient="portrait"/>
          <w:cols w:equalWidth="0" w:num="2">
            <w:col w:w="3920" w:space="420"/>
            <w:col w:w="6600"/>
          </w:cols>
          <w:pgMar w:left="320" w:top="459" w:right="639" w:bottom="1440" w:gutter="0" w:footer="0" w:header="0"/>
          <w:type w:val="continuous"/>
        </w:sectPr>
      </w:pPr>
    </w:p>
    <w:p>
      <w:pPr>
        <w:spacing w:after="0" w:line="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Manner of Offering</w:t>
      </w:r>
    </w:p>
    <w:p>
      <w:pPr>
        <w:spacing w:after="0" w:line="20" w:lineRule="exact"/>
        <w:rPr>
          <w:sz w:val="20"/>
          <w:szCs w:val="20"/>
          <w:color w:val="auto"/>
        </w:rPr>
      </w:pPr>
      <w:r>
        <w:rPr>
          <w:sz w:val="20"/>
          <w:szCs w:val="20"/>
          <w:color w:val="auto"/>
        </w:rPr>
        <w:br w:type="column"/>
      </w:r>
    </w:p>
    <w:p>
      <w:pPr>
        <w:ind w:right="20"/>
        <w:spacing w:after="0" w:line="308" w:lineRule="auto"/>
        <w:rPr>
          <w:sz w:val="20"/>
          <w:szCs w:val="20"/>
          <w:color w:val="auto"/>
        </w:rPr>
      </w:pPr>
      <w:r>
        <w:rPr>
          <w:rFonts w:ascii="Arial" w:cs="Arial" w:eastAsia="Arial" w:hAnsi="Arial"/>
          <w:sz w:val="17"/>
          <w:szCs w:val="17"/>
          <w:color w:val="auto"/>
        </w:rPr>
        <w:t>“At the market” offering that may be made from time to time through our sales agent, Piper Sandler. See “Plan of Distribution” in this prospectus for more information.</w:t>
      </w:r>
    </w:p>
    <w:p>
      <w:pPr>
        <w:spacing w:after="0" w:line="183"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We intend to use the net proceeds from the sale of securities offered under this prospectus primarily for general corporate purposes, which may include working capital and capital expenditures, research and development expenses, including to fund discovery and additional preclinical research and development of additional product candidates and platform enhancement, general and administrative expenses, and potential acquisitions of, or investments in, companies, technologies, products or assets that complement our business. See “Use of Proceeds” in this prospectus for more information.</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560"/>
        <w:spacing w:after="0" w:line="286" w:lineRule="auto"/>
        <w:rPr>
          <w:sz w:val="20"/>
          <w:szCs w:val="20"/>
          <w:color w:val="auto"/>
        </w:rPr>
      </w:pPr>
      <w:r>
        <w:rPr>
          <w:rFonts w:ascii="Arial" w:cs="Arial" w:eastAsia="Arial" w:hAnsi="Arial"/>
          <w:sz w:val="17"/>
          <w:szCs w:val="17"/>
          <w:color w:val="auto"/>
        </w:rPr>
        <w:t>You should read the “Risk Factors” in this prospectus and the other documents incorporated by reference into this prospectus for a discussion of factors to consider carefully before deciding to purchase shares of our common stock.</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FULC</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50" w:lineRule="exact"/>
        <w:rPr>
          <w:sz w:val="20"/>
          <w:szCs w:val="20"/>
          <w:color w:val="auto"/>
        </w:rPr>
      </w:pPr>
    </w:p>
    <w:p>
      <w:pPr>
        <w:ind w:left="300" w:right="140"/>
        <w:spacing w:after="0" w:line="286" w:lineRule="auto"/>
        <w:rPr>
          <w:sz w:val="20"/>
          <w:szCs w:val="20"/>
          <w:color w:val="auto"/>
        </w:rPr>
      </w:pPr>
      <w:r>
        <w:rPr>
          <w:rFonts w:ascii="Arial" w:cs="Arial" w:eastAsia="Arial" w:hAnsi="Arial"/>
          <w:sz w:val="17"/>
          <w:szCs w:val="17"/>
          <w:color w:val="auto"/>
        </w:rPr>
        <w:t>The number of shares of our common stock that will be outstanding immediately after this offering as shown above is based on 27,452,872 shares outstanding as of June 30, 2020, including 229,076 shares of unvested restricted stock subject to repurchase by us. The number of shares outstanding as of June 30, 2020 as used throughout this prospectus, unless otherwise indicated, excludes:</w:t>
      </w:r>
    </w:p>
    <w:p>
      <w:pPr>
        <w:spacing w:after="0" w:line="71" w:lineRule="exact"/>
        <w:rPr>
          <w:sz w:val="20"/>
          <w:szCs w:val="20"/>
          <w:color w:val="auto"/>
        </w:rPr>
      </w:pPr>
    </w:p>
    <w:p>
      <w:pPr>
        <w:ind w:left="1240" w:right="420" w:hanging="415"/>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2,809,596 shares of common stock issuable upon exercise of stock options outstanding as of June 30, 2020 at a weighted average exercise price of $11.76 per share; and</w:t>
      </w:r>
    </w:p>
    <w:p>
      <w:pPr>
        <w:spacing w:after="0" w:line="75"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1,926,399 and 485,497 shares of our common stock available for future issuance as of June 30, 2020 under our 2019 Stock Incentive Plan and our 2019 Employee Stock Purchase Plan, respectively, as well as any automatic increases in the number of shares of common stock reserved under these plans.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SA-4</w:t>
      </w:r>
    </w:p>
    <w:p>
      <w:pPr>
        <w:sectPr>
          <w:pgSz w:w="11900" w:h="16838" w:orient="portrait"/>
          <w:cols w:equalWidth="0" w:num="1">
            <w:col w:w="10940"/>
          </w:cols>
          <w:pgMar w:left="320" w:top="459" w:right="6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prospectus and the risk factors in our most recent Annual Report on Form 10-K, our most recent Quarterly Report on Form 10-Q and in our other filings with the SEC that we make from time to time, which are incorporated by reference in this prospectus, together with other information in this prospectus, the information and documents incorporated by reference in this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management may invest or spend the proceeds of this offering in ways with which you may not agree or in ways that may not yield a return.</w:t>
      </w:r>
    </w:p>
    <w:p>
      <w:pPr>
        <w:spacing w:after="0" w:line="140"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7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shares sold in this offering, if any, will be sold from time to time at various prices. However, we expect that the offering price of our common stock will be substantially higher than the net tangible book value per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share of our outstanding common stock. After giving effect to the sale of shares of our common stock in the aggregate amount of $75,000,000 at an assumed offering price of $17.13 per share, the last sale price of our common stock on August 7, 2020 on The Nasdaq Global Market, and after deducting estimated commissions and estimated offering expenses payable by us, our as adjusted net tangible book value as of June 30, 2020 would have been approximately $194.7 million, or approximately $6.12 per share. This represents an immediate increase in as adjusted net tangible book value of approximately $1.67 per share to our existing stockholders and an immediate dilution in as adjusted net tangible book value of approximately $11.01 per share to purchasers of our common stock in this offering. See “Dilution” in this prospectus for more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30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6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shares we will issue under the equity distribution agreement, at any one time or in total, is uncertain.</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Subject to certain limitations in the equity distribution agreement and compliance with applicable law, we have the discretion to deliver a placement notice to Piper Sandler at any time throughout the term of the equity distribution agreement. The number of shares that are sold by Piper Sandler after delivering a placement notice will fluctuate based on the market price of our common stock during the sales period and limits we set with Piper Sandler. Because the price per share of each share sold will fluctuate based on the market price of our common stock during the sales period, it is not possible at this stage to predict the number of shares that will be ultimately issued.</w:t>
      </w:r>
    </w:p>
    <w:p>
      <w:pPr>
        <w:spacing w:after="0" w:line="2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right="2860" w:firstLine="440"/>
        <w:spacing w:after="0" w:line="291" w:lineRule="auto"/>
        <w:rPr>
          <w:sz w:val="20"/>
          <w:szCs w:val="20"/>
          <w:color w:val="auto"/>
        </w:rPr>
      </w:pPr>
      <w:r>
        <w:rPr>
          <w:rFonts w:ascii="Arial" w:cs="Arial" w:eastAsia="Arial" w:hAnsi="Arial"/>
          <w:sz w:val="16"/>
          <w:szCs w:val="16"/>
          <w:color w:val="auto"/>
        </w:rPr>
        <w:t>Investors who purchase shares in this offering at different times will likely pay different prices, and so may experience different outcomes in their investment results. We will have discretion, subject to market demand, to</w:t>
      </w:r>
    </w:p>
    <w:p>
      <w:pPr>
        <w:ind w:left="120" w:right="380"/>
        <w:spacing w:after="0" w:line="260" w:lineRule="auto"/>
        <w:rPr>
          <w:sz w:val="20"/>
          <w:szCs w:val="20"/>
          <w:color w:val="auto"/>
        </w:rPr>
      </w:pPr>
      <w:r>
        <w:rPr>
          <w:rFonts w:ascii="Arial" w:cs="Arial" w:eastAsia="Arial" w:hAnsi="Arial"/>
          <w:sz w:val="18"/>
          <w:szCs w:val="18"/>
          <w:color w:val="auto"/>
        </w:rPr>
        <w:t>vary the timing, prices, and numbers of shares sold. Investors may experience a decline in the value of their shares as a result of share sales made at prices lower than the prices they paid.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issue and sell shares of our common stock having aggregate gross sales proceeds of up to $75,000,000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anticipate that we will use the net proceeds from this offering primarily for general corporate purposes, which may include working capital and capital expenditures, research and development expenses, including to fund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price per share you pay in this offering and the as adjusted net tangible book value per share of our common stock immediately after this offering.</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historical net tangible book value as of June 30, 2020 was approximately $122.1 million, or $4.45 per share of our common stock. Our historical net tangible book value is the amount of our total tangible assets less our total liabilities. Historical net tangible book value per share represents historical net tangible book value divided by the 27,452,872 shares of our common stock outstanding as of June 30, 2020, including 229,076 shares of unvested restricted stock subject to repurchase by us.</w:t>
      </w:r>
    </w:p>
    <w:p>
      <w:pPr>
        <w:spacing w:after="0" w:line="18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After giving effect to the assumed sale by us of shares of our common stock in the aggregate amount of $75.0 million at an assumed public offering price of $17.13 per share (the last sale price of our common stock on August 7, 2020 as reported on The Nasdaq Global Market), less the estimated commissions and estimated offering expenses payable by us, our as adjusted net tangible book value at June 30, 2020 would have been approximately $194.7 million, or $6.12 per share. This represents an immediate increase in as adjusted net tangible book value of $1.67 per share to existing stockholders and an immediate dilution of $11.01 per share to investors in this offering. The following table illustrates this per share dilution.</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share as of June 30, 2020</w:t>
            </w:r>
          </w:p>
        </w:tc>
        <w:tc>
          <w:tcPr>
            <w:tcW w:w="2380" w:type="dxa"/>
            <w:vAlign w:val="bottom"/>
            <w:gridSpan w:val="3"/>
          </w:tcPr>
          <w:p>
            <w:pPr>
              <w:jc w:val="right"/>
              <w:ind w:right="37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23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5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as adjusted information is illustrative only and will adjust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$75.0 million is sold at the assumed offering price of $17.13 per share, the last reported sale price of our common stock on The Nasdaq Global Market on August 7, 2020. The shares sold in this offering, if any, will be sold from time to time at various prices.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above excludes:</w:t>
      </w:r>
    </w:p>
    <w:p>
      <w:pPr>
        <w:spacing w:after="0" w:line="131" w:lineRule="exact"/>
        <w:rPr>
          <w:sz w:val="20"/>
          <w:szCs w:val="20"/>
          <w:color w:val="auto"/>
        </w:rPr>
      </w:pPr>
    </w:p>
    <w:p>
      <w:pPr>
        <w:ind w:left="1080" w:right="1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2,809,596 shares of common stock issuable upon exercise of stock options outstanding as of June 30, 2020 at a weighted average exercise price of $11.76 per share;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1,926,399 and 485,497 shares of our common stock available for future issuance as of June 30, 2020 under our 2019 Stock Incentive Plan and our 2019 Employee Stock Purchase Plan, respectively, as well as any automatic increases in the number of shares of common stock reserved under these plans.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June 30, 2020, we had issued and outstanding 27,452,872 shares of our common stock held by 75 stockholders of record (not including beneficial owners whose shares are held in “nominee” or “street” name), including 229,076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w:t>
      </w:r>
    </w:p>
    <w:p>
      <w:pPr>
        <w:spacing w:after="0" w:line="296" w:lineRule="exact"/>
        <w:rPr>
          <w:sz w:val="20"/>
          <w:szCs w:val="20"/>
          <w:color w:val="auto"/>
        </w:rPr>
      </w:pPr>
    </w:p>
    <w:p>
      <w:pPr>
        <w:ind w:left="120" w:right="5400"/>
        <w:spacing w:after="0" w:line="378" w:lineRule="auto"/>
        <w:rPr>
          <w:sz w:val="20"/>
          <w:szCs w:val="20"/>
          <w:color w:val="auto"/>
        </w:rPr>
      </w:pPr>
      <w:r>
        <w:rPr>
          <w:rFonts w:ascii="Arial" w:cs="Arial" w:eastAsia="Arial" w:hAnsi="Arial"/>
          <w:sz w:val="18"/>
          <w:szCs w:val="18"/>
          <w:b w:val="1"/>
          <w:bCs w:val="1"/>
          <w:color w:val="auto"/>
        </w:rPr>
        <w:t xml:space="preserve">Delaware Anti-Takeover Law and Certain Charter and Bylaw Provisions </w:t>
      </w:r>
      <w:r>
        <w:rPr>
          <w:rFonts w:ascii="Arial" w:cs="Arial" w:eastAsia="Arial" w:hAnsi="Arial"/>
          <w:sz w:val="18"/>
          <w:szCs w:val="18"/>
          <w:b w:val="1"/>
          <w:bCs w:val="1"/>
          <w:i w:val="1"/>
          <w:iCs w:val="1"/>
          <w:color w:val="auto"/>
        </w:rPr>
        <w:t>Delaware Law</w:t>
      </w:r>
    </w:p>
    <w:p>
      <w:pPr>
        <w:ind w:left="120" w:right="60" w:firstLine="440"/>
        <w:spacing w:after="0" w:line="286"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SA-10</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w:t>
      </w:r>
    </w:p>
    <w:p>
      <w:pPr>
        <w:spacing w:after="0" w:line="2" w:lineRule="exact"/>
        <w:rPr>
          <w:sz w:val="20"/>
          <w:szCs w:val="20"/>
          <w:color w:val="auto"/>
        </w:rPr>
      </w:pPr>
    </w:p>
    <w:p>
      <w:pPr>
        <w:ind w:left="120" w:right="100" w:hanging="4"/>
        <w:spacing w:after="0" w:line="273" w:lineRule="auto"/>
        <w:tabs>
          <w:tab w:leader="none" w:pos="3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SA-12</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have entered into the equity distribution agreement with Piper Sandler, as our sales agent. This prospectus is only offering $75,000,000 in shares of our common stock. We will be required to file another prospectus or prospectus supplement in the event we want to offer more than $75,000,000 in shares of our common stock in accordance with the terms of the equity distribution agreement. Piper Sandler will use commercially reasonable efforts to sell on our behalf all shares of our common stock requested to be sold by us, consistent with its normal trading and sales practices, under the terms and subject to the conditions set forth in the equity distribution agreement. We may instruct Piper Sandler not to sell our common stock if the sales cannot be effected at or above the price designated by us in any instruction. We or Piper Sandler may suspend the offering of our common stock upon proper notice and subject to other conditions, as further described in the equity distribution agreement.</w:t>
      </w:r>
    </w:p>
    <w:p>
      <w:pPr>
        <w:spacing w:after="0" w:line="16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Piper Sandler may sell our common stock by any method permitted by law that is deemed to be an “at the market offering” as defined in Rule 415(a)(4) promulgated under the Securities Act, including sales made directly on or through The Nasdaq Global Market or on any other existing trading market for our common stock. Piper Sandler will provide written confirmation to us no later than the opening of trading on The Nasdaq Global Market on the day following each day in which our common stock is sold under the equity distribution agreement. Each such confirmation will include the number of shares of our common stock sold on such day, the volume-weighted average price of the shares sold, the net proceeds to us and the compensation payable by us to Piper Sandler in connection with such sales.</w:t>
      </w:r>
    </w:p>
    <w:p>
      <w:pPr>
        <w:spacing w:after="0" w:line="17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will pay Piper Sandler commissions for its services in acting as sales agent in the sale of our common stock. Piper Sandler will be entitled to compensation in an amount equal to 3.0% of the gross sales price of all common stock sold through it as sales agent under the equity distribution agreement. We have also agreed to reimburse Piper Sandler for the out-of-pocket reasonable fees and disbursements of its legal counsel, in an amount not to exceed $50,000, and for FINRA-related expenses. We estimate that the total expenses for this offering, excluding compensation payable to Piper Sandler under the terms of the equity distribution agreement, will be approximately $0.2 million.</w:t>
      </w:r>
    </w:p>
    <w:p>
      <w:pPr>
        <w:spacing w:after="0" w:line="17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Settlement for sales of our common stock will occur on the second business day following the date on which any such sales are made, or on some other date that is agreed upon by us and Piper Sandler in connection with a particular transaction, in return for payment of the net proceeds to us. There is no arrangement for funds to be received in an escrow, trust or similar arrangement.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report at least quarterly the number of shares of our common stock sold through Piper Sandler, as sales agent, under the equity distribution agreement, and the net proceeds to us in connection with such sales.</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Piper Sandler and its affiliates have from time to time provided, and may in the future provide, various investment banking, commercial banking, fiduciary and advisory services for us for which they have received, and may in the future receive, customary fees and expenses. Piper Sandler and its affiliates may from time to time engage in other transactions with and perform services for us in the ordinary course of their business.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sale of our common stock on our behalf, Piper Sandler will be deemed to be an underwriter within the meaning of the Securities Act, and the compensation paid by us to Piper Sandler will be deemed to be underwriting commissions or discounts. We have agreed to indemnify Piper Sandler against specified liabilities, including liabilities under the Securities Act, or to contribute to payments that Piper Sandler may be required to make because of such liabilities.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offering of our common stock pursuant to the equity distribution agreement will terminate upon the earlier of (1) the sale of all common stock subject to equity distribution agreement or (2) termination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equity distribution agreement. The equity distribution agreement may be terminated by Piper Sandler or us at any time upon specified prior written notice.</w:t>
      </w:r>
    </w:p>
    <w:p>
      <w:pPr>
        <w:spacing w:after="0" w:line="170"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This summary of the material provisions of the equity distribution agreement does not purport to be a complete statement of its terms and conditions. A copy of the equity distribution agreement is filed as an exhibit to the registration statement of which this prospectus forms a part.</w:t>
      </w:r>
    </w:p>
    <w:p>
      <w:pPr>
        <w:spacing w:after="0" w:line="5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SA-14</w:t>
      </w:r>
    </w:p>
    <w:p>
      <w:pPr>
        <w:sectPr>
          <w:pgSz w:w="11900" w:h="16838" w:orient="portrait"/>
          <w:cols w:equalWidth="0" w:num="1">
            <w:col w:w="10680"/>
          </w:cols>
          <w:pgMar w:left="320" w:top="459" w:right="8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Wilmer Cutler Pickering Hale and Dorr LLP. Certain legal matters will be passed upon for Piper Sandler &amp; Co. by Ropes &amp; Gray LLP.</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SA-15</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offered hereby is terminated or completed:</w:t>
      </w:r>
    </w:p>
    <w:p>
      <w:pPr>
        <w:spacing w:after="0" w:line="91" w:lineRule="exact"/>
        <w:rPr>
          <w:sz w:val="20"/>
          <w:szCs w:val="20"/>
          <w:color w:val="auto"/>
        </w:rPr>
      </w:pPr>
    </w:p>
    <w:p>
      <w:pPr>
        <w:ind w:left="1080" w:right="54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Annual Report on </w:t>
      </w:r>
      <w:hyperlink r:id="rId3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2019, including the information specifically incorporated by reference into the Annual Report on Form 10-K from our </w:t>
      </w:r>
      <w:hyperlink r:id="rId31">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2020 Annual Meeting of Stockholders;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w:t>
      </w:r>
      <w:hyperlink r:id="rId32">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June 30,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34">
        <w:r>
          <w:rPr>
            <w:rFonts w:ascii="Arial" w:cs="Arial" w:eastAsia="Arial" w:hAnsi="Arial"/>
            <w:sz w:val="18"/>
            <w:szCs w:val="18"/>
            <w:u w:val="single" w:color="auto"/>
            <w:color w:val="0000EE"/>
          </w:rPr>
          <w:t>January 6, 2020</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April 2, 2020</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June 10, 2020</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 xml:space="preserve">June 11, 2020, </w:t>
        </w:r>
      </w:hyperlink>
      <w:hyperlink r:id="rId38">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26, 2020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9">
        <w:r>
          <w:rPr>
            <w:rFonts w:ascii="Arial" w:cs="Arial" w:eastAsia="Arial" w:hAnsi="Arial"/>
            <w:sz w:val="18"/>
            <w:szCs w:val="18"/>
            <w:u w:val="single" w:color="auto"/>
            <w:color w:val="0000EE"/>
          </w:rPr>
          <w:t>July 23, 2020</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July 12, 2019, including any amendments or reports filed for the purpose of updating such description.</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380" w:right="4920" w:hanging="318"/>
        <w:spacing w:after="0" w:line="517" w:lineRule="auto"/>
        <w:tabs>
          <w:tab w:leader="none" w:pos="54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651-8851 SA-16</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28"/>
          <w:szCs w:val="28"/>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30480</wp:posOffset>
            </wp:positionV>
            <wp:extent cx="2897505" cy="711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2348230</wp:posOffset>
            </wp:positionV>
            <wp:extent cx="1474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3659"/>
        <w:spacing w:after="0"/>
        <w:rPr>
          <w:sz w:val="20"/>
          <w:szCs w:val="20"/>
          <w:color w:val="auto"/>
        </w:rPr>
      </w:pPr>
      <w:r>
        <w:rPr>
          <w:rFonts w:ascii="Arial" w:cs="Arial" w:eastAsia="Arial" w:hAnsi="Arial"/>
          <w:sz w:val="29"/>
          <w:szCs w:val="29"/>
          <w:b w:val="1"/>
          <w:bCs w:val="1"/>
          <w:color w:val="auto"/>
        </w:rPr>
        <w:t>Piper Sandler</w:t>
      </w:r>
    </w:p>
    <w:p>
      <w:pPr>
        <w:spacing w:after="0" w:line="200" w:lineRule="exact"/>
        <w:rPr>
          <w:sz w:val="20"/>
          <w:szCs w:val="20"/>
          <w:color w:val="auto"/>
        </w:rPr>
      </w:pPr>
    </w:p>
    <w:p>
      <w:pPr>
        <w:spacing w:after="0" w:line="25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Set forth below are estimates (except in the case of the SEC registration fee and FINRA filing fee) of the amount of fees and expenses to be incurred in connection with the issuance and distribution of the offered securities, other than underwriting discounts and commissions.</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32,450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FINRA filing fee</w:t>
            </w:r>
          </w:p>
        </w:tc>
        <w:tc>
          <w:tcPr>
            <w:tcW w:w="16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w w:val="87"/>
              </w:rPr>
              <w:t>38,000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Accounting services</w:t>
            </w:r>
          </w:p>
        </w:tc>
        <w:tc>
          <w:tcPr>
            <w:tcW w:w="1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Legal fees of registrant’s counsel</w:t>
            </w:r>
          </w:p>
        </w:tc>
        <w:tc>
          <w:tcPr>
            <w:tcW w:w="1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1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14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are not estimated at this time and will be reflected in the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6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herein as 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7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we have entered into indemnification agreements with all of our executive officers and directors.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5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3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560" w:type="dxa"/>
            <w:vAlign w:val="bottom"/>
          </w:tcPr>
          <w:p>
            <w:pPr>
              <w:ind w:left="80"/>
              <w:spacing w:after="0"/>
              <w:rPr>
                <w:sz w:val="20"/>
                <w:szCs w:val="20"/>
                <w:color w:val="auto"/>
              </w:rPr>
            </w:pPr>
            <w:r>
              <w:rPr>
                <w:rFonts w:ascii="Arial" w:cs="Arial" w:eastAsia="Arial" w:hAnsi="Arial"/>
                <w:sz w:val="18"/>
                <w:szCs w:val="18"/>
                <w:color w:val="auto"/>
              </w:rPr>
              <w:t>1.1*</w:t>
            </w:r>
          </w:p>
        </w:tc>
        <w:tc>
          <w:tcPr>
            <w:tcW w:w="936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1560" w:type="dxa"/>
            <w:vAlign w:val="bottom"/>
          </w:tcPr>
          <w:p>
            <w:pPr>
              <w:ind w:left="80"/>
              <w:spacing w:after="0"/>
              <w:rPr>
                <w:sz w:val="20"/>
                <w:szCs w:val="20"/>
                <w:color w:val="auto"/>
              </w:rPr>
            </w:pPr>
            <w:r>
              <w:rPr>
                <w:rFonts w:ascii="Arial" w:cs="Arial" w:eastAsia="Arial" w:hAnsi="Arial"/>
                <w:sz w:val="18"/>
                <w:szCs w:val="18"/>
                <w:color w:val="auto"/>
              </w:rPr>
              <w:t>1.2</w:t>
            </w:r>
          </w:p>
        </w:tc>
        <w:tc>
          <w:tcPr>
            <w:tcW w:w="936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Equity Distribution Agreement, dated August 11, 2020, by and between the Registrant and Piper Sandler &amp; Co.</w:t>
              </w:r>
            </w:hyperlink>
          </w:p>
        </w:tc>
      </w:tr>
      <w:tr>
        <w:trPr>
          <w:trHeight w:val="283"/>
        </w:trPr>
        <w:tc>
          <w:tcPr>
            <w:tcW w:w="1560" w:type="dxa"/>
            <w:vAlign w:val="bottom"/>
          </w:tcPr>
          <w:p>
            <w:pPr>
              <w:ind w:left="80"/>
              <w:spacing w:after="0"/>
              <w:rPr>
                <w:sz w:val="20"/>
                <w:szCs w:val="20"/>
                <w:color w:val="auto"/>
              </w:rPr>
            </w:pPr>
            <w:r>
              <w:rPr>
                <w:rFonts w:ascii="Arial" w:cs="Arial" w:eastAsia="Arial" w:hAnsi="Arial"/>
                <w:sz w:val="18"/>
                <w:szCs w:val="18"/>
                <w:color w:val="auto"/>
              </w:rPr>
              <w:t>4.1</w:t>
            </w:r>
          </w:p>
        </w:tc>
        <w:tc>
          <w:tcPr>
            <w:tcW w:w="9360" w:type="dxa"/>
            <w:vAlign w:val="bottom"/>
            <w:tcBorders>
              <w:bottom w:val="single" w:sz="8" w:color="0000EE"/>
            </w:tcBorders>
            <w:gridSpan w:val="4"/>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Restated Certificate of Incorporation of the Registrant (incorporated by reference to Exhibit 3.1 to the Registrant’s Current Report</w:t>
              </w:r>
            </w:hyperlink>
          </w:p>
        </w:tc>
      </w:tr>
      <w:tr>
        <w:trPr>
          <w:trHeight w:val="196"/>
        </w:trPr>
        <w:tc>
          <w:tcPr>
            <w:tcW w:w="1560" w:type="dxa"/>
            <w:vAlign w:val="bottom"/>
          </w:tcPr>
          <w:p>
            <w:pPr>
              <w:spacing w:after="0"/>
              <w:rPr>
                <w:sz w:val="17"/>
                <w:szCs w:val="17"/>
                <w:color w:val="auto"/>
              </w:rPr>
            </w:pPr>
          </w:p>
        </w:tc>
        <w:tc>
          <w:tcPr>
            <w:tcW w:w="7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on Form 8-K (File No. 001-38978) filed with the Securities and Exchange Commission on July 22, 2019)</w:t>
              </w:r>
            </w:hyperlink>
          </w:p>
        </w:tc>
        <w:tc>
          <w:tcPr>
            <w:tcW w:w="1760" w:type="dxa"/>
            <w:vAlign w:val="bottom"/>
            <w:gridSpan w:val="2"/>
          </w:tcPr>
          <w:p>
            <w:pPr>
              <w:spacing w:after="0"/>
              <w:rPr>
                <w:sz w:val="17"/>
                <w:szCs w:val="17"/>
                <w:color w:val="auto"/>
              </w:rPr>
            </w:pPr>
          </w:p>
        </w:tc>
      </w:tr>
      <w:tr>
        <w:trPr>
          <w:trHeight w:val="304"/>
        </w:trPr>
        <w:tc>
          <w:tcPr>
            <w:tcW w:w="1560" w:type="dxa"/>
            <w:vAlign w:val="bottom"/>
          </w:tcPr>
          <w:p>
            <w:pPr>
              <w:ind w:left="80"/>
              <w:spacing w:after="0"/>
              <w:rPr>
                <w:sz w:val="20"/>
                <w:szCs w:val="20"/>
                <w:color w:val="auto"/>
              </w:rPr>
            </w:pPr>
            <w:r>
              <w:rPr>
                <w:rFonts w:ascii="Arial" w:cs="Arial" w:eastAsia="Arial" w:hAnsi="Arial"/>
                <w:sz w:val="18"/>
                <w:szCs w:val="18"/>
                <w:color w:val="auto"/>
              </w:rPr>
              <w:t>4.2</w:t>
            </w:r>
          </w:p>
        </w:tc>
        <w:tc>
          <w:tcPr>
            <w:tcW w:w="9200" w:type="dxa"/>
            <w:vAlign w:val="bottom"/>
            <w:tcBorders>
              <w:bottom w:val="single" w:sz="8" w:color="0000EE"/>
            </w:tcBorders>
            <w:gridSpan w:val="3"/>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Bylaws of the Registrant (incorporated by reference to Exhibit 3.2 to the Registrant’s Current Report on</w:t>
              </w:r>
            </w:hyperlink>
          </w:p>
        </w:tc>
        <w:tc>
          <w:tcPr>
            <w:tcW w:w="16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73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Form 8-K (File No. 001-38978) filed with the Securities and Exchange Commission on July 22, 2019)</w:t>
              </w:r>
            </w:hyperlink>
          </w:p>
        </w:tc>
        <w:tc>
          <w:tcPr>
            <w:tcW w:w="1980" w:type="dxa"/>
            <w:vAlign w:val="bottom"/>
            <w:gridSpan w:val="3"/>
          </w:tcPr>
          <w:p>
            <w:pPr>
              <w:spacing w:after="0"/>
              <w:rPr>
                <w:sz w:val="17"/>
                <w:szCs w:val="17"/>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560" w:type="dxa"/>
            <w:vAlign w:val="bottom"/>
          </w:tcPr>
          <w:p>
            <w:pPr>
              <w:jc w:val="right"/>
              <w:ind w:right="771"/>
              <w:spacing w:after="0"/>
              <w:rPr>
                <w:sz w:val="20"/>
                <w:szCs w:val="20"/>
                <w:color w:val="auto"/>
              </w:rPr>
            </w:pPr>
            <w:r>
              <w:rPr>
                <w:rFonts w:ascii="Arial" w:cs="Arial" w:eastAsia="Arial" w:hAnsi="Arial"/>
                <w:sz w:val="14"/>
                <w:szCs w:val="14"/>
                <w:b w:val="1"/>
                <w:bCs w:val="1"/>
                <w:color w:val="auto"/>
                <w:w w:val="92"/>
              </w:rPr>
              <w:t>Exhibit No.</w:t>
            </w:r>
          </w:p>
        </w:tc>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4.3</w:t>
            </w:r>
          </w:p>
        </w:tc>
        <w:tc>
          <w:tcPr>
            <w:tcW w:w="8940" w:type="dxa"/>
            <w:vAlign w:val="bottom"/>
            <w:tcBorders>
              <w:bottom w:val="single" w:sz="8" w:color="0000EE"/>
            </w:tcBorders>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Specimen Stock Certificate evidencing shares of common stock (incorporated by reference to Exhibit 4.1 to the Registrant’s</w:t>
              </w:r>
            </w:hyperlink>
          </w:p>
        </w:tc>
        <w:tc>
          <w:tcPr>
            <w:tcW w:w="460" w:type="dxa"/>
            <w:vAlign w:val="bottom"/>
          </w:tcPr>
          <w:p>
            <w:pPr>
              <w:spacing w:after="0"/>
              <w:rPr>
                <w:sz w:val="23"/>
                <w:szCs w:val="23"/>
                <w:color w:val="auto"/>
              </w:rPr>
            </w:pPr>
          </w:p>
        </w:tc>
      </w:tr>
      <w:tr>
        <w:trPr>
          <w:trHeight w:val="237"/>
        </w:trPr>
        <w:tc>
          <w:tcPr>
            <w:tcW w:w="1560" w:type="dxa"/>
            <w:vAlign w:val="bottom"/>
          </w:tcPr>
          <w:p>
            <w:pPr>
              <w:spacing w:after="0"/>
              <w:rPr>
                <w:sz w:val="20"/>
                <w:szCs w:val="20"/>
                <w:color w:val="auto"/>
              </w:rPr>
            </w:pPr>
          </w:p>
        </w:tc>
        <w:tc>
          <w:tcPr>
            <w:tcW w:w="9400" w:type="dxa"/>
            <w:vAlign w:val="bottom"/>
            <w:gridSpan w:val="2"/>
          </w:tcPr>
          <w:p>
            <w:pPr>
              <w:spacing w:after="0"/>
              <w:rPr>
                <w:rFonts w:ascii="Arial" w:cs="Arial" w:eastAsia="Arial" w:hAnsi="Arial"/>
                <w:sz w:val="18"/>
                <w:szCs w:val="18"/>
                <w:u w:val="single" w:color="auto"/>
                <w:color w:val="0000EE"/>
                <w:w w:val="90"/>
              </w:rPr>
            </w:pPr>
            <w:hyperlink r:id="rId119">
              <w:r>
                <w:rPr>
                  <w:rFonts w:ascii="Arial" w:cs="Arial" w:eastAsia="Arial" w:hAnsi="Arial"/>
                  <w:sz w:val="18"/>
                  <w:szCs w:val="18"/>
                  <w:u w:val="single" w:color="auto"/>
                  <w:color w:val="0000EE"/>
                  <w:w w:val="90"/>
                </w:rPr>
                <w:t>Registration Statement on Form S-1 (File No. 333-232260) filed with the Securities and Exchange Commission on June 21, 2019)</w:t>
              </w:r>
            </w:hyperlink>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4.4</w:t>
            </w:r>
          </w:p>
        </w:tc>
        <w:tc>
          <w:tcPr>
            <w:tcW w:w="9400" w:type="dxa"/>
            <w:vAlign w:val="bottom"/>
            <w:gridSpan w:val="2"/>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Form of Senior Indenture</w:t>
              </w:r>
            </w:hyperlink>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4.5</w:t>
            </w:r>
          </w:p>
        </w:tc>
        <w:tc>
          <w:tcPr>
            <w:tcW w:w="9400" w:type="dxa"/>
            <w:vAlign w:val="bottom"/>
            <w:gridSpan w:val="2"/>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Form of Subordinated Indenture</w:t>
              </w:r>
            </w:hyperlink>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4.6</w:t>
            </w:r>
          </w:p>
        </w:tc>
        <w:tc>
          <w:tcPr>
            <w:tcW w:w="9400" w:type="dxa"/>
            <w:vAlign w:val="bottom"/>
            <w:gridSpan w:val="2"/>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Form of Senior Note</w:t>
              </w:r>
            </w:hyperlink>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4.7</w:t>
            </w:r>
          </w:p>
        </w:tc>
        <w:tc>
          <w:tcPr>
            <w:tcW w:w="9400" w:type="dxa"/>
            <w:vAlign w:val="bottom"/>
            <w:gridSpan w:val="2"/>
          </w:tcPr>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Form of Subordinated Note</w:t>
              </w:r>
            </w:hyperlink>
          </w:p>
        </w:tc>
      </w:tr>
      <w:tr>
        <w:trPr>
          <w:trHeight w:val="324"/>
        </w:trPr>
        <w:tc>
          <w:tcPr>
            <w:tcW w:w="1560" w:type="dxa"/>
            <w:vAlign w:val="bottom"/>
          </w:tcPr>
          <w:p>
            <w:pPr>
              <w:jc w:val="right"/>
              <w:ind w:right="1071"/>
              <w:spacing w:after="0"/>
              <w:rPr>
                <w:sz w:val="20"/>
                <w:szCs w:val="20"/>
                <w:color w:val="auto"/>
              </w:rPr>
            </w:pPr>
            <w:r>
              <w:rPr>
                <w:rFonts w:ascii="Arial" w:cs="Arial" w:eastAsia="Arial" w:hAnsi="Arial"/>
                <w:sz w:val="18"/>
                <w:szCs w:val="18"/>
                <w:color w:val="auto"/>
              </w:rPr>
              <w:t>4.8*</w:t>
            </w:r>
          </w:p>
        </w:tc>
        <w:tc>
          <w:tcPr>
            <w:tcW w:w="9400" w:type="dxa"/>
            <w:vAlign w:val="bottom"/>
            <w:gridSpan w:val="2"/>
          </w:tcPr>
          <w:p>
            <w:pPr>
              <w:spacing w:after="0"/>
              <w:rPr>
                <w:sz w:val="20"/>
                <w:szCs w:val="20"/>
                <w:color w:val="auto"/>
              </w:rPr>
            </w:pPr>
            <w:r>
              <w:rPr>
                <w:rFonts w:ascii="Arial" w:cs="Arial" w:eastAsia="Arial" w:hAnsi="Arial"/>
                <w:sz w:val="18"/>
                <w:szCs w:val="18"/>
                <w:color w:val="auto"/>
              </w:rPr>
              <w:t>Form of Deposit Agreement</w:t>
            </w:r>
          </w:p>
        </w:tc>
      </w:tr>
      <w:tr>
        <w:trPr>
          <w:trHeight w:val="324"/>
        </w:trPr>
        <w:tc>
          <w:tcPr>
            <w:tcW w:w="1560" w:type="dxa"/>
            <w:vAlign w:val="bottom"/>
          </w:tcPr>
          <w:p>
            <w:pPr>
              <w:jc w:val="right"/>
              <w:ind w:right="1071"/>
              <w:spacing w:after="0"/>
              <w:rPr>
                <w:sz w:val="20"/>
                <w:szCs w:val="20"/>
                <w:color w:val="auto"/>
              </w:rPr>
            </w:pPr>
            <w:r>
              <w:rPr>
                <w:rFonts w:ascii="Arial" w:cs="Arial" w:eastAsia="Arial" w:hAnsi="Arial"/>
                <w:sz w:val="18"/>
                <w:szCs w:val="18"/>
                <w:color w:val="auto"/>
              </w:rPr>
              <w:t>4.9*</w:t>
            </w:r>
          </w:p>
        </w:tc>
        <w:tc>
          <w:tcPr>
            <w:tcW w:w="9400" w:type="dxa"/>
            <w:vAlign w:val="bottom"/>
            <w:gridSpan w:val="2"/>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1560" w:type="dxa"/>
            <w:vAlign w:val="bottom"/>
          </w:tcPr>
          <w:p>
            <w:pPr>
              <w:jc w:val="right"/>
              <w:ind w:right="971"/>
              <w:spacing w:after="0"/>
              <w:rPr>
                <w:sz w:val="20"/>
                <w:szCs w:val="20"/>
                <w:color w:val="auto"/>
              </w:rPr>
            </w:pPr>
            <w:r>
              <w:rPr>
                <w:rFonts w:ascii="Arial" w:cs="Arial" w:eastAsia="Arial" w:hAnsi="Arial"/>
                <w:sz w:val="18"/>
                <w:szCs w:val="18"/>
                <w:color w:val="auto"/>
              </w:rPr>
              <w:t>4.10*</w:t>
            </w:r>
          </w:p>
        </w:tc>
        <w:tc>
          <w:tcPr>
            <w:tcW w:w="9400" w:type="dxa"/>
            <w:vAlign w:val="bottom"/>
            <w:gridSpan w:val="2"/>
          </w:tcPr>
          <w:p>
            <w:pPr>
              <w:spacing w:after="0"/>
              <w:rPr>
                <w:sz w:val="20"/>
                <w:szCs w:val="20"/>
                <w:color w:val="auto"/>
              </w:rPr>
            </w:pPr>
            <w:r>
              <w:rPr>
                <w:rFonts w:ascii="Arial" w:cs="Arial" w:eastAsia="Arial" w:hAnsi="Arial"/>
                <w:sz w:val="18"/>
                <w:szCs w:val="18"/>
                <w:color w:val="auto"/>
              </w:rPr>
              <w:t>Form of Unit Agreement</w:t>
            </w:r>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5.1</w:t>
            </w:r>
          </w:p>
        </w:tc>
        <w:tc>
          <w:tcPr>
            <w:tcW w:w="9400" w:type="dxa"/>
            <w:vAlign w:val="bottom"/>
            <w:gridSpan w:val="2"/>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Opinion of Wilmer Cutler Pickering Hale and Dorr LLP</w:t>
              </w:r>
            </w:hyperlink>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w w:val="85"/>
              </w:rPr>
              <w:t>23.1</w:t>
            </w:r>
          </w:p>
        </w:tc>
        <w:tc>
          <w:tcPr>
            <w:tcW w:w="9400" w:type="dxa"/>
            <w:vAlign w:val="bottom"/>
            <w:gridSpan w:val="2"/>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Consent of Ernst &amp; Young LLP, independent registered public accounting firm</w:t>
              </w:r>
            </w:hyperlink>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w w:val="85"/>
              </w:rPr>
              <w:t>23.2</w:t>
            </w:r>
          </w:p>
        </w:tc>
        <w:tc>
          <w:tcPr>
            <w:tcW w:w="9400" w:type="dxa"/>
            <w:vAlign w:val="bottom"/>
            <w:gridSpan w:val="2"/>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Consent of Wilmer Cutler Pickering Hale and Dorr LLP (included in Exhibit 5.1)</w:t>
              </w:r>
            </w:hyperlink>
          </w:p>
        </w:tc>
      </w:tr>
      <w:tr>
        <w:trPr>
          <w:trHeight w:val="324"/>
        </w:trPr>
        <w:tc>
          <w:tcPr>
            <w:tcW w:w="1560" w:type="dxa"/>
            <w:vAlign w:val="bottom"/>
          </w:tcPr>
          <w:p>
            <w:pPr>
              <w:jc w:val="right"/>
              <w:ind w:right="1151"/>
              <w:spacing w:after="0"/>
              <w:rPr>
                <w:sz w:val="20"/>
                <w:szCs w:val="20"/>
                <w:color w:val="auto"/>
              </w:rPr>
            </w:pPr>
            <w:r>
              <w:rPr>
                <w:rFonts w:ascii="Arial" w:cs="Arial" w:eastAsia="Arial" w:hAnsi="Arial"/>
                <w:sz w:val="18"/>
                <w:szCs w:val="18"/>
                <w:color w:val="auto"/>
                <w:w w:val="85"/>
              </w:rPr>
              <w:t>24.1</w:t>
            </w:r>
          </w:p>
        </w:tc>
        <w:tc>
          <w:tcPr>
            <w:tcW w:w="940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Power of Attorney (included in the signature page to the Registration Statement)</w:t>
              </w:r>
            </w:hyperlink>
          </w:p>
        </w:tc>
      </w:tr>
      <w:tr>
        <w:trPr>
          <w:trHeight w:val="324"/>
        </w:trPr>
        <w:tc>
          <w:tcPr>
            <w:tcW w:w="1560" w:type="dxa"/>
            <w:vAlign w:val="bottom"/>
          </w:tcPr>
          <w:p>
            <w:pPr>
              <w:jc w:val="right"/>
              <w:ind w:right="971"/>
              <w:spacing w:after="0"/>
              <w:rPr>
                <w:sz w:val="20"/>
                <w:szCs w:val="20"/>
                <w:color w:val="auto"/>
              </w:rPr>
            </w:pPr>
            <w:r>
              <w:rPr>
                <w:rFonts w:ascii="Arial" w:cs="Arial" w:eastAsia="Arial" w:hAnsi="Arial"/>
                <w:sz w:val="18"/>
                <w:szCs w:val="18"/>
                <w:color w:val="auto"/>
                <w:w w:val="97"/>
              </w:rPr>
              <w:t>25.1**</w:t>
            </w:r>
          </w:p>
        </w:tc>
        <w:tc>
          <w:tcPr>
            <w:tcW w:w="9400" w:type="dxa"/>
            <w:vAlign w:val="bottom"/>
            <w:gridSpan w:val="2"/>
          </w:tcPr>
          <w:p>
            <w:pPr>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the Trustee under the Senior Indenture</w:t>
            </w:r>
          </w:p>
        </w:tc>
      </w:tr>
      <w:tr>
        <w:trPr>
          <w:trHeight w:val="310"/>
        </w:trPr>
        <w:tc>
          <w:tcPr>
            <w:tcW w:w="1560" w:type="dxa"/>
            <w:vAlign w:val="bottom"/>
          </w:tcPr>
          <w:p>
            <w:pPr>
              <w:jc w:val="right"/>
              <w:ind w:right="971"/>
              <w:spacing w:after="0"/>
              <w:rPr>
                <w:sz w:val="20"/>
                <w:szCs w:val="20"/>
                <w:color w:val="auto"/>
              </w:rPr>
            </w:pPr>
            <w:r>
              <w:rPr>
                <w:rFonts w:ascii="Arial" w:cs="Arial" w:eastAsia="Arial" w:hAnsi="Arial"/>
                <w:sz w:val="18"/>
                <w:szCs w:val="18"/>
                <w:color w:val="auto"/>
                <w:w w:val="97"/>
              </w:rPr>
              <w:t>25.2**</w:t>
            </w:r>
          </w:p>
        </w:tc>
        <w:tc>
          <w:tcPr>
            <w:tcW w:w="9400" w:type="dxa"/>
            <w:vAlign w:val="bottom"/>
            <w:gridSpan w:val="2"/>
          </w:tcPr>
          <w:p>
            <w:pPr>
              <w:spacing w:after="0"/>
              <w:rPr>
                <w:sz w:val="20"/>
                <w:szCs w:val="20"/>
                <w:color w:val="auto"/>
              </w:rPr>
            </w:pPr>
            <w:r>
              <w:rPr>
                <w:rFonts w:ascii="Arial" w:cs="Arial" w:eastAsia="Arial" w:hAnsi="Arial"/>
                <w:sz w:val="18"/>
                <w:szCs w:val="18"/>
                <w:color w:val="auto"/>
                <w:w w:val="93"/>
              </w:rPr>
              <w:t>Statement of Eligibility on Form T-1 under the Trust Indenture Act of 1939, as amended, of the Trustee under the Subordinated</w:t>
            </w:r>
          </w:p>
        </w:tc>
      </w:tr>
      <w:tr>
        <w:trPr>
          <w:trHeight w:val="230"/>
        </w:trPr>
        <w:tc>
          <w:tcPr>
            <w:tcW w:w="1560" w:type="dxa"/>
            <w:vAlign w:val="bottom"/>
          </w:tcPr>
          <w:p>
            <w:pPr>
              <w:spacing w:after="0"/>
              <w:rPr>
                <w:sz w:val="20"/>
                <w:szCs w:val="20"/>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w:t>
      </w:r>
    </w:p>
    <w:p>
      <w:pPr>
        <w:spacing w:after="0" w:line="23"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(a)(1)</w:t>
        <w:tab/>
        <w:t>To file, during any period in which offers or sales are being made, a post-effective amendment to this registration statement:</w:t>
      </w:r>
    </w:p>
    <w:p>
      <w:pPr>
        <w:spacing w:after="0" w:line="142" w:lineRule="exact"/>
        <w:rPr>
          <w:sz w:val="20"/>
          <w:szCs w:val="20"/>
          <w:color w:val="auto"/>
        </w:rPr>
      </w:pPr>
    </w:p>
    <w:p>
      <w:pPr>
        <w:ind w:left="1860" w:hanging="543"/>
        <w:spacing w:after="0"/>
        <w:tabs>
          <w:tab w:leader="none" w:pos="1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142" w:lineRule="exact"/>
        <w:rPr>
          <w:rFonts w:ascii="Arial" w:cs="Arial" w:eastAsia="Arial" w:hAnsi="Arial"/>
          <w:sz w:val="17"/>
          <w:szCs w:val="17"/>
          <w:color w:val="auto"/>
        </w:rPr>
      </w:pPr>
    </w:p>
    <w:p>
      <w:pPr>
        <w:ind w:left="1860" w:right="20" w:hanging="543"/>
        <w:spacing w:after="0" w:line="254" w:lineRule="auto"/>
        <w:tabs>
          <w:tab w:leader="none" w:pos="1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7" w:lineRule="exact"/>
        <w:rPr>
          <w:rFonts w:ascii="Arial" w:cs="Arial" w:eastAsia="Arial" w:hAnsi="Arial"/>
          <w:sz w:val="18"/>
          <w:szCs w:val="18"/>
          <w:color w:val="auto"/>
        </w:rPr>
      </w:pPr>
    </w:p>
    <w:p>
      <w:pPr>
        <w:ind w:left="1860" w:hanging="543"/>
        <w:spacing w:after="0" w:line="277" w:lineRule="auto"/>
        <w:tabs>
          <w:tab w:leader="none" w:pos="1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3" w:lineRule="exact"/>
        <w:rPr>
          <w:sz w:val="20"/>
          <w:szCs w:val="20"/>
          <w:color w:val="auto"/>
        </w:rPr>
      </w:pPr>
    </w:p>
    <w:p>
      <w:pPr>
        <w:ind w:left="1300" w:hanging="644"/>
        <w:spacing w:after="0" w:line="263"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860" w:right="120" w:hanging="543"/>
        <w:spacing w:after="0" w:line="277" w:lineRule="auto"/>
        <w:tabs>
          <w:tab w:leader="none" w:pos="1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860" w:right="60" w:hanging="543"/>
        <w:spacing w:after="0" w:line="287" w:lineRule="auto"/>
        <w:tabs>
          <w:tab w:leader="none" w:pos="18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1300" w:right="80" w:hanging="644"/>
        <w:spacing w:after="0" w:line="275"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860" w:right="200" w:hanging="543"/>
        <w:spacing w:after="0" w:line="277" w:lineRule="auto"/>
        <w:tabs>
          <w:tab w:leader="none" w:pos="1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860" w:right="80" w:hanging="543"/>
        <w:spacing w:after="0" w:line="277" w:lineRule="auto"/>
        <w:tabs>
          <w:tab w:leader="none" w:pos="1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860" w:right="220" w:hanging="543"/>
        <w:spacing w:after="0" w:line="277" w:lineRule="auto"/>
        <w:tabs>
          <w:tab w:leader="none" w:pos="1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860" w:hanging="543"/>
        <w:spacing w:after="0"/>
        <w:tabs>
          <w:tab w:leader="none" w:pos="1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4"/>
        <w:spacing w:after="0" w:line="25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1300" w:right="80" w:hanging="644"/>
        <w:spacing w:after="0" w:line="270"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6" w:lineRule="exact"/>
        <w:rPr>
          <w:rFonts w:ascii="Arial" w:cs="Arial" w:eastAsia="Arial" w:hAnsi="Arial"/>
          <w:sz w:val="17"/>
          <w:szCs w:val="17"/>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30" w:lineRule="exact"/>
        <w:rPr>
          <w:rFonts w:ascii="Arial" w:cs="Arial" w:eastAsia="Arial" w:hAnsi="Arial"/>
          <w:sz w:val="18"/>
          <w:szCs w:val="18"/>
          <w:color w:val="auto"/>
        </w:rPr>
      </w:pPr>
    </w:p>
    <w:p>
      <w:pPr>
        <w:jc w:val="both"/>
        <w:ind w:left="1860" w:right="100" w:hanging="543"/>
        <w:spacing w:after="0" w:line="286" w:lineRule="auto"/>
        <w:tabs>
          <w:tab w:leader="none" w:pos="18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70" w:lineRule="exact"/>
        <w:rPr>
          <w:rFonts w:ascii="Arial" w:cs="Arial" w:eastAsia="Arial" w:hAnsi="Arial"/>
          <w:sz w:val="17"/>
          <w:szCs w:val="17"/>
          <w:color w:val="auto"/>
        </w:rPr>
      </w:pPr>
    </w:p>
    <w:p>
      <w:pPr>
        <w:ind w:left="1860" w:right="40" w:hanging="543"/>
        <w:spacing w:after="0" w:line="263" w:lineRule="auto"/>
        <w:tabs>
          <w:tab w:leader="none" w:pos="1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300" w:right="30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August 11, 2020.</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Robert J. Gould,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and Chief Executive Officer</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780"/>
          </w:cols>
          <w:pgMar w:left="320" w:top="459" w:right="7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the undersigned officers and directors of Fulcrum Therapeutics, Inc. hereby severally constitute and appoint Robert J. Gould and Bryan Stuart,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Fulcrum Therapeutics,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Signature</w:t>
            </w:r>
          </w:p>
        </w:tc>
        <w:tc>
          <w:tcPr>
            <w:tcW w:w="1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40" w:type="dxa"/>
            <w:vAlign w:val="bottom"/>
          </w:tcPr>
          <w:p>
            <w:pPr>
              <w:spacing w:after="0"/>
              <w:rPr>
                <w:sz w:val="14"/>
                <w:szCs w:val="14"/>
                <w:color w:val="auto"/>
              </w:rPr>
            </w:pPr>
          </w:p>
        </w:tc>
      </w:tr>
      <w:tr>
        <w:trPr>
          <w:trHeight w:val="425"/>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J. Gould</w:t>
            </w:r>
          </w:p>
        </w:tc>
        <w:tc>
          <w:tcPr>
            <w:tcW w:w="48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President and Chief Executive Officer, 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Robert J. Gould, Ph.D.</w:t>
            </w:r>
          </w:p>
        </w:tc>
        <w:tc>
          <w:tcPr>
            <w:tcW w:w="480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(Principal Executive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Bryan Stuart</w:t>
            </w:r>
          </w:p>
        </w:tc>
        <w:tc>
          <w:tcPr>
            <w:tcW w:w="480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Chief Operating Officer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480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(Principal Financial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Peter Thomson</w:t>
            </w:r>
          </w:p>
        </w:tc>
        <w:tc>
          <w:tcPr>
            <w:tcW w:w="4800" w:type="dxa"/>
            <w:vAlign w:val="bottom"/>
            <w:gridSpan w:val="3"/>
          </w:tcPr>
          <w:p>
            <w:pPr>
              <w:jc w:val="center"/>
              <w:ind w:left="130"/>
              <w:spacing w:after="0"/>
              <w:rPr>
                <w:sz w:val="20"/>
                <w:szCs w:val="20"/>
                <w:color w:val="auto"/>
              </w:rPr>
            </w:pPr>
            <w:r>
              <w:rPr>
                <w:rFonts w:ascii="Arial" w:cs="Arial" w:eastAsia="Arial" w:hAnsi="Arial"/>
                <w:sz w:val="18"/>
                <w:szCs w:val="18"/>
                <w:color w:val="auto"/>
                <w:w w:val="92"/>
              </w:rPr>
              <w:t>Vice President, Finance &amp; Accounting</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Peter Thomson</w:t>
            </w:r>
          </w:p>
        </w:tc>
        <w:tc>
          <w:tcPr>
            <w:tcW w:w="4800" w:type="dxa"/>
            <w:vAlign w:val="bottom"/>
            <w:gridSpan w:val="3"/>
          </w:tcPr>
          <w:p>
            <w:pPr>
              <w:jc w:val="center"/>
              <w:ind w:left="130"/>
              <w:spacing w:after="0"/>
              <w:rPr>
                <w:sz w:val="20"/>
                <w:szCs w:val="20"/>
                <w:color w:val="auto"/>
              </w:rPr>
            </w:pPr>
            <w:r>
              <w:rPr>
                <w:rFonts w:ascii="Arial" w:cs="Arial" w:eastAsia="Arial" w:hAnsi="Arial"/>
                <w:sz w:val="18"/>
                <w:szCs w:val="18"/>
                <w:color w:val="auto"/>
                <w:w w:val="95"/>
              </w:rPr>
              <w:t>(Principal Accounting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Mark Levin</w:t>
            </w:r>
          </w:p>
        </w:tc>
        <w:tc>
          <w:tcPr>
            <w:tcW w:w="480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Chairman of the Board</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Mark Levin</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J. Collins</w:t>
            </w:r>
          </w:p>
        </w:tc>
        <w:tc>
          <w:tcPr>
            <w:tcW w:w="48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James J. Collins, Ph.D.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Katina Dorton</w:t>
            </w:r>
          </w:p>
        </w:tc>
        <w:tc>
          <w:tcPr>
            <w:tcW w:w="48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Katina Dorton</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Alan Ezekowitz</w:t>
            </w:r>
          </w:p>
        </w:tc>
        <w:tc>
          <w:tcPr>
            <w:tcW w:w="48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Alan Ezekowitz, MBChB, D. Phil</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Geraghty</w:t>
            </w:r>
          </w:p>
        </w:tc>
        <w:tc>
          <w:tcPr>
            <w:tcW w:w="48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James Geraghty</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Kate Haviland</w:t>
            </w:r>
          </w:p>
        </w:tc>
        <w:tc>
          <w:tcPr>
            <w:tcW w:w="48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r>
      <w:tr>
        <w:trPr>
          <w:trHeight w:val="224"/>
        </w:trPr>
        <w:tc>
          <w:tcPr>
            <w:tcW w:w="4060" w:type="dxa"/>
            <w:vAlign w:val="bottom"/>
            <w:gridSpan w:val="3"/>
          </w:tcPr>
          <w:p>
            <w:pPr>
              <w:spacing w:after="0"/>
              <w:rPr>
                <w:sz w:val="20"/>
                <w:szCs w:val="20"/>
                <w:color w:val="auto"/>
              </w:rPr>
            </w:pPr>
            <w:r>
              <w:rPr>
                <w:rFonts w:ascii="Arial" w:cs="Arial" w:eastAsia="Arial" w:hAnsi="Arial"/>
                <w:sz w:val="18"/>
                <w:szCs w:val="18"/>
                <w:color w:val="auto"/>
              </w:rPr>
              <w:t>Kate Haviland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4"/>
        </w:trPr>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gridSpan w:val="3"/>
          </w:tcPr>
          <w:p>
            <w:pPr>
              <w:ind w:left="1300"/>
              <w:spacing w:after="0"/>
              <w:rPr>
                <w:sz w:val="20"/>
                <w:szCs w:val="20"/>
                <w:color w:val="auto"/>
              </w:rPr>
            </w:pPr>
            <w:r>
              <w:rPr>
                <w:rFonts w:ascii="Arial" w:cs="Arial" w:eastAsia="Arial" w:hAnsi="Arial"/>
                <w:sz w:val="18"/>
                <w:szCs w:val="18"/>
                <w:color w:val="auto"/>
              </w:rPr>
              <w:t>II-7</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Bancorp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As further set forth in this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Fulcrum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proposes to issue and sell from time to time through Piper Sandler &amp; Co.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xml:space="preserve">), as sales agent, the Company’s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having an aggregate gross offering price of up to $75,000,000 (such shares of Common Stock to be sold pursuant to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on terms set forth herein. Notwithstanding anything to the contrary contained herein, the parties hereto agree that compliance with the limitation set forth in Section 2 of this Agreement on the number of Shares issued and sold under this Agreement shall be the sole responsibility of the Company, and the Agent shall have no obligation in connection with such compliance.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confirms its agreement with the Agent with respect to the sale of the Shares.</w:t>
      </w:r>
    </w:p>
    <w:p>
      <w:pPr>
        <w:spacing w:after="0" w:line="225" w:lineRule="exact"/>
        <w:rPr>
          <w:sz w:val="20"/>
          <w:szCs w:val="20"/>
          <w:color w:val="auto"/>
        </w:rPr>
      </w:pPr>
    </w:p>
    <w:p>
      <w:pPr>
        <w:ind w:left="760" w:hanging="324"/>
        <w:spacing w:after="0"/>
        <w:tabs>
          <w:tab w:leader="none" w:pos="7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Warranties of the Company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right="120" w:firstLine="987"/>
        <w:spacing w:after="0" w:line="259" w:lineRule="auto"/>
        <w:tabs>
          <w:tab w:leader="none" w:pos="13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Agent that, unless such representation, warranty or agreement species a different time, as of the date of this Agreement, each Representation Date (as defined in Section 3(o) below), each date on which a Placement Notice (as defined in Section 2(a)(i) below) is given (each, a “</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and each date on which Shares are sold hereunder (each, an “</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and each Settlement Date (as defined in Section 2(a)(vii) below) as follows:</w:t>
      </w:r>
    </w:p>
    <w:p>
      <w:pPr>
        <w:spacing w:after="0" w:line="78" w:lineRule="exact"/>
        <w:rPr>
          <w:rFonts w:ascii="Arial" w:cs="Arial" w:eastAsia="Arial" w:hAnsi="Arial"/>
          <w:sz w:val="18"/>
          <w:szCs w:val="18"/>
          <w:color w:val="auto"/>
        </w:rPr>
      </w:pPr>
    </w:p>
    <w:p>
      <w:pPr>
        <w:ind w:left="980" w:right="80" w:firstLine="408"/>
        <w:spacing w:after="0" w:line="288" w:lineRule="auto"/>
        <w:tabs>
          <w:tab w:leader="none" w:pos="1731" w:val="left"/>
        </w:tabs>
        <w:numPr>
          <w:ilvl w:val="2"/>
          <w:numId w:val="42"/>
        </w:numPr>
        <w:rPr>
          <w:rFonts w:ascii="Arial" w:cs="Arial" w:eastAsia="Arial" w:hAnsi="Arial"/>
          <w:sz w:val="16"/>
          <w:szCs w:val="16"/>
          <w:color w:val="auto"/>
        </w:rPr>
      </w:pPr>
      <w:r>
        <w:rPr>
          <w:rFonts w:ascii="Arial" w:cs="Arial" w:eastAsia="Arial" w:hAnsi="Arial"/>
          <w:sz w:val="16"/>
          <w:szCs w:val="16"/>
          <w:i w:val="1"/>
          <w:iCs w:val="1"/>
          <w:color w:val="auto"/>
        </w:rPr>
        <w:t>Registration Statement and Prospectus</w:t>
      </w:r>
      <w:r>
        <w:rPr>
          <w:rFonts w:ascii="Arial" w:cs="Arial" w:eastAsia="Arial" w:hAnsi="Arial"/>
          <w:sz w:val="16"/>
          <w:szCs w:val="16"/>
          <w:color w:val="auto"/>
        </w:rPr>
        <w:t>. The Company has filed, or will file, in accordance with the provisions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 of 1933, as amended, and the rules and regulations thereunder (collectively,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The Company has prepared a prospectus included as part of such registration statement specifically relating to the Shares (the </w:t>
      </w:r>
      <w:r>
        <w:rPr>
          <w:rFonts w:ascii="Arial" w:cs="Arial" w:eastAsia="Arial" w:hAnsi="Arial"/>
          <w:sz w:val="16"/>
          <w:szCs w:val="16"/>
          <w:b w:val="1"/>
          <w:bCs w:val="1"/>
          <w:i w:val="1"/>
          <w:iCs w:val="1"/>
          <w:color w:val="auto"/>
        </w:rPr>
        <w:t>“ATM Prospectus”</w:t>
      </w:r>
      <w:r>
        <w:rPr>
          <w:rFonts w:ascii="Arial" w:cs="Arial" w:eastAsia="Arial" w:hAnsi="Arial"/>
          <w:sz w:val="16"/>
          <w:szCs w:val="16"/>
          <w:color w:val="auto"/>
        </w:rPr>
        <w:t>). The Company will furnish to the Agent, for use by Agent, copies of the ATM Prospectus included as part of such registration statement relating to the Shares. Except where the context otherwise requires, such registration statement, as amended when it becomes effective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including all documents filed as part thereof or incorporated by reference therein, and including any information contained in a Prospectus (as defined below)</w:t>
      </w:r>
    </w:p>
    <w:p>
      <w:pPr>
        <w:sectPr>
          <w:pgSz w:w="11900" w:h="16838" w:orient="portrait"/>
          <w:cols w:equalWidth="0" w:num="1">
            <w:col w:w="11020"/>
          </w:cols>
          <w:pgMar w:left="440" w:top="121" w:right="439" w:bottom="1440" w:gutter="0" w:footer="0" w:header="0"/>
        </w:sectPr>
      </w:pPr>
    </w:p>
    <w:bookmarkStart w:id="67" w:name="page68"/>
    <w:bookmarkEnd w:id="6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subsequently filed with the Commission pursuant to Rule 424(b) under the Securities Act or deemed to be a part of such registration statement pursuant to Rule 430B or 462(b) of the Securities Act is herein called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The ATM Prospectus, including all documents incorporated therein by reference, included in the Registration Statement, in the form in which such prospectus has most recently been filed by the Company with the Commission pursuant to Rule 424(b) under the Securities Act, together with any “</w:t>
      </w:r>
      <w:r>
        <w:rPr>
          <w:rFonts w:ascii="Arial" w:cs="Arial" w:eastAsia="Arial" w:hAnsi="Arial"/>
          <w:sz w:val="17"/>
          <w:szCs w:val="17"/>
          <w:b w:val="1"/>
          <w:bCs w:val="1"/>
          <w:i w:val="1"/>
          <w:iCs w:val="1"/>
          <w:color w:val="auto"/>
        </w:rPr>
        <w:t>issuer free writing prospectus</w:t>
      </w:r>
      <w:r>
        <w:rPr>
          <w:rFonts w:ascii="Arial" w:cs="Arial" w:eastAsia="Arial" w:hAnsi="Arial"/>
          <w:sz w:val="17"/>
          <w:szCs w:val="17"/>
          <w:color w:val="auto"/>
        </w:rPr>
        <w:t>,” as defined in Rule 433 of the Securities Act (</w:t>
      </w:r>
      <w:r>
        <w:rPr>
          <w:rFonts w:ascii="Arial" w:cs="Arial" w:eastAsia="Arial" w:hAnsi="Arial"/>
          <w:sz w:val="17"/>
          <w:szCs w:val="17"/>
          <w:b w:val="1"/>
          <w:bCs w:val="1"/>
          <w:i w:val="1"/>
          <w:iCs w:val="1"/>
          <w:color w:val="auto"/>
        </w:rPr>
        <w:t>“Rule 433”</w:t>
      </w:r>
      <w:r>
        <w:rPr>
          <w:rFonts w:ascii="Arial" w:cs="Arial" w:eastAsia="Arial" w:hAnsi="Arial"/>
          <w:sz w:val="17"/>
          <w:szCs w:val="17"/>
          <w:color w:val="auto"/>
        </w:rPr>
        <w:t xml:space="preserve">), relating to the Shares, if any,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Arial" w:cs="Arial" w:eastAsia="Arial" w:hAnsi="Arial"/>
          <w:sz w:val="17"/>
          <w:szCs w:val="17"/>
          <w:b w:val="1"/>
          <w:bCs w:val="1"/>
          <w:i w:val="1"/>
          <w:iCs w:val="1"/>
          <w:color w:val="auto"/>
        </w:rPr>
        <w:t>EDGAR”</w:t>
      </w:r>
      <w:r>
        <w:rPr>
          <w:rFonts w:ascii="Arial" w:cs="Arial" w:eastAsia="Arial" w:hAnsi="Arial"/>
          <w:sz w:val="17"/>
          <w:szCs w:val="17"/>
          <w:color w:val="auto"/>
        </w:rPr>
        <w:t>). The Company’s obligations under this Agreement to furnish, provide, deliver or make available (and all other references of like import) copies of any filing, report or statement shall be deemed satisfied if the same is filed with the Commission through EDGAR or any successor system.</w:t>
      </w:r>
    </w:p>
    <w:p>
      <w:pPr>
        <w:spacing w:after="0" w:line="72" w:lineRule="exact"/>
        <w:rPr>
          <w:sz w:val="20"/>
          <w:szCs w:val="20"/>
          <w:color w:val="auto"/>
        </w:rPr>
      </w:pPr>
    </w:p>
    <w:p>
      <w:pPr>
        <w:ind w:right="60" w:firstLine="408"/>
        <w:spacing w:after="0" w:line="275" w:lineRule="auto"/>
        <w:tabs>
          <w:tab w:leader="none" w:pos="801"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Continuing Effectiveness of Registration Statement</w:t>
      </w:r>
      <w:r>
        <w:rPr>
          <w:rFonts w:ascii="Arial" w:cs="Arial" w:eastAsia="Arial" w:hAnsi="Arial"/>
          <w:sz w:val="17"/>
          <w:szCs w:val="17"/>
          <w:color w:val="auto"/>
        </w:rPr>
        <w:t>. The Company has complied with all requests of the Commission for</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or supplemental information. No stop order suspending the effectiveness of the Registration Statement or any Rule 462(b) Registration Statement, if any, is in effect and no proceedings for such purpose have been instituted or are pending or, to the knowledge of the Company, contemplated or threatened by the Commission. The Company meets the requirements for use of Form S-3 under the Securities Act. The sale of the Shares hereunder meets the requirements of General Instruction I.B.1. of Form S-3.</w:t>
      </w:r>
    </w:p>
    <w:p>
      <w:pPr>
        <w:spacing w:after="0" w:line="68" w:lineRule="exact"/>
        <w:rPr>
          <w:rFonts w:ascii="Arial" w:cs="Arial" w:eastAsia="Arial" w:hAnsi="Arial"/>
          <w:sz w:val="17"/>
          <w:szCs w:val="17"/>
          <w:color w:val="auto"/>
        </w:rPr>
      </w:pPr>
    </w:p>
    <w:p>
      <w:pPr>
        <w:ind w:right="100" w:firstLine="408"/>
        <w:spacing w:after="0" w:line="287" w:lineRule="auto"/>
        <w:tabs>
          <w:tab w:leader="none" w:pos="851"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w:t>
      </w:r>
      <w:r>
        <w:rPr>
          <w:rFonts w:ascii="Arial" w:cs="Arial" w:eastAsia="Arial" w:hAnsi="Arial"/>
          <w:sz w:val="16"/>
          <w:szCs w:val="16"/>
          <w:color w:val="auto"/>
        </w:rPr>
        <w:t>. The Prospectus when filed complied, and as amended or supplemented,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will comply in all material respects with the Securities Act. Each of the Registration Statement, any Rule 462(b) Registration Statement, the ATM Prospectus and any post-effective amendments or supplements thereto, at the time it became effective or its date, as applicable, complied in all material respects with the Securities Act, and, as of each effective date, did not and will not contain any untrue statement of a material fact or omit to state a material fact required to be stated therein or necessary to make the statements therein not misleading. The Prospectus, as amended or supplemented, as of its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filed as exhibits to the Registration Statement which have not filed as required.</w:t>
      </w:r>
    </w:p>
    <w:p>
      <w:pPr>
        <w:spacing w:after="0" w:line="10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20"/>
          </w:cols>
          <w:pgMar w:left="1420" w:top="274" w:right="459" w:bottom="1440" w:gutter="0" w:footer="0" w:header="0"/>
        </w:sectPr>
      </w:pPr>
    </w:p>
    <w:bookmarkStart w:id="68" w:name="page69"/>
    <w:bookmarkEnd w:id="68"/>
    <w:p>
      <w:pPr>
        <w:ind w:left="-20" w:right="60" w:firstLine="408"/>
        <w:spacing w:after="0" w:line="253"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Eligible Issuer. </w:t>
      </w:r>
      <w:r>
        <w:rPr>
          <w:rFonts w:ascii="Arial" w:cs="Arial" w:eastAsia="Arial" w:hAnsi="Arial"/>
          <w:sz w:val="18"/>
          <w:szCs w:val="18"/>
          <w:color w:val="auto"/>
        </w:rPr>
        <w:t>The Company is not an “ineligible issuer” in connection with the offering pursuant to Rules 164, 405 and 433</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and electronic road shows, if any, each furnished to the Agent before first use, the Company has not prepared, used or referred to, and will not, without the prior consent of the Agent, prepare, use or refer to, any free writing prospectus.</w:t>
      </w:r>
    </w:p>
    <w:p>
      <w:pPr>
        <w:spacing w:after="0" w:line="88" w:lineRule="exact"/>
        <w:rPr>
          <w:rFonts w:ascii="Arial" w:cs="Arial" w:eastAsia="Arial" w:hAnsi="Arial"/>
          <w:sz w:val="18"/>
          <w:szCs w:val="18"/>
          <w:color w:val="auto"/>
        </w:rPr>
      </w:pPr>
    </w:p>
    <w:p>
      <w:pPr>
        <w:ind w:left="-20" w:right="60" w:firstLine="408"/>
        <w:spacing w:after="0" w:line="342" w:lineRule="auto"/>
        <w:tabs>
          <w:tab w:leader="none" w:pos="77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Emerging Growth Company. </w:t>
      </w:r>
      <w:r>
        <w:rPr>
          <w:rFonts w:ascii="Arial" w:cs="Arial" w:eastAsia="Arial" w:hAnsi="Arial"/>
          <w:sz w:val="16"/>
          <w:szCs w:val="16"/>
          <w:color w:val="auto"/>
        </w:rPr>
        <w:t>From the time of initial filing of the Registration Statement to the Commission through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the Company has been and is an “</w:t>
      </w:r>
      <w:r>
        <w:rPr>
          <w:rFonts w:ascii="Arial" w:cs="Arial" w:eastAsia="Arial" w:hAnsi="Arial"/>
          <w:sz w:val="16"/>
          <w:szCs w:val="16"/>
          <w:i w:val="1"/>
          <w:iCs w:val="1"/>
          <w:color w:val="auto"/>
        </w:rPr>
        <w:t>emerging growth company</w:t>
      </w:r>
      <w:r>
        <w:rPr>
          <w:rFonts w:ascii="Arial" w:cs="Arial" w:eastAsia="Arial" w:hAnsi="Arial"/>
          <w:sz w:val="16"/>
          <w:szCs w:val="16"/>
          <w:color w:val="auto"/>
        </w:rPr>
        <w:t>,” as defined in Section 2(a) of the Securities Act.</w:t>
      </w:r>
    </w:p>
    <w:p>
      <w:pPr>
        <w:spacing w:after="0" w:line="15" w:lineRule="exact"/>
        <w:rPr>
          <w:rFonts w:ascii="Arial" w:cs="Arial" w:eastAsia="Arial" w:hAnsi="Arial"/>
          <w:sz w:val="16"/>
          <w:szCs w:val="16"/>
          <w:color w:val="auto"/>
        </w:rPr>
      </w:pPr>
    </w:p>
    <w:p>
      <w:pPr>
        <w:ind w:left="-20" w:firstLine="408"/>
        <w:spacing w:after="0" w:line="287"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consolidated financial statements of the Company included in the Registration Statement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together with the related notes, present fairly in all material respects the financial position of the Company and its consolidated subsidiaries at the dates indicated and, in the case of the statements of operations, stockholders’ equity and cash flows of the Company and its consolidated subsidiaries, for the periods specified. The consolidated financial statements of the Company included in the Registration Statement and the Prospectus comply in all material respects with the applicable requirements of the Securities Act and have been prepared in conformity 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supporting schedules are required to be included or incorporated by reference in the Registration Statement or the Prospectus under the Securities Act and the rules and regulations of the Commission thereunder. All other financial information included in the Registration Statement and the Prospectus has been derived from the accounting records of the Company and its consolidated subsidiaries and presents fairly in all material respects the information shown thereby.</w:t>
      </w:r>
    </w:p>
    <w:p>
      <w:pPr>
        <w:spacing w:after="0" w:line="59" w:lineRule="exact"/>
        <w:rPr>
          <w:rFonts w:ascii="Arial" w:cs="Arial" w:eastAsia="Arial" w:hAnsi="Arial"/>
          <w:sz w:val="16"/>
          <w:szCs w:val="16"/>
          <w:color w:val="auto"/>
        </w:rPr>
      </w:pPr>
    </w:p>
    <w:p>
      <w:pPr>
        <w:ind w:left="-20" w:right="440" w:firstLine="408"/>
        <w:spacing w:after="0" w:line="311" w:lineRule="auto"/>
        <w:tabs>
          <w:tab w:leader="none" w:pos="87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Auditor Independence. </w:t>
      </w:r>
      <w:r>
        <w:rPr>
          <w:rFonts w:ascii="Arial" w:cs="Arial" w:eastAsia="Arial" w:hAnsi="Arial"/>
          <w:sz w:val="16"/>
          <w:szCs w:val="16"/>
          <w:color w:val="auto"/>
        </w:rPr>
        <w:t>Ernst &amp; Young LLP, which has certified certain financial statements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is an independent registered public accounting firm as required by the Securities Act and the rules and regulations of the Commission thereunder and the rules and regulations of the Public Company Accounting Oversight Board (United States).</w:t>
      </w:r>
    </w:p>
    <w:p>
      <w:pPr>
        <w:spacing w:after="0" w:line="40" w:lineRule="exact"/>
        <w:rPr>
          <w:rFonts w:ascii="Arial" w:cs="Arial" w:eastAsia="Arial" w:hAnsi="Arial"/>
          <w:sz w:val="16"/>
          <w:szCs w:val="16"/>
          <w:color w:val="auto"/>
        </w:rPr>
      </w:pPr>
    </w:p>
    <w:p>
      <w:pPr>
        <w:ind w:left="-20" w:firstLine="408"/>
        <w:spacing w:after="0" w:line="290"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has been duly incorporated, is validly existing as a corporation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 State of Delaware,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Each of the Company’s subsidiaries has been duly organized, is validly existing and in good standing under the laws of the applicable jurisdiction of organization, has the corporate power and authority to own its property and to conduct its business as described in the Prospectus and is duly qualified to transact business and is in good standing in each jurisdiction in which the conduct of its business</w:t>
      </w:r>
    </w:p>
    <w:p>
      <w:pPr>
        <w:spacing w:after="0" w:line="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20"/>
          </w:cols>
          <w:pgMar w:left="1440" w:top="274" w:right="439" w:bottom="1440" w:gutter="0" w:footer="0" w:header="0"/>
        </w:sectPr>
      </w:pPr>
    </w:p>
    <w:bookmarkStart w:id="69" w:name="page70"/>
    <w:bookmarkEnd w:id="69"/>
    <w:p>
      <w:pPr>
        <w:ind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its ownership or leasing of property requires such qualification, except to the extent that the failure to be so qualified or be in good standing would not reasonably be expected to have a material adverse effect on the Company and its subsidiaries, taken as a whole. The Company does not, directly or indirectly, own capital stock or other equity or ownership or proprietary interests in any corporation, partnership, association, trust or other entity other than the subsidiaries listed in Exhibit 21.1 to the most recent annual report on Form 10-K and incorporated by reference in the Registration Statement and the Prospectus.</w:t>
      </w:r>
    </w:p>
    <w:p>
      <w:pPr>
        <w:spacing w:after="0" w:line="68" w:lineRule="exact"/>
        <w:rPr>
          <w:sz w:val="20"/>
          <w:szCs w:val="20"/>
          <w:color w:val="auto"/>
        </w:rPr>
      </w:pPr>
    </w:p>
    <w:p>
      <w:pPr>
        <w:ind w:right="120" w:firstLine="408"/>
        <w:spacing w:after="0" w:line="277" w:lineRule="auto"/>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Neither the Company nor its subsidiaries have any securities rated by any “nationally recognized statistical rating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as such term is defined in Section 3(a)(62) of the Exchange Act.</w:t>
      </w:r>
    </w:p>
    <w:p>
      <w:pPr>
        <w:spacing w:after="0" w:line="62" w:lineRule="exact"/>
        <w:rPr>
          <w:rFonts w:ascii="Arial" w:cs="Arial" w:eastAsia="Arial" w:hAnsi="Arial"/>
          <w:sz w:val="18"/>
          <w:szCs w:val="18"/>
          <w:color w:val="auto"/>
        </w:rPr>
      </w:pPr>
    </w:p>
    <w:p>
      <w:pPr>
        <w:ind w:right="20" w:firstLine="408"/>
        <w:spacing w:after="0" w:line="259" w:lineRule="auto"/>
        <w:tabs>
          <w:tab w:leader="none" w:pos="79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All shares of the Company outstanding prior to the issuance of the Shares have been duly authorized and validly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are fully paid and non-assessable. All of the issued shares of capital stock of each subsidiary of the Company have been duly and validly authorized and issued, are fully paid and non-assessable and are owned directly or indirectly by the Company, free and clear of all liens, encumbrances, equities or claims.</w:t>
      </w:r>
    </w:p>
    <w:p>
      <w:pPr>
        <w:spacing w:after="0" w:line="78" w:lineRule="exact"/>
        <w:rPr>
          <w:rFonts w:ascii="Arial" w:cs="Arial" w:eastAsia="Arial" w:hAnsi="Arial"/>
          <w:sz w:val="18"/>
          <w:szCs w:val="18"/>
          <w:color w:val="auto"/>
        </w:rPr>
      </w:pPr>
    </w:p>
    <w:p>
      <w:pPr>
        <w:ind w:firstLine="408"/>
        <w:spacing w:after="0" w:line="259" w:lineRule="auto"/>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Due Authorization, Valid Issuance and Non-Assessiblity of Shares</w:t>
      </w:r>
      <w:r>
        <w:rPr>
          <w:rFonts w:ascii="Arial" w:cs="Arial" w:eastAsia="Arial" w:hAnsi="Arial"/>
          <w:sz w:val="18"/>
          <w:szCs w:val="18"/>
          <w:color w:val="auto"/>
        </w:rPr>
        <w:t>. The Shares to be issued and sold by the Company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duly authorized and, upon payment and delivery of such Shares in accordance with this Agreement, will be validly issued, fully paid and non-assessable, and the issuance of such Shares will not be subject to any preemptive or similar rights that have not been validly waived.</w:t>
      </w:r>
    </w:p>
    <w:p>
      <w:pPr>
        <w:spacing w:after="0" w:line="78" w:lineRule="exact"/>
        <w:rPr>
          <w:rFonts w:ascii="Arial" w:cs="Arial" w:eastAsia="Arial" w:hAnsi="Arial"/>
          <w:sz w:val="18"/>
          <w:szCs w:val="18"/>
          <w:color w:val="auto"/>
        </w:rPr>
      </w:pPr>
    </w:p>
    <w:p>
      <w:pPr>
        <w:ind w:left="900" w:hanging="492"/>
        <w:spacing w:after="0"/>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Authority to Enter into this Agreement</w:t>
      </w:r>
      <w:r>
        <w:rPr>
          <w:rFonts w:ascii="Arial" w:cs="Arial" w:eastAsia="Arial" w:hAnsi="Arial"/>
          <w:sz w:val="16"/>
          <w:szCs w:val="16"/>
          <w:color w:val="auto"/>
        </w:rPr>
        <w:t>. This Agreement has been duly and validly authorized, executed and delivered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right="460" w:firstLine="408"/>
        <w:spacing w:after="0" w:line="291" w:lineRule="auto"/>
        <w:tabs>
          <w:tab w:leader="none" w:pos="940"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Neither the execution and delivery by the Company of, and the performance by the Company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this Agreement, nor the issuance and sale of the Shares, will (A) contravene any provision of applicable law,</w:t>
      </w:r>
    </w:p>
    <w:p>
      <w:pPr>
        <w:ind w:right="100" w:firstLine="7"/>
        <w:spacing w:after="0" w:line="252" w:lineRule="auto"/>
        <w:tabs>
          <w:tab w:leader="none" w:pos="2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contravene any provision of the certificate of incorporation or by-laws of the Company, (C) conflict with or result in a breach or violation of any of the terms or provisions of, or constitute a default under, any agreement or other instrument binding upon the Company or its subsidiaries that is material to the Company and its subsidiaries, taken as a whole, or (D) result in any violation of any judgment, order or decree of any governmental body, agency or court having jurisdiction over the Company or its subsidiaries, except, in the case of clause (A) and (C), as would not, individually or in the aggregate, reasonably be expected to have a material adverse effect on the Company and its subsidiaries, taken as a whole, or on the power and ability of the Company to perform its obligations under this Agreement.</w:t>
      </w:r>
    </w:p>
    <w:p>
      <w:pPr>
        <w:spacing w:after="0" w:line="84" w:lineRule="exact"/>
        <w:rPr>
          <w:rFonts w:ascii="Arial" w:cs="Arial" w:eastAsia="Arial" w:hAnsi="Arial"/>
          <w:sz w:val="18"/>
          <w:szCs w:val="18"/>
          <w:color w:val="auto"/>
        </w:rPr>
      </w:pPr>
    </w:p>
    <w:p>
      <w:pPr>
        <w:ind w:right="20" w:firstLine="408"/>
        <w:spacing w:after="0" w:line="296" w:lineRule="auto"/>
        <w:tabs>
          <w:tab w:leader="none" w:pos="930"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No Consent or Approval Required</w:t>
      </w:r>
      <w:r>
        <w:rPr>
          <w:rFonts w:ascii="Arial" w:cs="Arial" w:eastAsia="Arial" w:hAnsi="Arial"/>
          <w:sz w:val="16"/>
          <w:szCs w:val="16"/>
          <w:color w:val="auto"/>
        </w:rPr>
        <w:t>. No consent, approval, authorization or order of, or qualification with, any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body or agency is required for the issue and sale of the Shares or for the performance by the Company of its obligations under this Agreement, except (A) for the registration of the Shares under the Securities Act and (B) such as have already been obtained or made or as may be required by the securities or Blue Sky laws of the various states or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or the Nasdaq Global Market in connection with the offer and sale of the Shares.</w:t>
      </w:r>
    </w:p>
    <w:p>
      <w:pPr>
        <w:spacing w:after="0" w:line="9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20"/>
          </w:cols>
          <w:pgMar w:left="1420" w:top="274" w:right="459" w:bottom="1440" w:gutter="0" w:footer="0" w:header="0"/>
        </w:sectPr>
      </w:pPr>
    </w:p>
    <w:bookmarkStart w:id="70" w:name="page71"/>
    <w:bookmarkEnd w:id="70"/>
    <w:p>
      <w:pPr>
        <w:ind w:left="-7" w:right="260" w:firstLine="408"/>
        <w:spacing w:after="0" w:line="291" w:lineRule="auto"/>
        <w:tabs>
          <w:tab w:leader="none" w:pos="873"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Internal Controls. </w:t>
      </w:r>
      <w:r>
        <w:rPr>
          <w:rFonts w:ascii="Arial" w:cs="Arial" w:eastAsia="Arial" w:hAnsi="Arial"/>
          <w:sz w:val="16"/>
          <w:szCs w:val="16"/>
          <w:color w:val="auto"/>
        </w:rPr>
        <w:t>The Company and its subsidiaries maintain a system of internal accounting controls sufficient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(A) transactions are executed in accordance with management’s general or specific authorizations;</w:t>
      </w:r>
    </w:p>
    <w:p>
      <w:pPr>
        <w:ind w:left="-7" w:firstLine="7"/>
        <w:spacing w:after="0" w:line="269" w:lineRule="auto"/>
        <w:tabs>
          <w:tab w:leader="none" w:pos="27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72" w:lineRule="exact"/>
        <w:rPr>
          <w:rFonts w:ascii="Arial" w:cs="Arial" w:eastAsia="Arial" w:hAnsi="Arial"/>
          <w:sz w:val="17"/>
          <w:szCs w:val="17"/>
          <w:color w:val="auto"/>
        </w:rPr>
      </w:pPr>
    </w:p>
    <w:p>
      <w:pPr>
        <w:ind w:left="-7" w:right="60" w:firstLine="408"/>
        <w:spacing w:after="0" w:line="279" w:lineRule="auto"/>
        <w:tabs>
          <w:tab w:leader="none" w:pos="923"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w:t>
      </w:r>
      <w:r>
        <w:rPr>
          <w:rFonts w:ascii="Arial" w:cs="Arial" w:eastAsia="Arial" w:hAnsi="Arial"/>
          <w:sz w:val="17"/>
          <w:szCs w:val="17"/>
          <w:color w:val="auto"/>
        </w:rPr>
        <w:t>The Company maintains disclosure controls and procedures (as such term is defined in Rule 13a-15(e)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Exchange Act designed to comply with the requirements of the Exchange Act applicable to the Company. Such disclosure controls and procedures have been designed to ensure that material information relating to the Company is made known to the Company’s principal executive officer and principal financial officer by others within the Company.</w:t>
      </w:r>
    </w:p>
    <w:p>
      <w:pPr>
        <w:spacing w:after="0" w:line="63" w:lineRule="exact"/>
        <w:rPr>
          <w:rFonts w:ascii="Arial" w:cs="Arial" w:eastAsia="Arial" w:hAnsi="Arial"/>
          <w:sz w:val="17"/>
          <w:szCs w:val="17"/>
          <w:color w:val="auto"/>
        </w:rPr>
      </w:pPr>
    </w:p>
    <w:p>
      <w:pPr>
        <w:ind w:left="-7" w:right="20" w:firstLine="408"/>
        <w:spacing w:after="0" w:line="291" w:lineRule="auto"/>
        <w:tabs>
          <w:tab w:leader="none" w:pos="973"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Exceptions</w:t>
      </w:r>
      <w:r>
        <w:rPr>
          <w:rFonts w:ascii="Arial" w:cs="Arial" w:eastAsia="Arial" w:hAnsi="Arial"/>
          <w:sz w:val="16"/>
          <w:szCs w:val="16"/>
          <w:color w:val="auto"/>
        </w:rPr>
        <w:t>. Subsequent to the respective dates as of which information is given in each of the Registration Statement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 the Company and its subsidiaries have not incurred any material liability or obligation, direct or contingent, nor entered into any material transaction; (B) the Company has not purchased any of its outstanding capital stock (other than from its employees or other service providers in connection with termination of such individuals’ service to the Company pursuant to plans or agreements, as applicable), nor declared, paid or otherwise made any dividend or distribution of any kind on its capital stock other than ordinary and customary dividends; and (C) there has not been any material change in the capital stock, short-term debt or long-term debt of the Company and its subsidiaries, except in each case as described in each of the Registration Statement and the Prospectus, respectively.</w:t>
      </w:r>
    </w:p>
    <w:p>
      <w:pPr>
        <w:spacing w:after="0" w:line="58" w:lineRule="exact"/>
        <w:rPr>
          <w:rFonts w:ascii="Arial" w:cs="Arial" w:eastAsia="Arial" w:hAnsi="Arial"/>
          <w:sz w:val="16"/>
          <w:szCs w:val="16"/>
          <w:color w:val="auto"/>
        </w:rPr>
      </w:pPr>
    </w:p>
    <w:p>
      <w:pPr>
        <w:ind w:left="-7" w:firstLine="408"/>
        <w:spacing w:after="0" w:line="290" w:lineRule="auto"/>
        <w:tabs>
          <w:tab w:leader="none" w:pos="1023"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Valid Title. </w:t>
      </w:r>
      <w:r>
        <w:rPr>
          <w:rFonts w:ascii="Arial" w:cs="Arial" w:eastAsia="Arial" w:hAnsi="Arial"/>
          <w:sz w:val="16"/>
          <w:szCs w:val="16"/>
          <w:color w:val="auto"/>
        </w:rPr>
        <w:t>Except as described in the Prospectus, the Company and each of its subsidiaries do not own any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good and marketable title to all personal property owned by them which is material to the business of the Company and its subsidiaries, in each case free and clear of all liens, encumbrances and defects, except such as are described in the Prospectus or such as do not materially affect the value of such property and do not interfere in any material respect with the use made and proposed to be made of such property by the Company and its subsidiaries; and any real property and buildings held under lease by the Company and each of its subsidiaries are held by them, as applicable, under valid, subsisting and, to the Company’s knowledge, enforceable leases with such exceptions as are not material and do not interfere in any material respect with the use made and proposed to be made of such property and buildings by the Company and each of its subsidiaries, in each case except as described in the Prospectus.</w:t>
      </w:r>
    </w:p>
    <w:p>
      <w:pPr>
        <w:spacing w:after="0" w:line="57" w:lineRule="exact"/>
        <w:rPr>
          <w:rFonts w:ascii="Arial" w:cs="Arial" w:eastAsia="Arial" w:hAnsi="Arial"/>
          <w:sz w:val="16"/>
          <w:szCs w:val="16"/>
          <w:color w:val="auto"/>
        </w:rPr>
      </w:pPr>
    </w:p>
    <w:p>
      <w:pPr>
        <w:ind w:left="-7" w:right="60" w:firstLine="408"/>
        <w:spacing w:after="0" w:line="272" w:lineRule="auto"/>
        <w:tabs>
          <w:tab w:leader="none" w:pos="923"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Except as described in the Registration Statement or Prospectus, the Company and each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own or have a valid license to all patents and patent applications,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7"/>
          <w:szCs w:val="17"/>
          <w:b w:val="1"/>
          <w:bCs w:val="1"/>
          <w:i w:val="1"/>
          <w:iCs w:val="1"/>
          <w:color w:val="auto"/>
        </w:rPr>
        <w:t>Intellectual Property Rights</w:t>
      </w:r>
      <w:r>
        <w:rPr>
          <w:rFonts w:ascii="Arial" w:cs="Arial" w:eastAsia="Arial" w:hAnsi="Arial"/>
          <w:sz w:val="17"/>
          <w:szCs w:val="17"/>
          <w:color w:val="auto"/>
        </w:rPr>
        <w:t>”) used in or reasonably necessary for the conduct of the Company’s and it subsidiaries’ businesses in the manner described in the Registration Statement and the Prospectus. Furthermore, except as described in the Registration Statement or Prospectus, (A) the Intellectual Property Rights owned by the Company and each of its subsidiaries and, to the Company’s knowledge, the Intellectual Property Rights licensed to the</w:t>
      </w:r>
    </w:p>
    <w:p>
      <w:pPr>
        <w:spacing w:after="0" w:line="110" w:lineRule="exact"/>
        <w:rPr>
          <w:sz w:val="20"/>
          <w:szCs w:val="20"/>
          <w:color w:val="auto"/>
        </w:rPr>
      </w:pPr>
    </w:p>
    <w:p>
      <w:pPr>
        <w:ind w:left="447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3"/>
          </w:cols>
          <w:pgMar w:left="1427" w:top="274" w:right="459" w:bottom="1440" w:gutter="0" w:footer="0" w:header="0"/>
        </w:sectPr>
      </w:pPr>
    </w:p>
    <w:bookmarkStart w:id="71" w:name="page72"/>
    <w:bookmarkEnd w:id="71"/>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and each of its subsidiaries, are valid, subsisting and enforceable, and there is no pending or, to the Company’s knowledge, threatened action, suit, proceeding or claim by others challenging the validity, scope, inventorship, ownership or enforceability of any such Intellectual Property Rights; (B) neither the Company nor any of its subsidiaries has received any notice alleging any infringement, misappropriation or other violation of Intellectual Property Rights; (C) to the Company’s knowledge, no third party is infringing, misappropriating or otherwise violating, or has infringed, misappropriated or otherwise violated, any Intellectual Property Rights owned by the Company that would materially adversely affect the Company and each of its subsidiaries, taken as a whole; (D) neither the Company nor any of its subsidiaries infringes, misappropriates or otherwise violates (including, if the Company’s product candidates described in the Prospectus were manufactured, marketed, used or sold as of the date hereof) in any material respect, or has infringed, misappropriated or otherwise violated, any right or valid patent claim of any third party in any material respect; (E) all employees, consultants or contractors engaged in the development of Intellectual Property Rights on behalf of the Company or any of its subsidiaries have executed an invention assignment agreement whereby such employees, consultants or contractors presently assign all of their right, title and interest in and to such Intellectual Property Rights to the Company or any of its subsidiaries, and to the Company’s knowledge no such agreement has been breached or violated in any material respect; (F) the Company and each of its subsidiaries use, and have used, commercially reasonable efforts to appropriately maintain all information intended to be maintained as a trade secret; (G) to the knowledge of the Company, none of the Intellectual Property Rights of the Company have been obtained or are being used by the Company in material violation of any contractual obligation binding on the Company or, to the knowledge of the Company, upon any of its officers, consultants, directors or employees; (H) the Intellectual Property Rights owned or purported to be owned by the Company are free and clear of all material liens or encumbrances; (I) no third party, including any academic or governmental organization, possesses rights to the Intellectual Property Rights of the Company which, if exercised, could enable such party to develop, market or sell products competitive with those of the Company or to license a third party to so develop, market or sell products competitive with those of the Company;</w:t>
      </w:r>
    </w:p>
    <w:p>
      <w:pPr>
        <w:spacing w:after="0" w:line="11" w:lineRule="exact"/>
        <w:rPr>
          <w:sz w:val="20"/>
          <w:szCs w:val="20"/>
          <w:color w:val="auto"/>
        </w:rPr>
      </w:pPr>
    </w:p>
    <w:p>
      <w:pPr>
        <w:ind w:right="20" w:firstLine="7"/>
        <w:spacing w:after="0" w:line="253" w:lineRule="auto"/>
        <w:tabs>
          <w:tab w:leader="none" w:pos="2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described in the Prospectus, the Company is not obligated to pay a material royalty, grant a license to, obtain a license from or provide other material consideration to any third party in connection with the Intellectual Property Rights of the Company; and (K) all patents and patent applications owned by or licensed to the Company and included within the Intellectual Property Rights, to the knowledge of the Company, have been duly and properly filed, prosecuted and maintained.</w:t>
      </w:r>
    </w:p>
    <w:p>
      <w:pPr>
        <w:spacing w:after="0" w:line="84" w:lineRule="exact"/>
        <w:rPr>
          <w:rFonts w:ascii="Arial" w:cs="Arial" w:eastAsia="Arial" w:hAnsi="Arial"/>
          <w:sz w:val="18"/>
          <w:szCs w:val="18"/>
          <w:color w:val="auto"/>
        </w:rPr>
      </w:pPr>
    </w:p>
    <w:p>
      <w:pPr>
        <w:ind w:right="60" w:firstLine="408"/>
        <w:spacing w:after="0" w:line="284" w:lineRule="auto"/>
        <w:tabs>
          <w:tab w:leader="none" w:pos="880"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Compliance with Health Care Laws</w:t>
      </w:r>
      <w:r>
        <w:rPr>
          <w:rFonts w:ascii="Arial" w:cs="Arial" w:eastAsia="Arial" w:hAnsi="Arial"/>
          <w:sz w:val="16"/>
          <w:szCs w:val="16"/>
          <w:color w:val="auto"/>
        </w:rPr>
        <w:t>. The Company and its subsidiaries (A) are and at all times have been,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in compliance with all statutes, rules, and regulations applicable to the ownership, research, testing, development, manufacture, packaging, processing, use, storage, import, export or disposal of any product candidates of the Company or its subsidiaries, including, without limitation, the Federal Food, Drug and Cosmetic Act (21 U.S.C.§ 301 et seq.), the regulations promulgated pursuant to such laws, and any successor government programs, and comparable state laws, and all other local, state, federal, and foreign laws, rules, regulations, policies and final administrative guidance relating to the regulation of the Company (collectively, the “</w:t>
      </w:r>
      <w:r>
        <w:rPr>
          <w:rFonts w:ascii="Arial" w:cs="Arial" w:eastAsia="Arial" w:hAnsi="Arial"/>
          <w:sz w:val="16"/>
          <w:szCs w:val="16"/>
          <w:b w:val="1"/>
          <w:bCs w:val="1"/>
          <w:i w:val="1"/>
          <w:iCs w:val="1"/>
          <w:color w:val="auto"/>
        </w:rPr>
        <w:t>Applicable Regulatory Laws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20" w:firstLine="7"/>
        <w:spacing w:after="0" w:line="252" w:lineRule="auto"/>
        <w:tabs>
          <w:tab w:leader="none" w:pos="2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possess all licenses, exemptions, certificates, approvals, consents, clearances, authorizations, permits, registrations and supplements or amendments thereto required by any such Applicable Regulatory Laws (“</w:t>
      </w:r>
      <w:r>
        <w:rPr>
          <w:rFonts w:ascii="Arial" w:cs="Arial" w:eastAsia="Arial" w:hAnsi="Arial"/>
          <w:sz w:val="18"/>
          <w:szCs w:val="18"/>
          <w:b w:val="1"/>
          <w:bCs w:val="1"/>
          <w:i w:val="1"/>
          <w:iCs w:val="1"/>
          <w:color w:val="auto"/>
        </w:rPr>
        <w:t>Regulatory Authorizations</w:t>
      </w:r>
      <w:r>
        <w:rPr>
          <w:rFonts w:ascii="Arial" w:cs="Arial" w:eastAsia="Arial" w:hAnsi="Arial"/>
          <w:sz w:val="18"/>
          <w:szCs w:val="18"/>
          <w:color w:val="auto"/>
        </w:rPr>
        <w:t>”) and such Regulatory Authorizations are valid and in full force and effect; (C) are in compliance, in all material respects, with and are not in violation of, or in default under, any such Regulatory Authorization, and to the Company’s knowledge, no event has occurred which allows, or after notice or lapse of time would allow, revocation, termination or modification of any Regulatory Authorization or result in any other material impairment of the rights of the holder of</w:t>
      </w:r>
    </w:p>
    <w:p>
      <w:pPr>
        <w:spacing w:after="0" w:line="1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40"/>
          </w:cols>
          <w:pgMar w:left="1420" w:top="274" w:right="439" w:bottom="1440" w:gutter="0" w:footer="0" w:header="0"/>
        </w:sectPr>
      </w:pPr>
    </w:p>
    <w:bookmarkStart w:id="72" w:name="page73"/>
    <w:bookmarkEnd w:id="7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Regulatory Authorization, and the Company does not have any reason to believe that any Regulatory Authorization will not be renewed in the ordinary course; (D) have not received written notice that any court or arbitrator or governmental or regulatory authority has taken, is taking, or intends to take action to limit, suspend, modify or revoke any Regulatory Authorizations nor, to the Company’s knowledge, is any such limitation, suspension, modification or revocation threatened; (E) have not received any notice of any claim, action, suit, proceeding, hearing, enforcement, investigation, arbitration or other action, or any U.S.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Form 483, notice of adverse finding, warning letter, untitled letter or other communication from any court or arbitrator or governmental or regulatory authority alleging or asserting non-compliance with any Applicable Regulatory Laws or Regulatory Authorizations, nor, to the Company’s knowledge, is any such claim, action, suit, proceeding, hearing, enforcement, investigation, arbitration or other action or communication threatened; (F) have filed, obtained, maintained or submitted all material reports, documents, forms, notices, applications, records, claims, submissions and supplements or amendments as required by any Applicable Regulatory Laws or Regulatory Authorizations, and all such reports, documents, forms, notices, applications, records, claims, submissions and supplements or amendments were complete and accurate on the date filed in all material respects (or were corrected or supplemented by a subsequent submission); and (G) are not a party to any corporate integrity agreements, monitoring agreements, consent decrees, settlement orders, or similar agreements with or imposed by any governmental or regulatory authority. Except as described in the Registration Statement or Prospectus, none of the Company’s or its subsidiaries’ product candidates has received marketing approval from any Regulatory Authority.</w:t>
      </w:r>
    </w:p>
    <w:p>
      <w:pPr>
        <w:spacing w:after="0" w:line="59" w:lineRule="exact"/>
        <w:rPr>
          <w:sz w:val="20"/>
          <w:szCs w:val="20"/>
          <w:color w:val="auto"/>
        </w:rPr>
      </w:pPr>
    </w:p>
    <w:p>
      <w:pPr>
        <w:ind w:right="40" w:firstLine="408"/>
        <w:spacing w:after="0" w:line="287" w:lineRule="auto"/>
        <w:tabs>
          <w:tab w:leader="none" w:pos="93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Clinical Trials</w:t>
      </w:r>
      <w:r>
        <w:rPr>
          <w:rFonts w:ascii="Arial" w:cs="Arial" w:eastAsia="Arial" w:hAnsi="Arial"/>
          <w:sz w:val="16"/>
          <w:szCs w:val="16"/>
          <w:color w:val="auto"/>
        </w:rPr>
        <w:t>. All clinical and pre-clinical trials conducted by or on behalf of, or sponsored by,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or in which the Company or its subsidiaries have participated, that are described or referred to in the Registration Statement and the Prospectus were and, if still pending, are being conducted, in all material respects, in compliance with the experimental protocols established for such trials, with accepted medical and scientific standards, and with all Applicable Regulatory Laws, including regulations relating to Good Clinical Practices and Good Laboratory Practices, and all Regulatory Authorizations. The descriptions of the clinical and pre-clinical trials, including the results thereof, contained in the Registration Statement and the Prospectus are accurate and complete in all material respects and fairly present the data derived from such trials in all material respects; and neither the Company nor its subsidiaries are aware of any other clinical or pre-clinical trials, the results of which reasonably call into question the results described in the Registration Statement and the Prospectus. Neither the Company nor its subsidiaries have received any notices or correspondence from FDA or similar foreign, state, and local governmental or regulatory authorities or institutional review boards or comparable authorities requiring the termination, suspension, material modification or clinical hold of any clinical or pre-clinical trials conducted by or on behalf of the Company, and to the Company’s knowledge, there are no reasonable grounds for the same.</w:t>
      </w:r>
    </w:p>
    <w:p>
      <w:pPr>
        <w:spacing w:after="0" w:line="59" w:lineRule="exact"/>
        <w:rPr>
          <w:rFonts w:ascii="Arial" w:cs="Arial" w:eastAsia="Arial" w:hAnsi="Arial"/>
          <w:sz w:val="16"/>
          <w:szCs w:val="16"/>
          <w:color w:val="auto"/>
        </w:rPr>
      </w:pPr>
    </w:p>
    <w:p>
      <w:pPr>
        <w:ind w:firstLine="408"/>
        <w:spacing w:after="0" w:line="273"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Absence of Legal or Governmental Proceedings. </w:t>
      </w:r>
      <w:r>
        <w:rPr>
          <w:rFonts w:ascii="Arial" w:cs="Arial" w:eastAsia="Arial" w:hAnsi="Arial"/>
          <w:sz w:val="17"/>
          <w:szCs w:val="17"/>
          <w:color w:val="auto"/>
        </w:rPr>
        <w:t>There are no legal or governmental proceedings pending or, to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threatened to which the Company or its subsidiaries is a party or to which any of the properties of the Company or its subsidiaries is subject (A) other than proceedings described in the Prospectus and proceedings that, singly or in the aggregate, would not have a material adverse effect on the Company and its subsidiaries, taken as a whole, or on the power or ability of the Company to perform its obligations under this Agreement or to consummate the transactions contemplated by the Prospectus or (B) that are required to be described in the Registration Statement or the Prospectus and are not so described.</w:t>
      </w:r>
    </w:p>
    <w:p>
      <w:pPr>
        <w:spacing w:after="0" w:line="1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20" w:top="274" w:right="459" w:bottom="1440" w:gutter="0" w:footer="0" w:header="0"/>
        </w:sectPr>
      </w:pPr>
    </w:p>
    <w:bookmarkStart w:id="73" w:name="page74"/>
    <w:bookmarkEnd w:id="73"/>
    <w:p>
      <w:pPr>
        <w:jc w:val="both"/>
        <w:ind w:left="-20" w:right="120" w:firstLine="408"/>
        <w:spacing w:after="0" w:line="342" w:lineRule="auto"/>
        <w:tabs>
          <w:tab w:leader="none" w:pos="101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Material Contracts. </w:t>
      </w:r>
      <w:r>
        <w:rPr>
          <w:rFonts w:ascii="Arial" w:cs="Arial" w:eastAsia="Arial" w:hAnsi="Arial"/>
          <w:sz w:val="16"/>
          <w:szCs w:val="16"/>
          <w:color w:val="auto"/>
        </w:rPr>
        <w:t>There are no statutes, regulations, contracts or other documents that are required to be described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or the Prospectus or to be filed as exhibits to the Registration Statement that are not described or filed as required.</w:t>
      </w:r>
    </w:p>
    <w:p>
      <w:pPr>
        <w:spacing w:after="0" w:line="15" w:lineRule="exact"/>
        <w:rPr>
          <w:rFonts w:ascii="Arial" w:cs="Arial" w:eastAsia="Arial" w:hAnsi="Arial"/>
          <w:sz w:val="16"/>
          <w:szCs w:val="16"/>
          <w:color w:val="auto"/>
        </w:rPr>
      </w:pPr>
    </w:p>
    <w:p>
      <w:pPr>
        <w:ind w:left="-20" w:right="80" w:firstLine="408"/>
        <w:spacing w:after="0" w:line="254"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each of its subsidiaries are insured by insurers of recognized financial responsibility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such losses and risks and in such amounts as, in the Company’s judgment,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 except as described in the Prospectus.</w:t>
      </w:r>
    </w:p>
    <w:p>
      <w:pPr>
        <w:spacing w:after="0" w:line="86" w:lineRule="exact"/>
        <w:rPr>
          <w:rFonts w:ascii="Arial" w:cs="Arial" w:eastAsia="Arial" w:hAnsi="Arial"/>
          <w:sz w:val="18"/>
          <w:szCs w:val="18"/>
          <w:color w:val="auto"/>
        </w:rPr>
      </w:pPr>
    </w:p>
    <w:p>
      <w:pPr>
        <w:ind w:left="-20" w:right="120" w:firstLine="408"/>
        <w:spacing w:after="0" w:line="259" w:lineRule="auto"/>
        <w:tabs>
          <w:tab w:leader="none" w:pos="95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No Labor Dispute</w:t>
      </w:r>
      <w:r>
        <w:rPr>
          <w:rFonts w:ascii="Arial" w:cs="Arial" w:eastAsia="Arial" w:hAnsi="Arial"/>
          <w:sz w:val="18"/>
          <w:szCs w:val="18"/>
          <w:color w:val="auto"/>
        </w:rPr>
        <w:t>. No material labor dispute with the employees of the Company or its subsidiaries exists,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any of its subsidiaries, taken as a whole.</w:t>
      </w:r>
    </w:p>
    <w:p>
      <w:pPr>
        <w:spacing w:after="0" w:line="78" w:lineRule="exact"/>
        <w:rPr>
          <w:rFonts w:ascii="Arial" w:cs="Arial" w:eastAsia="Arial" w:hAnsi="Arial"/>
          <w:sz w:val="18"/>
          <w:szCs w:val="18"/>
          <w:color w:val="auto"/>
        </w:rPr>
      </w:pPr>
    </w:p>
    <w:p>
      <w:pPr>
        <w:ind w:left="-20" w:right="20" w:firstLine="408"/>
        <w:spacing w:after="0" w:line="287"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Laws. </w:t>
      </w:r>
      <w:r>
        <w:rPr>
          <w:rFonts w:ascii="Arial" w:cs="Arial" w:eastAsia="Arial" w:hAnsi="Arial"/>
          <w:sz w:val="16"/>
          <w:szCs w:val="16"/>
          <w:color w:val="auto"/>
        </w:rPr>
        <w:t>The Company and each of its subsidiaries (A) are in compliance with any and all applicable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have a material adverse effect on the Company and its subsidiaries, taken as a whole.</w:t>
      </w:r>
    </w:p>
    <w:p>
      <w:pPr>
        <w:spacing w:after="0" w:line="63" w:lineRule="exact"/>
        <w:rPr>
          <w:rFonts w:ascii="Arial" w:cs="Arial" w:eastAsia="Arial" w:hAnsi="Arial"/>
          <w:sz w:val="16"/>
          <w:szCs w:val="16"/>
          <w:color w:val="auto"/>
        </w:rPr>
      </w:pPr>
    </w:p>
    <w:p>
      <w:pPr>
        <w:ind w:left="-20" w:firstLine="408"/>
        <w:spacing w:after="0" w:line="290" w:lineRule="auto"/>
        <w:tabs>
          <w:tab w:leader="none" w:pos="105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filed all federal, state, local and foreign tax returns required to be filed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reasonably be expected to have a material adverse effect, or, except as currently being contested in good faith and for which reserves required by GAAP have been created in the financial statements of the Company), and, except as set forth in the Prospectus, no tax deficiency has been determined adversely to the Company or its subsidiaries which has had (nor does the Company nor its subsidiaries have any notice or knowledge of any tax deficiency which would reasonably be expected to be determined adversely to the Company or its subsidiaries and which would reasonably be expected to have) a material adverse effect.</w:t>
      </w:r>
    </w:p>
    <w:p>
      <w:pPr>
        <w:spacing w:after="0" w:line="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4" w:right="459" w:bottom="1440" w:gutter="0" w:footer="0" w:header="0"/>
        </w:sectPr>
      </w:pPr>
    </w:p>
    <w:bookmarkStart w:id="74" w:name="page75"/>
    <w:bookmarkEnd w:id="74"/>
    <w:p>
      <w:pPr>
        <w:ind w:left="-20" w:right="140" w:firstLine="408"/>
        <w:spacing w:after="0" w:line="254"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ERISA Compliance. </w:t>
      </w:r>
      <w:r>
        <w:rPr>
          <w:rFonts w:ascii="Arial" w:cs="Arial" w:eastAsia="Arial" w:hAnsi="Arial"/>
          <w:sz w:val="18"/>
          <w:szCs w:val="18"/>
          <w:color w:val="auto"/>
        </w:rPr>
        <w:t>Except (A) as described in the Prospectus or (B) as would not, singly or in the aggregate,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be expected to have a material adverse effect on the Company and its subsidiaries, taken as a whole, each employee benefit plan, within the meaning of Section 3(3) of the Employee Retirement Income Security Act of 1974, as amended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that the Company or any member of its “Controlled Group” (defined as any organization which is under common control with the Company within the meaning of Section 414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sponsors or maintains has been maintained, in all material respects, in compliance with its terms and the requirements of any applicable statutes, orders, rules and regulations, including but not limited to ERISA and the Code.</w:t>
      </w:r>
    </w:p>
    <w:p>
      <w:pPr>
        <w:spacing w:after="0" w:line="86" w:lineRule="exact"/>
        <w:rPr>
          <w:rFonts w:ascii="Arial" w:cs="Arial" w:eastAsia="Arial" w:hAnsi="Arial"/>
          <w:sz w:val="18"/>
          <w:szCs w:val="18"/>
          <w:color w:val="auto"/>
        </w:rPr>
      </w:pPr>
    </w:p>
    <w:p>
      <w:pPr>
        <w:ind w:left="-20" w:right="380" w:firstLine="408"/>
        <w:spacing w:after="0" w:line="263"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Not an Investment Company. </w:t>
      </w:r>
      <w:r>
        <w:rPr>
          <w:rFonts w:ascii="Arial" w:cs="Arial" w:eastAsia="Arial" w:hAnsi="Arial"/>
          <w:sz w:val="18"/>
          <w:szCs w:val="18"/>
          <w:color w:val="auto"/>
        </w:rPr>
        <w:t>The Company is not, and after giving effect to the offering and sale of the Shares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the proceeds thereof as described in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20" w:right="100" w:firstLine="408"/>
        <w:spacing w:after="0" w:line="257" w:lineRule="auto"/>
        <w:tabs>
          <w:tab w:leader="none" w:pos="95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Except as described in the Prospectus, there are no contracts, agreements or understandings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all such rights have been validly waived or complied with in connection with the issuance and sales of the Shares contemplated hereby.</w:t>
      </w:r>
    </w:p>
    <w:p>
      <w:pPr>
        <w:spacing w:after="0" w:line="79" w:lineRule="exact"/>
        <w:rPr>
          <w:rFonts w:ascii="Arial" w:cs="Arial" w:eastAsia="Arial" w:hAnsi="Arial"/>
          <w:sz w:val="18"/>
          <w:szCs w:val="18"/>
          <w:color w:val="auto"/>
        </w:rPr>
      </w:pPr>
    </w:p>
    <w:p>
      <w:pPr>
        <w:ind w:left="-20" w:right="20" w:firstLine="408"/>
        <w:spacing w:after="0" w:line="268"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(A) None of the Company, its subsidiaries or the Company’s controlled affiliates, or any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or, to the Company’s knowledge, any agent, representative or employee of the Company, its subsidiaries or the Company’s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improperly influence official action, or to any person in violation of any applicable anti-corruption laws; (B)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8" w:lineRule="exact"/>
        <w:rPr>
          <w:rFonts w:ascii="Arial" w:cs="Arial" w:eastAsia="Arial" w:hAnsi="Arial"/>
          <w:sz w:val="17"/>
          <w:szCs w:val="17"/>
          <w:color w:val="auto"/>
        </w:rPr>
      </w:pPr>
    </w:p>
    <w:p>
      <w:pPr>
        <w:ind w:left="-20" w:firstLine="408"/>
        <w:spacing w:after="0" w:line="270" w:lineRule="auto"/>
        <w:tabs>
          <w:tab w:leader="none" w:pos="105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Anti-Money Laundering Compliance. </w:t>
      </w:r>
      <w:r>
        <w:rPr>
          <w:rFonts w:ascii="Arial" w:cs="Arial" w:eastAsia="Arial" w:hAnsi="Arial"/>
          <w:sz w:val="17"/>
          <w:szCs w:val="17"/>
          <w:color w:val="auto"/>
        </w:rPr>
        <w:t>The operations of the Company and its subsidiaries are and have been conducted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in all material respects,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its subsidiaries conduct business, the rules and regulations thereunder and any related or similar rules, regulations or guidelines, issued, administered or enforced by any governmental agency having jurisdiction over the Company or its subsidiaries (collectively, the “</w:t>
      </w:r>
      <w:r>
        <w:rPr>
          <w:rFonts w:ascii="Arial" w:cs="Arial" w:eastAsia="Arial" w:hAnsi="Arial"/>
          <w:sz w:val="17"/>
          <w:szCs w:val="17"/>
          <w:b w:val="1"/>
          <w:bCs w:val="1"/>
          <w:i w:val="1"/>
          <w:i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its subsidiaries with respect to the Anti-Money Laundering Laws is pending or, to the knowledge of the Company, threatened.</w:t>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40" w:top="274" w:right="439" w:bottom="1440" w:gutter="0" w:footer="0" w:header="0"/>
        </w:sectPr>
      </w:pPr>
    </w:p>
    <w:bookmarkStart w:id="75" w:name="page76"/>
    <w:bookmarkEnd w:id="75"/>
    <w:p>
      <w:pPr>
        <w:ind w:left="1660" w:hanging="712"/>
        <w:spacing w:after="0"/>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OFAC.</w:t>
      </w:r>
    </w:p>
    <w:p>
      <w:pPr>
        <w:spacing w:after="0" w:line="117" w:lineRule="exact"/>
        <w:rPr>
          <w:rFonts w:ascii="Arial" w:cs="Arial" w:eastAsia="Arial" w:hAnsi="Arial"/>
          <w:sz w:val="18"/>
          <w:szCs w:val="18"/>
          <w:color w:val="auto"/>
        </w:rPr>
      </w:pPr>
    </w:p>
    <w:p>
      <w:pPr>
        <w:ind w:right="60" w:firstLine="419"/>
        <w:spacing w:after="0" w:line="263" w:lineRule="auto"/>
        <w:tabs>
          <w:tab w:leader="none" w:pos="8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None of the Company, its subsidiaries or any director, officer, or employee thereof, or, to the Company’s knowledge, any agent, affiliate or representative of the Company or its subsidiaries, is an individual or entity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540" w:right="260" w:firstLine="408"/>
        <w:spacing w:after="0" w:line="263" w:lineRule="auto"/>
        <w:tabs>
          <w:tab w:leader="none" w:pos="12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540" w:right="300" w:firstLine="408"/>
        <w:spacing w:after="0" w:line="277" w:lineRule="auto"/>
        <w:tabs>
          <w:tab w:leader="none" w:pos="13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right="440" w:firstLine="419"/>
        <w:spacing w:after="0" w:line="277" w:lineRule="auto"/>
        <w:tabs>
          <w:tab w:leader="none" w:pos="8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of the Shares,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540" w:firstLine="408"/>
        <w:spacing w:after="0" w:line="277" w:lineRule="auto"/>
        <w:tabs>
          <w:tab w:leader="none" w:pos="12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540" w:right="60" w:firstLine="408"/>
        <w:spacing w:after="0" w:line="277" w:lineRule="auto"/>
        <w:tabs>
          <w:tab w:leader="none" w:pos="13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of the Shares, whether as underwriter, advisor, investor or otherwise).</w:t>
      </w:r>
    </w:p>
    <w:p>
      <w:pPr>
        <w:spacing w:after="0" w:line="62" w:lineRule="exact"/>
        <w:rPr>
          <w:rFonts w:ascii="Arial" w:cs="Arial" w:eastAsia="Arial" w:hAnsi="Arial"/>
          <w:sz w:val="18"/>
          <w:szCs w:val="18"/>
          <w:color w:val="auto"/>
        </w:rPr>
      </w:pPr>
    </w:p>
    <w:p>
      <w:pPr>
        <w:ind w:right="380" w:firstLine="419"/>
        <w:spacing w:after="0" w:line="263" w:lineRule="auto"/>
        <w:tabs>
          <w:tab w:leader="none" w:pos="8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left="540" w:right="200" w:firstLine="408"/>
        <w:spacing w:after="0" w:line="311" w:lineRule="auto"/>
        <w:tabs>
          <w:tab w:leader="none" w:pos="1650" w:val="left"/>
        </w:tabs>
        <w:numPr>
          <w:ilvl w:val="1"/>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No Immunity. </w:t>
      </w:r>
      <w:r>
        <w:rPr>
          <w:rFonts w:ascii="Arial" w:cs="Arial" w:eastAsia="Arial" w:hAnsi="Arial"/>
          <w:sz w:val="16"/>
          <w:szCs w:val="16"/>
          <w:color w:val="auto"/>
        </w:rPr>
        <w:t>Neither the Company nor any of its subsidiaries, nor any of their respective properties or assets, has any</w:t>
      </w:r>
      <w:r>
        <w:rPr>
          <w:rFonts w:ascii="Arial" w:cs="Arial" w:eastAsia="Arial" w:hAnsi="Arial"/>
          <w:sz w:val="16"/>
          <w:szCs w:val="16"/>
          <w:i w:val="1"/>
          <w:iCs w:val="1"/>
          <w:color w:val="auto"/>
        </w:rPr>
        <w:t xml:space="preserve"> </w:t>
      </w:r>
      <w:r>
        <w:rPr>
          <w:rFonts w:ascii="Arial" w:cs="Arial" w:eastAsia="Arial" w:hAnsi="Arial"/>
          <w:sz w:val="16"/>
          <w:szCs w:val="16"/>
          <w:color w:val="auto"/>
        </w:rPr>
        <w:t>immunity from the 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40" w:lineRule="exact"/>
        <w:rPr>
          <w:rFonts w:ascii="Arial" w:cs="Arial" w:eastAsia="Arial" w:hAnsi="Arial"/>
          <w:sz w:val="16"/>
          <w:szCs w:val="16"/>
          <w:color w:val="auto"/>
        </w:rPr>
      </w:pPr>
    </w:p>
    <w:p>
      <w:pPr>
        <w:ind w:left="540" w:right="320" w:firstLine="408"/>
        <w:spacing w:after="0" w:line="277" w:lineRule="auto"/>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 Legal, Accounting or Tax Advice. </w:t>
      </w:r>
      <w:r>
        <w:rPr>
          <w:rFonts w:ascii="Arial" w:cs="Arial" w:eastAsia="Arial" w:hAnsi="Arial"/>
          <w:sz w:val="18"/>
          <w:szCs w:val="18"/>
          <w:color w:val="auto"/>
        </w:rPr>
        <w:t>The Company has not relied upon the Agent or legal counsel for the Agent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legal, tax or accounting advice in connection with the offering and sale of the Shares.</w:t>
      </w:r>
    </w:p>
    <w:p>
      <w:pPr>
        <w:spacing w:after="0" w:line="62" w:lineRule="exact"/>
        <w:rPr>
          <w:rFonts w:ascii="Arial" w:cs="Arial" w:eastAsia="Arial" w:hAnsi="Arial"/>
          <w:sz w:val="18"/>
          <w:szCs w:val="18"/>
          <w:color w:val="auto"/>
        </w:rPr>
      </w:pPr>
    </w:p>
    <w:p>
      <w:pPr>
        <w:ind w:left="540" w:right="60" w:firstLine="408"/>
        <w:spacing w:after="0" w:line="263" w:lineRule="auto"/>
        <w:tabs>
          <w:tab w:leader="none" w:pos="165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Certificate as Representation and Warranty. </w:t>
      </w:r>
      <w:r>
        <w:rPr>
          <w:rFonts w:ascii="Arial" w:cs="Arial" w:eastAsia="Arial" w:hAnsi="Arial"/>
          <w:sz w:val="18"/>
          <w:szCs w:val="18"/>
          <w:color w:val="auto"/>
        </w:rPr>
        <w:t>Any certificate signed by any officer of the Company and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or the Agent’s counsel in connection with the offering of the Shares shall be deemed a representation and warranty by the Company to the Agent as to the matters covered thereby on the date of such certificate.</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76" w:name="page77"/>
    <w:bookmarkEnd w:id="76"/>
    <w:p>
      <w:pPr>
        <w:ind w:left="960" w:right="20" w:firstLine="408"/>
        <w:spacing w:after="0" w:line="270" w:lineRule="auto"/>
        <w:tabs>
          <w:tab w:leader="none" w:pos="2120" w:val="left"/>
        </w:tabs>
        <w:numPr>
          <w:ilvl w:val="2"/>
          <w:numId w:val="5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Compliance with Data Privacy Laws. </w:t>
      </w:r>
      <w:r>
        <w:rPr>
          <w:rFonts w:ascii="Arial" w:cs="Arial" w:eastAsia="Arial" w:hAnsi="Arial"/>
          <w:sz w:val="17"/>
          <w:szCs w:val="17"/>
          <w:color w:val="auto"/>
        </w:rPr>
        <w:t>The Company and each of its subsidiaries have complied and are presently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all internal and external privacy policies, contractual obligations, industry standards, applicable laws, statutes, judgments, orders, rules and regulations of any court or arbitrator or other governmental or regulatory authority with jurisdiction over the Company, in each case, relating to the collection, use, transfer, import, export, storage, protection, disposal and disclosure by the Company or any of its subsidiaries of personal, personally identifiable, household, sensitive, confidential or regulated data (“</w:t>
      </w:r>
      <w:r>
        <w:rPr>
          <w:rFonts w:ascii="Arial" w:cs="Arial" w:eastAsia="Arial" w:hAnsi="Arial"/>
          <w:sz w:val="17"/>
          <w:szCs w:val="17"/>
          <w:b w:val="1"/>
          <w:bCs w:val="1"/>
          <w:i w:val="1"/>
          <w:iCs w:val="1"/>
          <w:color w:val="auto"/>
        </w:rPr>
        <w:t>Data Security Obligations</w:t>
      </w:r>
      <w:r>
        <w:rPr>
          <w:rFonts w:ascii="Arial" w:cs="Arial" w:eastAsia="Arial" w:hAnsi="Arial"/>
          <w:sz w:val="17"/>
          <w:szCs w:val="17"/>
          <w:color w:val="auto"/>
        </w:rPr>
        <w:t>”, and such data, “</w:t>
      </w:r>
      <w:r>
        <w:rPr>
          <w:rFonts w:ascii="Arial" w:cs="Arial" w:eastAsia="Arial" w:hAnsi="Arial"/>
          <w:sz w:val="17"/>
          <w:szCs w:val="17"/>
          <w:b w:val="1"/>
          <w:bCs w:val="1"/>
          <w:i w:val="1"/>
          <w:iCs w:val="1"/>
          <w:color w:val="auto"/>
        </w:rPr>
        <w:t>Confidential Data</w:t>
      </w:r>
      <w:r>
        <w:rPr>
          <w:rFonts w:ascii="Arial" w:cs="Arial" w:eastAsia="Arial" w:hAnsi="Arial"/>
          <w:sz w:val="17"/>
          <w:szCs w:val="17"/>
          <w:color w:val="auto"/>
        </w:rPr>
        <w:t>”). The Company has not received any notification of or complaint regarding and is unaware of any other facts that, individually or in the aggregate, would reasonably indicate material non-compliance with any Data Security Obligation; and there is no action, suit or proceeding by or before any court or governmental agency, authority or body pending or, to the Company’s knowledge, threatened alleging material non-compliance with any Data Security Obligation.</w:t>
      </w:r>
    </w:p>
    <w:p>
      <w:pPr>
        <w:spacing w:after="0" w:line="72" w:lineRule="exact"/>
        <w:rPr>
          <w:rFonts w:ascii="Arial" w:cs="Arial" w:eastAsia="Arial" w:hAnsi="Arial"/>
          <w:sz w:val="17"/>
          <w:szCs w:val="17"/>
          <w:color w:val="auto"/>
        </w:rPr>
      </w:pPr>
    </w:p>
    <w:p>
      <w:pPr>
        <w:ind w:left="960" w:right="60" w:firstLine="408"/>
        <w:spacing w:after="0" w:line="286" w:lineRule="auto"/>
        <w:tabs>
          <w:tab w:leader="none" w:pos="2170" w:val="left"/>
        </w:tabs>
        <w:numPr>
          <w:ilvl w:val="2"/>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w:t>
      </w:r>
      <w:r>
        <w:rPr>
          <w:rFonts w:ascii="Arial" w:cs="Arial" w:eastAsia="Arial" w:hAnsi="Arial"/>
          <w:sz w:val="16"/>
          <w:szCs w:val="16"/>
          <w:color w:val="auto"/>
        </w:rPr>
        <w:t>The Company and its subsidiaries’ information technology assets and equipment, computers,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hardware, software, websites, applications and databases used to process, store, maintain and operate data, information and functions are adequate for, and operate and perform in all material respects as required in connection with, the operation of the business of the Company and the subsidiaries as currently conducted. The Company and its subsidiaries have taken all reasonable technical and organizational measures to protect the information technology systems and Confidential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Confidential Data used in connection with the operation of the Company’s and its subsidiaries’ businesses (“</w:t>
      </w:r>
      <w:r>
        <w:rPr>
          <w:rFonts w:ascii="Arial" w:cs="Arial" w:eastAsia="Arial" w:hAnsi="Arial"/>
          <w:sz w:val="16"/>
          <w:szCs w:val="16"/>
          <w:b w:val="1"/>
          <w:bCs w:val="1"/>
          <w:i w:val="1"/>
          <w:iCs w:val="1"/>
          <w:color w:val="auto"/>
        </w:rPr>
        <w:t>Breach</w:t>
      </w:r>
      <w:r>
        <w:rPr>
          <w:rFonts w:ascii="Arial" w:cs="Arial" w:eastAsia="Arial" w:hAnsi="Arial"/>
          <w:sz w:val="16"/>
          <w:szCs w:val="16"/>
          <w:color w:val="auto"/>
        </w:rPr>
        <w:t>”). Except as disclosed in the Prospectus, there has been no material Breach, and the Company and its subsidiaries have not been notified of, and have no knowledge of any event or condition that would reasonably be expected to result in, any material Breach.</w:t>
      </w:r>
    </w:p>
    <w:p>
      <w:pPr>
        <w:spacing w:after="0" w:line="170" w:lineRule="exact"/>
        <w:rPr>
          <w:rFonts w:ascii="Arial" w:cs="Arial" w:eastAsia="Arial" w:hAnsi="Arial"/>
          <w:sz w:val="16"/>
          <w:szCs w:val="16"/>
          <w:color w:val="auto"/>
        </w:rPr>
      </w:pPr>
    </w:p>
    <w:p>
      <w:pPr>
        <w:ind w:left="740" w:hanging="324"/>
        <w:spacing w:after="0"/>
        <w:tabs>
          <w:tab w:leader="none" w:pos="74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Sale and Delivery of Shares.</w:t>
      </w:r>
    </w:p>
    <w:p>
      <w:pPr>
        <w:spacing w:after="0" w:line="117" w:lineRule="exact"/>
        <w:rPr>
          <w:rFonts w:ascii="Arial" w:cs="Arial" w:eastAsia="Arial" w:hAnsi="Arial"/>
          <w:sz w:val="18"/>
          <w:szCs w:val="18"/>
          <w:b w:val="1"/>
          <w:bCs w:val="1"/>
          <w:i w:val="1"/>
          <w:iCs w:val="1"/>
          <w:color w:val="auto"/>
        </w:rPr>
      </w:pPr>
    </w:p>
    <w:p>
      <w:pPr>
        <w:ind w:left="-20" w:firstLine="987"/>
        <w:spacing w:after="0" w:line="270" w:lineRule="auto"/>
        <w:tabs>
          <w:tab w:leader="none" w:pos="1351" w:val="left"/>
        </w:tabs>
        <w:numPr>
          <w:ilvl w:val="1"/>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At-the-Market Sales. </w:t>
      </w:r>
      <w:r>
        <w:rPr>
          <w:rFonts w:ascii="Arial" w:cs="Arial" w:eastAsia="Arial" w:hAnsi="Arial"/>
          <w:sz w:val="17"/>
          <w:szCs w:val="17"/>
          <w:color w:val="auto"/>
        </w:rPr>
        <w:t>On the basis of the representations, warranties and agreements herein contained, but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the Agent to use its commercially reasonable efforts consistent with its normal trading and sales practices to sell such Shares as required under this Section 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77" w:name="page78"/>
    <w:bookmarkEnd w:id="77"/>
    <w:p>
      <w:pPr>
        <w:ind w:left="-20" w:right="80" w:firstLine="408"/>
        <w:spacing w:after="0" w:line="284" w:lineRule="auto"/>
        <w:tabs>
          <w:tab w:leader="none" w:pos="776"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Each time that the Company wishes to issue and sell the Shares hereunder (each, a </w:t>
      </w:r>
      <w:r>
        <w:rPr>
          <w:rFonts w:ascii="Arial" w:cs="Arial" w:eastAsia="Arial" w:hAnsi="Arial"/>
          <w:sz w:val="16"/>
          <w:szCs w:val="16"/>
          <w:b w:val="1"/>
          <w:bCs w:val="1"/>
          <w:i w:val="1"/>
          <w:iCs w:val="1"/>
          <w:color w:val="auto"/>
        </w:rPr>
        <w:t>“Placement”</w:t>
      </w:r>
      <w:r>
        <w:rPr>
          <w:rFonts w:ascii="Arial" w:cs="Arial" w:eastAsia="Arial" w:hAnsi="Arial"/>
          <w:sz w:val="16"/>
          <w:szCs w:val="16"/>
          <w:color w:val="auto"/>
        </w:rPr>
        <w:t xml:space="preserve">), it will notify the Agent by email notice (or other method mutually agreed to in writing by the parties) (a </w:t>
      </w:r>
      <w:r>
        <w:rPr>
          <w:rFonts w:ascii="Arial" w:cs="Arial" w:eastAsia="Arial" w:hAnsi="Arial"/>
          <w:sz w:val="16"/>
          <w:szCs w:val="16"/>
          <w:b w:val="1"/>
          <w:bCs w:val="1"/>
          <w:i w:val="1"/>
          <w:iCs w:val="1"/>
          <w:color w:val="auto"/>
        </w:rPr>
        <w:t>“Placement Notice”</w:t>
      </w:r>
      <w:r>
        <w:rPr>
          <w:rFonts w:ascii="Arial" w:cs="Arial" w:eastAsia="Arial" w:hAnsi="Arial"/>
          <w:sz w:val="16"/>
          <w:szCs w:val="16"/>
          <w:color w:val="auto"/>
        </w:rPr>
        <w:t xml:space="preserve">) containing the parameters in accordance with which it desires the Shares to be sold, which shall at a minimum include the number of shares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may be amended from time to time. The Placement Notice shall be effective upon receipt by the Agent unless and until (i) in accordance with the notice requirements set forth in Section 2(a)(iii) of this Agreement, the Agent declines to accept the terms contained therein for any reason, in its sole discretion, (ii) the entire amount of the Shares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Agent in connection with 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any day on which the Company’s Common Stock is purchased and sold on the principal market on which the Common Stock is listed or quoted.</w:t>
      </w:r>
    </w:p>
    <w:p>
      <w:pPr>
        <w:spacing w:after="0" w:line="73" w:lineRule="exact"/>
        <w:rPr>
          <w:rFonts w:ascii="Arial" w:cs="Arial" w:eastAsia="Arial" w:hAnsi="Arial"/>
          <w:sz w:val="16"/>
          <w:szCs w:val="16"/>
          <w:color w:val="auto"/>
        </w:rPr>
      </w:pPr>
    </w:p>
    <w:p>
      <w:pPr>
        <w:ind w:left="-20" w:firstLine="408"/>
        <w:spacing w:after="0" w:line="259" w:lineRule="auto"/>
        <w:tabs>
          <w:tab w:leader="none" w:pos="7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Stock sold by the Agent under this Section 2(a) at the time of such sale.</w:t>
      </w:r>
    </w:p>
    <w:p>
      <w:pPr>
        <w:spacing w:after="0" w:line="78" w:lineRule="exact"/>
        <w:rPr>
          <w:rFonts w:ascii="Arial" w:cs="Arial" w:eastAsia="Arial" w:hAnsi="Arial"/>
          <w:sz w:val="18"/>
          <w:szCs w:val="18"/>
          <w:color w:val="auto"/>
        </w:rPr>
      </w:pPr>
    </w:p>
    <w:p>
      <w:pPr>
        <w:ind w:left="-20" w:right="80" w:firstLine="408"/>
        <w:spacing w:after="0" w:line="287" w:lineRule="auto"/>
        <w:tabs>
          <w:tab w:leader="none" w:pos="8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or a duly authorized committee thereof and notified to the Agent in writing. In addition, the Company or the Agent may, upon notice to the other party hereto by telephone (confirmed promptly by email), suspend the offering of the Shares, whereupon the Agent shall so suspend the offering of Shares until further notice is provided to the other party to the contrary;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suspension or termination shall not affect or impair the parties’ respective obligations with respect to the Shares sold 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 (iii) the Agent shall not be obligated to sell or offer to sell any Shares.</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00"/>
          </w:cols>
          <w:pgMar w:left="1440" w:top="274" w:right="459" w:bottom="1440" w:gutter="0" w:footer="0" w:header="0"/>
        </w:sectPr>
      </w:pPr>
    </w:p>
    <w:bookmarkStart w:id="78" w:name="page79"/>
    <w:bookmarkEnd w:id="78"/>
    <w:p>
      <w:pPr>
        <w:ind w:left="-7" w:firstLine="408"/>
        <w:spacing w:after="0" w:line="296" w:lineRule="auto"/>
        <w:tabs>
          <w:tab w:leader="none" w:pos="833" w:val="left"/>
        </w:tabs>
        <w:numPr>
          <w:ilvl w:val="1"/>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terms of the Placement Notice, the Agent may sell the Shares by any method permitted by law and deemed to be an “at the market offering” as defined in Rule 415(a)(4) under the Securities Act, including sales made directly on or through an Exchange. Subject to the terms of any Placement Notice, the Agent may also sell Shares in negotiated transactions at market prices prevailing at the time of sale or at prices related to such prevailing market prices and/or any other method permitted by law and deemed to be an “at the market offering” as defined in Rule 415(a)(4) under the Securities Act, subject to the prior written consent of the Company.</w:t>
      </w:r>
    </w:p>
    <w:p>
      <w:pPr>
        <w:spacing w:after="0" w:line="53" w:lineRule="exact"/>
        <w:rPr>
          <w:rFonts w:ascii="Arial" w:cs="Arial" w:eastAsia="Arial" w:hAnsi="Arial"/>
          <w:sz w:val="16"/>
          <w:szCs w:val="16"/>
          <w:color w:val="auto"/>
        </w:rPr>
      </w:pPr>
    </w:p>
    <w:p>
      <w:pPr>
        <w:ind w:left="-7" w:right="40" w:firstLine="408"/>
        <w:spacing w:after="0" w:line="254" w:lineRule="auto"/>
        <w:tabs>
          <w:tab w:leader="none" w:pos="7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compensation to the Agent for sales of the Shares, as an agent of the Company, shall be 3.0% of the gross sales price of the Shares sold pursuant to this Section 2(a), payable in cash (the </w:t>
      </w:r>
      <w:r>
        <w:rPr>
          <w:rFonts w:ascii="Arial" w:cs="Arial" w:eastAsia="Arial" w:hAnsi="Arial"/>
          <w:sz w:val="18"/>
          <w:szCs w:val="18"/>
          <w:b w:val="1"/>
          <w:bCs w:val="1"/>
          <w:i w:val="1"/>
          <w:iCs w:val="1"/>
          <w:color w:val="auto"/>
        </w:rPr>
        <w:t>“Sales Commission”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combined Sales Commission and reimbursement of the Agent for its out-of-pocket expenses pursuant to Section 3(g), including reasonable fees and disbursements of the Agent’s counsel, shall not exceed 8.0% of the gross sales price of the Shares. The remaining proceeds, after 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Proceeds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7" w:right="80" w:firstLine="408"/>
        <w:spacing w:after="0" w:line="301" w:lineRule="auto"/>
        <w:tabs>
          <w:tab w:leader="none" w:pos="830"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The Agent will provide written confirmation to the Company (including by email correspondence to each of the individuals of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no later than the opening of the Trading Day immediately following the Trading Day on which it has made sales of Shares hereunder, setting forth the number of Shares sold on such day, the volume-weighted average price of the Shares sold, the Net Proceeds payable to the Company and the compensation payable by the Company to the Agent with respect to such sales.</w:t>
      </w:r>
    </w:p>
    <w:p>
      <w:pPr>
        <w:spacing w:after="0" w:line="49" w:lineRule="exact"/>
        <w:rPr>
          <w:rFonts w:ascii="Arial" w:cs="Arial" w:eastAsia="Arial" w:hAnsi="Arial"/>
          <w:sz w:val="16"/>
          <w:szCs w:val="16"/>
          <w:color w:val="auto"/>
        </w:rPr>
      </w:pPr>
    </w:p>
    <w:p>
      <w:pPr>
        <w:ind w:left="-7" w:right="40" w:firstLine="408"/>
        <w:spacing w:after="0" w:line="283" w:lineRule="auto"/>
        <w:tabs>
          <w:tab w:leader="none" w:pos="873"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Shares sold pursuant to this Section 2(a) will be delivered by the Company to the Agent for the account of the Agent, against payment of the Net Proceeds therefor, by wire transfer of same-day funds payable to the order of the Company at the offices of Piper Sandler &amp; Co., U.S. Bancorp Center, 800 Nicollet Mall, Minneapolis, Minnesota 55402, or such other location as may be mutually acceptable, at 9:00 a.m. Central Time on the second full business day following the date on which such Shares are sold, or at such other time and date as the Agent and the Company determine pursuant to Rule 15c6-1(a) under the Exchange Act, each such time and date of delivery being herein referred to as a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If the Agent so elects, delivery of the Shares may be made by credit through full fast transfer to an account or accounts at The Depository Trust Company designated by the Agent. On each Settlement Date, the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through no fault of the Agent, the Company agrees that in addition to and in no way limiting the rights and obligations set forth in Section 5 hereto, it will (i) hold the Agent harmless against any loss, claim, damage, or expense (including reasonable and documented legal fees and expenses), as incurred, arising out of or in connection with such default by the Company,</w:t>
      </w:r>
    </w:p>
    <w:p>
      <w:pPr>
        <w:spacing w:after="0" w:line="2" w:lineRule="exact"/>
        <w:rPr>
          <w:rFonts w:ascii="Arial" w:cs="Arial" w:eastAsia="Arial" w:hAnsi="Arial"/>
          <w:sz w:val="16"/>
          <w:szCs w:val="16"/>
          <w:color w:val="auto"/>
        </w:rPr>
      </w:pPr>
    </w:p>
    <w:p>
      <w:pPr>
        <w:ind w:left="-7" w:right="200" w:firstLine="7"/>
        <w:spacing w:after="0" w:line="290" w:lineRule="auto"/>
        <w:tabs>
          <w:tab w:leader="none" w:pos="257"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reimburse the Agent for any losses incurred by the Agent attributable, directly or indirectly, to such default and (iii) pay to the Agent any commission or other compensation to which the Agent would otherwise have been entitled absent such default.</w:t>
      </w:r>
    </w:p>
    <w:p>
      <w:pPr>
        <w:spacing w:after="0" w:line="94"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13"/>
          </w:cols>
          <w:pgMar w:left="1427" w:top="274" w:right="459" w:bottom="1440" w:gutter="0" w:footer="0" w:header="0"/>
        </w:sectPr>
      </w:pPr>
    </w:p>
    <w:bookmarkStart w:id="79" w:name="page80"/>
    <w:bookmarkEnd w:id="79"/>
    <w:p>
      <w:pPr>
        <w:ind w:left="4" w:firstLine="987"/>
        <w:spacing w:after="0" w:line="255" w:lineRule="auto"/>
        <w:tabs>
          <w:tab w:leader="none" w:pos="1385" w:val="left"/>
        </w:tabs>
        <w:numPr>
          <w:ilvl w:val="2"/>
          <w:numId w:val="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Maximum Amount</w:t>
      </w:r>
      <w:r>
        <w:rPr>
          <w:rFonts w:ascii="Arial" w:cs="Arial" w:eastAsia="Arial" w:hAnsi="Arial"/>
          <w:sz w:val="18"/>
          <w:szCs w:val="18"/>
          <w:color w:val="auto"/>
        </w:rPr>
        <w:t>. Under no circumstances shall the aggregate number or aggregate value of the Shares sold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exceed: (i) the aggregate number and aggregate dollar amount of shares of Common Stock available for issuance under the Registration Statement (including any limit set forth in General Instruction I.B.6 thereof, if applicable), (ii) the aggregate number of authorized but unissued shares of Common Stock that are available for issuance under the Company’s certificate of incorporation or (iii) the aggregate number or aggregate dollar amount of shares of Common Stock for which the Company has filed any Prospectus or prospectus supplement in connection with the Shares (the lesser of (i), (ii), (iii) and (iv)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Maximum Amount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1364" w:hanging="373"/>
        <w:spacing w:after="0"/>
        <w:tabs>
          <w:tab w:leader="none" w:pos="1364" w:val="left"/>
        </w:tabs>
        <w:numPr>
          <w:ilvl w:val="2"/>
          <w:numId w:val="62"/>
        </w:numPr>
        <w:rPr>
          <w:rFonts w:ascii="Arial" w:cs="Arial" w:eastAsia="Arial" w:hAnsi="Arial"/>
          <w:sz w:val="16"/>
          <w:szCs w:val="16"/>
          <w:color w:val="auto"/>
        </w:rPr>
      </w:pPr>
      <w:r>
        <w:rPr>
          <w:rFonts w:ascii="Arial" w:cs="Arial" w:eastAsia="Arial" w:hAnsi="Arial"/>
          <w:sz w:val="16"/>
          <w:szCs w:val="16"/>
          <w:i w:val="1"/>
          <w:iCs w:val="1"/>
          <w:color w:val="auto"/>
        </w:rPr>
        <w:t>No Association or Partnership</w:t>
      </w:r>
      <w:r>
        <w:rPr>
          <w:rFonts w:ascii="Arial" w:cs="Arial" w:eastAsia="Arial" w:hAnsi="Arial"/>
          <w:sz w:val="16"/>
          <w:szCs w:val="16"/>
          <w:color w:val="auto"/>
        </w:rPr>
        <w:t>. Nothing herein contained shall constitute the Agent as an unincorporated association or partner with</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102" w:lineRule="exact"/>
        <w:rPr>
          <w:rFonts w:ascii="Arial" w:cs="Arial" w:eastAsia="Arial" w:hAnsi="Arial"/>
          <w:sz w:val="16"/>
          <w:szCs w:val="16"/>
          <w:color w:val="auto"/>
        </w:rPr>
      </w:pPr>
    </w:p>
    <w:p>
      <w:pPr>
        <w:ind w:left="4" w:right="260" w:firstLine="987"/>
        <w:spacing w:after="0" w:line="277" w:lineRule="auto"/>
        <w:tabs>
          <w:tab w:leader="none" w:pos="1385" w:val="left"/>
        </w:tabs>
        <w:numPr>
          <w:ilvl w:val="2"/>
          <w:numId w:val="62"/>
        </w:numPr>
        <w:rPr>
          <w:rFonts w:ascii="Arial" w:cs="Arial" w:eastAsia="Arial" w:hAnsi="Arial"/>
          <w:sz w:val="18"/>
          <w:szCs w:val="18"/>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Under no circumstances shall any Shares be sold pursuant to this Agreement after the date which is three years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is first declared effective by the Commission.</w:t>
      </w:r>
    </w:p>
    <w:p>
      <w:pPr>
        <w:spacing w:after="0" w:line="62" w:lineRule="exact"/>
        <w:rPr>
          <w:rFonts w:ascii="Arial" w:cs="Arial" w:eastAsia="Arial" w:hAnsi="Arial"/>
          <w:sz w:val="18"/>
          <w:szCs w:val="18"/>
          <w:color w:val="auto"/>
        </w:rPr>
      </w:pPr>
    </w:p>
    <w:p>
      <w:pPr>
        <w:ind w:left="4" w:right="80" w:firstLine="987"/>
        <w:spacing w:after="0" w:line="293" w:lineRule="auto"/>
        <w:tabs>
          <w:tab w:leader="none" w:pos="1375" w:val="left"/>
        </w:tabs>
        <w:numPr>
          <w:ilvl w:val="2"/>
          <w:numId w:val="62"/>
        </w:numPr>
        <w:rPr>
          <w:rFonts w:ascii="Arial" w:cs="Arial" w:eastAsia="Arial" w:hAnsi="Arial"/>
          <w:sz w:val="16"/>
          <w:szCs w:val="16"/>
          <w:color w:val="auto"/>
        </w:rPr>
      </w:pPr>
      <w:r>
        <w:rPr>
          <w:rFonts w:ascii="Arial" w:cs="Arial" w:eastAsia="Arial" w:hAnsi="Arial"/>
          <w:sz w:val="16"/>
          <w:szCs w:val="16"/>
          <w:i w:val="1"/>
          <w:iCs w:val="1"/>
          <w:color w:val="auto"/>
        </w:rPr>
        <w:t>Market Transactions by Agent</w:t>
      </w:r>
      <w:r>
        <w:rPr>
          <w:rFonts w:ascii="Arial" w:cs="Arial" w:eastAsia="Arial" w:hAnsi="Arial"/>
          <w:sz w:val="16"/>
          <w:szCs w:val="16"/>
          <w:color w:val="auto"/>
        </w:rPr>
        <w:t>. The Company acknowledges and agrees that the Agent has informed the Company that the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to the extent permitted under the Securities Act, the Exchange Act and this Agreement, purchase and sell shares of Common Stock for its own account while this Agreement is in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Stock for the account of any of its clients at the same time as sales of the Shares occur pursuant to this Agreement.</w:t>
      </w:r>
    </w:p>
    <w:p>
      <w:pPr>
        <w:spacing w:after="0" w:line="164" w:lineRule="exact"/>
        <w:rPr>
          <w:rFonts w:ascii="Arial" w:cs="Arial" w:eastAsia="Arial" w:hAnsi="Arial"/>
          <w:sz w:val="16"/>
          <w:szCs w:val="16"/>
          <w:color w:val="auto"/>
        </w:rPr>
      </w:pPr>
    </w:p>
    <w:p>
      <w:pPr>
        <w:ind w:left="764" w:hanging="324"/>
        <w:spacing w:after="0"/>
        <w:tabs>
          <w:tab w:leader="none" w:pos="764" w:val="left"/>
        </w:tabs>
        <w:numPr>
          <w:ilvl w:val="1"/>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color w:val="auto"/>
        </w:rPr>
        <w:t>. The Company covenants and agrees with the Agent as follows:</w:t>
      </w:r>
    </w:p>
    <w:p>
      <w:pPr>
        <w:spacing w:after="0" w:line="117" w:lineRule="exact"/>
        <w:rPr>
          <w:rFonts w:ascii="Arial" w:cs="Arial" w:eastAsia="Arial" w:hAnsi="Arial"/>
          <w:sz w:val="18"/>
          <w:szCs w:val="18"/>
          <w:b w:val="1"/>
          <w:bCs w:val="1"/>
          <w:i w:val="1"/>
          <w:iCs w:val="1"/>
          <w:color w:val="auto"/>
        </w:rPr>
      </w:pPr>
    </w:p>
    <w:p>
      <w:pPr>
        <w:ind w:left="4" w:right="20" w:firstLine="987"/>
        <w:spacing w:after="0" w:line="283" w:lineRule="auto"/>
        <w:tabs>
          <w:tab w:leader="none" w:pos="1375" w:val="left"/>
        </w:tabs>
        <w:numPr>
          <w:ilvl w:val="2"/>
          <w:numId w:val="63"/>
        </w:numPr>
        <w:rPr>
          <w:rFonts w:ascii="Arial" w:cs="Arial" w:eastAsia="Arial" w:hAnsi="Arial"/>
          <w:sz w:val="16"/>
          <w:szCs w:val="16"/>
          <w:color w:val="auto"/>
        </w:rPr>
      </w:pPr>
      <w:r>
        <w:rPr>
          <w:rFonts w:ascii="Arial" w:cs="Arial" w:eastAsia="Arial" w:hAnsi="Arial"/>
          <w:sz w:val="16"/>
          <w:szCs w:val="16"/>
          <w:i w:val="1"/>
          <w:iCs w:val="1"/>
          <w:color w:val="auto"/>
        </w:rPr>
        <w:t>Amendments to Registration Statement and Prospectus</w:t>
      </w:r>
      <w:r>
        <w:rPr>
          <w:rFonts w:ascii="Arial" w:cs="Arial" w:eastAsia="Arial" w:hAnsi="Arial"/>
          <w:sz w:val="16"/>
          <w:szCs w:val="16"/>
          <w:color w:val="auto"/>
        </w:rPr>
        <w:t>. After the date of this Agreement and during any period in which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of the Agent to make such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the failure of the Agent to make such objection shall not relieve the Company of any obligation or liability hereunder, or affect the Agent’s right to rely on the representations and warranties made by the Company in this Agreement),</w:t>
      </w:r>
    </w:p>
    <w:p>
      <w:pPr>
        <w:spacing w:after="0" w:line="1" w:lineRule="exact"/>
        <w:rPr>
          <w:rFonts w:ascii="Arial" w:cs="Arial" w:eastAsia="Arial" w:hAnsi="Arial"/>
          <w:sz w:val="16"/>
          <w:szCs w:val="16"/>
          <w:color w:val="auto"/>
        </w:rPr>
      </w:pPr>
    </w:p>
    <w:p>
      <w:pPr>
        <w:ind w:left="4" w:right="120" w:hanging="4"/>
        <w:spacing w:after="0" w:line="260" w:lineRule="auto"/>
        <w:tabs>
          <w:tab w:leader="none" w:pos="2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no obligation to provide the Agent any advance copy of such filing or to provide the Agent an opportunity to object to such filing if the filing does not name the Agent or does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80" w:name="page81"/>
    <w:bookmarkEnd w:id="8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furnish to the Agent at the time of filing thereof a copy of any document that upon filing is deemed to be incorporated by reference into the Registration Statement or Prospectus, except for those documents available via EDGAR; and (v) cause each amendment or supplement to the Prospectus, other than documents incorporated by reference, to be filed with the Commission as required pursuant to the applicable paragraph of Rule 424(b) of the Securities Act. Notwithstanding the foregoing, in the alternative the Company may suspend or terminate the pending Placement Notice, upon written notice to the Agent and delay the filing of any amendment or supplement, if in the judgment of the Company, it is in the best interest of the Company; provided that if such suspension or termination of the pending Placement Notice shall occur prior to the Settlement Date for any sale of Shares, such Shares shall settle in accordance with the provisions of this Agreement.</w:t>
      </w:r>
    </w:p>
    <w:p>
      <w:pPr>
        <w:spacing w:after="0" w:line="58" w:lineRule="exact"/>
        <w:rPr>
          <w:sz w:val="20"/>
          <w:szCs w:val="20"/>
          <w:color w:val="auto"/>
        </w:rPr>
      </w:pPr>
    </w:p>
    <w:p>
      <w:pPr>
        <w:ind w:right="200" w:firstLine="987"/>
        <w:spacing w:after="0" w:line="257" w:lineRule="auto"/>
        <w:tabs>
          <w:tab w:leader="none" w:pos="138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Stop Order</w:t>
      </w:r>
      <w:r>
        <w:rPr>
          <w:rFonts w:ascii="Arial" w:cs="Arial" w:eastAsia="Arial" w:hAnsi="Arial"/>
          <w:sz w:val="18"/>
          <w:szCs w:val="18"/>
          <w:color w:val="auto"/>
        </w:rPr>
        <w:t>. The Company will advise the Agent, promptly after it receives notice or obtains knowledge thereof, of the issuance or</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79" w:lineRule="exact"/>
        <w:rPr>
          <w:rFonts w:ascii="Arial" w:cs="Arial" w:eastAsia="Arial" w:hAnsi="Arial"/>
          <w:sz w:val="18"/>
          <w:szCs w:val="18"/>
          <w:color w:val="auto"/>
        </w:rPr>
      </w:pPr>
    </w:p>
    <w:p>
      <w:pPr>
        <w:ind w:right="20" w:firstLine="987"/>
        <w:spacing w:after="0" w:line="286" w:lineRule="auto"/>
        <w:tabs>
          <w:tab w:leader="none" w:pos="1371"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Continuing Amendments</w:t>
      </w:r>
      <w:r>
        <w:rPr>
          <w:rFonts w:ascii="Arial" w:cs="Arial" w:eastAsia="Arial" w:hAnsi="Arial"/>
          <w:sz w:val="16"/>
          <w:szCs w:val="16"/>
          <w:color w:val="auto"/>
        </w:rPr>
        <w:t>. During any period in which a Prospectus relating to the Shares is required to be delivered by the Agent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 (it being acknowledged that the Company may delay the filing of any amendment or supplement, if, in the judgment of the Company, it is in the best interest of the Company); provided that if such suspension shall occur prior to the Settlement Date for any sale of Shares, such Shares shall settle in accordance with the provisions of this Agreement.</w:t>
      </w:r>
    </w:p>
    <w:p>
      <w:pPr>
        <w:spacing w:after="0" w:line="65" w:lineRule="exact"/>
        <w:rPr>
          <w:rFonts w:ascii="Arial" w:cs="Arial" w:eastAsia="Arial" w:hAnsi="Arial"/>
          <w:sz w:val="16"/>
          <w:szCs w:val="16"/>
          <w:color w:val="auto"/>
        </w:rPr>
      </w:pPr>
    </w:p>
    <w:p>
      <w:pPr>
        <w:ind w:firstLine="987"/>
        <w:spacing w:after="0" w:line="255" w:lineRule="auto"/>
        <w:tabs>
          <w:tab w:leader="none" w:pos="138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Qualification of the Shares</w:t>
      </w:r>
      <w:r>
        <w:rPr>
          <w:rFonts w:ascii="Arial" w:cs="Arial" w:eastAsia="Arial" w:hAnsi="Arial"/>
          <w:sz w:val="18"/>
          <w:szCs w:val="18"/>
          <w:color w:val="auto"/>
        </w:rPr>
        <w:t>. The Company shall take or cause to be taken all necessary action to qualify the Shares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such jurisdictions in the United States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84" w:lineRule="exact"/>
        <w:rPr>
          <w:rFonts w:ascii="Arial" w:cs="Arial" w:eastAsia="Arial" w:hAnsi="Arial"/>
          <w:sz w:val="18"/>
          <w:szCs w:val="18"/>
          <w:color w:val="auto"/>
        </w:rPr>
      </w:pPr>
    </w:p>
    <w:p>
      <w:pPr>
        <w:ind w:right="80" w:firstLine="987"/>
        <w:spacing w:after="0" w:line="263" w:lineRule="auto"/>
        <w:tabs>
          <w:tab w:leader="none" w:pos="1371"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Copies of Registration Statement and Prospectus</w:t>
      </w:r>
      <w:r>
        <w:rPr>
          <w:rFonts w:ascii="Arial" w:cs="Arial" w:eastAsia="Arial" w:hAnsi="Arial"/>
          <w:sz w:val="18"/>
          <w:szCs w:val="18"/>
          <w:color w:val="auto"/>
        </w:rPr>
        <w:t>. The Company will furnish to the Agent and counsel for the Agent copies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Prospectus and all amendments and supplements to such documents, in each case as soon as available and in such quantities as the Agent may from time to time reasonably request.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81" w:name="page82"/>
    <w:bookmarkEnd w:id="81"/>
    <w:p>
      <w:pPr>
        <w:ind w:left="4" w:right="40" w:firstLine="987"/>
        <w:spacing w:after="0" w:line="259" w:lineRule="auto"/>
        <w:tabs>
          <w:tab w:leader="none" w:pos="1355"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11(a)</w:t>
      </w:r>
      <w:r>
        <w:rPr>
          <w:rFonts w:ascii="Arial" w:cs="Arial" w:eastAsia="Arial" w:hAnsi="Arial"/>
          <w:sz w:val="18"/>
          <w:szCs w:val="18"/>
          <w:color w:val="auto"/>
        </w:rPr>
        <w:t>. The Company will make generally available to its security holders as soon as practicable an earnings statement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need not be audited) covering a 12-month period that shall satisfy the provisions of Section 11(a) of the Securities Act and Rule 158 promulgated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be deemed to have furnished such statement to its security holders to the extent it is filed on EDGAR or any successor system.</w:t>
      </w:r>
    </w:p>
    <w:p>
      <w:pPr>
        <w:spacing w:after="0" w:line="78" w:lineRule="exact"/>
        <w:rPr>
          <w:rFonts w:ascii="Arial" w:cs="Arial" w:eastAsia="Arial" w:hAnsi="Arial"/>
          <w:sz w:val="18"/>
          <w:szCs w:val="18"/>
          <w:color w:val="auto"/>
        </w:rPr>
      </w:pPr>
    </w:p>
    <w:p>
      <w:pPr>
        <w:ind w:left="4" w:right="40" w:firstLine="987"/>
        <w:spacing w:after="0" w:line="285" w:lineRule="auto"/>
        <w:tabs>
          <w:tab w:leader="none" w:pos="1385"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whether or not the transactions contemplated hereunder are consummated or this Agreement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will pay or cause to be paid (i) all expenses (including stock or transfer taxes and stamp or similar duties allocated to the respective transferees) incurred in connection with the registration, issue, sale and delivery of the Shares, (ii)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underwriting documents or closing documents, including Blue Sky Memoranda (covering the states and other applicable jurisdictions) and including the cost to furnish copies of each thereof to the Agent, (iii) all filing fees, (iv) the reasonable and documented fees and disbursements of the Agent’s counsel incurred in connection with the qualification of the Shares for offering and sale by the Agent or by dealers under the securities or blue sky laws of the states and other jurisdictions which the Agent shall designate, (v) the fees and expenses of any transfer agent or registrar, (vi) the filing fees and reasonable and documented fees and disbursements of the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 (ix) all other reasonable costs and expenses incident to the performance of its obligations hereunder that are not otherwise specifically provided for herein. In addition to (iv) and (vi) above, the Company shall reimburse the Agent for its out-of-pocket expenses, including reasonable fees and disbursements of the Agent’s counsel in connection with this Agreement, the Registration Statement, the Prospectus and ongoing services in connection with the transactions contemplated hereunder, in an amount which, taken together with the fees and disbursement of Agent’s counsel under clause (iv) of this paragraph, shall not exceed $50,000.</w:t>
      </w:r>
    </w:p>
    <w:p>
      <w:pPr>
        <w:spacing w:after="0" w:line="65" w:lineRule="exact"/>
        <w:rPr>
          <w:rFonts w:ascii="Arial" w:cs="Arial" w:eastAsia="Arial" w:hAnsi="Arial"/>
          <w:sz w:val="16"/>
          <w:szCs w:val="16"/>
          <w:color w:val="auto"/>
        </w:rPr>
      </w:pPr>
    </w:p>
    <w:p>
      <w:pPr>
        <w:ind w:left="1384" w:hanging="393"/>
        <w:spacing w:after="0"/>
        <w:tabs>
          <w:tab w:leader="none" w:pos="1384"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apply the net proceeds from the sale of the Shares in the manner described in the Prospectus.</w:t>
      </w:r>
    </w:p>
    <w:p>
      <w:pPr>
        <w:spacing w:after="0" w:line="140" w:lineRule="exact"/>
        <w:rPr>
          <w:rFonts w:ascii="Arial" w:cs="Arial" w:eastAsia="Arial" w:hAnsi="Arial"/>
          <w:sz w:val="16"/>
          <w:szCs w:val="16"/>
          <w:color w:val="auto"/>
        </w:rPr>
      </w:pPr>
    </w:p>
    <w:p>
      <w:pPr>
        <w:ind w:left="4" w:right="20" w:firstLine="987"/>
        <w:spacing w:after="0" w:line="287" w:lineRule="auto"/>
        <w:tabs>
          <w:tab w:leader="none" w:pos="1345"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Restrictions on Future Sales</w:t>
      </w:r>
      <w:r>
        <w:rPr>
          <w:rFonts w:ascii="Arial" w:cs="Arial" w:eastAsia="Arial" w:hAnsi="Arial"/>
          <w:sz w:val="16"/>
          <w:szCs w:val="16"/>
          <w:color w:val="auto"/>
        </w:rPr>
        <w:t>. Unless a waiver applies under section 3(o) hereof, without the written consent of the Agent,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beginning on the third Trading Day immediately prior to the date on which any Placement Notice is delivered to the Agent hereunder and ending on the third Trading Day immediately following the earlier of (x) the Settlement Date with respect to Shares sold pursuant to such Placement Notice and</w:t>
      </w:r>
    </w:p>
    <w:p>
      <w:pPr>
        <w:spacing w:after="0" w:line="2" w:lineRule="exact"/>
        <w:rPr>
          <w:rFonts w:ascii="Arial" w:cs="Arial" w:eastAsia="Arial" w:hAnsi="Arial"/>
          <w:sz w:val="16"/>
          <w:szCs w:val="16"/>
          <w:color w:val="auto"/>
        </w:rPr>
      </w:pPr>
    </w:p>
    <w:p>
      <w:pPr>
        <w:ind w:left="4" w:hanging="4"/>
        <w:spacing w:after="0" w:line="288" w:lineRule="auto"/>
        <w:tabs>
          <w:tab w:leader="none" w:pos="2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termination or suspension by the Company of such Placement Notice, the Company will not, offer for 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 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the issuance or sale of shares through any dividend reinvestment and stock purchase</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82" w:name="page83"/>
    <w:bookmarkEnd w:id="8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of the Company described in or incorporated by reference in the Registration Statement and Prospectus, (iii) issuance or sale of shares of restricted stock, restricted stock units, options and other equity awards granted pursuant to any employee or director share option, incentive or benefit plan, long-term incentive plan, inducement award under Nasdaq rules or other compensation plan of the Company, whether now in effect or hereafter implemented, disclosed in filings by the Company available on EDGAR or any successor system (or, in the case of an inducement award under Nasdaq rules, disclosed by press release) and incorporated by reference in the Registration Statement and Prospectus, and the Common Stock issuable upon the exercise of such outstanding options or vesting of such restricted stock units, (iv) the issuance of shares pursuant to the exercise of warrants (v) the filing of registration statements on Form S-8, (vi) sales of shares of Common Stock or securities convertible into or exchangeable for shares of Common Stock as consideration for mergers, acquisitions, other business combinations, joint ventures or strategic alliances, marketing or distribution arrangements, collaboration agreements, co-promotion agreements or intellectual property license agreements occurring after the date of this Agreement which are not for the primary purpose of capital raising, and (vii) modification of any outstanding options, warrants or any rights to purchase or acquire shares of Common Stock.</w:t>
      </w:r>
    </w:p>
    <w:p>
      <w:pPr>
        <w:spacing w:after="0" w:line="74" w:lineRule="exact"/>
        <w:rPr>
          <w:sz w:val="20"/>
          <w:szCs w:val="20"/>
          <w:color w:val="auto"/>
        </w:rPr>
      </w:pPr>
    </w:p>
    <w:p>
      <w:pPr>
        <w:ind w:right="60" w:firstLine="987"/>
        <w:spacing w:after="0" w:line="271" w:lineRule="auto"/>
        <w:tabs>
          <w:tab w:leader="none" w:pos="1341"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No Stabilization or Manipulation</w:t>
      </w:r>
      <w:r>
        <w:rPr>
          <w:rFonts w:ascii="Arial" w:cs="Arial" w:eastAsia="Arial" w:hAnsi="Arial"/>
          <w:sz w:val="17"/>
          <w:szCs w:val="17"/>
          <w:color w:val="auto"/>
        </w:rPr>
        <w:t>. The Company has not taken and will not take, directly or indirectly, any action designed to,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might reasonably be expected to cause or result in, or which constitutes: (i) the stabilization or manipulation of the price of the Common Stock or any other security of the Company to facilitate the sale or resale of the Shares, (ii) a violation of Regulation M. The Company shall notify the Agent of any violation of Regulation M by the Company or any of its subsidiaries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Arial" w:cs="Arial" w:eastAsia="Arial" w:hAnsi="Arial"/>
          <w:sz w:val="17"/>
          <w:szCs w:val="17"/>
          <w:b w:val="1"/>
          <w:bCs w:val="1"/>
          <w:i w:val="1"/>
          <w:iCs w:val="1"/>
          <w:color w:val="auto"/>
        </w:rPr>
        <w:t>“Commodity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or otherwise complies with the Commodity Act. The Company will not engage in any activities bearing on the Commodity Act, unless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are exempt from the Commodity Act or otherwise comply with the Commodity Act.</w:t>
      </w:r>
    </w:p>
    <w:p>
      <w:pPr>
        <w:spacing w:after="0" w:line="70" w:lineRule="exact"/>
        <w:rPr>
          <w:rFonts w:ascii="Arial" w:cs="Arial" w:eastAsia="Arial" w:hAnsi="Arial"/>
          <w:sz w:val="17"/>
          <w:szCs w:val="17"/>
          <w:color w:val="auto"/>
        </w:rPr>
      </w:pPr>
    </w:p>
    <w:p>
      <w:pPr>
        <w:ind w:right="60" w:firstLine="987"/>
        <w:spacing w:after="0" w:line="277" w:lineRule="auto"/>
        <w:tabs>
          <w:tab w:leader="none" w:pos="138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Other Broker</w:t>
      </w:r>
      <w:r>
        <w:rPr>
          <w:rFonts w:ascii="Arial" w:cs="Arial" w:eastAsia="Arial" w:hAnsi="Arial"/>
          <w:sz w:val="18"/>
          <w:szCs w:val="18"/>
          <w:color w:val="auto"/>
        </w:rPr>
        <w:t>. The Company will not incur any liability for any finder’s or broker’s fee or agent’s commission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and delivery of this Agreement, or the consummation of the transactions contemplated hereby.</w:t>
      </w:r>
    </w:p>
    <w:p>
      <w:pPr>
        <w:spacing w:after="0" w:line="62" w:lineRule="exact"/>
        <w:rPr>
          <w:rFonts w:ascii="Arial" w:cs="Arial" w:eastAsia="Arial" w:hAnsi="Arial"/>
          <w:sz w:val="18"/>
          <w:szCs w:val="18"/>
          <w:color w:val="auto"/>
        </w:rPr>
      </w:pPr>
    </w:p>
    <w:p>
      <w:pPr>
        <w:ind w:right="300" w:firstLine="987"/>
        <w:spacing w:after="0" w:line="263" w:lineRule="auto"/>
        <w:tabs>
          <w:tab w:leader="none" w:pos="134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Timely Securities Act and Exchange Act Reports</w:t>
      </w:r>
      <w:r>
        <w:rPr>
          <w:rFonts w:ascii="Arial" w:cs="Arial" w:eastAsia="Arial" w:hAnsi="Arial"/>
          <w:sz w:val="18"/>
          <w:szCs w:val="18"/>
          <w:color w:val="auto"/>
        </w:rPr>
        <w:t>. During any prospectus delivery period, the Company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file on a timely basis with the Commission such periodic and special reports as required by the Securities Act and the Exchange Act.</w:t>
      </w:r>
    </w:p>
    <w:p>
      <w:pPr>
        <w:spacing w:after="0" w:line="75" w:lineRule="exact"/>
        <w:rPr>
          <w:rFonts w:ascii="Arial" w:cs="Arial" w:eastAsia="Arial" w:hAnsi="Arial"/>
          <w:sz w:val="18"/>
          <w:szCs w:val="18"/>
          <w:color w:val="auto"/>
        </w:rPr>
      </w:pPr>
    </w:p>
    <w:p>
      <w:pPr>
        <w:ind w:right="80" w:firstLine="987"/>
        <w:spacing w:after="0" w:line="271" w:lineRule="auto"/>
        <w:tabs>
          <w:tab w:leader="none" w:pos="1431"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Company and its subsidiaries will maintain such controls and other procedures,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70" w:lineRule="exact"/>
        <w:rPr>
          <w:rFonts w:ascii="Arial" w:cs="Arial" w:eastAsia="Arial" w:hAnsi="Arial"/>
          <w:sz w:val="17"/>
          <w:szCs w:val="17"/>
          <w:color w:val="auto"/>
        </w:rPr>
      </w:pPr>
    </w:p>
    <w:p>
      <w:pPr>
        <w:ind w:right="60" w:firstLine="987"/>
        <w:spacing w:after="0" w:line="263" w:lineRule="auto"/>
        <w:tabs>
          <w:tab w:leader="none" w:pos="138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Permitted Free Writing Prospectus</w:t>
      </w:r>
      <w:r>
        <w:rPr>
          <w:rFonts w:ascii="Arial" w:cs="Arial" w:eastAsia="Arial" w:hAnsi="Arial"/>
          <w:sz w:val="18"/>
          <w:szCs w:val="18"/>
          <w:color w:val="auto"/>
        </w:rPr>
        <w:t>. The Company represents and agrees that, unless it obtains the prior written consent of the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Agent severally represents and agrees that, unless it obtains the prior written consent of the Company, it has not made and will not make any offer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83" w:name="page84"/>
    <w:bookmarkEnd w:id="83"/>
    <w:p>
      <w:pPr>
        <w:ind w:left="4"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Arial" w:cs="Arial" w:eastAsia="Arial" w:hAnsi="Arial"/>
          <w:sz w:val="17"/>
          <w:szCs w:val="17"/>
          <w:b w:val="1"/>
          <w:bCs w:val="1"/>
          <w:i w:val="1"/>
          <w:iCs w:val="1"/>
          <w:color w:val="auto"/>
        </w:rPr>
        <w:t>“Permitted Free Writing Prospectus.”</w:t>
      </w:r>
      <w:r>
        <w:rPr>
          <w:rFonts w:ascii="Arial" w:cs="Arial" w:eastAsia="Arial" w:hAnsi="Arial"/>
          <w:sz w:val="17"/>
          <w:szCs w:val="17"/>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70" w:lineRule="exact"/>
        <w:rPr>
          <w:sz w:val="20"/>
          <w:szCs w:val="20"/>
          <w:color w:val="auto"/>
        </w:rPr>
      </w:pPr>
    </w:p>
    <w:p>
      <w:pPr>
        <w:ind w:left="4" w:firstLine="987"/>
        <w:spacing w:after="0" w:line="255" w:lineRule="auto"/>
        <w:tabs>
          <w:tab w:leader="none" w:pos="143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Representation Date and Opinions of Counsel</w:t>
      </w:r>
      <w:r>
        <w:rPr>
          <w:rFonts w:ascii="Arial" w:cs="Arial" w:eastAsia="Arial" w:hAnsi="Arial"/>
          <w:sz w:val="18"/>
          <w:szCs w:val="18"/>
          <w:color w:val="auto"/>
        </w:rPr>
        <w:t>. On or prior to the date of the first Placement Notice, and thereafter during the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each time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or other information “furnished” pursuant to Item 2.02 or 7.01 of Form 8-K) under the Exchange Act, (each of the dates in (A), (B) and (C) are referred to herein as a “</w:t>
      </w:r>
      <w:r>
        <w:rPr>
          <w:rFonts w:ascii="Arial" w:cs="Arial" w:eastAsia="Arial" w:hAnsi="Arial"/>
          <w:sz w:val="18"/>
          <w:szCs w:val="18"/>
          <w:b w:val="1"/>
          <w:bCs w:val="1"/>
          <w:i w:val="1"/>
          <w:iCs w:val="1"/>
          <w:color w:val="auto"/>
        </w:rPr>
        <w:t>Representation Date</w:t>
      </w:r>
      <w:r>
        <w:rPr>
          <w:rFonts w:ascii="Arial" w:cs="Arial" w:eastAsia="Arial" w:hAnsi="Arial"/>
          <w:sz w:val="18"/>
          <w:szCs w:val="18"/>
          <w:color w:val="auto"/>
        </w:rPr>
        <w:t>”), the Company shall cause:</w:t>
      </w:r>
    </w:p>
    <w:p>
      <w:pPr>
        <w:spacing w:after="0" w:line="84" w:lineRule="exact"/>
        <w:rPr>
          <w:rFonts w:ascii="Arial" w:cs="Arial" w:eastAsia="Arial" w:hAnsi="Arial"/>
          <w:sz w:val="18"/>
          <w:szCs w:val="18"/>
          <w:color w:val="auto"/>
        </w:rPr>
      </w:pPr>
    </w:p>
    <w:p>
      <w:pPr>
        <w:ind w:left="984" w:right="40" w:firstLine="408"/>
        <w:spacing w:after="0" w:line="255" w:lineRule="auto"/>
        <w:tabs>
          <w:tab w:leader="none" w:pos="1731" w:val="left"/>
        </w:tabs>
        <w:numPr>
          <w:ilvl w:val="1"/>
          <w:numId w:val="69"/>
        </w:numPr>
        <w:rPr>
          <w:rFonts w:ascii="Arial" w:cs="Arial" w:eastAsia="Arial" w:hAnsi="Arial"/>
          <w:sz w:val="18"/>
          <w:szCs w:val="18"/>
          <w:color w:val="auto"/>
        </w:rPr>
      </w:pPr>
      <w:r>
        <w:rPr>
          <w:rFonts w:ascii="Arial" w:cs="Arial" w:eastAsia="Arial" w:hAnsi="Arial"/>
          <w:sz w:val="18"/>
          <w:szCs w:val="18"/>
          <w:color w:val="auto"/>
        </w:rPr>
        <w:t>Wilmer Cutler Pickering Hale and Dorr LLP, counsel for the Company, to furnish to the Agent the opinion and negative assurance letter of such counsel, dated as of such date and addressed to the Agent, substantially in the form reasonably satisfactory to the Agent (in the case of the first Placement Notice), and, in the case of any subsequent Representation Date with respect to which the Company is obligated to deliver an opinion pursuant to this Section 3(o)(i) for which no waiver is applicable, such counsel shall furnish to the Agent a negative assurance letter, dated as of such date and addressed to the Agent, substantially in the form reasonably satisfactory to the Agent.</w:t>
      </w:r>
    </w:p>
    <w:p>
      <w:pPr>
        <w:spacing w:after="0" w:line="84" w:lineRule="exact"/>
        <w:rPr>
          <w:rFonts w:ascii="Arial" w:cs="Arial" w:eastAsia="Arial" w:hAnsi="Arial"/>
          <w:sz w:val="18"/>
          <w:szCs w:val="18"/>
          <w:color w:val="auto"/>
        </w:rPr>
      </w:pPr>
    </w:p>
    <w:p>
      <w:pPr>
        <w:ind w:left="984" w:right="360" w:firstLine="408"/>
        <w:spacing w:after="0" w:line="263" w:lineRule="auto"/>
        <w:tabs>
          <w:tab w:leader="none" w:pos="1785"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Cooley LLP, intellectual property and patent counsel for the Company, to furnish to the Agent the opinion of such counsel, dated as of such date and addressed to the Agent, in form and substance reasonably satisfactory to the Agent; provided however, the opinion of counsel shall only be required for the first Settlement Date.</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color w:val="auto"/>
        </w:rPr>
        <w:t>Notwithstanding the foregoing, (i) the Company shall be required to furnish no more than one opinion pursuant to Section 3(o)(i) above per annual</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report on Form 10-K and quarterly report on Form 10-Q filed by the Company, and (ii) the requirement to provide counsel opinions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3(o) shall be automatically waived for any Representation Date occurring at a time at which no Placement Notice is pending, which waiver shall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continue until the date the Company delivers a Placement Notice to the Agent. Notwithstanding the foregoing, if the Company subsequently decides to</w:t>
      </w:r>
    </w:p>
    <w:p>
      <w:pPr>
        <w:spacing w:after="0" w:line="32" w:lineRule="exact"/>
        <w:rPr>
          <w:sz w:val="20"/>
          <w:szCs w:val="20"/>
          <w:color w:val="auto"/>
        </w:rPr>
      </w:pPr>
    </w:p>
    <w:p>
      <w:pPr>
        <w:ind w:left="4" w:right="60"/>
        <w:spacing w:after="0" w:line="253" w:lineRule="auto"/>
        <w:rPr>
          <w:sz w:val="20"/>
          <w:szCs w:val="20"/>
          <w:color w:val="auto"/>
        </w:rPr>
      </w:pPr>
      <w:r>
        <w:rPr>
          <w:rFonts w:ascii="Arial" w:cs="Arial" w:eastAsia="Arial" w:hAnsi="Arial"/>
          <w:sz w:val="18"/>
          <w:szCs w:val="18"/>
          <w:color w:val="auto"/>
        </w:rPr>
        <w:t>sell Shares following a Representation Date when the Company relied on such waiver and did not provide the Agent with opinions under this Section 3(o), then before the Agent sells any Shares pursuant to Section 2(a), the Company shall cause the opinions (including the opinion pursuant to Section 3(o) if not delivered on the date of the prior Form 10-K), comfort letter, certificates and documents that would be delivered on a Representation Date to be delivered.</w:t>
      </w:r>
    </w:p>
    <w:p>
      <w:pPr>
        <w:spacing w:after="0" w:line="85" w:lineRule="exact"/>
        <w:rPr>
          <w:sz w:val="20"/>
          <w:szCs w:val="20"/>
          <w:color w:val="auto"/>
        </w:rPr>
      </w:pPr>
    </w:p>
    <w:p>
      <w:pPr>
        <w:ind w:left="4" w:right="200" w:firstLine="987"/>
        <w:spacing w:after="0" w:line="287" w:lineRule="auto"/>
        <w:tabs>
          <w:tab w:leader="none" w:pos="1385"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Representation Date and Comfort Letter</w:t>
      </w:r>
      <w:r>
        <w:rPr>
          <w:rFonts w:ascii="Arial" w:cs="Arial" w:eastAsia="Arial" w:hAnsi="Arial"/>
          <w:sz w:val="16"/>
          <w:szCs w:val="16"/>
          <w:color w:val="auto"/>
        </w:rPr>
        <w:t>. On or prior to the date of the first Placement Notice and thereafter during the term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on each Representation Date to which a waiver does not apply, the Company shall cause Ernst &amp; Young LLP, or other independent accountants satisfactory to the Agent (the “</w:t>
      </w:r>
      <w:r>
        <w:rPr>
          <w:rFonts w:ascii="Arial" w:cs="Arial" w:eastAsia="Arial" w:hAnsi="Arial"/>
          <w:sz w:val="16"/>
          <w:szCs w:val="16"/>
          <w:b w:val="1"/>
          <w:bCs w:val="1"/>
          <w:i w:val="1"/>
          <w:iCs w:val="1"/>
          <w:color w:val="auto"/>
        </w:rPr>
        <w:t>Accountants</w:t>
      </w:r>
      <w:r>
        <w:rPr>
          <w:rFonts w:ascii="Arial" w:cs="Arial" w:eastAsia="Arial" w:hAnsi="Arial"/>
          <w:sz w:val="16"/>
          <w:szCs w:val="16"/>
          <w:color w:val="auto"/>
        </w:rPr>
        <w:t>”), to deliver to the Agent a letter, dated as of such date and addressed to the Agent,</w:t>
      </w:r>
    </w:p>
    <w:p>
      <w:pPr>
        <w:spacing w:after="0" w:line="2" w:lineRule="exact"/>
        <w:rPr>
          <w:rFonts w:ascii="Arial" w:cs="Arial" w:eastAsia="Arial" w:hAnsi="Arial"/>
          <w:sz w:val="16"/>
          <w:szCs w:val="16"/>
          <w:color w:val="auto"/>
        </w:rPr>
      </w:pPr>
    </w:p>
    <w:p>
      <w:pPr>
        <w:ind w:left="4" w:right="180" w:hanging="4"/>
        <w:spacing w:after="0" w:line="271" w:lineRule="auto"/>
        <w:tabs>
          <w:tab w:leader="none" w:pos="219"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confirming that they are independent public accountants within the meaning of the Securities Act and are in compliance with the applicable requirements relating to the qualifications of accountants under Rule 2-01 of Regulation S-X of the Commission, and (ii) stating the conclusions and findings of said firm with respect to the financial information and other matters covered by its letter in form and substance satisfactory to the Agent of the same tenor as the first such letter received hereunder; provided that the Company shall be required to furnish no more than one comfort letter hereunder per annual report on Form 10-K and quarterly report on Form 10-Q filed by the Company.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84" w:name="page85"/>
    <w:bookmarkEnd w:id="84"/>
    <w:p>
      <w:pPr>
        <w:ind w:left="4" w:right="60" w:firstLine="987"/>
        <w:spacing w:after="0" w:line="279" w:lineRule="auto"/>
        <w:tabs>
          <w:tab w:leader="none" w:pos="1385" w:val="left"/>
        </w:tabs>
        <w:numPr>
          <w:ilvl w:val="2"/>
          <w:numId w:val="7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 Date and Representation Certificate</w:t>
      </w:r>
      <w:r>
        <w:rPr>
          <w:rFonts w:ascii="Arial" w:cs="Arial" w:eastAsia="Arial" w:hAnsi="Arial"/>
          <w:sz w:val="17"/>
          <w:szCs w:val="17"/>
          <w:color w:val="auto"/>
        </w:rPr>
        <w:t>. On or prior to the date of the First Placement Notice and thereafter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 of this Agreement, on each Representation Date to which a waiver does not apply, the Company shall furnish to the Agent a certificate (the </w:t>
      </w:r>
      <w:r>
        <w:rPr>
          <w:rFonts w:ascii="Arial" w:cs="Arial" w:eastAsia="Arial" w:hAnsi="Arial"/>
          <w:sz w:val="17"/>
          <w:szCs w:val="17"/>
          <w:b w:val="1"/>
          <w:bCs w:val="1"/>
          <w:i w:val="1"/>
          <w:iCs w:val="1"/>
          <w:color w:val="auto"/>
        </w:rPr>
        <w:t>“Representation Certificate”</w:t>
      </w:r>
      <w:r>
        <w:rPr>
          <w:rFonts w:ascii="Arial" w:cs="Arial" w:eastAsia="Arial" w:hAnsi="Arial"/>
          <w:sz w:val="17"/>
          <w:szCs w:val="17"/>
          <w:color w:val="auto"/>
        </w:rPr>
        <w:t>), substantially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Schedule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hereto and dated as of such date, addressed to the Agent and signed by any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the chief financial officer or chief operating officer of the Company.</w:t>
      </w:r>
    </w:p>
    <w:p>
      <w:pPr>
        <w:spacing w:after="0" w:line="63" w:lineRule="exact"/>
        <w:rPr>
          <w:rFonts w:ascii="Arial" w:cs="Arial" w:eastAsia="Arial" w:hAnsi="Arial"/>
          <w:sz w:val="17"/>
          <w:szCs w:val="17"/>
          <w:color w:val="auto"/>
        </w:rPr>
      </w:pPr>
    </w:p>
    <w:p>
      <w:pPr>
        <w:ind w:left="4" w:firstLine="987"/>
        <w:spacing w:after="0" w:line="263" w:lineRule="auto"/>
        <w:tabs>
          <w:tab w:leader="none" w:pos="1355" w:val="left"/>
        </w:tabs>
        <w:numPr>
          <w:ilvl w:val="2"/>
          <w:numId w:val="72"/>
        </w:numPr>
        <w:rPr>
          <w:rFonts w:ascii="Arial" w:cs="Arial" w:eastAsia="Arial" w:hAnsi="Arial"/>
          <w:sz w:val="18"/>
          <w:szCs w:val="18"/>
          <w:color w:val="auto"/>
        </w:rPr>
      </w:pPr>
      <w:r>
        <w:rPr>
          <w:rFonts w:ascii="Arial" w:cs="Arial" w:eastAsia="Arial" w:hAnsi="Arial"/>
          <w:sz w:val="18"/>
          <w:szCs w:val="18"/>
          <w:i w:val="1"/>
          <w:iCs w:val="1"/>
          <w:color w:val="auto"/>
        </w:rPr>
        <w:t>Disclosure of Shares Sold</w:t>
      </w:r>
      <w:r>
        <w:rPr>
          <w:rFonts w:ascii="Arial" w:cs="Arial" w:eastAsia="Arial" w:hAnsi="Arial"/>
          <w:sz w:val="18"/>
          <w:szCs w:val="18"/>
          <w:color w:val="auto"/>
        </w:rPr>
        <w:t>. The Company shall disclose in its quarterly reports on Form 10-Q and in its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the Shares sold through the Agent under this Agreement, and the net proceeds to the Company with respect to sales of the Shares pursuant to this Agreement during the relevant quarter.</w:t>
      </w:r>
    </w:p>
    <w:p>
      <w:pPr>
        <w:spacing w:after="0" w:line="75" w:lineRule="exact"/>
        <w:rPr>
          <w:rFonts w:ascii="Arial" w:cs="Arial" w:eastAsia="Arial" w:hAnsi="Arial"/>
          <w:sz w:val="18"/>
          <w:szCs w:val="18"/>
          <w:color w:val="auto"/>
        </w:rPr>
      </w:pPr>
    </w:p>
    <w:p>
      <w:pPr>
        <w:ind w:left="1364" w:hanging="373"/>
        <w:spacing w:after="0"/>
        <w:tabs>
          <w:tab w:leader="none" w:pos="1364" w:val="left"/>
        </w:tabs>
        <w:numPr>
          <w:ilvl w:val="2"/>
          <w:numId w:val="72"/>
        </w:numPr>
        <w:rPr>
          <w:rFonts w:ascii="Arial" w:cs="Arial" w:eastAsia="Arial" w:hAnsi="Arial"/>
          <w:sz w:val="16"/>
          <w:szCs w:val="16"/>
          <w:color w:val="auto"/>
        </w:rPr>
      </w:pPr>
      <w:r>
        <w:rPr>
          <w:rFonts w:ascii="Arial" w:cs="Arial" w:eastAsia="Arial" w:hAnsi="Arial"/>
          <w:sz w:val="16"/>
          <w:szCs w:val="16"/>
          <w:i w:val="1"/>
          <w:iCs w:val="1"/>
          <w:color w:val="auto"/>
        </w:rPr>
        <w:t>Continued Listing of Shares</w:t>
      </w:r>
      <w:r>
        <w:rPr>
          <w:rFonts w:ascii="Arial" w:cs="Arial" w:eastAsia="Arial" w:hAnsi="Arial"/>
          <w:sz w:val="16"/>
          <w:szCs w:val="16"/>
          <w:color w:val="auto"/>
        </w:rPr>
        <w:t>. The Company shall use its commercially reasonable efforts to maintain the listing of the Common Stock</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on the Exchange.</w:t>
      </w:r>
    </w:p>
    <w:p>
      <w:pPr>
        <w:spacing w:after="0" w:line="102" w:lineRule="exact"/>
        <w:rPr>
          <w:rFonts w:ascii="Arial" w:cs="Arial" w:eastAsia="Arial" w:hAnsi="Arial"/>
          <w:sz w:val="16"/>
          <w:szCs w:val="16"/>
          <w:color w:val="auto"/>
        </w:rPr>
      </w:pPr>
    </w:p>
    <w:p>
      <w:pPr>
        <w:ind w:left="4" w:right="100" w:firstLine="987"/>
        <w:spacing w:after="0" w:line="277" w:lineRule="auto"/>
        <w:tabs>
          <w:tab w:leader="none" w:pos="1345" w:val="left"/>
        </w:tabs>
        <w:numPr>
          <w:ilvl w:val="2"/>
          <w:numId w:val="72"/>
        </w:numPr>
        <w:rPr>
          <w:rFonts w:ascii="Arial" w:cs="Arial" w:eastAsia="Arial" w:hAnsi="Arial"/>
          <w:sz w:val="18"/>
          <w:szCs w:val="18"/>
          <w:color w:val="auto"/>
        </w:rPr>
      </w:pPr>
      <w:r>
        <w:rPr>
          <w:rFonts w:ascii="Arial" w:cs="Arial" w:eastAsia="Arial" w:hAnsi="Arial"/>
          <w:sz w:val="18"/>
          <w:szCs w:val="18"/>
          <w:i w:val="1"/>
          <w:iCs w:val="1"/>
          <w:color w:val="auto"/>
        </w:rPr>
        <w:t>Maximum Amount</w:t>
      </w:r>
      <w:r>
        <w:rPr>
          <w:rFonts w:ascii="Arial" w:cs="Arial" w:eastAsia="Arial" w:hAnsi="Arial"/>
          <w:sz w:val="18"/>
          <w:szCs w:val="18"/>
          <w:color w:val="auto"/>
        </w:rPr>
        <w:t>. The Company will not instruct the Agent to sell or otherwise attempt to sell Shares pursuant to this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the Maximum Amount.</w:t>
      </w:r>
    </w:p>
    <w:p>
      <w:pPr>
        <w:spacing w:after="0" w:line="62" w:lineRule="exact"/>
        <w:rPr>
          <w:rFonts w:ascii="Arial" w:cs="Arial" w:eastAsia="Arial" w:hAnsi="Arial"/>
          <w:sz w:val="18"/>
          <w:szCs w:val="18"/>
          <w:color w:val="auto"/>
        </w:rPr>
      </w:pPr>
    </w:p>
    <w:p>
      <w:pPr>
        <w:jc w:val="both"/>
        <w:ind w:left="4" w:right="220" w:firstLine="987"/>
        <w:spacing w:after="0" w:line="286" w:lineRule="auto"/>
        <w:tabs>
          <w:tab w:leader="none" w:pos="1385" w:val="left"/>
        </w:tabs>
        <w:numPr>
          <w:ilvl w:val="2"/>
          <w:numId w:val="72"/>
        </w:numPr>
        <w:rPr>
          <w:rFonts w:ascii="Arial" w:cs="Arial" w:eastAsia="Arial" w:hAnsi="Arial"/>
          <w:sz w:val="17"/>
          <w:szCs w:val="17"/>
          <w:color w:val="auto"/>
        </w:rPr>
      </w:pPr>
      <w:r>
        <w:rPr>
          <w:rFonts w:ascii="Arial" w:cs="Arial" w:eastAsia="Arial" w:hAnsi="Arial"/>
          <w:sz w:val="17"/>
          <w:szCs w:val="17"/>
          <w:i w:val="1"/>
          <w:iCs w:val="1"/>
          <w:color w:val="auto"/>
        </w:rPr>
        <w:t>Notice of Changes</w:t>
      </w:r>
      <w:r>
        <w:rPr>
          <w:rFonts w:ascii="Arial" w:cs="Arial" w:eastAsia="Arial" w:hAnsi="Arial"/>
          <w:sz w:val="17"/>
          <w:szCs w:val="17"/>
          <w:color w:val="auto"/>
        </w:rPr>
        <w:t>. At any time prior to tendering a Placement Notice for a sale of Shares hereunder, the Company shall advise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Agent immediately after it shall have received notice or obtain knowledge thereof, of any information or fact that would alter or affect in any material respect any opinion, certificate, letter and other document provided to the Agent pursuant to this Section 3.</w:t>
      </w:r>
    </w:p>
    <w:p>
      <w:pPr>
        <w:spacing w:after="0" w:line="165" w:lineRule="exact"/>
        <w:rPr>
          <w:rFonts w:ascii="Arial" w:cs="Arial" w:eastAsia="Arial" w:hAnsi="Arial"/>
          <w:sz w:val="17"/>
          <w:szCs w:val="17"/>
          <w:color w:val="auto"/>
        </w:rPr>
      </w:pPr>
    </w:p>
    <w:p>
      <w:pPr>
        <w:ind w:left="4" w:right="120" w:firstLine="436"/>
        <w:spacing w:after="0" w:line="287" w:lineRule="auto"/>
        <w:tabs>
          <w:tab w:leader="none" w:pos="759" w:val="left"/>
        </w:tabs>
        <w:numPr>
          <w:ilvl w:val="1"/>
          <w:numId w:val="7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Conditions of Agent’s Obligations</w:t>
      </w:r>
      <w:r>
        <w:rPr>
          <w:rFonts w:ascii="Arial" w:cs="Arial" w:eastAsia="Arial" w:hAnsi="Arial"/>
          <w:sz w:val="16"/>
          <w:szCs w:val="16"/>
          <w:color w:val="auto"/>
        </w:rPr>
        <w:t>. The obligations of the Agent hereunder are subject to (i) the accuracy, as of the Effective Time,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Representation Date, each Notice Date, each Applicable Time, and each Settlement Date (in each case, as if made at such date) of and compliance with all representations, warranties and agreements of the Company contained herein, (ii) the performance by the Company of its obligations hereunder and</w:t>
      </w:r>
    </w:p>
    <w:p>
      <w:pPr>
        <w:spacing w:after="0" w:line="2" w:lineRule="exact"/>
        <w:rPr>
          <w:rFonts w:ascii="Arial" w:cs="Arial" w:eastAsia="Arial" w:hAnsi="Arial"/>
          <w:sz w:val="16"/>
          <w:szCs w:val="16"/>
          <w:b w:val="1"/>
          <w:bCs w:val="1"/>
          <w:i w:val="1"/>
          <w:iCs w:val="1"/>
          <w:color w:val="auto"/>
        </w:rPr>
      </w:pPr>
    </w:p>
    <w:p>
      <w:pPr>
        <w:ind w:left="324" w:hanging="324"/>
        <w:spacing w:after="0"/>
        <w:tabs>
          <w:tab w:leader="none" w:pos="3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additional conditions:</w:t>
      </w:r>
    </w:p>
    <w:p>
      <w:pPr>
        <w:spacing w:after="0" w:line="102" w:lineRule="exact"/>
        <w:rPr>
          <w:rFonts w:ascii="Arial" w:cs="Arial" w:eastAsia="Arial" w:hAnsi="Arial"/>
          <w:sz w:val="18"/>
          <w:szCs w:val="18"/>
          <w:color w:val="auto"/>
        </w:rPr>
      </w:pPr>
    </w:p>
    <w:p>
      <w:pPr>
        <w:ind w:left="4" w:right="80" w:firstLine="987"/>
        <w:spacing w:after="0" w:line="271" w:lineRule="auto"/>
        <w:tabs>
          <w:tab w:leader="none" w:pos="1375" w:val="left"/>
        </w:tabs>
        <w:numPr>
          <w:ilvl w:val="2"/>
          <w:numId w:val="74"/>
        </w:numPr>
        <w:rPr>
          <w:rFonts w:ascii="Arial" w:cs="Arial" w:eastAsia="Arial" w:hAnsi="Arial"/>
          <w:sz w:val="17"/>
          <w:szCs w:val="17"/>
          <w:color w:val="auto"/>
        </w:rPr>
      </w:pPr>
      <w:r>
        <w:rPr>
          <w:rFonts w:ascii="Arial" w:cs="Arial" w:eastAsia="Arial" w:hAnsi="Arial"/>
          <w:sz w:val="17"/>
          <w:szCs w:val="17"/>
          <w:i w:val="1"/>
          <w:iCs w:val="1"/>
          <w:color w:val="auto"/>
        </w:rPr>
        <w:t>Continuing Amendments; No Stop Order</w:t>
      </w:r>
      <w:r>
        <w:rPr>
          <w:rFonts w:ascii="Arial" w:cs="Arial" w:eastAsia="Arial" w:hAnsi="Arial"/>
          <w:sz w:val="17"/>
          <w:szCs w:val="17"/>
          <w:color w:val="auto"/>
        </w:rPr>
        <w:t>. If filing of the Prospectus, or any amendment or supplement thereto, or any Permitted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under the Securities Act); the Registration Statement shall be effective; no stop order suspending the effectiveness of the Registration Statement or any part thereof, any registration statement filed pursuant to Rule 462(b) under the Securities Act,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reasonable satisfaction.</w:t>
      </w:r>
    </w:p>
    <w:p>
      <w:pPr>
        <w:spacing w:after="0" w:line="70" w:lineRule="exact"/>
        <w:rPr>
          <w:rFonts w:ascii="Arial" w:cs="Arial" w:eastAsia="Arial" w:hAnsi="Arial"/>
          <w:sz w:val="17"/>
          <w:szCs w:val="17"/>
          <w:color w:val="auto"/>
        </w:rPr>
      </w:pPr>
    </w:p>
    <w:p>
      <w:pPr>
        <w:ind w:left="4" w:right="20" w:firstLine="987"/>
        <w:spacing w:after="0" w:line="259" w:lineRule="auto"/>
        <w:tabs>
          <w:tab w:leader="none" w:pos="1385"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Absence of Certain Events</w:t>
      </w:r>
      <w:r>
        <w:rPr>
          <w:rFonts w:ascii="Arial" w:cs="Arial" w:eastAsia="Arial" w:hAnsi="Arial"/>
          <w:sz w:val="18"/>
          <w:szCs w:val="18"/>
          <w:color w:val="auto"/>
        </w:rPr>
        <w:t>. None of the following events shall have occurred and be continuing: (i) receipt by the Company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which have not been made; (ii) the issuance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85" w:name="page86"/>
    <w:bookmarkEnd w:id="8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58" w:lineRule="exact"/>
        <w:rPr>
          <w:sz w:val="20"/>
          <w:szCs w:val="20"/>
          <w:color w:val="auto"/>
        </w:rPr>
      </w:pPr>
    </w:p>
    <w:p>
      <w:pPr>
        <w:ind w:right="440" w:firstLine="987"/>
        <w:spacing w:after="0" w:line="286" w:lineRule="auto"/>
        <w:tabs>
          <w:tab w:leader="none" w:pos="1371"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No Material Misstatement or Omission</w:t>
      </w:r>
      <w:r>
        <w:rPr>
          <w:rFonts w:ascii="Arial" w:cs="Arial" w:eastAsia="Arial" w:hAnsi="Arial"/>
          <w:sz w:val="17"/>
          <w:szCs w:val="17"/>
          <w:color w:val="auto"/>
        </w:rPr>
        <w:t>. The Agent shall not have advised the Company that the Registration Statement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contains an untrue statement of fact which, in the Agent’s reasonable opinion, is material, or omits to state a fact which, in the Agent’s reasonable opinion, is material and is required to be stated therein or necessary to make the statements therein not misleading.</w:t>
      </w:r>
    </w:p>
    <w:p>
      <w:pPr>
        <w:spacing w:after="0" w:line="57" w:lineRule="exact"/>
        <w:rPr>
          <w:rFonts w:ascii="Arial" w:cs="Arial" w:eastAsia="Arial" w:hAnsi="Arial"/>
          <w:sz w:val="17"/>
          <w:szCs w:val="17"/>
          <w:color w:val="auto"/>
        </w:rPr>
      </w:pPr>
    </w:p>
    <w:p>
      <w:pPr>
        <w:ind w:right="40" w:firstLine="987"/>
        <w:spacing w:after="0" w:line="269" w:lineRule="auto"/>
        <w:tabs>
          <w:tab w:leader="none" w:pos="1381"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No Adverse Changes</w:t>
      </w:r>
      <w:r>
        <w:rPr>
          <w:rFonts w:ascii="Arial" w:cs="Arial" w:eastAsia="Arial" w:hAnsi="Arial"/>
          <w:sz w:val="17"/>
          <w:szCs w:val="17"/>
          <w:color w:val="auto"/>
        </w:rPr>
        <w:t>. Except as contemplated in the Prospectus, subsequent to the respective dates as of which information is given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Prospectus,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material change in the Company’s capital stock (other than a change in the number of outstanding shares of Common Stock due to the issuance of shares of Common Stock upon the exercise of outstanding options or warrants), or any material change in the short-term or long-term debt of the Company, or any issuance of options, warrants, convertible securities or other rights to purchase the capital stock of the Company or any of its subsidiaries, or any development involving a prospective Material Adverse Effect (whether or not arising in the ordinary course of business), or any loss by strike, fire, flood, earthquake, accident or other calamity, whether or not covered by insurance, incurred by the Company or any of its subsidiaries, the effect of which, in any such case described above, in the Agent’s judgment, makes it impractical or inadvisable to offer or deliver the Shares on the terms and in the manner contemplated in the Prospectus.</w:t>
      </w:r>
    </w:p>
    <w:p>
      <w:pPr>
        <w:spacing w:after="0" w:line="77" w:lineRule="exact"/>
        <w:rPr>
          <w:rFonts w:ascii="Arial" w:cs="Arial" w:eastAsia="Arial" w:hAnsi="Arial"/>
          <w:sz w:val="17"/>
          <w:szCs w:val="17"/>
          <w:color w:val="auto"/>
        </w:rPr>
      </w:pPr>
    </w:p>
    <w:p>
      <w:pPr>
        <w:ind w:left="1360" w:hanging="373"/>
        <w:spacing w:after="0"/>
        <w:tabs>
          <w:tab w:leader="none" w:pos="136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Compliance with Certain Obligations</w:t>
      </w:r>
      <w:r>
        <w:rPr>
          <w:rFonts w:ascii="Arial" w:cs="Arial" w:eastAsia="Arial" w:hAnsi="Arial"/>
          <w:sz w:val="16"/>
          <w:szCs w:val="16"/>
          <w:color w:val="auto"/>
        </w:rPr>
        <w:t>. The Company shall have performed each of its obligations under Section 3(o) through 3(q)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02" w:lineRule="exact"/>
        <w:rPr>
          <w:rFonts w:ascii="Arial" w:cs="Arial" w:eastAsia="Arial" w:hAnsi="Arial"/>
          <w:sz w:val="16"/>
          <w:szCs w:val="16"/>
          <w:color w:val="auto"/>
        </w:rPr>
      </w:pPr>
    </w:p>
    <w:p>
      <w:pPr>
        <w:ind w:right="40" w:firstLine="987"/>
        <w:spacing w:after="0" w:line="296" w:lineRule="auto"/>
        <w:tabs>
          <w:tab w:leader="none" w:pos="1351"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Opinion of Agent Counsel</w:t>
      </w:r>
      <w:r>
        <w:rPr>
          <w:rFonts w:ascii="Arial" w:cs="Arial" w:eastAsia="Arial" w:hAnsi="Arial"/>
          <w:sz w:val="16"/>
          <w:szCs w:val="16"/>
          <w:color w:val="auto"/>
        </w:rPr>
        <w:t>. On each Representation Date to which a waiver does not apply, there shall have been furnished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Agent the opinion and negative assurance letter of Ropes &amp; Gray LLP, counsel for the Agent, dated as of such Representation Date and addressed to the Agent, in a form reasonably satisfactory to the Agent, and such counsel shall have received such papers and information as they request to enable them to pass upon such matters; provided however, the opinion of Ropes &amp; Gray LLP shall only be required prior to the first Placement Notice, and thereafter, only a negative assurance letter of such counsel shall be required for each subsequent Representation Date.</w:t>
      </w:r>
    </w:p>
    <w:p>
      <w:pPr>
        <w:spacing w:after="0" w:line="53" w:lineRule="exact"/>
        <w:rPr>
          <w:rFonts w:ascii="Arial" w:cs="Arial" w:eastAsia="Arial" w:hAnsi="Arial"/>
          <w:sz w:val="16"/>
          <w:szCs w:val="16"/>
          <w:color w:val="auto"/>
        </w:rPr>
      </w:pPr>
    </w:p>
    <w:p>
      <w:pPr>
        <w:ind w:left="1380" w:hanging="393"/>
        <w:spacing w:after="0"/>
        <w:tabs>
          <w:tab w:leader="none" w:pos="13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Representation Certificate</w:t>
      </w:r>
      <w:r>
        <w:rPr>
          <w:rFonts w:ascii="Arial" w:cs="Arial" w:eastAsia="Arial" w:hAnsi="Arial"/>
          <w:sz w:val="16"/>
          <w:szCs w:val="16"/>
          <w:color w:val="auto"/>
        </w:rPr>
        <w:t>. On or prior to the first Placement Notice, the Agent shall have received the Representation Certificate.</w:t>
      </w:r>
    </w:p>
    <w:p>
      <w:pPr>
        <w:spacing w:after="0" w:line="140" w:lineRule="exact"/>
        <w:rPr>
          <w:rFonts w:ascii="Arial" w:cs="Arial" w:eastAsia="Arial" w:hAnsi="Arial"/>
          <w:sz w:val="16"/>
          <w:szCs w:val="16"/>
          <w:color w:val="auto"/>
        </w:rPr>
      </w:pPr>
    </w:p>
    <w:p>
      <w:pPr>
        <w:ind w:left="1380" w:hanging="393"/>
        <w:spacing w:after="0"/>
        <w:tabs>
          <w:tab w:leader="none" w:pos="13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No Objection by FINRA</w:t>
      </w:r>
      <w:r>
        <w:rPr>
          <w:rFonts w:ascii="Arial" w:cs="Arial" w:eastAsia="Arial" w:hAnsi="Arial"/>
          <w:sz w:val="16"/>
          <w:szCs w:val="16"/>
          <w:color w:val="auto"/>
        </w:rPr>
        <w:t>. FINRA shall have raised no objection to the fairness and reasonableness of the underwriting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arrangements.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86" w:name="page87"/>
    <w:bookmarkEnd w:id="86"/>
    <w:p>
      <w:pPr>
        <w:jc w:val="both"/>
        <w:ind w:right="140" w:firstLine="987"/>
        <w:spacing w:after="0" w:line="263" w:lineRule="auto"/>
        <w:tabs>
          <w:tab w:leader="none" w:pos="134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Timely Filing of Prospectus and Prospectus Supplement</w:t>
      </w:r>
      <w:r>
        <w:rPr>
          <w:rFonts w:ascii="Arial" w:cs="Arial" w:eastAsia="Arial" w:hAnsi="Arial"/>
          <w:sz w:val="18"/>
          <w:szCs w:val="18"/>
          <w:color w:val="auto"/>
        </w:rPr>
        <w:t>. All filings with the Commission required by Rule 424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to have been filed by the Settlement Date, as the case may be, shall have been made within the applicable time period prescribed for such filing by Rule 424 under the Securities Act.</w:t>
      </w:r>
    </w:p>
    <w:p>
      <w:pPr>
        <w:spacing w:after="0" w:line="75" w:lineRule="exact"/>
        <w:rPr>
          <w:rFonts w:ascii="Arial" w:cs="Arial" w:eastAsia="Arial" w:hAnsi="Arial"/>
          <w:sz w:val="18"/>
          <w:szCs w:val="18"/>
          <w:color w:val="auto"/>
        </w:rPr>
      </w:pPr>
    </w:p>
    <w:p>
      <w:pPr>
        <w:ind w:right="380" w:firstLine="987"/>
        <w:spacing w:after="0" w:line="277" w:lineRule="auto"/>
        <w:tabs>
          <w:tab w:leader="none" w:pos="134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Additional Documents and Certificates</w:t>
      </w:r>
      <w:r>
        <w:rPr>
          <w:rFonts w:ascii="Arial" w:cs="Arial" w:eastAsia="Arial" w:hAnsi="Arial"/>
          <w:sz w:val="18"/>
          <w:szCs w:val="18"/>
          <w:color w:val="auto"/>
        </w:rPr>
        <w:t>. The Company shall have furnished to the Agent and the Agent’s counsel such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certificates and evidence as they may have reasonably requested.</w:t>
      </w:r>
    </w:p>
    <w:p>
      <w:pPr>
        <w:spacing w:after="0" w:line="6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All opinions, certificates, letters and other documents described in this Section 4 will be in compliance with the provisions hereof only if they are reasonably satisfactory in form and substance to the Agent and the Agent’s counsel (it being agreed that the forms of opinions and Representation Certificate attached to this Agreement are satisfactory). The Company will furnish the Agent with such conformed copies of such opinions, certificates, letters and other documents as the Agent shall reasonably request.</w:t>
      </w:r>
    </w:p>
    <w:p>
      <w:pPr>
        <w:spacing w:after="0" w:line="187" w:lineRule="exact"/>
        <w:rPr>
          <w:sz w:val="20"/>
          <w:szCs w:val="20"/>
          <w:color w:val="auto"/>
        </w:rPr>
      </w:pPr>
    </w:p>
    <w:p>
      <w:pPr>
        <w:ind w:left="760" w:hanging="324"/>
        <w:spacing w:after="0"/>
        <w:tabs>
          <w:tab w:leader="none" w:pos="7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right="220" w:firstLine="987"/>
        <w:spacing w:after="0" w:line="257" w:lineRule="auto"/>
        <w:tabs>
          <w:tab w:leader="none" w:pos="1371"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Company Indemnification</w:t>
      </w:r>
      <w:r>
        <w:rPr>
          <w:rFonts w:ascii="Arial" w:cs="Arial" w:eastAsia="Arial" w:hAnsi="Arial"/>
          <w:sz w:val="18"/>
          <w:szCs w:val="18"/>
          <w:color w:val="auto"/>
        </w:rPr>
        <w:t>. The Company agrees to indemnify and hold harmless the Agent, its affiliates, directors,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person, if any, who controls the Agent within the meaning of Section 15 of the Securities Act or Section 20 of the Exchange Act against any losses, claims, damages or liabilities, joint or several, to which the Agent may become subject, under the Securities Act or otherwise (including in settlement of any litigation), insofar as such losses, claims, damages or liabilities (or actions in respect thereof) arise out of or are based upon, in whole or in part:</w:t>
      </w:r>
    </w:p>
    <w:p>
      <w:pPr>
        <w:spacing w:after="0" w:line="80" w:lineRule="exact"/>
        <w:rPr>
          <w:sz w:val="20"/>
          <w:szCs w:val="20"/>
          <w:color w:val="auto"/>
        </w:rPr>
      </w:pPr>
    </w:p>
    <w:p>
      <w:pPr>
        <w:ind w:left="1740" w:hanging="352"/>
        <w:spacing w:after="0"/>
        <w:tabs>
          <w:tab w:leader="none" w:pos="17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untrue statement or alleged untrue statement of a material fact contained in the Registration Statement, including the</w:t>
      </w:r>
    </w:p>
    <w:p>
      <w:pPr>
        <w:spacing w:after="0" w:line="35" w:lineRule="exact"/>
        <w:rPr>
          <w:sz w:val="20"/>
          <w:szCs w:val="20"/>
          <w:color w:val="auto"/>
        </w:rPr>
      </w:pPr>
    </w:p>
    <w:p>
      <w:pPr>
        <w:ind w:left="980"/>
        <w:spacing w:after="0" w:line="285" w:lineRule="auto"/>
        <w:rPr>
          <w:sz w:val="20"/>
          <w:szCs w:val="20"/>
          <w:color w:val="auto"/>
        </w:rPr>
      </w:pPr>
      <w:r>
        <w:rPr>
          <w:rFonts w:ascii="Arial" w:cs="Arial" w:eastAsia="Arial" w:hAnsi="Arial"/>
          <w:sz w:val="16"/>
          <w:szCs w:val="16"/>
          <w:color w:val="auto"/>
        </w:rPr>
        <w:t xml:space="preserve">Rule 430B Information (as defined below)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Securities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xml:space="preserve">), or an omission or alleged omission to state therein a material fact required to be stated therein or necessary to make the statements therein not misleading; and will reimburse the Agent for any legal or other expenses reasonably incurred by it in connection with investigating or defending against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liable in any such case of (i) through (iii) 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the Agent specifically for use in the preparation thereof. “</w:t>
      </w:r>
      <w:r>
        <w:rPr>
          <w:rFonts w:ascii="Arial" w:cs="Arial" w:eastAsia="Arial" w:hAnsi="Arial"/>
          <w:sz w:val="16"/>
          <w:szCs w:val="16"/>
          <w:b w:val="1"/>
          <w:bCs w:val="1"/>
          <w:i w:val="1"/>
          <w:iCs w:val="1"/>
          <w:color w:val="auto"/>
        </w:rPr>
        <w:t>Rule 430B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as used herein, means information with respect to the Shares and the offering thereof permitted to be omitted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when it becomes effective pursuant to Rule 430B;</w:t>
      </w:r>
    </w:p>
    <w:p>
      <w:pPr>
        <w:spacing w:after="0" w:line="61" w:lineRule="exact"/>
        <w:rPr>
          <w:sz w:val="20"/>
          <w:szCs w:val="20"/>
          <w:color w:val="auto"/>
        </w:rPr>
      </w:pPr>
    </w:p>
    <w:p>
      <w:pPr>
        <w:ind w:left="980" w:right="80" w:firstLine="408"/>
        <w:spacing w:after="0" w:line="277" w:lineRule="auto"/>
        <w:tabs>
          <w:tab w:leader="none" w:pos="17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investigation or proceeding by any governmental authority, commenced or threatened (whether or not the Agent is a target of or party to such investigation or proceeding); and</w:t>
      </w:r>
    </w:p>
    <w:p>
      <w:pPr>
        <w:spacing w:after="0" w:line="62" w:lineRule="exact"/>
        <w:rPr>
          <w:rFonts w:ascii="Arial" w:cs="Arial" w:eastAsia="Arial" w:hAnsi="Arial"/>
          <w:sz w:val="18"/>
          <w:szCs w:val="18"/>
          <w:color w:val="auto"/>
        </w:rPr>
      </w:pPr>
    </w:p>
    <w:p>
      <w:pPr>
        <w:ind w:left="1840" w:hanging="452"/>
        <w:spacing w:after="0"/>
        <w:tabs>
          <w:tab w:leader="none" w:pos="1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failure of the Company to perform its respective obligations hereunder or under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87" w:name="page88"/>
    <w:bookmarkEnd w:id="87"/>
    <w:p>
      <w:pPr>
        <w:ind w:right="1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its other obligations under this Section 5(a), the Company agrees that, as an interim measure during the pendency of any claim, action, investigation, inquiry or other proceeding arising out of or based upon any statement or omission, or any alleged statement or omission, described in this Section 5(a), it will reimburse the Agent on a monthly basis for all reasonable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58" w:lineRule="exact"/>
        <w:rPr>
          <w:sz w:val="20"/>
          <w:szCs w:val="20"/>
          <w:color w:val="auto"/>
        </w:rPr>
      </w:pPr>
    </w:p>
    <w:p>
      <w:pPr>
        <w:ind w:right="60" w:firstLine="987"/>
        <w:spacing w:after="0" w:line="287" w:lineRule="auto"/>
        <w:tabs>
          <w:tab w:leader="none" w:pos="1381"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Agent Indemnification</w:t>
      </w:r>
      <w:r>
        <w:rPr>
          <w:rFonts w:ascii="Arial" w:cs="Arial" w:eastAsia="Arial" w:hAnsi="Arial"/>
          <w:sz w:val="16"/>
          <w:szCs w:val="16"/>
          <w:color w:val="auto"/>
        </w:rPr>
        <w:t>. The Agent agrees to indemnify and hold harmless the Company, each of its directors, each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who signed the Registration Statement, and each person, if any, who controls the Company within the meaning of Section 15 of the Securities Act or Section 20 of the Exchange Act, against any losses, claims, damages or liabilities to which such party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second paragraph under the caption “Plan of Distribution” in the Prospectus, and will reimburse such party for any legal or other expenses reasonably incurred by such party in connection with investigating or defending against any such loss, claim, damage, liability or action.</w:t>
      </w:r>
    </w:p>
    <w:p>
      <w:pPr>
        <w:spacing w:after="0" w:line="59" w:lineRule="exact"/>
        <w:rPr>
          <w:rFonts w:ascii="Arial" w:cs="Arial" w:eastAsia="Arial" w:hAnsi="Arial"/>
          <w:sz w:val="16"/>
          <w:szCs w:val="16"/>
          <w:color w:val="auto"/>
        </w:rPr>
      </w:pPr>
    </w:p>
    <w:p>
      <w:pPr>
        <w:ind w:firstLine="987"/>
        <w:spacing w:after="0" w:line="268" w:lineRule="auto"/>
        <w:tabs>
          <w:tab w:leader="none" w:pos="1371"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Notice and Procedures</w:t>
      </w:r>
      <w:r>
        <w:rPr>
          <w:rFonts w:ascii="Arial" w:cs="Arial" w:eastAsia="Arial" w:hAnsi="Arial"/>
          <w:sz w:val="17"/>
          <w:szCs w:val="17"/>
          <w:color w:val="auto"/>
        </w:rPr>
        <w:t>. 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 counsel shall be borne by the indemnifying party or parties and reimbursed to the Agent as incurred (in accordance with the provisions of the second paragraph in subsection (a) above).</w:t>
      </w:r>
    </w:p>
    <w:p>
      <w:pPr>
        <w:spacing w:after="0" w:line="7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88" w:name="page89"/>
    <w:bookmarkEnd w:id="88"/>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58" w:lineRule="exact"/>
        <w:rPr>
          <w:sz w:val="20"/>
          <w:szCs w:val="20"/>
          <w:color w:val="auto"/>
        </w:rPr>
      </w:pPr>
    </w:p>
    <w:p>
      <w:pPr>
        <w:jc w:val="both"/>
        <w:ind w:left="4" w:firstLine="987"/>
        <w:spacing w:after="0" w:line="286" w:lineRule="auto"/>
        <w:tabs>
          <w:tab w:leader="none" w:pos="1385"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Contribution; Limitations on Liability; Non-Exclusive Remedy</w:t>
      </w:r>
      <w:r>
        <w:rPr>
          <w:rFonts w:ascii="Arial" w:cs="Arial" w:eastAsia="Arial" w:hAnsi="Arial"/>
          <w:sz w:val="16"/>
          <w:szCs w:val="16"/>
          <w:color w:val="auto"/>
        </w:rPr>
        <w:t>. If the indemnification provided for in this Section 5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w:t>
      </w:r>
    </w:p>
    <w:p>
      <w:pPr>
        <w:spacing w:after="0" w:line="1" w:lineRule="exact"/>
        <w:rPr>
          <w:rFonts w:ascii="Arial" w:cs="Arial" w:eastAsia="Arial" w:hAnsi="Arial"/>
          <w:sz w:val="16"/>
          <w:szCs w:val="16"/>
          <w:color w:val="auto"/>
        </w:rPr>
      </w:pPr>
    </w:p>
    <w:p>
      <w:pPr>
        <w:ind w:left="4" w:hanging="4"/>
        <w:spacing w:after="0" w:line="284" w:lineRule="auto"/>
        <w:tabs>
          <w:tab w:leader="none" w:pos="269"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 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175" w:lineRule="exact"/>
        <w:rPr>
          <w:rFonts w:ascii="Arial" w:cs="Arial" w:eastAsia="Arial" w:hAnsi="Arial"/>
          <w:sz w:val="16"/>
          <w:szCs w:val="16"/>
          <w:color w:val="auto"/>
        </w:rPr>
      </w:pPr>
    </w:p>
    <w:p>
      <w:pPr>
        <w:ind w:left="4" w:right="120" w:firstLine="436"/>
        <w:spacing w:after="0" w:line="257" w:lineRule="auto"/>
        <w:tabs>
          <w:tab w:leader="none" w:pos="759" w:val="left"/>
        </w:tabs>
        <w:numPr>
          <w:ilvl w:val="1"/>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herein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certificates 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4" w:right="499" w:bottom="1440" w:gutter="0" w:footer="0" w:header="0"/>
        </w:sectPr>
      </w:pPr>
    </w:p>
    <w:bookmarkStart w:id="89" w:name="page90"/>
    <w:bookmarkEnd w:id="89"/>
    <w:p>
      <w:pPr>
        <w:ind w:left="720" w:hanging="324"/>
        <w:spacing w:after="0"/>
        <w:tabs>
          <w:tab w:leader="none" w:pos="72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this Agreement.</w:t>
      </w:r>
    </w:p>
    <w:p>
      <w:pPr>
        <w:spacing w:after="0" w:line="117" w:lineRule="exact"/>
        <w:rPr>
          <w:rFonts w:ascii="Arial" w:cs="Arial" w:eastAsia="Arial" w:hAnsi="Arial"/>
          <w:sz w:val="18"/>
          <w:szCs w:val="18"/>
          <w:b w:val="1"/>
          <w:bCs w:val="1"/>
          <w:i w:val="1"/>
          <w:iCs w:val="1"/>
          <w:color w:val="auto"/>
        </w:rPr>
      </w:pPr>
    </w:p>
    <w:p>
      <w:pPr>
        <w:ind w:left="-40" w:firstLine="987"/>
        <w:spacing w:after="0" w:line="272" w:lineRule="auto"/>
        <w:tabs>
          <w:tab w:leader="none" w:pos="1328"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Company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 Upon termination of this Agreement, the Company shall not have any liability to the Agent for any discount, commission or other compensation with respect to any Shares not sold by the Agent under this Agreement at the time of termination of such provisions.</w:t>
      </w:r>
    </w:p>
    <w:p>
      <w:pPr>
        <w:spacing w:after="0" w:line="69" w:lineRule="exact"/>
        <w:rPr>
          <w:rFonts w:ascii="Arial" w:cs="Arial" w:eastAsia="Arial" w:hAnsi="Arial"/>
          <w:sz w:val="17"/>
          <w:szCs w:val="17"/>
          <w:color w:val="auto"/>
        </w:rPr>
      </w:pPr>
    </w:p>
    <w:p>
      <w:pPr>
        <w:ind w:left="-40" w:firstLine="987"/>
        <w:spacing w:after="0" w:line="259" w:lineRule="auto"/>
        <w:tabs>
          <w:tab w:leader="none" w:pos="1338"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Agent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78" w:lineRule="exact"/>
        <w:rPr>
          <w:rFonts w:ascii="Arial" w:cs="Arial" w:eastAsia="Arial" w:hAnsi="Arial"/>
          <w:sz w:val="18"/>
          <w:szCs w:val="18"/>
          <w:color w:val="auto"/>
        </w:rPr>
      </w:pPr>
    </w:p>
    <w:p>
      <w:pPr>
        <w:ind w:left="-40" w:right="40" w:firstLine="987"/>
        <w:spacing w:after="0" w:line="263" w:lineRule="auto"/>
        <w:tabs>
          <w:tab w:leader="none" w:pos="1331" w:val="left"/>
        </w:tabs>
        <w:numPr>
          <w:ilvl w:val="1"/>
          <w:numId w:val="83"/>
        </w:numPr>
        <w:rPr>
          <w:rFonts w:ascii="Arial" w:cs="Arial" w:eastAsia="Arial" w:hAnsi="Arial"/>
          <w:sz w:val="18"/>
          <w:szCs w:val="18"/>
          <w:color w:val="auto"/>
        </w:rPr>
      </w:pPr>
      <w:r>
        <w:rPr>
          <w:rFonts w:ascii="Arial" w:cs="Arial" w:eastAsia="Arial" w:hAnsi="Arial"/>
          <w:sz w:val="18"/>
          <w:szCs w:val="18"/>
          <w:color w:val="auto"/>
        </w:rPr>
        <w:t>Unless earlier terminated pursuant to this Section 7, this Agreement shall automatically terminate upon the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75" w:lineRule="exact"/>
        <w:rPr>
          <w:rFonts w:ascii="Arial" w:cs="Arial" w:eastAsia="Arial" w:hAnsi="Arial"/>
          <w:sz w:val="18"/>
          <w:szCs w:val="18"/>
          <w:color w:val="auto"/>
        </w:rPr>
      </w:pPr>
    </w:p>
    <w:p>
      <w:pPr>
        <w:ind w:left="-40" w:right="340" w:firstLine="987"/>
        <w:spacing w:after="0" w:line="263" w:lineRule="auto"/>
        <w:tabs>
          <w:tab w:leader="none" w:pos="1338"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75" w:lineRule="exact"/>
        <w:rPr>
          <w:rFonts w:ascii="Arial" w:cs="Arial" w:eastAsia="Arial" w:hAnsi="Arial"/>
          <w:sz w:val="18"/>
          <w:szCs w:val="18"/>
          <w:color w:val="auto"/>
        </w:rPr>
      </w:pPr>
    </w:p>
    <w:p>
      <w:pPr>
        <w:ind w:left="-40" w:right="280" w:firstLine="987"/>
        <w:spacing w:after="0" w:line="259" w:lineRule="auto"/>
        <w:tabs>
          <w:tab w:leader="none" w:pos="132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186" w:lineRule="exact"/>
        <w:rPr>
          <w:rFonts w:ascii="Arial" w:cs="Arial" w:eastAsia="Arial" w:hAnsi="Arial"/>
          <w:sz w:val="18"/>
          <w:szCs w:val="18"/>
          <w:color w:val="auto"/>
        </w:rPr>
      </w:pPr>
    </w:p>
    <w:p>
      <w:pPr>
        <w:ind w:left="-40" w:right="200" w:firstLine="436"/>
        <w:spacing w:after="0" w:line="275" w:lineRule="auto"/>
        <w:tabs>
          <w:tab w:leader="none" w:pos="715" w:val="left"/>
        </w:tabs>
        <w:numPr>
          <w:ilvl w:val="0"/>
          <w:numId w:val="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Default by the Company</w:t>
      </w:r>
      <w:r>
        <w:rPr>
          <w:rFonts w:ascii="Arial" w:cs="Arial" w:eastAsia="Arial" w:hAnsi="Arial"/>
          <w:sz w:val="17"/>
          <w:szCs w:val="17"/>
          <w:color w:val="auto"/>
        </w:rPr>
        <w:t>. If the Company shall fail at any Settlement Date to sell and deliver the number of Shares which it is obligated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 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176" w:lineRule="exact"/>
        <w:rPr>
          <w:rFonts w:ascii="Arial" w:cs="Arial" w:eastAsia="Arial" w:hAnsi="Arial"/>
          <w:sz w:val="17"/>
          <w:szCs w:val="17"/>
          <w:b w:val="1"/>
          <w:bCs w:val="1"/>
          <w:i w:val="1"/>
          <w:iCs w:val="1"/>
          <w:color w:val="auto"/>
        </w:rPr>
      </w:pPr>
    </w:p>
    <w:p>
      <w:pPr>
        <w:ind w:left="-40" w:right="40" w:firstLine="436"/>
        <w:spacing w:after="0" w:line="272" w:lineRule="auto"/>
        <w:tabs>
          <w:tab w:leader="none" w:pos="715" w:val="left"/>
        </w:tabs>
        <w:numPr>
          <w:ilvl w:val="0"/>
          <w:numId w:val="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Notices</w:t>
      </w:r>
      <w:r>
        <w:rPr>
          <w:rFonts w:ascii="Arial" w:cs="Arial" w:eastAsia="Arial" w:hAnsi="Arial"/>
          <w:sz w:val="17"/>
          <w:szCs w:val="17"/>
          <w:color w:val="auto"/>
        </w:rPr>
        <w:t>. Except as otherwise provided herein, all communications under this Agreement shall be in writing and, if to the Agent,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delivered via overnight delivery services to (i) Piper Sandler &amp; Co., U.S. Bancorp Center, 800 Nicollet Mall, Minneapolis, Minnesota 55402, Attention: Equity Capital Markets, with a copy to Piper Sandler General Counsel at 800 Nicollet Mall, Minneapolis, MN 55402 and LegalCapMarkets@pjc.com; and (ii) the Company at 26 Landsdowne Street, Cambridge, Massachusetts 02139, Attention: Chief Executive Officer, with a copy to Wilmer Cutler Pickering Hale and Dorr LLP, 60 State Street, Boston, Massachusetts 02109, Attention: Lia Der Marderosian;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80" w:top="274" w:right="479" w:bottom="1440" w:gutter="0" w:footer="0" w:header="0"/>
        </w:sectPr>
      </w:pPr>
    </w:p>
    <w:bookmarkStart w:id="90" w:name="page91"/>
    <w:bookmarkEnd w:id="90"/>
    <w:p>
      <w:pPr>
        <w:ind w:left="4" w:right="180" w:firstLine="436"/>
        <w:spacing w:after="0" w:line="257" w:lineRule="auto"/>
        <w:tabs>
          <w:tab w:leader="none" w:pos="849" w:val="left"/>
        </w:tabs>
        <w:numPr>
          <w:ilvl w:val="1"/>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187" w:lineRule="exact"/>
        <w:rPr>
          <w:rFonts w:ascii="Arial" w:cs="Arial" w:eastAsia="Arial" w:hAnsi="Arial"/>
          <w:sz w:val="18"/>
          <w:szCs w:val="18"/>
          <w:b w:val="1"/>
          <w:bCs w:val="1"/>
          <w:i w:val="1"/>
          <w:iCs w:val="1"/>
          <w:color w:val="auto"/>
        </w:rPr>
      </w:pPr>
    </w:p>
    <w:p>
      <w:pPr>
        <w:ind w:left="4" w:firstLine="436"/>
        <w:spacing w:after="0" w:line="283" w:lineRule="auto"/>
        <w:tabs>
          <w:tab w:leader="none" w:pos="839" w:val="left"/>
        </w:tabs>
        <w:numPr>
          <w:ilvl w:val="1"/>
          <w:numId w:val="8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having been advised by counsel, acknowledges and agrees that: (a) the Agent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on the one hand, and the Agent on the other, has been created or will be created in respect of any of the transactions contemplated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Agreement, irrespective of whether the Agent has advised or is advising the Company on other matters and irrespective of the use of the defined term “Agent;” (b) neither the Agent nor any of its affiliates (including directors), equity holders, creditors, employees or agents, hereafter,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shall have any duty or obligation to the Company or any Company Representative except as set forth in this Agreement; (c)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terms of any Placement executed pursuant to this Agreement, as well as the terms of this Agreement, are deemed acceptable to the Company and its counsel, following discussions and arms-length negotiations with the Agent; (d) the Company is capable of evaluating and understanding, and in fact has evaluated, understands and accepts the terms, risks and conditions of any Placement Notice to be executed pursuant to this Agreement, and any other transactions contemplated by this Agreement; (e)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w:t>
      </w:r>
    </w:p>
    <w:p>
      <w:pPr>
        <w:spacing w:after="0" w:line="1" w:lineRule="exact"/>
        <w:rPr>
          <w:rFonts w:ascii="Arial" w:cs="Arial" w:eastAsia="Arial" w:hAnsi="Arial"/>
          <w:sz w:val="16"/>
          <w:szCs w:val="16"/>
          <w:b w:val="1"/>
          <w:bCs w:val="1"/>
          <w:i w:val="1"/>
          <w:iCs w:val="1"/>
          <w:color w:val="auto"/>
        </w:rPr>
      </w:pPr>
    </w:p>
    <w:p>
      <w:pPr>
        <w:ind w:left="4" w:right="20" w:hanging="4"/>
        <w:spacing w:after="0" w:line="252" w:lineRule="auto"/>
        <w:tabs>
          <w:tab w:leader="none" w:pos="22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has been advised that the Agent is acting, in respect of any Placement and the transactions contemplated by this Agreement, solely for the benefit of the Agent, and not on behalf of the Company; and (g)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192" w:lineRule="exact"/>
        <w:rPr>
          <w:rFonts w:ascii="Arial" w:cs="Arial" w:eastAsia="Arial" w:hAnsi="Arial"/>
          <w:sz w:val="18"/>
          <w:szCs w:val="18"/>
          <w:color w:val="auto"/>
        </w:rPr>
      </w:pPr>
    </w:p>
    <w:p>
      <w:pPr>
        <w:ind w:left="844" w:hanging="404"/>
        <w:spacing w:after="0"/>
        <w:tabs>
          <w:tab w:leader="none" w:pos="844" w:val="left"/>
        </w:tabs>
        <w:numPr>
          <w:ilvl w:val="1"/>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jc w:val="both"/>
        <w:ind w:left="4" w:right="20" w:firstLine="987"/>
        <w:spacing w:after="0" w:line="259" w:lineRule="auto"/>
        <w:tabs>
          <w:tab w:leader="none" w:pos="1375" w:val="left"/>
        </w:tabs>
        <w:numPr>
          <w:ilvl w:val="2"/>
          <w:numId w:val="8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 w:firstLine="987"/>
        <w:spacing w:after="0" w:line="259" w:lineRule="auto"/>
        <w:tabs>
          <w:tab w:leader="none" w:pos="1385" w:val="left"/>
        </w:tabs>
        <w:numPr>
          <w:ilvl w:val="2"/>
          <w:numId w:val="8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74" w:right="499" w:bottom="1440" w:gutter="0" w:footer="0" w:header="0"/>
        </w:sectPr>
      </w:pPr>
    </w:p>
    <w:bookmarkStart w:id="91" w:name="page92"/>
    <w:bookmarkEnd w:id="91"/>
    <w:p>
      <w:pPr>
        <w:ind w:left="984"/>
        <w:spacing w:after="0"/>
        <w:tabs>
          <w:tab w:leader="none" w:pos="13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As used in this section:</w:t>
      </w:r>
    </w:p>
    <w:p>
      <w:pPr>
        <w:spacing w:after="0" w:line="117" w:lineRule="exact"/>
        <w:rPr>
          <w:sz w:val="20"/>
          <w:szCs w:val="20"/>
          <w:color w:val="auto"/>
        </w:rPr>
      </w:pPr>
    </w:p>
    <w:p>
      <w:pPr>
        <w:ind w:left="984" w:right="100"/>
        <w:spacing w:after="0" w:line="3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b w:val="1"/>
          <w:bCs w:val="1"/>
          <w:i w:val="1"/>
          <w:iCs w:val="1"/>
          <w:color w:val="auto"/>
        </w:rPr>
        <w:t>Covered Entity</w:t>
      </w:r>
      <w:r>
        <w:rPr>
          <w:rFonts w:ascii="Arial" w:cs="Arial" w:eastAsia="Arial" w:hAnsi="Arial"/>
          <w:sz w:val="16"/>
          <w:szCs w:val="16"/>
          <w:color w:val="auto"/>
        </w:rPr>
        <w:t>” means any of the following: (i) a “covered entity” as that term is defined in, and interpreted in accordance with,</w:t>
      </w:r>
    </w:p>
    <w:p>
      <w:pPr>
        <w:spacing w:after="0" w:line="1"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12 C.F.R. § 252.82(b); (ii) a “covered bank” as that term is defined in, and interpreted in accordance with, 12 C.F.R. § 47.3(b); or (iii) a “covered FSI” as that term is defined in, and interpreted in accordance with, 12 C.F.R. § 382.2(b);</w:t>
      </w:r>
    </w:p>
    <w:p>
      <w:pPr>
        <w:spacing w:after="0" w:line="77"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 Special Resolution Regime</w:t>
      </w:r>
      <w:r>
        <w:rPr>
          <w:rFonts w:ascii="Arial" w:cs="Arial" w:eastAsia="Arial" w:hAnsi="Arial"/>
          <w:sz w:val="16"/>
          <w:szCs w:val="16"/>
          <w:color w:val="auto"/>
        </w:rPr>
        <w:t>” means each of (i) the Federal Deposit Insurance Act and the regulations promulgated thereunder and</w:t>
      </w:r>
    </w:p>
    <w:p>
      <w:pPr>
        <w:spacing w:after="0" w:line="46" w:lineRule="exact"/>
        <w:rPr>
          <w:sz w:val="20"/>
          <w:szCs w:val="20"/>
          <w:color w:val="auto"/>
        </w:rPr>
      </w:pPr>
    </w:p>
    <w:p>
      <w:pPr>
        <w:ind w:left="264" w:hanging="264"/>
        <w:spacing w:after="0"/>
        <w:tabs>
          <w:tab w:leader="none" w:pos="2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left="4" w:right="60" w:firstLine="436"/>
        <w:spacing w:after="0" w:line="273" w:lineRule="auto"/>
        <w:tabs>
          <w:tab w:leader="none" w:pos="849" w:val="left"/>
        </w:tabs>
        <w:numPr>
          <w:ilvl w:val="1"/>
          <w:numId w:val="8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Governing Law and Waiver of Jury Trial</w:t>
      </w:r>
      <w:r>
        <w:rPr>
          <w:rFonts w:ascii="Arial" w:cs="Arial" w:eastAsia="Arial" w:hAnsi="Arial"/>
          <w:sz w:val="17"/>
          <w:szCs w:val="17"/>
          <w:color w:val="auto"/>
        </w:rPr>
        <w:t>. This Agreement and any transaction contemplated by this Agreement and any claim, controversy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177" w:lineRule="exact"/>
        <w:rPr>
          <w:rFonts w:ascii="Arial" w:cs="Arial" w:eastAsia="Arial" w:hAnsi="Arial"/>
          <w:sz w:val="17"/>
          <w:szCs w:val="17"/>
          <w:b w:val="1"/>
          <w:bCs w:val="1"/>
          <w:i w:val="1"/>
          <w:iCs w:val="1"/>
          <w:color w:val="auto"/>
        </w:rPr>
      </w:pPr>
    </w:p>
    <w:p>
      <w:pPr>
        <w:ind w:left="4" w:right="380" w:firstLine="436"/>
        <w:spacing w:after="0" w:line="275" w:lineRule="auto"/>
        <w:tabs>
          <w:tab w:leader="none" w:pos="849" w:val="left"/>
        </w:tabs>
        <w:numPr>
          <w:ilvl w:val="1"/>
          <w:numId w:val="8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Submission to Jurisdiction, Etc. </w:t>
      </w:r>
      <w:r>
        <w:rPr>
          <w:rFonts w:ascii="Arial" w:cs="Arial" w:eastAsia="Arial" w:hAnsi="Arial"/>
          <w:sz w:val="17"/>
          <w:szCs w:val="17"/>
          <w:color w:val="auto"/>
        </w:rPr>
        <w:t>Each party hereby submits to the exclusive jurisdiction of the U.S. federal and New York state courts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sitting 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76" w:lineRule="exact"/>
        <w:rPr>
          <w:rFonts w:ascii="Arial" w:cs="Arial" w:eastAsia="Arial" w:hAnsi="Arial"/>
          <w:sz w:val="17"/>
          <w:szCs w:val="17"/>
          <w:b w:val="1"/>
          <w:bCs w:val="1"/>
          <w:i w:val="1"/>
          <w:iCs w:val="1"/>
          <w:color w:val="auto"/>
        </w:rPr>
      </w:pPr>
    </w:p>
    <w:p>
      <w:pPr>
        <w:ind w:left="4" w:right="40" w:firstLine="436"/>
        <w:spacing w:after="0" w:line="275" w:lineRule="auto"/>
        <w:tabs>
          <w:tab w:leader="none" w:pos="849" w:val="left"/>
        </w:tabs>
        <w:numPr>
          <w:ilvl w:val="1"/>
          <w:numId w:val="8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Counterparts; Electronic Signatures</w:t>
      </w:r>
      <w:r>
        <w:rPr>
          <w:rFonts w:ascii="Arial" w:cs="Arial" w:eastAsia="Arial" w:hAnsi="Arial"/>
          <w:sz w:val="17"/>
          <w:szCs w:val="17"/>
          <w:color w:val="auto"/>
        </w:rPr>
        <w:t>. This Agreement may be executed in counterparts, each of which shall be deemed an original, and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which together shall constitute one and the same instrument.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76" w:lineRule="exact"/>
        <w:rPr>
          <w:rFonts w:ascii="Arial" w:cs="Arial" w:eastAsia="Arial" w:hAnsi="Arial"/>
          <w:sz w:val="17"/>
          <w:szCs w:val="17"/>
          <w:b w:val="1"/>
          <w:bCs w:val="1"/>
          <w:i w:val="1"/>
          <w:iCs w:val="1"/>
          <w:color w:val="auto"/>
        </w:rPr>
      </w:pPr>
    </w:p>
    <w:p>
      <w:pPr>
        <w:jc w:val="both"/>
        <w:ind w:left="4" w:right="380" w:firstLine="436"/>
        <w:spacing w:after="0" w:line="279" w:lineRule="auto"/>
        <w:tabs>
          <w:tab w:leader="none" w:pos="849" w:val="left"/>
        </w:tabs>
        <w:numPr>
          <w:ilvl w:val="1"/>
          <w:numId w:val="8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Construction. </w:t>
      </w:r>
      <w:r>
        <w:rPr>
          <w:rFonts w:ascii="Arial" w:cs="Arial" w:eastAsia="Arial" w:hAnsi="Arial"/>
          <w:sz w:val="17"/>
          <w:szCs w:val="17"/>
          <w:color w:val="auto"/>
        </w:rPr>
        <w:t>The section and exhibit headings herein are for convenience only and shall not affect the construction hereof. References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sign and return to the Company the enclosed duplicates of this letter whereupon this letter will become a binding agreement between the Company and the Agent in accordance with its terms.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FULCRUM THERAPEUTICS, INC.</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Robert Gould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15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Page to Equity Distribution Agreement]</w:t>
      </w:r>
    </w:p>
    <w:p>
      <w:pPr>
        <w:sectPr>
          <w:pgSz w:w="11900" w:h="16838" w:orient="portrait"/>
          <w:cols w:equalWidth="0" w:num="1">
            <w:col w:w="10760"/>
          </w:cols>
          <w:pgMar w:left="440" w:top="274" w:right="69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Neil Riley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[Signature Page to Equity Distribution Agreement]</w:t>
      </w:r>
    </w:p>
    <w:p>
      <w:pPr>
        <w:sectPr>
          <w:pgSz w:w="11900" w:h="16838" w:orient="portrait"/>
          <w:cols w:equalWidth="0" w:num="1">
            <w:col w:w="10019"/>
          </w:cols>
          <w:pgMar w:left="440" w:top="274" w:right="1440" w:bottom="1440" w:gutter="0" w:footer="0" w:header="0"/>
        </w:sectPr>
      </w:pPr>
    </w:p>
    <w:bookmarkStart w:id="95" w:name="page96"/>
    <w:bookmarkEnd w:id="95"/>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PLACEMENT NOTICE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 Facsimile and No Voicemail</w:t>
      </w:r>
    </w:p>
    <w:p>
      <w:pPr>
        <w:sectPr>
          <w:pgSz w:w="11900" w:h="16838" w:orient="portrait"/>
          <w:cols w:equalWidth="0" w:num="1">
            <w:col w:w="10860"/>
          </w:cols>
          <w:pgMar w:left="440" w:top="270" w:right="5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Fulcrum Therapeutics, Inc.</w:t>
      </w:r>
    </w:p>
    <w:p>
      <w:pPr>
        <w:spacing w:after="0" w:line="200" w:lineRule="exact"/>
        <w:rPr>
          <w:sz w:val="20"/>
          <w:szCs w:val="20"/>
          <w:color w:val="auto"/>
        </w:rPr>
      </w:pPr>
    </w:p>
    <w:p>
      <w:pPr>
        <w:sectPr>
          <w:pgSz w:w="11900" w:h="16838" w:orient="portrait"/>
          <w:cols w:equalWidth="0" w:num="2">
            <w:col w:w="440" w:space="340"/>
            <w:col w:w="10080"/>
          </w:cols>
          <w:pgMar w:left="440" w:top="270" w:right="5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Piper Sandler &amp; Co.</w:t>
      </w:r>
    </w:p>
    <w:p>
      <w:pPr>
        <w:spacing w:after="0" w:line="154" w:lineRule="exact"/>
        <w:rPr>
          <w:sz w:val="20"/>
          <w:szCs w:val="20"/>
          <w:color w:val="auto"/>
        </w:rPr>
      </w:pPr>
    </w:p>
    <w:p>
      <w:pPr>
        <w:sectPr>
          <w:pgSz w:w="11900" w:h="16838" w:orient="portrait"/>
          <w:cols w:equalWidth="0" w:num="2">
            <w:col w:w="240" w:space="540"/>
            <w:col w:w="10080"/>
          </w:cols>
          <w:pgMar w:left="440" w:top="270" w:right="599" w:bottom="1440" w:gutter="0" w:footer="0" w:header="0"/>
          <w:type w:val="continuous"/>
        </w:sectPr>
      </w:pPr>
    </w:p>
    <w:p>
      <w:pPr>
        <w:ind w:left="780"/>
        <w:spacing w:after="0"/>
        <w:rPr>
          <w:sz w:val="20"/>
          <w:szCs w:val="20"/>
          <w:color w:val="auto"/>
        </w:rPr>
      </w:pPr>
      <w:r>
        <w:rPr>
          <w:rFonts w:ascii="Arial" w:cs="Arial" w:eastAsia="Arial" w:hAnsi="Arial"/>
          <w:sz w:val="18"/>
          <w:szCs w:val="18"/>
          <w:color w:val="auto"/>
        </w:rPr>
        <w:t>Attention:</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Neil A. Riley</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Connor N. Anderson</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Tom Wright</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Jay A. Hershey</w:t>
      </w:r>
    </w:p>
    <w:p>
      <w:pPr>
        <w:sectPr>
          <w:pgSz w:w="11900" w:h="16838" w:orient="portrait"/>
          <w:cols w:equalWidth="0" w:num="1">
            <w:col w:w="10860"/>
          </w:cols>
          <w:pgMar w:left="440" w:top="270" w:right="59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20[●]</w:t>
      </w:r>
    </w:p>
    <w:p>
      <w:pPr>
        <w:spacing w:after="0" w:line="200" w:lineRule="exact"/>
        <w:rPr>
          <w:sz w:val="20"/>
          <w:szCs w:val="20"/>
          <w:color w:val="auto"/>
        </w:rPr>
      </w:pPr>
    </w:p>
    <w:p>
      <w:pPr>
        <w:sectPr>
          <w:pgSz w:w="11900" w:h="16838" w:orient="portrait"/>
          <w:cols w:equalWidth="0" w:num="2">
            <w:col w:w="380" w:space="400"/>
            <w:col w:w="10080"/>
          </w:cols>
          <w:pgMar w:left="440" w:top="270" w:right="5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Equity Distribution Agreement – Placement Notice</w:t>
      </w:r>
    </w:p>
    <w:p>
      <w:pPr>
        <w:spacing w:after="0" w:line="200" w:lineRule="exact"/>
        <w:rPr>
          <w:sz w:val="20"/>
          <w:szCs w:val="20"/>
          <w:color w:val="auto"/>
        </w:rPr>
      </w:pPr>
    </w:p>
    <w:p>
      <w:pPr>
        <w:sectPr>
          <w:pgSz w:w="11900" w:h="16838" w:orient="portrait"/>
          <w:cols w:equalWidth="0" w:num="2">
            <w:col w:w="580" w:space="200"/>
            <w:col w:w="10080"/>
          </w:cols>
          <w:pgMar w:left="440" w:top="270" w:right="5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terms and subject to the conditions contained in the Equity Distribution Agreement between Fulcrum Therapeutics, Inc. (“</w:t>
      </w:r>
      <w:r>
        <w:rPr>
          <w:rFonts w:ascii="Arial" w:cs="Arial" w:eastAsia="Arial" w:hAnsi="Arial"/>
          <w:sz w:val="18"/>
          <w:szCs w:val="18"/>
          <w:b w:val="1"/>
          <w:bCs w:val="1"/>
          <w:color w:val="auto"/>
        </w:rPr>
        <w:t>Company</w:t>
      </w:r>
      <w:r>
        <w:rPr>
          <w:rFonts w:ascii="Arial" w:cs="Arial" w:eastAsia="Arial" w:hAnsi="Arial"/>
          <w:sz w:val="18"/>
          <w:szCs w:val="18"/>
          <w:color w:val="auto"/>
        </w:rPr>
        <w:t>”), and Piper Sandler &amp; Co. (“</w:t>
      </w:r>
      <w:r>
        <w:rPr>
          <w:rFonts w:ascii="Arial" w:cs="Arial" w:eastAsia="Arial" w:hAnsi="Arial"/>
          <w:sz w:val="18"/>
          <w:szCs w:val="18"/>
          <w:b w:val="1"/>
          <w:bCs w:val="1"/>
          <w:color w:val="auto"/>
        </w:rPr>
        <w:t>Agent</w:t>
      </w:r>
      <w:r>
        <w:rPr>
          <w:rFonts w:ascii="Arial" w:cs="Arial" w:eastAsia="Arial" w:hAnsi="Arial"/>
          <w:sz w:val="18"/>
          <w:szCs w:val="18"/>
          <w:color w:val="auto"/>
        </w:rPr>
        <w:t>”) dated August [●], 2020 (the “</w:t>
      </w:r>
      <w:r>
        <w:rPr>
          <w:rFonts w:ascii="Arial" w:cs="Arial" w:eastAsia="Arial" w:hAnsi="Arial"/>
          <w:sz w:val="18"/>
          <w:szCs w:val="18"/>
          <w:b w:val="1"/>
          <w:bCs w:val="1"/>
          <w:color w:val="auto"/>
        </w:rPr>
        <w:t>Agreement</w:t>
      </w:r>
      <w:r>
        <w:rPr>
          <w:rFonts w:ascii="Arial" w:cs="Arial" w:eastAsia="Arial" w:hAnsi="Arial"/>
          <w:sz w:val="18"/>
          <w:szCs w:val="18"/>
          <w:color w:val="auto"/>
        </w:rPr>
        <w:t>”), the Company hereby requests that Agent sell up to [●] shares of the Company’s common stock, par value $0.001 per share, at a minimum market price of $[●] per share. Sales should begin on the date of this Placement Notice and shall continue until [●] /[all shares are sold].</w:t>
      </w:r>
    </w:p>
    <w:p>
      <w:pPr>
        <w:sectPr>
          <w:pgSz w:w="11900" w:h="16838" w:orient="portrait"/>
          <w:cols w:equalWidth="0" w:num="1">
            <w:col w:w="10860"/>
          </w:cols>
          <w:pgMar w:left="440" w:top="270" w:right="599" w:bottom="1440" w:gutter="0" w:footer="0" w:header="0"/>
          <w:type w:val="continuous"/>
        </w:sectPr>
      </w:pPr>
    </w:p>
    <w:bookmarkStart w:id="96" w:name="page97"/>
    <w:bookmarkEnd w:id="96"/>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5"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NOTICE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Fulcrum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Robert Gould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Bryan Stuart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Peter Thomson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Greg Tourangeau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Bassett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Neil Riley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Connor Anderson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Tom Wright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Jay Hershey</w:t>
      </w:r>
    </w:p>
    <w:p>
      <w:pPr>
        <w:sectPr>
          <w:pgSz w:w="11900" w:h="16838" w:orient="portrait"/>
          <w:cols w:equalWidth="0" w:num="1">
            <w:col w:w="10019"/>
          </w:cols>
          <w:pgMar w:left="440" w:top="270" w:right="1440" w:bottom="1440" w:gutter="0" w:footer="0" w:header="0"/>
        </w:sectPr>
      </w:pPr>
    </w:p>
    <w:bookmarkStart w:id="97" w:name="page98"/>
    <w:bookmarkEnd w:id="9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FORM OF REPRESENTATION CERTIFICATE</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PURSUANT TO SECTION 3(Q) OF THE AGREEMENT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Sir:</w:t>
      </w:r>
    </w:p>
    <w:p>
      <w:pPr>
        <w:spacing w:after="0" w:line="221"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The undersigned, the duly qualified and elected [●], of Fulcrum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does hereby certify solely in such capacity and on behalf of the Company and not in his individual capacity, pursuant to </w:t>
      </w:r>
      <w:r>
        <w:rPr>
          <w:rFonts w:ascii="Arial" w:cs="Arial" w:eastAsia="Arial" w:hAnsi="Arial"/>
          <w:sz w:val="18"/>
          <w:szCs w:val="18"/>
          <w:u w:val="single" w:color="auto"/>
          <w:color w:val="auto"/>
        </w:rPr>
        <w:t>Section 3(q)</w:t>
      </w:r>
      <w:r>
        <w:rPr>
          <w:rFonts w:ascii="Arial" w:cs="Arial" w:eastAsia="Arial" w:hAnsi="Arial"/>
          <w:sz w:val="18"/>
          <w:szCs w:val="18"/>
          <w:color w:val="auto"/>
        </w:rPr>
        <w:t xml:space="preserve"> of the Equity Distribution Agreement, dated August [●], 2020 (the “</w:t>
      </w:r>
      <w:r>
        <w:rPr>
          <w:rFonts w:ascii="Arial" w:cs="Arial" w:eastAsia="Arial" w:hAnsi="Arial"/>
          <w:sz w:val="18"/>
          <w:szCs w:val="18"/>
          <w:b w:val="1"/>
          <w:bCs w:val="1"/>
          <w:color w:val="auto"/>
        </w:rPr>
        <w:t>Equity Distribution Agreement</w:t>
      </w:r>
      <w:r>
        <w:rPr>
          <w:rFonts w:ascii="Arial" w:cs="Arial" w:eastAsia="Arial" w:hAnsi="Arial"/>
          <w:sz w:val="18"/>
          <w:szCs w:val="18"/>
          <w:color w:val="auto"/>
        </w:rPr>
        <w:t>”), between the Company and Piper Sandler &amp; Co., that to the best of the knowledge of the undersigned:</w:t>
      </w:r>
    </w:p>
    <w:p>
      <w:pPr>
        <w:spacing w:after="0" w:line="76" w:lineRule="exact"/>
        <w:rPr>
          <w:sz w:val="20"/>
          <w:szCs w:val="20"/>
          <w:color w:val="auto"/>
        </w:rPr>
      </w:pPr>
    </w:p>
    <w:p>
      <w:pPr>
        <w:ind w:left="4" w:right="40" w:hanging="4"/>
        <w:spacing w:after="0" w:line="301" w:lineRule="auto"/>
        <w:tabs>
          <w:tab w:leader="none" w:pos="3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in this Agreement are true and correct, in all material respects, as if made at and as of the date of the certificate, and the Company has complied with all the agreements and satisfied all the conditions on its part to be performed or satisfied at or prior to the date of this certificate, except for those representations and warranties that speak solely as of a specific date and which were true and correct as of such date; provided, however, that such representations and warranties also shall be qualified by the disclosure included in the Prospectus;</w:t>
      </w:r>
    </w:p>
    <w:p>
      <w:pPr>
        <w:spacing w:after="0" w:line="49" w:lineRule="exact"/>
        <w:rPr>
          <w:rFonts w:ascii="Arial" w:cs="Arial" w:eastAsia="Arial" w:hAnsi="Arial"/>
          <w:sz w:val="16"/>
          <w:szCs w:val="16"/>
          <w:color w:val="auto"/>
        </w:rPr>
      </w:pPr>
    </w:p>
    <w:p>
      <w:pPr>
        <w:ind w:left="4" w:right="60" w:hanging="4"/>
        <w:spacing w:after="0" w:line="277" w:lineRule="auto"/>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has complied with all the agreements and satisfied all the conditions on its part to be performed or satisfied at or prior to the date of this certificate;</w:t>
      </w:r>
    </w:p>
    <w:p>
      <w:pPr>
        <w:spacing w:after="0" w:line="62" w:lineRule="exact"/>
        <w:rPr>
          <w:rFonts w:ascii="Arial" w:cs="Arial" w:eastAsia="Arial" w:hAnsi="Arial"/>
          <w:sz w:val="18"/>
          <w:szCs w:val="18"/>
          <w:color w:val="auto"/>
        </w:rPr>
      </w:pPr>
    </w:p>
    <w:p>
      <w:pPr>
        <w:ind w:left="4" w:right="320" w:hanging="4"/>
        <w:spacing w:after="0" w:line="311" w:lineRule="auto"/>
        <w:tabs>
          <w:tab w:leader="none" w:pos="454"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stop order or other order suspending the effectiveness of the Registration Statement or any part thereof or any amendment thereof or the qualification of the Shares for Registration Statement, nor suspending or preventing the use of the ATM Prospectus, the Prospectus or any Permitted Free Writing Prospectus, has been issued, and no proceeding for the issuance of such an order has been initiated or threatened; and</w:t>
      </w:r>
    </w:p>
    <w:p>
      <w:pPr>
        <w:spacing w:after="0" w:line="40" w:lineRule="exact"/>
        <w:rPr>
          <w:rFonts w:ascii="Arial" w:cs="Arial" w:eastAsia="Arial" w:hAnsi="Arial"/>
          <w:sz w:val="16"/>
          <w:szCs w:val="16"/>
          <w:color w:val="auto"/>
        </w:rPr>
      </w:pPr>
    </w:p>
    <w:p>
      <w:pPr>
        <w:ind w:left="4" w:right="400" w:hanging="4"/>
        <w:spacing w:after="0" w:line="308" w:lineRule="auto"/>
        <w:tabs>
          <w:tab w:leader="none" w:pos="444"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 event or condition of a type described in Section 4(b) or 4(d) of the Equity Distribution Agreement has occurred and is continuing, which event or condition is not described in the Prospectus or otherwise disclosed in the Company’s reports filed with the Commission.</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Capitalized terms used herein without definition shall have the meanings given to such terms in the Equity Distribution Agreement.</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Trustee</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020"/>
          </w:cols>
          <w:pgMar w:left="1440" w:top="121" w:right="439" w:bottom="1440" w:gutter="0" w:footer="0" w:header="0"/>
        </w:sectPr>
      </w:pPr>
    </w:p>
    <w:bookmarkStart w:id="99" w:name="page100"/>
    <w:bookmarkEnd w:id="99"/>
    <w:tbl>
      <w:tblPr>
        <w:tblLayout w:type="fixed"/>
        <w:tblInd w:w="4" w:type="dxa"/>
        <w:tblCellMar>
          <w:top w:w="0" w:type="dxa"/>
          <w:left w:w="0" w:type="dxa"/>
          <w:bottom w:w="0" w:type="dxa"/>
          <w:right w:w="0" w:type="dxa"/>
        </w:tblCellMar>
      </w:tblPr>
      <w:tr>
        <w:trPr>
          <w:trHeight w:val="227"/>
        </w:trPr>
        <w:tc>
          <w:tcPr>
            <w:tcW w:w="19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CROSS-REFERENCE TABLE</w:t>
            </w:r>
          </w:p>
        </w:tc>
        <w:tc>
          <w:tcPr>
            <w:tcW w:w="4340" w:type="dxa"/>
            <w:vAlign w:val="bottom"/>
            <w:gridSpan w:val="3"/>
          </w:tcPr>
          <w:p>
            <w:pPr>
              <w:jc w:val="right"/>
              <w:ind w:right="4193"/>
              <w:spacing w:after="0"/>
              <w:rPr>
                <w:sz w:val="20"/>
                <w:szCs w:val="20"/>
                <w:color w:val="auto"/>
              </w:rPr>
            </w:pPr>
            <w:r>
              <w:rPr>
                <w:rFonts w:ascii="Arial" w:cs="Arial" w:eastAsia="Arial" w:hAnsi="Arial"/>
                <w:sz w:val="10"/>
                <w:szCs w:val="10"/>
                <w:b w:val="1"/>
                <w:bCs w:val="1"/>
                <w:color w:val="auto"/>
                <w:w w:val="71"/>
              </w:rPr>
              <w:t>1</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3"/>
              </w:rPr>
              <w:t>Section of Trust Indenture Act</w:t>
            </w: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Section of</w:t>
            </w:r>
          </w:p>
        </w:tc>
        <w:tc>
          <w:tcPr>
            <w:tcW w:w="0" w:type="dxa"/>
            <w:vAlign w:val="bottom"/>
          </w:tcPr>
          <w:p>
            <w:pPr>
              <w:spacing w:after="0" w:line="20" w:lineRule="exact"/>
              <w:rPr>
                <w:sz w:val="1"/>
                <w:szCs w:val="1"/>
                <w:color w:val="auto"/>
              </w:rPr>
            </w:pPr>
          </w:p>
        </w:tc>
      </w:tr>
      <w:tr>
        <w:trPr>
          <w:trHeight w:val="358"/>
        </w:trPr>
        <w:tc>
          <w:tcPr>
            <w:tcW w:w="190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1939, as amended</w:t>
            </w:r>
          </w:p>
        </w:tc>
        <w:tc>
          <w:tcPr>
            <w:tcW w:w="2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Indenture</w:t>
            </w:r>
          </w:p>
        </w:tc>
        <w:tc>
          <w:tcPr>
            <w:tcW w:w="0" w:type="dxa"/>
            <w:vAlign w:val="bottom"/>
          </w:tcPr>
          <w:p>
            <w:pPr>
              <w:spacing w:after="0"/>
              <w:rPr>
                <w:sz w:val="1"/>
                <w:szCs w:val="1"/>
                <w:color w:val="auto"/>
              </w:rPr>
            </w:pPr>
          </w:p>
        </w:tc>
      </w:tr>
      <w:tr>
        <w:trPr>
          <w:trHeight w:val="189"/>
        </w:trPr>
        <w:tc>
          <w:tcPr>
            <w:tcW w:w="190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2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310(b)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310(c)</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311(a)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311(b)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311(c)</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312(a)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312(b)</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312(c)</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313(d)</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314(b)</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9.01(c)</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10.01(b)</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314(d)</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314(e)</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314(f)</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315(d)</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315(e)</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316(a)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316(b)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316(c)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317(a)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317(b)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318(a)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380" w:hanging="424"/>
        <w:spacing w:after="0" w:line="277" w:lineRule="auto"/>
        <w:tabs>
          <w:tab w:leader="none" w:pos="424" w:val="left"/>
        </w:tabs>
        <w:numPr>
          <w:ilvl w:val="0"/>
          <w:numId w:val="88"/>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37" w:right="4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720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06"/>
        </w:trPr>
        <w:tc>
          <w:tcPr>
            <w:tcW w:w="13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360" w:type="dxa"/>
            <w:vAlign w:val="bottom"/>
          </w:tcPr>
          <w:p>
            <w:pPr>
              <w:spacing w:after="0"/>
              <w:rPr>
                <w:sz w:val="20"/>
                <w:szCs w:val="20"/>
                <w:color w:val="auto"/>
              </w:rPr>
            </w:pPr>
            <w:r>
              <w:rPr>
                <w:rFonts w:ascii="Arial" w:cs="Arial" w:eastAsia="Arial" w:hAnsi="Arial"/>
                <w:sz w:val="18"/>
                <w:szCs w:val="18"/>
                <w:color w:val="auto"/>
              </w:rPr>
              <w:t>ARTICLE 1</w:t>
            </w:r>
          </w:p>
        </w:tc>
        <w:tc>
          <w:tcPr>
            <w:tcW w:w="72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1.01  Certain Terms Defined</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2</w:t>
            </w:r>
          </w:p>
        </w:tc>
        <w:tc>
          <w:tcPr>
            <w:tcW w:w="7200" w:type="dxa"/>
            <w:vAlign w:val="bottom"/>
          </w:tcPr>
          <w:p>
            <w:pPr>
              <w:ind w:left="100"/>
              <w:spacing w:after="0"/>
              <w:rPr>
                <w:sz w:val="20"/>
                <w:szCs w:val="20"/>
                <w:color w:val="auto"/>
              </w:rPr>
            </w:pPr>
            <w:r>
              <w:rPr>
                <w:rFonts w:ascii="Arial" w:cs="Arial" w:eastAsia="Arial" w:hAnsi="Arial"/>
                <w:sz w:val="18"/>
                <w:szCs w:val="18"/>
                <w:color w:val="auto"/>
              </w:rPr>
              <w:t>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2.01</w:t>
            </w:r>
          </w:p>
        </w:tc>
        <w:tc>
          <w:tcPr>
            <w:tcW w:w="7200" w:type="dxa"/>
            <w:vAlign w:val="bottom"/>
          </w:tcPr>
          <w:p>
            <w:pPr>
              <w:ind w:left="100"/>
              <w:spacing w:after="0"/>
              <w:rPr>
                <w:sz w:val="20"/>
                <w:szCs w:val="20"/>
                <w:color w:val="auto"/>
              </w:rPr>
            </w:pPr>
            <w:r>
              <w:rPr>
                <w:rFonts w:ascii="Arial" w:cs="Arial" w:eastAsia="Arial" w:hAnsi="Arial"/>
                <w:sz w:val="18"/>
                <w:szCs w:val="18"/>
                <w:color w:val="auto"/>
              </w:rPr>
              <w:t>Forms Generally</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2.02  Form of Trustee’s Certificate of Authentication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2.03  Amount Unlimited; Issuable in Series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2.04  Authentication and Delivery of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2.05  Execution of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2.06  Certificate of Authentication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2.07  Denomination and Date of Securities; Payments of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2.08  Registration, Transfer and Exchange</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2.09  Mutilated, Defaced, Destroyed, Lost and Stolen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2.10  Cancellation of Securities; Destruction Thereof</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2.11</w:t>
            </w:r>
          </w:p>
        </w:tc>
        <w:tc>
          <w:tcPr>
            <w:tcW w:w="720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3</w:t>
            </w:r>
          </w:p>
        </w:tc>
        <w:tc>
          <w:tcPr>
            <w:tcW w:w="7200" w:type="dxa"/>
            <w:vAlign w:val="bottom"/>
          </w:tcPr>
          <w:p>
            <w:pPr>
              <w:ind w:left="100"/>
              <w:spacing w:after="0"/>
              <w:rPr>
                <w:sz w:val="20"/>
                <w:szCs w:val="20"/>
                <w:color w:val="auto"/>
              </w:rPr>
            </w:pPr>
            <w:r>
              <w:rPr>
                <w:rFonts w:ascii="Arial" w:cs="Arial" w:eastAsia="Arial" w:hAnsi="Arial"/>
                <w:sz w:val="18"/>
                <w:szCs w:val="18"/>
                <w:color w:val="auto"/>
              </w:rPr>
              <w:t>COVENANTS OF THE ISSUER</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3.01  Payment of Principal and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3.02  Offices for Payments, Etc</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3.03  Appointment to Fill a Vacancy in Office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3.04</w:t>
            </w:r>
          </w:p>
        </w:tc>
        <w:tc>
          <w:tcPr>
            <w:tcW w:w="7200" w:type="dxa"/>
            <w:vAlign w:val="bottom"/>
          </w:tcPr>
          <w:p>
            <w:pPr>
              <w:ind w:left="100"/>
              <w:spacing w:after="0"/>
              <w:rPr>
                <w:sz w:val="20"/>
                <w:szCs w:val="20"/>
                <w:color w:val="auto"/>
              </w:rPr>
            </w:pPr>
            <w:r>
              <w:rPr>
                <w:rFonts w:ascii="Arial" w:cs="Arial" w:eastAsia="Arial" w:hAnsi="Arial"/>
                <w:sz w:val="18"/>
                <w:szCs w:val="18"/>
                <w:color w:val="auto"/>
              </w:rPr>
              <w:t>Paying Agents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3.05  Written Statement to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1" w:name="page102"/>
    <w:bookmarkEnd w:id="101"/>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360" w:type="dxa"/>
            <w:vAlign w:val="bottom"/>
          </w:tcPr>
          <w:p>
            <w:pPr>
              <w:spacing w:after="0"/>
              <w:rPr>
                <w:sz w:val="20"/>
                <w:szCs w:val="20"/>
                <w:color w:val="auto"/>
              </w:rPr>
            </w:pPr>
            <w:r>
              <w:rPr>
                <w:rFonts w:ascii="Arial" w:cs="Arial" w:eastAsia="Arial" w:hAnsi="Arial"/>
                <w:sz w:val="18"/>
                <w:szCs w:val="18"/>
                <w:color w:val="auto"/>
              </w:rPr>
              <w:t>ARTICLE 4</w:t>
            </w:r>
          </w:p>
        </w:tc>
        <w:tc>
          <w:tcPr>
            <w:tcW w:w="8260" w:type="dxa"/>
            <w:vAlign w:val="bottom"/>
          </w:tcPr>
          <w:p>
            <w:pPr>
              <w:ind w:left="100"/>
              <w:spacing w:after="0"/>
              <w:rPr>
                <w:sz w:val="20"/>
                <w:szCs w:val="20"/>
                <w:color w:val="auto"/>
              </w:rPr>
            </w:pPr>
            <w:r>
              <w:rPr>
                <w:rFonts w:ascii="Arial" w:cs="Arial" w:eastAsia="Arial" w:hAnsi="Arial"/>
                <w:sz w:val="18"/>
                <w:szCs w:val="18"/>
                <w:color w:val="auto"/>
              </w:rPr>
              <w:t>SECURITYHOLDERS LISTS AND REPORTS BY THE ISSUER AND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4.01  Issuer to Furnish Trustee Information as to Names and Addresses of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4.02  Reports by the Issuer</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4.03  Reports by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4.04  Preservation of Information; Communication with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5</w:t>
            </w:r>
          </w:p>
        </w:tc>
        <w:tc>
          <w:tcPr>
            <w:tcW w:w="8260" w:type="dxa"/>
            <w:vAlign w:val="bottom"/>
          </w:tcPr>
          <w:p>
            <w:pPr>
              <w:ind w:left="100"/>
              <w:spacing w:after="0"/>
              <w:rPr>
                <w:sz w:val="20"/>
                <w:szCs w:val="20"/>
                <w:color w:val="auto"/>
              </w:rPr>
            </w:pPr>
            <w:r>
              <w:rPr>
                <w:rFonts w:ascii="Arial" w:cs="Arial" w:eastAsia="Arial" w:hAnsi="Arial"/>
                <w:sz w:val="18"/>
                <w:szCs w:val="18"/>
                <w:color w:val="auto"/>
              </w:rPr>
              <w:t>REMEDIES OF THE TRUSTEE AND SECURITYHOLDERS ON EVENT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5.01  Event of Default Defined; Acceleration of Maturity; Waiver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5.02  Collection of Debt by Trustee; Trustee May Prove Debt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5.03  Application of Proceeds</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5.04  Suits for Enforcement</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5.05  Restoration of Rights on Abandonment of Proceedings</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5.06  Limitations on Suits by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5.07  Unconditional Right of Securityholders to Institute Certain Suits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5.08</w:t>
            </w:r>
          </w:p>
        </w:tc>
        <w:tc>
          <w:tcPr>
            <w:tcW w:w="8260" w:type="dxa"/>
            <w:vAlign w:val="bottom"/>
          </w:tcPr>
          <w:p>
            <w:pPr>
              <w:ind w:left="10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5.09  Control by Holders of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5.10  Waiver of Past Defaults</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5.11   Trustee to Give Notice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5.12  Right of Court to Require Filing of Undertaking to Pay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6</w:t>
            </w:r>
          </w:p>
        </w:tc>
        <w:tc>
          <w:tcPr>
            <w:tcW w:w="8260" w:type="dxa"/>
            <w:vAlign w:val="bottom"/>
          </w:tcPr>
          <w:p>
            <w:pPr>
              <w:ind w:left="100"/>
              <w:spacing w:after="0"/>
              <w:rPr>
                <w:sz w:val="20"/>
                <w:szCs w:val="20"/>
                <w:color w:val="auto"/>
              </w:rPr>
            </w:pPr>
            <w:r>
              <w:rPr>
                <w:rFonts w:ascii="Arial" w:cs="Arial" w:eastAsia="Arial" w:hAnsi="Arial"/>
                <w:sz w:val="18"/>
                <w:szCs w:val="18"/>
                <w:color w:val="auto"/>
              </w:rPr>
              <w:t>CONCERNING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6.01  Duties and Responsibilities of the Trustee; During Default; Prior to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6.02  Certain Rights of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6.03  Trustee Not Responsible for Recitals, Disposition of Securities or Application of Proceeds Thereof</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6.04  Trustee and Agents May Hold Securities; Collections, Etc</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6.05  Moneys Held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6.06  Compensation and Indemnification of Trustee and Its Prior Claim</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6.07  Right of Trustee to Rely on Officer’s Certificate, Etc</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6.08  Disqualification; Conflicting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6.09  Persons Eligible for Appointment as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6.10  Resignation and Removal; Appointment of Successor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6.11   Acceptance of Appointment by Successor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6.12  Merger, Conversion, Consolidation or Succession to Business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6.13  Preferential Collection of Claims Against the Issuer</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bl>
    <w:p>
      <w:pPr>
        <w:jc w:val="right"/>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2" w:name="page103"/>
    <w:bookmarkEnd w:id="102"/>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440" w:type="dxa"/>
            <w:vAlign w:val="bottom"/>
          </w:tcPr>
          <w:p>
            <w:pPr>
              <w:spacing w:after="0"/>
              <w:rPr>
                <w:sz w:val="20"/>
                <w:szCs w:val="20"/>
                <w:color w:val="auto"/>
              </w:rPr>
            </w:pPr>
            <w:r>
              <w:rPr>
                <w:rFonts w:ascii="Arial" w:cs="Arial" w:eastAsia="Arial" w:hAnsi="Arial"/>
                <w:sz w:val="18"/>
                <w:szCs w:val="18"/>
                <w:color w:val="auto"/>
              </w:rPr>
              <w:t>ARTICLE 7</w:t>
            </w:r>
          </w:p>
        </w:tc>
        <w:tc>
          <w:tcPr>
            <w:tcW w:w="8340" w:type="dxa"/>
            <w:vAlign w:val="bottom"/>
          </w:tcPr>
          <w:p>
            <w:pPr>
              <w:ind w:left="100"/>
              <w:spacing w:after="0"/>
              <w:rPr>
                <w:sz w:val="20"/>
                <w:szCs w:val="20"/>
                <w:color w:val="auto"/>
              </w:rPr>
            </w:pPr>
            <w:r>
              <w:rPr>
                <w:rFonts w:ascii="Arial" w:cs="Arial" w:eastAsia="Arial" w:hAnsi="Arial"/>
                <w:sz w:val="18"/>
                <w:szCs w:val="18"/>
                <w:color w:val="auto"/>
              </w:rPr>
              <w:t>CONCERNING THE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340" w:type="dxa"/>
            <w:vAlign w:val="bottom"/>
          </w:tcPr>
          <w:p>
            <w:pPr>
              <w:ind w:left="100"/>
              <w:spacing w:after="0"/>
              <w:rPr>
                <w:sz w:val="20"/>
                <w:szCs w:val="20"/>
                <w:color w:val="auto"/>
              </w:rPr>
            </w:pPr>
            <w:r>
              <w:rPr>
                <w:rFonts w:ascii="Arial" w:cs="Arial" w:eastAsia="Arial" w:hAnsi="Arial"/>
                <w:sz w:val="18"/>
                <w:szCs w:val="18"/>
                <w:color w:val="auto"/>
              </w:rPr>
              <w:t>Evidence of Action Taken by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340" w:type="dxa"/>
            <w:vAlign w:val="bottom"/>
          </w:tcPr>
          <w:p>
            <w:pPr>
              <w:ind w:left="100"/>
              <w:spacing w:after="0"/>
              <w:rPr>
                <w:sz w:val="20"/>
                <w:szCs w:val="20"/>
                <w:color w:val="auto"/>
              </w:rPr>
            </w:pPr>
            <w:r>
              <w:rPr>
                <w:rFonts w:ascii="Arial" w:cs="Arial" w:eastAsia="Arial" w:hAnsi="Arial"/>
                <w:sz w:val="18"/>
                <w:szCs w:val="18"/>
                <w:color w:val="auto"/>
              </w:rPr>
              <w:t>Proof of Execution of Instruments and of Holding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340" w:type="dxa"/>
            <w:vAlign w:val="bottom"/>
          </w:tcPr>
          <w:p>
            <w:pPr>
              <w:ind w:left="100"/>
              <w:spacing w:after="0"/>
              <w:rPr>
                <w:sz w:val="20"/>
                <w:szCs w:val="20"/>
                <w:color w:val="auto"/>
              </w:rPr>
            </w:pPr>
            <w:r>
              <w:rPr>
                <w:rFonts w:ascii="Arial" w:cs="Arial" w:eastAsia="Arial" w:hAnsi="Arial"/>
                <w:sz w:val="18"/>
                <w:szCs w:val="18"/>
                <w:color w:val="auto"/>
              </w:rPr>
              <w:t>Holders to Be Treated as Owners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340" w:type="dxa"/>
            <w:vAlign w:val="bottom"/>
          </w:tcPr>
          <w:p>
            <w:pPr>
              <w:ind w:left="100"/>
              <w:spacing w:after="0"/>
              <w:rPr>
                <w:sz w:val="20"/>
                <w:szCs w:val="20"/>
                <w:color w:val="auto"/>
              </w:rPr>
            </w:pPr>
            <w:r>
              <w:rPr>
                <w:rFonts w:ascii="Arial" w:cs="Arial" w:eastAsia="Arial" w:hAnsi="Arial"/>
                <w:sz w:val="18"/>
                <w:szCs w:val="18"/>
                <w:color w:val="auto"/>
              </w:rPr>
              <w:t>Securities Owned by Issuer Deemed Not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8340" w:type="dxa"/>
            <w:vAlign w:val="bottom"/>
          </w:tcPr>
          <w:p>
            <w:pPr>
              <w:ind w:left="100"/>
              <w:spacing w:after="0"/>
              <w:rPr>
                <w:sz w:val="20"/>
                <w:szCs w:val="20"/>
                <w:color w:val="auto"/>
              </w:rPr>
            </w:pPr>
            <w:r>
              <w:rPr>
                <w:rFonts w:ascii="Arial" w:cs="Arial" w:eastAsia="Arial" w:hAnsi="Arial"/>
                <w:sz w:val="18"/>
                <w:szCs w:val="18"/>
                <w:color w:val="auto"/>
              </w:rPr>
              <w:t>Right of Revocation of Action Taken</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8</w:t>
            </w:r>
          </w:p>
        </w:tc>
        <w:tc>
          <w:tcPr>
            <w:tcW w:w="8340" w:type="dxa"/>
            <w:vAlign w:val="bottom"/>
          </w:tcPr>
          <w:p>
            <w:pPr>
              <w:ind w:left="100"/>
              <w:spacing w:after="0"/>
              <w:rPr>
                <w:sz w:val="20"/>
                <w:szCs w:val="20"/>
                <w:color w:val="auto"/>
              </w:rPr>
            </w:pPr>
            <w:r>
              <w:rPr>
                <w:rFonts w:ascii="Arial" w:cs="Arial" w:eastAsia="Arial" w:hAnsi="Arial"/>
                <w:sz w:val="18"/>
                <w:szCs w:val="18"/>
                <w:color w:val="auto"/>
              </w:rPr>
              <w:t>SUPPLEMENTAL INDENTURES</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34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34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340" w:type="dxa"/>
            <w:vAlign w:val="bottom"/>
          </w:tcPr>
          <w:p>
            <w:pPr>
              <w:ind w:left="100"/>
              <w:spacing w:after="0"/>
              <w:rPr>
                <w:sz w:val="20"/>
                <w:szCs w:val="20"/>
                <w:color w:val="auto"/>
              </w:rPr>
            </w:pPr>
            <w:r>
              <w:rPr>
                <w:rFonts w:ascii="Arial" w:cs="Arial" w:eastAsia="Arial" w:hAnsi="Arial"/>
                <w:sz w:val="18"/>
                <w:szCs w:val="18"/>
                <w:color w:val="auto"/>
              </w:rPr>
              <w:t>Effect of Supplemental Indenture</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8340" w:type="dxa"/>
            <w:vAlign w:val="bottom"/>
          </w:tcPr>
          <w:p>
            <w:pPr>
              <w:ind w:left="100"/>
              <w:spacing w:after="0"/>
              <w:rPr>
                <w:sz w:val="20"/>
                <w:szCs w:val="20"/>
                <w:color w:val="auto"/>
              </w:rPr>
            </w:pPr>
            <w:r>
              <w:rPr>
                <w:rFonts w:ascii="Arial" w:cs="Arial" w:eastAsia="Arial" w:hAnsi="Arial"/>
                <w:sz w:val="18"/>
                <w:szCs w:val="18"/>
                <w:color w:val="auto"/>
              </w:rPr>
              <w:t>Documents to Be Given to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8340" w:type="dxa"/>
            <w:vAlign w:val="bottom"/>
          </w:tcPr>
          <w:p>
            <w:pPr>
              <w:ind w:left="100"/>
              <w:spacing w:after="0"/>
              <w:rPr>
                <w:sz w:val="20"/>
                <w:szCs w:val="20"/>
                <w:color w:val="auto"/>
              </w:rPr>
            </w:pPr>
            <w:r>
              <w:rPr>
                <w:rFonts w:ascii="Arial" w:cs="Arial" w:eastAsia="Arial" w:hAnsi="Arial"/>
                <w:sz w:val="18"/>
                <w:szCs w:val="18"/>
                <w:color w:val="auto"/>
              </w:rPr>
              <w:t>Notation on Securities in Respect of Supplemental Indentures</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9</w:t>
            </w:r>
          </w:p>
        </w:tc>
        <w:tc>
          <w:tcPr>
            <w:tcW w:w="8340" w:type="dxa"/>
            <w:vAlign w:val="bottom"/>
          </w:tcPr>
          <w:p>
            <w:pPr>
              <w:ind w:left="100"/>
              <w:spacing w:after="0"/>
              <w:rPr>
                <w:sz w:val="20"/>
                <w:szCs w:val="20"/>
                <w:color w:val="auto"/>
              </w:rPr>
            </w:pPr>
            <w:r>
              <w:rPr>
                <w:rFonts w:ascii="Arial" w:cs="Arial" w:eastAsia="Arial" w:hAnsi="Arial"/>
                <w:sz w:val="18"/>
                <w:szCs w:val="18"/>
                <w:color w:val="auto"/>
              </w:rPr>
              <w:t>CONSOLIDATION, MERGER, SALE OR CONVEYANCE</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340" w:type="dxa"/>
            <w:vAlign w:val="bottom"/>
          </w:tcPr>
          <w:p>
            <w:pPr>
              <w:ind w:left="100"/>
              <w:spacing w:after="0"/>
              <w:rPr>
                <w:sz w:val="20"/>
                <w:szCs w:val="20"/>
                <w:color w:val="auto"/>
              </w:rPr>
            </w:pPr>
            <w:r>
              <w:rPr>
                <w:rFonts w:ascii="Arial" w:cs="Arial" w:eastAsia="Arial" w:hAnsi="Arial"/>
                <w:sz w:val="18"/>
                <w:szCs w:val="18"/>
                <w:color w:val="auto"/>
              </w:rPr>
              <w:t>Issuer May Consolidate, Etc., on Certain Terms</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340" w:type="dxa"/>
            <w:vAlign w:val="bottom"/>
          </w:tcPr>
          <w:p>
            <w:pPr>
              <w:ind w:left="100"/>
              <w:spacing w:after="0"/>
              <w:rPr>
                <w:sz w:val="20"/>
                <w:szCs w:val="20"/>
                <w:color w:val="auto"/>
              </w:rPr>
            </w:pPr>
            <w:r>
              <w:rPr>
                <w:rFonts w:ascii="Arial" w:cs="Arial" w:eastAsia="Arial" w:hAnsi="Arial"/>
                <w:sz w:val="18"/>
                <w:szCs w:val="18"/>
                <w:color w:val="auto"/>
              </w:rPr>
              <w:t>Successor Issuer Substituted</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10</w:t>
            </w:r>
          </w:p>
        </w:tc>
        <w:tc>
          <w:tcPr>
            <w:tcW w:w="834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 UNCLAIMED MONEYS</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10.01</w:t>
            </w:r>
          </w:p>
        </w:tc>
        <w:tc>
          <w:tcPr>
            <w:tcW w:w="834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10.02</w:t>
            </w:r>
          </w:p>
        </w:tc>
        <w:tc>
          <w:tcPr>
            <w:tcW w:w="8340" w:type="dxa"/>
            <w:vAlign w:val="bottom"/>
          </w:tcPr>
          <w:p>
            <w:pPr>
              <w:ind w:left="10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10.03</w:t>
            </w:r>
          </w:p>
        </w:tc>
        <w:tc>
          <w:tcPr>
            <w:tcW w:w="8340" w:type="dxa"/>
            <w:vAlign w:val="bottom"/>
          </w:tcPr>
          <w:p>
            <w:pPr>
              <w:ind w:left="100"/>
              <w:spacing w:after="0"/>
              <w:rPr>
                <w:sz w:val="20"/>
                <w:szCs w:val="20"/>
                <w:color w:val="auto"/>
              </w:rPr>
            </w:pPr>
            <w:r>
              <w:rPr>
                <w:rFonts w:ascii="Arial" w:cs="Arial" w:eastAsia="Arial" w:hAnsi="Arial"/>
                <w:sz w:val="18"/>
                <w:szCs w:val="18"/>
                <w:color w:val="auto"/>
              </w:rPr>
              <w:t>Repayment of Moneys Held by Paying Agent</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10.04</w:t>
            </w:r>
          </w:p>
        </w:tc>
        <w:tc>
          <w:tcPr>
            <w:tcW w:w="8340" w:type="dxa"/>
            <w:vAlign w:val="bottom"/>
          </w:tcPr>
          <w:p>
            <w:pPr>
              <w:ind w:left="10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10.05</w:t>
            </w:r>
          </w:p>
        </w:tc>
        <w:tc>
          <w:tcPr>
            <w:tcW w:w="8340" w:type="dxa"/>
            <w:vAlign w:val="bottom"/>
          </w:tcPr>
          <w:p>
            <w:pPr>
              <w:ind w:left="100"/>
              <w:spacing w:after="0"/>
              <w:rPr>
                <w:sz w:val="20"/>
                <w:szCs w:val="20"/>
                <w:color w:val="auto"/>
              </w:rPr>
            </w:pPr>
            <w:r>
              <w:rPr>
                <w:rFonts w:ascii="Arial" w:cs="Arial" w:eastAsia="Arial" w:hAnsi="Arial"/>
                <w:sz w:val="18"/>
                <w:szCs w:val="18"/>
                <w:color w:val="auto"/>
              </w:rPr>
              <w:t>Indemnity for U.S. Government Obligations and Foreign Government Obligations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11</w:t>
            </w:r>
          </w:p>
        </w:tc>
        <w:tc>
          <w:tcPr>
            <w:tcW w:w="8340" w:type="dxa"/>
            <w:vAlign w:val="bottom"/>
          </w:tcPr>
          <w:p>
            <w:pPr>
              <w:ind w:left="100"/>
              <w:spacing w:after="0"/>
              <w:rPr>
                <w:sz w:val="20"/>
                <w:szCs w:val="20"/>
                <w:color w:val="auto"/>
              </w:rPr>
            </w:pPr>
            <w:r>
              <w:rPr>
                <w:rFonts w:ascii="Arial" w:cs="Arial" w:eastAsia="Arial" w:hAnsi="Arial"/>
                <w:sz w:val="18"/>
                <w:szCs w:val="18"/>
                <w:color w:val="auto"/>
              </w:rPr>
              <w:t>MISCELLANEOUS PROVISIONS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11.01</w:t>
            </w:r>
          </w:p>
        </w:tc>
        <w:tc>
          <w:tcPr>
            <w:tcW w:w="834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11.02</w:t>
            </w:r>
          </w:p>
        </w:tc>
        <w:tc>
          <w:tcPr>
            <w:tcW w:w="8340" w:type="dxa"/>
            <w:vAlign w:val="bottom"/>
          </w:tcPr>
          <w:p>
            <w:pPr>
              <w:ind w:left="100"/>
              <w:spacing w:after="0"/>
              <w:rPr>
                <w:sz w:val="20"/>
                <w:szCs w:val="20"/>
                <w:color w:val="auto"/>
              </w:rPr>
            </w:pPr>
            <w:r>
              <w:rPr>
                <w:rFonts w:ascii="Arial" w:cs="Arial" w:eastAsia="Arial" w:hAnsi="Arial"/>
                <w:sz w:val="18"/>
                <w:szCs w:val="18"/>
                <w:color w:val="auto"/>
              </w:rPr>
              <w:t>Provisions of Indenture for the Sole Benefit of Parties and Holders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11.03</w:t>
            </w:r>
          </w:p>
        </w:tc>
        <w:tc>
          <w:tcPr>
            <w:tcW w:w="8340" w:type="dxa"/>
            <w:vAlign w:val="bottom"/>
          </w:tcPr>
          <w:p>
            <w:pPr>
              <w:ind w:left="100"/>
              <w:spacing w:after="0"/>
              <w:rPr>
                <w:sz w:val="20"/>
                <w:szCs w:val="20"/>
                <w:color w:val="auto"/>
              </w:rPr>
            </w:pPr>
            <w:r>
              <w:rPr>
                <w:rFonts w:ascii="Arial" w:cs="Arial" w:eastAsia="Arial" w:hAnsi="Arial"/>
                <w:sz w:val="18"/>
                <w:szCs w:val="18"/>
                <w:color w:val="auto"/>
              </w:rPr>
              <w:t>Successors and Assigns of Issuer Bound by Indenture</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11.04</w:t>
            </w:r>
          </w:p>
        </w:tc>
        <w:tc>
          <w:tcPr>
            <w:tcW w:w="8340" w:type="dxa"/>
            <w:vAlign w:val="bottom"/>
          </w:tcPr>
          <w:p>
            <w:pPr>
              <w:ind w:left="100"/>
              <w:spacing w:after="0"/>
              <w:rPr>
                <w:sz w:val="20"/>
                <w:szCs w:val="20"/>
                <w:color w:val="auto"/>
              </w:rPr>
            </w:pPr>
            <w:r>
              <w:rPr>
                <w:rFonts w:ascii="Arial" w:cs="Arial" w:eastAsia="Arial" w:hAnsi="Arial"/>
                <w:sz w:val="18"/>
                <w:szCs w:val="18"/>
                <w:color w:val="auto"/>
              </w:rPr>
              <w:t>Notices and Demands on Issuer, Trustee and Holders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11.05</w:t>
            </w:r>
          </w:p>
        </w:tc>
        <w:tc>
          <w:tcPr>
            <w:tcW w:w="8340" w:type="dxa"/>
            <w:vAlign w:val="bottom"/>
          </w:tcPr>
          <w:p>
            <w:pPr>
              <w:ind w:left="10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11.06</w:t>
            </w:r>
          </w:p>
        </w:tc>
        <w:tc>
          <w:tcPr>
            <w:tcW w:w="8340" w:type="dxa"/>
            <w:vAlign w:val="bottom"/>
          </w:tcPr>
          <w:p>
            <w:pPr>
              <w:ind w:left="100"/>
              <w:spacing w:after="0"/>
              <w:rPr>
                <w:sz w:val="20"/>
                <w:szCs w:val="20"/>
                <w:color w:val="auto"/>
              </w:rPr>
            </w:pPr>
            <w:r>
              <w:rPr>
                <w:rFonts w:ascii="Arial" w:cs="Arial" w:eastAsia="Arial" w:hAnsi="Arial"/>
                <w:sz w:val="18"/>
                <w:szCs w:val="18"/>
                <w:color w:val="auto"/>
              </w:rPr>
              <w:t>Payments Due on Saturdays, Sundays and Holidays</w:t>
            </w: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bl>
    <w:p>
      <w:pPr>
        <w:jc w:val="right"/>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3" w:name="page104"/>
    <w:bookmarkEnd w:id="103"/>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11.07</w:t>
            </w:r>
          </w:p>
        </w:tc>
        <w:tc>
          <w:tcPr>
            <w:tcW w:w="7440" w:type="dxa"/>
            <w:vAlign w:val="bottom"/>
          </w:tcPr>
          <w:p>
            <w:pPr>
              <w:ind w:left="10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11.08</w:t>
            </w:r>
          </w:p>
        </w:tc>
        <w:tc>
          <w:tcPr>
            <w:tcW w:w="7440" w:type="dxa"/>
            <w:vAlign w:val="bottom"/>
          </w:tcPr>
          <w:p>
            <w:pPr>
              <w:ind w:left="100"/>
              <w:spacing w:after="0"/>
              <w:rPr>
                <w:sz w:val="20"/>
                <w:szCs w:val="20"/>
                <w:color w:val="auto"/>
              </w:rPr>
            </w:pPr>
            <w:r>
              <w:rPr>
                <w:rFonts w:ascii="Arial" w:cs="Arial" w:eastAsia="Arial" w:hAnsi="Arial"/>
                <w:sz w:val="18"/>
                <w:szCs w:val="18"/>
                <w:color w:val="auto"/>
              </w:rPr>
              <w:t>New York Law to Govern</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11.09</w:t>
            </w:r>
          </w:p>
        </w:tc>
        <w:tc>
          <w:tcPr>
            <w:tcW w:w="74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11.10</w:t>
            </w:r>
          </w:p>
        </w:tc>
        <w:tc>
          <w:tcPr>
            <w:tcW w:w="7440" w:type="dxa"/>
            <w:vAlign w:val="bottom"/>
          </w:tcPr>
          <w:p>
            <w:pPr>
              <w:ind w:left="100"/>
              <w:spacing w:after="0"/>
              <w:rPr>
                <w:sz w:val="20"/>
                <w:szCs w:val="20"/>
                <w:color w:val="auto"/>
              </w:rPr>
            </w:pPr>
            <w:r>
              <w:rPr>
                <w:rFonts w:ascii="Arial" w:cs="Arial" w:eastAsia="Arial" w:hAnsi="Arial"/>
                <w:sz w:val="18"/>
                <w:szCs w:val="18"/>
                <w:color w:val="auto"/>
              </w:rPr>
              <w:t>Effect of Headings</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11.11</w:t>
            </w:r>
          </w:p>
        </w:tc>
        <w:tc>
          <w:tcPr>
            <w:tcW w:w="7440" w:type="dxa"/>
            <w:vAlign w:val="bottom"/>
          </w:tcPr>
          <w:p>
            <w:pPr>
              <w:ind w:left="100"/>
              <w:spacing w:after="0"/>
              <w:rPr>
                <w:sz w:val="20"/>
                <w:szCs w:val="20"/>
                <w:color w:val="auto"/>
              </w:rPr>
            </w:pPr>
            <w:r>
              <w:rPr>
                <w:rFonts w:ascii="Arial" w:cs="Arial" w:eastAsia="Arial" w:hAnsi="Arial"/>
                <w:sz w:val="18"/>
                <w:szCs w:val="18"/>
                <w:color w:val="auto"/>
              </w:rPr>
              <w:t>Actions by Successor</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11.12</w:t>
            </w:r>
          </w:p>
        </w:tc>
        <w:tc>
          <w:tcPr>
            <w:tcW w:w="74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12</w:t>
            </w:r>
          </w:p>
        </w:tc>
        <w:tc>
          <w:tcPr>
            <w:tcW w:w="7440" w:type="dxa"/>
            <w:vAlign w:val="bottom"/>
          </w:tcPr>
          <w:p>
            <w:pPr>
              <w:ind w:left="100"/>
              <w:spacing w:after="0"/>
              <w:rPr>
                <w:sz w:val="20"/>
                <w:szCs w:val="20"/>
                <w:color w:val="auto"/>
              </w:rPr>
            </w:pPr>
            <w:r>
              <w:rPr>
                <w:rFonts w:ascii="Arial" w:cs="Arial" w:eastAsia="Arial" w:hAnsi="Arial"/>
                <w:sz w:val="18"/>
                <w:szCs w:val="18"/>
                <w:color w:val="auto"/>
              </w:rPr>
              <w:t>REDEMPTION OF SECURITIES AND SINKING FUNDS</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12.01</w:t>
            </w:r>
          </w:p>
        </w:tc>
        <w:tc>
          <w:tcPr>
            <w:tcW w:w="7440" w:type="dxa"/>
            <w:vAlign w:val="bottom"/>
          </w:tcPr>
          <w:p>
            <w:pPr>
              <w:ind w:left="100"/>
              <w:spacing w:after="0"/>
              <w:rPr>
                <w:sz w:val="20"/>
                <w:szCs w:val="20"/>
                <w:color w:val="auto"/>
              </w:rPr>
            </w:pPr>
            <w:r>
              <w:rPr>
                <w:rFonts w:ascii="Arial" w:cs="Arial" w:eastAsia="Arial" w:hAnsi="Arial"/>
                <w:sz w:val="18"/>
                <w:szCs w:val="18"/>
                <w:color w:val="auto"/>
              </w:rPr>
              <w:t>Applicability of Article</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12.02</w:t>
            </w:r>
          </w:p>
        </w:tc>
        <w:tc>
          <w:tcPr>
            <w:tcW w:w="7440" w:type="dxa"/>
            <w:vAlign w:val="bottom"/>
          </w:tcPr>
          <w:p>
            <w:pPr>
              <w:ind w:left="100"/>
              <w:spacing w:after="0"/>
              <w:rPr>
                <w:sz w:val="20"/>
                <w:szCs w:val="20"/>
                <w:color w:val="auto"/>
              </w:rPr>
            </w:pPr>
            <w:r>
              <w:rPr>
                <w:rFonts w:ascii="Arial" w:cs="Arial" w:eastAsia="Arial" w:hAnsi="Arial"/>
                <w:sz w:val="18"/>
                <w:szCs w:val="18"/>
                <w:color w:val="auto"/>
              </w:rPr>
              <w:t>Notice of Redemption; Partial Redemptions</w:t>
            </w:r>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12.03</w:t>
            </w:r>
          </w:p>
        </w:tc>
        <w:tc>
          <w:tcPr>
            <w:tcW w:w="7440" w:type="dxa"/>
            <w:vAlign w:val="bottom"/>
          </w:tcPr>
          <w:p>
            <w:pPr>
              <w:ind w:left="100"/>
              <w:spacing w:after="0"/>
              <w:rPr>
                <w:sz w:val="20"/>
                <w:szCs w:val="20"/>
                <w:color w:val="auto"/>
              </w:rPr>
            </w:pPr>
            <w:r>
              <w:rPr>
                <w:rFonts w:ascii="Arial" w:cs="Arial" w:eastAsia="Arial" w:hAnsi="Arial"/>
                <w:sz w:val="18"/>
                <w:szCs w:val="18"/>
                <w:color w:val="auto"/>
              </w:rPr>
              <w:t>Payment of Securities Called for Redemption</w:t>
            </w:r>
          </w:p>
        </w:tc>
        <w:tc>
          <w:tcPr>
            <w:tcW w:w="20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12.04</w:t>
            </w:r>
          </w:p>
        </w:tc>
        <w:tc>
          <w:tcPr>
            <w:tcW w:w="7440" w:type="dxa"/>
            <w:vAlign w:val="bottom"/>
          </w:tcPr>
          <w:p>
            <w:pPr>
              <w:ind w:left="10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2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12.05</w:t>
            </w:r>
          </w:p>
        </w:tc>
        <w:tc>
          <w:tcPr>
            <w:tcW w:w="7440" w:type="dxa"/>
            <w:vAlign w:val="bottom"/>
          </w:tcPr>
          <w:p>
            <w:pPr>
              <w:ind w:left="100"/>
              <w:spacing w:after="0"/>
              <w:rPr>
                <w:sz w:val="20"/>
                <w:szCs w:val="20"/>
                <w:color w:val="auto"/>
              </w:rPr>
            </w:pPr>
            <w:r>
              <w:rPr>
                <w:rFonts w:ascii="Arial" w:cs="Arial" w:eastAsia="Arial" w:hAnsi="Arial"/>
                <w:sz w:val="18"/>
                <w:szCs w:val="18"/>
                <w:color w:val="auto"/>
              </w:rPr>
              <w:t>Mandatory and Optional Sinking Funds</w:t>
            </w:r>
          </w:p>
        </w:tc>
        <w:tc>
          <w:tcPr>
            <w:tcW w:w="2080" w:type="dxa"/>
            <w:vAlign w:val="bottom"/>
          </w:tcPr>
          <w:p>
            <w:pPr>
              <w:jc w:val="right"/>
              <w:spacing w:after="0"/>
              <w:rPr>
                <w:sz w:val="20"/>
                <w:szCs w:val="20"/>
                <w:color w:val="auto"/>
              </w:rPr>
            </w:pPr>
            <w:r>
              <w:rPr>
                <w:rFonts w:ascii="Arial" w:cs="Arial" w:eastAsia="Arial" w:hAnsi="Arial"/>
                <w:sz w:val="18"/>
                <w:szCs w:val="18"/>
                <w:color w:val="auto"/>
              </w:rPr>
              <w:t>51</w:t>
            </w:r>
          </w:p>
        </w:tc>
      </w:tr>
    </w:tbl>
    <w:p>
      <w:pPr>
        <w:jc w:val="right"/>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4" w:name="page105"/>
    <w:bookmarkEnd w:id="104"/>
    <w:p>
      <w:pPr>
        <w:spacing w:after="0" w:line="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dated as of</w:t>
      </w:r>
    </w:p>
    <w:p>
      <w:pPr>
        <w:spacing w:after="0" w:line="4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a</w:t>
      </w:r>
    </w:p>
    <w:p>
      <w:pPr>
        <w:spacing w:after="0" w:line="20" w:lineRule="exact"/>
        <w:rPr>
          <w:sz w:val="20"/>
          <w:szCs w:val="20"/>
          <w:color w:val="auto"/>
        </w:rPr>
      </w:pPr>
      <w:r>
        <w:rPr>
          <w:sz w:val="20"/>
          <w:szCs w:val="20"/>
          <w:color w:val="auto"/>
        </w:rPr>
        <w:br w:type="column"/>
      </w:r>
    </w:p>
    <w:p>
      <w:pPr>
        <w:ind w:right="1500" w:hanging="174"/>
        <w:spacing w:after="0" w:line="282" w:lineRule="auto"/>
        <w:rPr>
          <w:sz w:val="20"/>
          <w:szCs w:val="20"/>
          <w:color w:val="auto"/>
        </w:rPr>
      </w:pPr>
      <w:r>
        <w:rPr>
          <w:rFonts w:ascii="Arial" w:cs="Arial" w:eastAsia="Arial" w:hAnsi="Arial"/>
          <w:sz w:val="18"/>
          <w:szCs w:val="18"/>
          <w:color w:val="auto"/>
        </w:rPr>
        <w:t>between Fulcrum Therapeutics, Inc.,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-391160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060"/>
          </w:cols>
          <w:pgMar w:left="440" w:top="270" w:right="45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Issuer may from time to time duly authorize the issue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w:t>
      </w:r>
      <w:r>
        <w:rPr>
          <w:rFonts w:ascii="Arial" w:cs="Arial" w:eastAsia="Arial" w:hAnsi="Arial"/>
          <w:sz w:val="16"/>
          <w:szCs w:val="16"/>
          <w:color w:val="auto"/>
        </w:rPr>
        <w:t xml:space="preserve"> </w:t>
      </w:r>
      <w:r>
        <w:rPr>
          <w:rFonts w:ascii="Arial" w:cs="Arial" w:eastAsia="Arial" w:hAnsi="Arial"/>
          <w:sz w:val="16"/>
          <w:szCs w:val="16"/>
          <w:b w:val="1"/>
          <w:bCs w:val="1"/>
          <w:color w:val="auto"/>
        </w:rPr>
        <w:t>principles</w:t>
      </w:r>
      <w:r>
        <w:rPr>
          <w:rFonts w:ascii="Arial" w:cs="Arial" w:eastAsia="Arial" w:hAnsi="Arial"/>
          <w:sz w:val="16"/>
          <w:szCs w:val="16"/>
          <w:color w:val="auto"/>
        </w:rPr>
        <w:t>” means such accounting principles as are generally accepted in the United States at the time of any computation. The words “herein”,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6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“Additional Amounts” </w:t>
      </w:r>
      <w:r>
        <w:rPr>
          <w:rFonts w:ascii="Arial" w:cs="Arial" w:eastAsia="Arial" w:hAnsi="Arial"/>
          <w:sz w:val="18"/>
          <w:szCs w:val="18"/>
          <w:color w:val="auto"/>
        </w:rPr>
        <w:t>means any additional amounts that are required by this Indenture or by any Security, under circumstances specified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or therein, to be paid by the Issuer in respect of certain taxes, assessments or other governmental charges imposed on Holders specified therein and which are owing to such Holders.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type w:val="continuous"/>
        </w:sectPr>
      </w:pPr>
    </w:p>
    <w:bookmarkStart w:id="105" w:name="page106"/>
    <w:bookmarkEnd w:id="105"/>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62"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16"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color w:val="auto"/>
        </w:rPr>
        <w:t>means (a) in the case of a corporation, corporate stock; (b) in the case of an association or business entity, any and all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4"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6"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$0.001 per share, of the Issuer as the same exists at the date of execution and delivery of this Indenture or as such stock may be reconstituted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w:t>
      </w:r>
    </w:p>
    <w:p>
      <w:pPr>
        <w:spacing w:after="0" w:line="50" w:lineRule="exact"/>
        <w:rPr>
          <w:sz w:val="20"/>
          <w:szCs w:val="20"/>
          <w:color w:val="auto"/>
        </w:rPr>
      </w:pPr>
    </w:p>
    <w:p>
      <w:pPr>
        <w:spacing w:after="0"/>
        <w:tabs>
          <w:tab w:leader="none" w:pos="8900" w:val="left"/>
        </w:tabs>
        <w:rPr>
          <w:sz w:val="20"/>
          <w:szCs w:val="20"/>
          <w:color w:val="auto"/>
        </w:rPr>
      </w:pPr>
      <w:r>
        <w:rPr>
          <w:rFonts w:ascii="Arial" w:cs="Arial" w:eastAsia="Arial" w:hAnsi="Arial"/>
          <w:sz w:val="18"/>
          <w:szCs w:val="18"/>
          <w:color w:val="auto"/>
        </w:rPr>
        <w:t>principally administered, which office is, at the date as of which this Indenture is dated, located at</w:t>
      </w:r>
      <w:r>
        <w:rPr>
          <w:sz w:val="20"/>
          <w:szCs w:val="20"/>
          <w:color w:val="auto"/>
        </w:rPr>
        <w:tab/>
      </w:r>
      <w:r>
        <w:rPr>
          <w:rFonts w:ascii="Arial" w:cs="Arial" w:eastAsia="Arial" w:hAnsi="Arial"/>
          <w:sz w:val="13"/>
          <w:szCs w:val="13"/>
          <w:color w:val="auto"/>
        </w:rPr>
        <w:t>.</w:t>
      </w:r>
    </w:p>
    <w:p>
      <w:pPr>
        <w:spacing w:after="0" w:line="207"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06" w:name="page107"/>
    <w:bookmarkEnd w:id="10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Debt is so excluded, for the purpose of computing the assets of such Person there shall be excluded the money, securities or evidences of Debt deposited by such Person in trust for the purpose of paying or satisfying such Debt.</w:t>
      </w:r>
    </w:p>
    <w:p>
      <w:pPr>
        <w:spacing w:after="0" w:line="16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“Foreign Government Obligation” </w:t>
      </w:r>
      <w:r>
        <w:rPr>
          <w:rFonts w:ascii="Arial" w:cs="Arial" w:eastAsia="Arial" w:hAnsi="Arial"/>
          <w:sz w:val="16"/>
          <w:szCs w:val="16"/>
          <w:color w:val="auto"/>
        </w:rPr>
        <w:t>means (a) a direct obligation of the government of a country other than the United States of America, backed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59"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62"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1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Fulcrum Therapeutics, Inc., a Delaware corporation, and, subject to Article 9, its successors and assigns.</w:t>
      </w:r>
    </w:p>
    <w:p>
      <w:pPr>
        <w:spacing w:after="0" w:line="22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shall have the meaning set forth in Section 5.01(c).</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58"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58" w:lineRule="exact"/>
        <w:rPr>
          <w:sz w:val="20"/>
          <w:szCs w:val="20"/>
          <w:color w:val="auto"/>
        </w:rPr>
      </w:pPr>
    </w:p>
    <w:p>
      <w:pPr>
        <w:ind w:right="3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62"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71" w:lineRule="exact"/>
        <w:rPr>
          <w:sz w:val="20"/>
          <w:szCs w:val="20"/>
          <w:color w:val="auto"/>
        </w:rPr>
      </w:pPr>
    </w:p>
    <w:p>
      <w:pPr>
        <w:ind w:left="1420" w:hanging="43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30" w:lineRule="exact"/>
        <w:rPr>
          <w:rFonts w:ascii="Arial" w:cs="Arial" w:eastAsia="Arial" w:hAnsi="Arial"/>
          <w:sz w:val="18"/>
          <w:szCs w:val="18"/>
          <w:color w:val="auto"/>
        </w:rPr>
      </w:pPr>
    </w:p>
    <w:p>
      <w:pPr>
        <w:ind w:left="1420" w:hanging="439"/>
        <w:spacing w:after="0" w:line="273" w:lineRule="auto"/>
        <w:tabs>
          <w:tab w:leader="none" w:pos="14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0" w:right="519" w:bottom="1440" w:gutter="0" w:footer="0" w:header="0"/>
        </w:sectPr>
      </w:pPr>
    </w:p>
    <w:bookmarkStart w:id="108" w:name="page109"/>
    <w:bookmarkEnd w:id="108"/>
    <w:p>
      <w:pPr>
        <w:ind w:left="1420" w:hanging="43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as to which Legal Defeasance shall have been effected pursuant to Section 10.01(b);</w:t>
      </w:r>
    </w:p>
    <w:p>
      <w:pPr>
        <w:spacing w:after="0" w:line="130" w:lineRule="exact"/>
        <w:rPr>
          <w:rFonts w:ascii="Arial" w:cs="Arial" w:eastAsia="Arial" w:hAnsi="Arial"/>
          <w:sz w:val="18"/>
          <w:szCs w:val="18"/>
          <w:color w:val="auto"/>
        </w:rPr>
      </w:pPr>
    </w:p>
    <w:p>
      <w:pPr>
        <w:ind w:left="1420" w:right="80" w:hanging="439"/>
        <w:spacing w:after="0" w:line="301" w:lineRule="auto"/>
        <w:tabs>
          <w:tab w:leader="none" w:pos="14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62"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77"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have the meaning set forth in Section 2.07.</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09" w:name="page110"/>
    <w:bookmarkEnd w:id="109"/>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45"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6" w:lineRule="exact"/>
        <w:rPr>
          <w:sz w:val="20"/>
          <w:szCs w:val="20"/>
          <w:color w:val="auto"/>
        </w:rPr>
      </w:pPr>
    </w:p>
    <w:p>
      <w:pPr>
        <w:ind w:right="28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7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62"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14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0" w:name="page111"/>
    <w:bookmarkEnd w:id="110"/>
    <w:p>
      <w:pPr>
        <w:ind w:right="1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11" w:name="page112"/>
    <w:bookmarkEnd w:id="111"/>
    <w:p>
      <w:pPr>
        <w:ind w:left="439" w:hanging="439"/>
        <w:spacing w:after="0"/>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designation of the Securities of the series (which may be part of a series of Securities previously issued);</w:t>
      </w:r>
    </w:p>
    <w:p>
      <w:pPr>
        <w:spacing w:after="0" w:line="130" w:lineRule="exact"/>
        <w:rPr>
          <w:rFonts w:ascii="Arial" w:cs="Arial" w:eastAsia="Arial" w:hAnsi="Arial"/>
          <w:sz w:val="18"/>
          <w:szCs w:val="18"/>
          <w:color w:val="auto"/>
        </w:rPr>
      </w:pPr>
    </w:p>
    <w:p>
      <w:pPr>
        <w:ind w:left="439" w:right="240" w:hanging="439"/>
        <w:spacing w:after="0" w:line="263" w:lineRule="auto"/>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89"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used to determine those dates and the right, if any, to extend such date or dates;</w:t>
      </w:r>
    </w:p>
    <w:p>
      <w:pPr>
        <w:spacing w:after="0" w:line="75" w:lineRule="exact"/>
        <w:rPr>
          <w:rFonts w:ascii="Arial" w:cs="Arial" w:eastAsia="Arial" w:hAnsi="Arial"/>
          <w:sz w:val="18"/>
          <w:szCs w:val="18"/>
          <w:color w:val="auto"/>
        </w:rPr>
      </w:pPr>
    </w:p>
    <w:p>
      <w:pPr>
        <w:ind w:left="439" w:right="100" w:hanging="439"/>
        <w:spacing w:after="0" w:line="275" w:lineRule="auto"/>
        <w:tabs>
          <w:tab w:leader="none" w:pos="43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81" w:lineRule="exact"/>
        <w:rPr>
          <w:rFonts w:ascii="Arial" w:cs="Arial" w:eastAsia="Arial" w:hAnsi="Arial"/>
          <w:sz w:val="17"/>
          <w:szCs w:val="17"/>
          <w:color w:val="auto"/>
        </w:rPr>
      </w:pPr>
    </w:p>
    <w:p>
      <w:pPr>
        <w:ind w:left="439" w:right="300" w:hanging="439"/>
        <w:spacing w:after="0" w:line="277" w:lineRule="auto"/>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interest on Securities of the series shall be payable (if other than as provided in Section 3.02);</w:t>
      </w:r>
    </w:p>
    <w:p>
      <w:pPr>
        <w:spacing w:after="0" w:line="75" w:lineRule="exact"/>
        <w:rPr>
          <w:rFonts w:ascii="Arial" w:cs="Arial" w:eastAsia="Arial" w:hAnsi="Arial"/>
          <w:sz w:val="18"/>
          <w:szCs w:val="18"/>
          <w:color w:val="auto"/>
        </w:rPr>
      </w:pPr>
    </w:p>
    <w:p>
      <w:pPr>
        <w:ind w:left="439" w:right="80" w:hanging="439"/>
        <w:spacing w:after="0" w:line="259" w:lineRule="auto"/>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92" w:lineRule="exact"/>
        <w:rPr>
          <w:rFonts w:ascii="Arial" w:cs="Arial" w:eastAsia="Arial" w:hAnsi="Arial"/>
          <w:sz w:val="18"/>
          <w:szCs w:val="18"/>
          <w:color w:val="auto"/>
        </w:rPr>
      </w:pPr>
    </w:p>
    <w:p>
      <w:pPr>
        <w:ind w:left="439" w:hanging="439"/>
        <w:spacing w:after="0" w:line="277" w:lineRule="auto"/>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 of $1,000 in excess thereof, the denominations in which Securities of the series shall be issuable;</w:t>
      </w:r>
    </w:p>
    <w:p>
      <w:pPr>
        <w:spacing w:after="0" w:line="75" w:lineRule="exact"/>
        <w:rPr>
          <w:rFonts w:ascii="Arial" w:cs="Arial" w:eastAsia="Arial" w:hAnsi="Arial"/>
          <w:sz w:val="18"/>
          <w:szCs w:val="18"/>
          <w:color w:val="auto"/>
        </w:rPr>
      </w:pPr>
    </w:p>
    <w:p>
      <w:pPr>
        <w:ind w:left="439" w:right="60" w:hanging="439"/>
        <w:spacing w:after="0" w:line="277" w:lineRule="auto"/>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other than Dollars, the currency, currencies or currency units in which the Securities of the series are denominated;</w:t>
      </w:r>
    </w:p>
    <w:p>
      <w:pPr>
        <w:spacing w:after="0" w:line="130"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the series are denominated, the currency in which payment of the principal of or interest on the Securities of such series shall be payable;</w:t>
      </w:r>
    </w:p>
    <w:p>
      <w:pPr>
        <w:spacing w:after="0" w:line="103"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1421" w:top="274" w:right="459" w:bottom="1440" w:gutter="0" w:footer="0" w:header="0"/>
        </w:sectPr>
      </w:pPr>
    </w:p>
    <w:bookmarkStart w:id="112" w:name="page113"/>
    <w:bookmarkEnd w:id="112"/>
    <w:p>
      <w:pPr>
        <w:ind w:left="439" w:right="220" w:hanging="439"/>
        <w:spacing w:after="0" w:line="263"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89" w:lineRule="exact"/>
        <w:rPr>
          <w:rFonts w:ascii="Arial" w:cs="Arial" w:eastAsia="Arial" w:hAnsi="Arial"/>
          <w:sz w:val="18"/>
          <w:szCs w:val="18"/>
          <w:color w:val="auto"/>
        </w:rPr>
      </w:pPr>
    </w:p>
    <w:p>
      <w:pPr>
        <w:ind w:left="439" w:right="280" w:hanging="439"/>
        <w:spacing w:after="0" w:line="259"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92" w:lineRule="exact"/>
        <w:rPr>
          <w:rFonts w:ascii="Arial" w:cs="Arial" w:eastAsia="Arial" w:hAnsi="Arial"/>
          <w:sz w:val="18"/>
          <w:szCs w:val="18"/>
          <w:color w:val="auto"/>
        </w:rPr>
      </w:pPr>
    </w:p>
    <w:p>
      <w:pPr>
        <w:ind w:left="439" w:right="160" w:hanging="439"/>
        <w:spacing w:after="0" w:line="263"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89" w:lineRule="exact"/>
        <w:rPr>
          <w:rFonts w:ascii="Arial" w:cs="Arial" w:eastAsia="Arial" w:hAnsi="Arial"/>
          <w:sz w:val="18"/>
          <w:szCs w:val="18"/>
          <w:color w:val="auto"/>
        </w:rPr>
      </w:pPr>
    </w:p>
    <w:p>
      <w:pPr>
        <w:ind w:left="439" w:right="140" w:hanging="439"/>
        <w:spacing w:after="0" w:line="259"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92" w:lineRule="exact"/>
        <w:rPr>
          <w:rFonts w:ascii="Arial" w:cs="Arial" w:eastAsia="Arial" w:hAnsi="Arial"/>
          <w:sz w:val="18"/>
          <w:szCs w:val="18"/>
          <w:color w:val="auto"/>
        </w:rPr>
      </w:pPr>
    </w:p>
    <w:p>
      <w:pPr>
        <w:ind w:left="439" w:hanging="439"/>
        <w:spacing w:after="0"/>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130" w:lineRule="exact"/>
        <w:rPr>
          <w:rFonts w:ascii="Arial" w:cs="Arial" w:eastAsia="Arial" w:hAnsi="Arial"/>
          <w:sz w:val="18"/>
          <w:szCs w:val="18"/>
          <w:color w:val="auto"/>
        </w:rPr>
      </w:pPr>
    </w:p>
    <w:p>
      <w:pPr>
        <w:ind w:left="439" w:right="220" w:hanging="439"/>
        <w:spacing w:after="0" w:line="277"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and, if so, whether the Issuer will have the option to redeem such Securities rather than pay such additional amounts;</w:t>
      </w:r>
    </w:p>
    <w:p>
      <w:pPr>
        <w:spacing w:after="0" w:line="75" w:lineRule="exact"/>
        <w:rPr>
          <w:rFonts w:ascii="Arial" w:cs="Arial" w:eastAsia="Arial" w:hAnsi="Arial"/>
          <w:sz w:val="18"/>
          <w:szCs w:val="18"/>
          <w:color w:val="auto"/>
        </w:rPr>
      </w:pPr>
    </w:p>
    <w:p>
      <w:pPr>
        <w:ind w:left="439" w:right="80" w:hanging="439"/>
        <w:spacing w:after="0" w:line="263"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89" w:lineRule="exact"/>
        <w:rPr>
          <w:rFonts w:ascii="Arial" w:cs="Arial" w:eastAsia="Arial" w:hAnsi="Arial"/>
          <w:sz w:val="18"/>
          <w:szCs w:val="18"/>
          <w:color w:val="auto"/>
        </w:rPr>
      </w:pPr>
    </w:p>
    <w:p>
      <w:pPr>
        <w:ind w:left="439" w:right="220" w:hanging="439"/>
        <w:spacing w:after="0" w:line="277"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any other agents with respect to the Securities of such series;</w:t>
      </w:r>
    </w:p>
    <w:p>
      <w:pPr>
        <w:spacing w:after="0" w:line="75" w:lineRule="exact"/>
        <w:rPr>
          <w:rFonts w:ascii="Arial" w:cs="Arial" w:eastAsia="Arial" w:hAnsi="Arial"/>
          <w:sz w:val="18"/>
          <w:szCs w:val="18"/>
          <w:color w:val="auto"/>
        </w:rPr>
      </w:pPr>
    </w:p>
    <w:p>
      <w:pPr>
        <w:ind w:left="439" w:hanging="439"/>
        <w:spacing w:after="0" w:line="277" w:lineRule="auto"/>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events of default or covenants with respect to the Securities of such series in addition to or in lieu of those contained in this Indenture; and</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58"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19"/>
          </w:cols>
          <w:pgMar w:left="1421" w:top="274" w:right="459" w:bottom="1440" w:gutter="0" w:footer="0" w:header="0"/>
        </w:sectPr>
      </w:pPr>
    </w:p>
    <w:bookmarkStart w:id="113" w:name="page114"/>
    <w:bookmarkEnd w:id="11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71" w:lineRule="exact"/>
        <w:rPr>
          <w:sz w:val="20"/>
          <w:szCs w:val="20"/>
          <w:color w:val="auto"/>
        </w:rPr>
      </w:pPr>
    </w:p>
    <w:p>
      <w:pPr>
        <w:ind w:left="1420" w:right="180" w:hanging="43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Issuer Order requesting such authentication and setting forth delivery instructions if the Securities are not to be delivered to the Issuer;</w:t>
      </w:r>
    </w:p>
    <w:p>
      <w:pPr>
        <w:spacing w:after="0" w:line="75" w:lineRule="exact"/>
        <w:rPr>
          <w:rFonts w:ascii="Arial" w:cs="Arial" w:eastAsia="Arial" w:hAnsi="Arial"/>
          <w:sz w:val="18"/>
          <w:szCs w:val="18"/>
          <w:color w:val="auto"/>
        </w:rPr>
      </w:pPr>
    </w:p>
    <w:p>
      <w:pPr>
        <w:ind w:left="1420" w:right="440" w:hanging="43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75" w:lineRule="exact"/>
        <w:rPr>
          <w:rFonts w:ascii="Arial" w:cs="Arial" w:eastAsia="Arial" w:hAnsi="Arial"/>
          <w:sz w:val="18"/>
          <w:szCs w:val="18"/>
          <w:color w:val="auto"/>
        </w:rPr>
      </w:pPr>
    </w:p>
    <w:p>
      <w:pPr>
        <w:ind w:left="1420" w:right="20" w:hanging="439"/>
        <w:spacing w:after="0" w:line="263"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130" w:lineRule="exact"/>
        <w:rPr>
          <w:rFonts w:ascii="Arial" w:cs="Arial" w:eastAsia="Arial" w:hAnsi="Arial"/>
          <w:sz w:val="18"/>
          <w:szCs w:val="18"/>
          <w:color w:val="auto"/>
        </w:rPr>
      </w:pPr>
    </w:p>
    <w:p>
      <w:pPr>
        <w:ind w:left="1960" w:right="240" w:hanging="533"/>
        <w:spacing w:after="0" w:line="277" w:lineRule="auto"/>
        <w:tabs>
          <w:tab w:leader="none" w:pos="1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pursuant to Sections 2.01 and 2.03 and comply with this Indenture,</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authentication and delivery of such Securities by the Trustee are authorized under the provisions of this Indenture, and</w:t>
      </w:r>
    </w:p>
    <w:p>
      <w:pPr>
        <w:spacing w:after="0" w:line="153" w:lineRule="exact"/>
        <w:rPr>
          <w:rFonts w:ascii="Arial" w:cs="Arial" w:eastAsia="Arial" w:hAnsi="Arial"/>
          <w:sz w:val="16"/>
          <w:szCs w:val="16"/>
          <w:color w:val="auto"/>
        </w:rPr>
      </w:pPr>
    </w:p>
    <w:p>
      <w:pPr>
        <w:ind w:left="1960" w:right="240" w:hanging="533"/>
        <w:spacing w:after="0" w:line="342" w:lineRule="auto"/>
        <w:tabs>
          <w:tab w:leader="none" w:pos="19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covering such other matters as the Trustee may reasonably request.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8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4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15" w:name="page116"/>
    <w:bookmarkEnd w:id="11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actual date of the execution of such Security, shall be the proper officers of the Issuer, although at the date of the execution and delivery of this Indenture any such person was not such an officer.</w:t>
      </w:r>
    </w:p>
    <w:p>
      <w:pPr>
        <w:spacing w:after="0" w:line="170"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r>
        <w:rPr>
          <w:rFonts w:ascii="Arial" w:cs="Arial" w:eastAsia="Arial" w:hAnsi="Arial"/>
          <w:sz w:val="18"/>
          <w:szCs w:val="18"/>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88"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9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0"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72"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Registration, Transfer and Exchange</w:t>
      </w:r>
      <w:r>
        <w:rPr>
          <w:rFonts w:ascii="Arial" w:cs="Arial" w:eastAsia="Arial" w:hAnsi="Arial"/>
          <w:sz w:val="17"/>
          <w:szCs w:val="17"/>
          <w:color w:val="auto"/>
        </w:rPr>
        <w:t>. The Issuer will keep at each office or agency to be maintained for the purpose as provided in Section 3.02 for each series of Securities a register or registers in which, subject to such reasonable regulations as it may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16" w:name="page117"/>
    <w:bookmarkEnd w:id="116"/>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84"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84"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6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If at any time the Depositary for the Securities of a series notifies the Issuer that it is unwilling or unable to continue as Depositary for the Securities of such series or if at any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17" w:name="page118"/>
    <w:bookmarkEnd w:id="11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8"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71" w:lineRule="exact"/>
        <w:rPr>
          <w:sz w:val="20"/>
          <w:szCs w:val="20"/>
          <w:color w:val="auto"/>
        </w:rPr>
      </w:pPr>
    </w:p>
    <w:p>
      <w:pPr>
        <w:jc w:val="both"/>
        <w:ind w:left="1960" w:right="80" w:hanging="533"/>
        <w:spacing w:after="0" w:line="263" w:lineRule="auto"/>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89" w:lineRule="exact"/>
        <w:rPr>
          <w:rFonts w:ascii="Arial" w:cs="Arial" w:eastAsia="Arial" w:hAnsi="Arial"/>
          <w:sz w:val="18"/>
          <w:szCs w:val="18"/>
          <w:color w:val="auto"/>
        </w:rPr>
      </w:pPr>
    </w:p>
    <w:p>
      <w:pPr>
        <w:ind w:left="1960" w:right="100" w:hanging="533"/>
        <w:spacing w:after="0" w:line="263" w:lineRule="auto"/>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184"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18" w:name="page119"/>
    <w:bookmarkEnd w:id="118"/>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Mutilated, Defaced, Destroyed, Lost and Stolen Securities.</w:t>
      </w:r>
      <w:r>
        <w:rPr>
          <w:rFonts w:ascii="Arial" w:cs="Arial" w:eastAsia="Arial" w:hAnsi="Arial"/>
          <w:sz w:val="17"/>
          <w:szCs w:val="17"/>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81"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19" w:name="page120"/>
    <w:bookmarkEnd w:id="119"/>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2.10 </w:t>
      </w:r>
      <w:r>
        <w:rPr>
          <w:rFonts w:ascii="Arial" w:cs="Arial" w:eastAsia="Arial" w:hAnsi="Arial"/>
          <w:sz w:val="18"/>
          <w:szCs w:val="18"/>
          <w:i w:val="1"/>
          <w:iCs w:val="1"/>
          <w:color w:val="auto"/>
        </w:rPr>
        <w:t>Cancellation of Securities; Destruction Thereof.</w:t>
      </w:r>
      <w:r>
        <w:rPr>
          <w:rFonts w:ascii="Arial" w:cs="Arial" w:eastAsia="Arial" w:hAnsi="Arial"/>
          <w:sz w:val="18"/>
          <w:szCs w:val="18"/>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9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COVENANTS OF THE ISSUER</w:t>
      </w:r>
    </w:p>
    <w:p>
      <w:pPr>
        <w:spacing w:after="0" w:line="21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ectPr>
          <w:pgSz w:w="11900" w:h="16838" w:orient="portrait"/>
          <w:cols w:equalWidth="0" w:num="1">
            <w:col w:w="10960"/>
          </w:cols>
          <w:pgMar w:left="440" w:top="274" w:right="499" w:bottom="1440" w:gutter="0" w:footer="0" w:header="0"/>
        </w:sectPr>
      </w:pPr>
    </w:p>
    <w:p>
      <w:pPr>
        <w:spacing w:after="0" w:line="178" w:lineRule="exact"/>
        <w:rPr>
          <w:sz w:val="20"/>
          <w:szCs w:val="20"/>
          <w:color w:val="auto"/>
        </w:rPr>
      </w:pPr>
    </w:p>
    <w:p>
      <w:pPr>
        <w:ind w:right="116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 The Issuer will maintain (i) in may be presented for payment, an agency where the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 an agency where the Securities of each series</w:t>
      </w:r>
    </w:p>
    <w:p>
      <w:pPr>
        <w:spacing w:after="0" w:line="408" w:lineRule="exact"/>
        <w:rPr>
          <w:sz w:val="20"/>
          <w:szCs w:val="20"/>
          <w:color w:val="auto"/>
        </w:rPr>
      </w:pPr>
    </w:p>
    <w:p>
      <w:pPr>
        <w:sectPr>
          <w:pgSz w:w="11900" w:h="16838" w:orient="portrait"/>
          <w:cols w:equalWidth="0" w:num="2">
            <w:col w:w="6620" w:space="720"/>
            <w:col w:w="362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60"/>
          </w:cols>
          <w:pgMar w:left="440" w:top="274" w:right="499" w:bottom="1440" w:gutter="0" w:footer="0" w:header="0"/>
          <w:type w:val="continuous"/>
        </w:sectPr>
      </w:pPr>
    </w:p>
    <w:bookmarkStart w:id="120" w:name="page121"/>
    <w:bookmarkEnd w:id="120"/>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ectPr>
          <w:pgSz w:w="11900" w:h="16838" w:orient="portrait"/>
          <w:cols w:equalWidth="0" w:num="1">
            <w:col w:w="10980"/>
          </w:cols>
          <w:pgMar w:left="440" w:top="274" w:right="479" w:bottom="1440" w:gutter="0" w:footer="0" w:header="0"/>
        </w:sectPr>
      </w:pP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maintain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any series or this Indenture may be served.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an agency where notices and demands to or upon the Issuer in respect of the Securities of</w:t>
      </w:r>
    </w:p>
    <w:p>
      <w:pPr>
        <w:spacing w:after="0" w:line="430" w:lineRule="exact"/>
        <w:rPr>
          <w:sz w:val="20"/>
          <w:szCs w:val="20"/>
          <w:color w:val="auto"/>
        </w:rPr>
      </w:pPr>
    </w:p>
    <w:p>
      <w:pPr>
        <w:sectPr>
          <w:pgSz w:w="11900" w:h="16838" w:orient="portrait"/>
          <w:cols w:equalWidth="0" w:num="2">
            <w:col w:w="3540" w:space="720"/>
            <w:col w:w="6720"/>
          </w:cols>
          <w:pgMar w:left="440" w:top="274" w:right="479" w:bottom="1440" w:gutter="0" w:footer="0" w:header="0"/>
          <w:type w:val="continuous"/>
        </w:sectPr>
      </w:pP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fail to maintain any agency required by this Section to be located in , or shall fail to give such notice of the location or of any change in the location of any of the above agencies, presentations and demands may be made and notices may be served at the Corporate Trust Office of the Trustee.</w:t>
      </w:r>
    </w:p>
    <w:p>
      <w:pPr>
        <w:spacing w:after="0" w:line="19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89" w:lineRule="exact"/>
        <w:rPr>
          <w:sz w:val="20"/>
          <w:szCs w:val="20"/>
          <w:color w:val="auto"/>
        </w:rPr>
      </w:pPr>
    </w:p>
    <w:p>
      <w:pPr>
        <w:ind w:left="1420" w:right="80" w:hanging="439"/>
        <w:spacing w:after="0" w:line="263"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89" w:lineRule="exact"/>
        <w:rPr>
          <w:rFonts w:ascii="Arial" w:cs="Arial" w:eastAsia="Arial" w:hAnsi="Arial"/>
          <w:sz w:val="18"/>
          <w:szCs w:val="18"/>
          <w:color w:val="auto"/>
        </w:rPr>
      </w:pPr>
    </w:p>
    <w:p>
      <w:pPr>
        <w:ind w:left="1420" w:right="140" w:hanging="439"/>
        <w:spacing w:after="0" w:line="342" w:lineRule="auto"/>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29" w:lineRule="exact"/>
        <w:rPr>
          <w:rFonts w:ascii="Arial" w:cs="Arial" w:eastAsia="Arial" w:hAnsi="Arial"/>
          <w:sz w:val="16"/>
          <w:szCs w:val="16"/>
          <w:color w:val="auto"/>
        </w:rPr>
      </w:pPr>
    </w:p>
    <w:p>
      <w:pPr>
        <w:ind w:left="1420" w:right="520" w:hanging="43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type w:val="continuous"/>
        </w:sectPr>
      </w:pPr>
    </w:p>
    <w:bookmarkStart w:id="121" w:name="page122"/>
    <w:bookmarkEnd w:id="121"/>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4"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Written Statement to Trustee.</w:t>
      </w:r>
      <w:r>
        <w:rPr>
          <w:rFonts w:ascii="Arial" w:cs="Arial" w:eastAsia="Arial" w:hAnsi="Arial"/>
          <w:sz w:val="17"/>
          <w:szCs w:val="17"/>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89" w:lineRule="exact"/>
        <w:rPr>
          <w:sz w:val="20"/>
          <w:szCs w:val="20"/>
          <w:color w:val="auto"/>
        </w:rPr>
      </w:pPr>
    </w:p>
    <w:p>
      <w:pPr>
        <w:ind w:left="1420" w:right="180" w:hanging="439"/>
        <w:spacing w:after="0" w:line="263"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89" w:lineRule="exact"/>
        <w:rPr>
          <w:rFonts w:ascii="Arial" w:cs="Arial" w:eastAsia="Arial" w:hAnsi="Arial"/>
          <w:sz w:val="18"/>
          <w:szCs w:val="18"/>
          <w:color w:val="auto"/>
        </w:rPr>
      </w:pPr>
    </w:p>
    <w:p>
      <w:pPr>
        <w:ind w:left="1420" w:right="160" w:hanging="439"/>
        <w:spacing w:after="0" w:line="286" w:lineRule="auto"/>
        <w:tabs>
          <w:tab w:leader="none" w:pos="14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so long as the Trustee shall be the Security registrar (the </w:t>
      </w:r>
      <w:r>
        <w:rPr>
          <w:rFonts w:ascii="Arial" w:cs="Arial" w:eastAsia="Arial" w:hAnsi="Arial"/>
          <w:sz w:val="17"/>
          <w:szCs w:val="17"/>
          <w:b w:val="1"/>
          <w:bCs w:val="1"/>
          <w:color w:val="auto"/>
        </w:rPr>
        <w:t>“Security Registrar”</w:t>
      </w:r>
      <w:r>
        <w:rPr>
          <w:rFonts w:ascii="Arial" w:cs="Arial" w:eastAsia="Arial" w:hAnsi="Arial"/>
          <w:sz w:val="17"/>
          <w:szCs w:val="17"/>
          <w:color w:val="auto"/>
        </w:rPr>
        <w:t>) for such series, such list shall not be required to be furnished.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122" w:name="page123"/>
    <w:bookmarkEnd w:id="122"/>
    <w:p>
      <w:pPr>
        <w:jc w:val="both"/>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Reports by the Trustee.</w:t>
      </w:r>
      <w:r>
        <w:rPr>
          <w:rFonts w:ascii="Arial" w:cs="Arial" w:eastAsia="Arial" w:hAnsi="Arial"/>
          <w:sz w:val="16"/>
          <w:szCs w:val="16"/>
          <w:color w:val="auto"/>
        </w:rPr>
        <w:t xml:space="preserve"> Any Trustee’s report required under Section 313(a) of the Trust Indenture Act of 1939 shall be transmitted on</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or before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19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Preservation of Information; Communication with Securityholders.</w:t>
      </w:r>
      <w:r>
        <w:rPr>
          <w:rFonts w:ascii="Arial" w:cs="Arial" w:eastAsia="Arial" w:hAnsi="Arial"/>
          <w:sz w:val="18"/>
          <w:szCs w:val="18"/>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92" w:lineRule="exact"/>
        <w:rPr>
          <w:sz w:val="20"/>
          <w:szCs w:val="20"/>
          <w:color w:val="auto"/>
        </w:rPr>
      </w:pPr>
    </w:p>
    <w:p>
      <w:pPr>
        <w:ind w:left="1420" w:hanging="43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4.01 upon receipt of a new list so furnished.</w:t>
      </w:r>
    </w:p>
    <w:p>
      <w:pPr>
        <w:spacing w:after="0" w:line="130" w:lineRule="exact"/>
        <w:rPr>
          <w:rFonts w:ascii="Arial" w:cs="Arial" w:eastAsia="Arial" w:hAnsi="Arial"/>
          <w:sz w:val="18"/>
          <w:szCs w:val="18"/>
          <w:color w:val="auto"/>
        </w:rPr>
      </w:pPr>
    </w:p>
    <w:p>
      <w:pPr>
        <w:ind w:left="1420" w:right="80" w:hanging="439"/>
        <w:spacing w:after="0" w:line="263"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0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89" w:lineRule="exact"/>
        <w:rPr>
          <w:sz w:val="20"/>
          <w:szCs w:val="20"/>
          <w:color w:val="auto"/>
        </w:rPr>
      </w:pPr>
    </w:p>
    <w:p>
      <w:pPr>
        <w:jc w:val="both"/>
        <w:ind w:left="1420" w:hanging="439"/>
        <w:spacing w:after="0" w:line="263"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89" w:lineRule="exact"/>
        <w:rPr>
          <w:rFonts w:ascii="Arial" w:cs="Arial" w:eastAsia="Arial" w:hAnsi="Arial"/>
          <w:sz w:val="18"/>
          <w:szCs w:val="18"/>
          <w:color w:val="auto"/>
        </w:rPr>
      </w:pPr>
    </w:p>
    <w:p>
      <w:pPr>
        <w:ind w:left="1420" w:right="220" w:hanging="43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23" w:name="page124"/>
    <w:bookmarkEnd w:id="123"/>
    <w:p>
      <w:pPr>
        <w:ind w:left="142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payable either at maturity, upon redemption, by declaration or otherwise (and, if established for the Securities of such series as contemplated by Section 2.03, the continuance of such default for a specified period); or</w:t>
      </w:r>
    </w:p>
    <w:p>
      <w:pPr>
        <w:spacing w:after="0" w:line="76" w:lineRule="exact"/>
        <w:rPr>
          <w:sz w:val="20"/>
          <w:szCs w:val="20"/>
          <w:color w:val="auto"/>
        </w:rPr>
      </w:pPr>
    </w:p>
    <w:p>
      <w:pPr>
        <w:ind w:left="1420" w:hanging="439"/>
        <w:spacing w:after="0" w:line="273" w:lineRule="auto"/>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or</w:t>
      </w:r>
    </w:p>
    <w:p>
      <w:pPr>
        <w:spacing w:after="0" w:line="83" w:lineRule="exact"/>
        <w:rPr>
          <w:rFonts w:ascii="Arial" w:cs="Arial" w:eastAsia="Arial" w:hAnsi="Arial"/>
          <w:sz w:val="17"/>
          <w:szCs w:val="17"/>
          <w:color w:val="auto"/>
        </w:rPr>
      </w:pPr>
    </w:p>
    <w:p>
      <w:pPr>
        <w:ind w:left="1420" w:right="20" w:hanging="439"/>
        <w:spacing w:after="0" w:line="25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93" w:lineRule="exact"/>
        <w:rPr>
          <w:rFonts w:ascii="Arial" w:cs="Arial" w:eastAsia="Arial" w:hAnsi="Arial"/>
          <w:sz w:val="18"/>
          <w:szCs w:val="18"/>
          <w:color w:val="auto"/>
        </w:rPr>
      </w:pPr>
    </w:p>
    <w:p>
      <w:pPr>
        <w:jc w:val="both"/>
        <w:ind w:left="1420" w:right="240" w:hanging="439"/>
        <w:spacing w:after="0" w:line="301" w:lineRule="auto"/>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124" w:name="page125"/>
    <w:bookmarkEnd w:id="124"/>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8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Collection of Debt by Trustee; Trustee May Prove Debt.</w:t>
      </w:r>
      <w:r>
        <w:rPr>
          <w:rFonts w:ascii="Arial" w:cs="Arial" w:eastAsia="Arial" w:hAnsi="Arial"/>
          <w:sz w:val="17"/>
          <w:szCs w:val="17"/>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25" w:name="page126"/>
    <w:bookmarkEnd w:id="12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87" w:lineRule="exact"/>
        <w:rPr>
          <w:sz w:val="20"/>
          <w:szCs w:val="20"/>
          <w:color w:val="auto"/>
        </w:rPr>
      </w:pPr>
    </w:p>
    <w:p>
      <w:pPr>
        <w:jc w:val="both"/>
        <w:ind w:right="80" w:firstLine="440"/>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83" w:lineRule="exact"/>
        <w:rPr>
          <w:sz w:val="20"/>
          <w:szCs w:val="20"/>
          <w:color w:val="auto"/>
        </w:rPr>
      </w:pPr>
    </w:p>
    <w:p>
      <w:pPr>
        <w:ind w:left="1960" w:hanging="533"/>
        <w:spacing w:after="0" w:line="271" w:lineRule="auto"/>
        <w:tabs>
          <w:tab w:leader="none" w:pos="19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83" w:lineRule="exact"/>
        <w:rPr>
          <w:rFonts w:ascii="Arial" w:cs="Arial" w:eastAsia="Arial" w:hAnsi="Arial"/>
          <w:sz w:val="17"/>
          <w:szCs w:val="17"/>
          <w:color w:val="auto"/>
        </w:rPr>
      </w:pPr>
    </w:p>
    <w:p>
      <w:pPr>
        <w:ind w:left="1960" w:right="320" w:hanging="533"/>
        <w:spacing w:after="0" w:line="263" w:lineRule="auto"/>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26" w:name="page127"/>
    <w:bookmarkEnd w:id="126"/>
    <w:p>
      <w:pPr>
        <w:ind w:left="1960" w:right="40" w:hanging="533"/>
        <w:spacing w:after="0" w:line="271" w:lineRule="auto"/>
        <w:tabs>
          <w:tab w:leader="none" w:pos="19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78"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27" w:name="page128"/>
    <w:bookmarkEnd w:id="127"/>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To the payment of all amounts due to the Trustee or any predecessor trustee pursuant to Section 6.06;</w:t>
      </w:r>
    </w:p>
    <w:p>
      <w:pPr>
        <w:spacing w:after="0" w:line="117" w:lineRule="exact"/>
        <w:rPr>
          <w:sz w:val="20"/>
          <w:szCs w:val="20"/>
          <w:color w:val="auto"/>
        </w:rPr>
      </w:pPr>
    </w:p>
    <w:p>
      <w:pPr>
        <w:ind w:left="440" w:right="180" w:firstLine="423"/>
        <w:spacing w:after="0" w:line="296" w:lineRule="auto"/>
        <w:rPr>
          <w:sz w:val="20"/>
          <w:szCs w:val="20"/>
          <w:color w:val="auto"/>
        </w:rPr>
      </w:pPr>
      <w:r>
        <w:rPr>
          <w:rFonts w:ascii="Arial" w:cs="Arial" w:eastAsia="Arial" w:hAnsi="Arial"/>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53" w:lineRule="exact"/>
        <w:rPr>
          <w:sz w:val="20"/>
          <w:szCs w:val="20"/>
          <w:color w:val="auto"/>
        </w:rPr>
      </w:pPr>
    </w:p>
    <w:p>
      <w:pPr>
        <w:ind w:left="440" w:firstLine="423"/>
        <w:spacing w:after="0" w:line="290"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r>
        <w:rPr>
          <w:rFonts w:ascii="Arial" w:cs="Arial" w:eastAsia="Arial" w:hAnsi="Arial"/>
          <w:sz w:val="18"/>
          <w:szCs w:val="18"/>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28" w:name="page129"/>
    <w:bookmarkEnd w:id="128"/>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7" w:lineRule="exact"/>
        <w:rPr>
          <w:sz w:val="20"/>
          <w:szCs w:val="20"/>
          <w:color w:val="auto"/>
        </w:rPr>
      </w:pPr>
    </w:p>
    <w:p>
      <w:pPr>
        <w:ind w:right="220" w:firstLine="440"/>
        <w:spacing w:after="0" w:line="28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Unconditional Right of Securityholders to Institute Certain Suits</w:t>
      </w:r>
      <w:r>
        <w:rPr>
          <w:rFonts w:ascii="Arial" w:cs="Arial" w:eastAsia="Arial" w:hAnsi="Arial"/>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29" w:name="page130"/>
    <w:bookmarkEnd w:id="129"/>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jc w:val="both"/>
        <w:ind w:right="260" w:firstLine="440"/>
        <w:spacing w:after="0" w:line="301"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5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Control by Holders of Securities</w:t>
      </w:r>
      <w:r>
        <w:rPr>
          <w:rFonts w:ascii="Arial" w:cs="Arial" w:eastAsia="Arial" w:hAnsi="Arial"/>
          <w:sz w:val="17"/>
          <w:szCs w:val="17"/>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7"/>
          <w:szCs w:val="17"/>
          <w:i w:val="1"/>
          <w:iCs w:val="1"/>
          <w:color w:val="auto"/>
        </w:rPr>
        <w:t>provided</w:t>
      </w:r>
      <w:r>
        <w:rPr>
          <w:rFonts w:ascii="Arial" w:cs="Arial" w:eastAsia="Arial" w:hAnsi="Arial"/>
          <w:sz w:val="17"/>
          <w:szCs w:val="17"/>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8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30" w:name="page131"/>
    <w:bookmarkEnd w:id="13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arising therefrom shall be deemed to have been cured, and not to have occurred for every purpose of this Indenture; but no such waiver shall extend to any subsequent or other default or Event of Default or impair any right consequent thereon.</w:t>
      </w:r>
    </w:p>
    <w:p>
      <w:pPr>
        <w:spacing w:after="0" w:line="170"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Trustee to Give Notice of Default</w:t>
      </w:r>
      <w:r>
        <w:rPr>
          <w:rFonts w:ascii="Arial" w:cs="Arial" w:eastAsia="Arial" w:hAnsi="Arial"/>
          <w:sz w:val="17"/>
          <w:szCs w:val="17"/>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Arial" w:cs="Arial" w:eastAsia="Arial" w:hAnsi="Arial"/>
          <w:sz w:val="17"/>
          <w:szCs w:val="17"/>
          <w:b w:val="1"/>
          <w:bCs w:val="1"/>
          <w:color w:val="auto"/>
        </w:rPr>
        <w:t>defaults</w:t>
      </w:r>
      <w:r>
        <w:rPr>
          <w:rFonts w:ascii="Arial" w:cs="Arial" w:eastAsia="Arial" w:hAnsi="Arial"/>
          <w:sz w:val="17"/>
          <w:szCs w:val="17"/>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Right of Court to Require Filing of Undertaking to Pay Costs</w:t>
      </w:r>
      <w:r>
        <w:rPr>
          <w:rFonts w:ascii="Arial" w:cs="Arial" w:eastAsia="Arial" w:hAnsi="Arial"/>
          <w:sz w:val="17"/>
          <w:szCs w:val="17"/>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211"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31" w:name="page132"/>
    <w:bookmarkEnd w:id="131"/>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Certain Rights of the Trustee.</w:t>
      </w:r>
      <w:r>
        <w:rPr>
          <w:rFonts w:ascii="Arial" w:cs="Arial" w:eastAsia="Arial" w:hAnsi="Arial"/>
          <w:sz w:val="17"/>
          <w:szCs w:val="17"/>
          <w:color w:val="auto"/>
        </w:rPr>
        <w:t xml:space="preserve"> In furtherance of and subject to the Trust Indenture Act of 1939 and subject to Section 6.01:</w:t>
      </w:r>
    </w:p>
    <w:p>
      <w:pPr>
        <w:spacing w:after="0" w:line="142" w:lineRule="exact"/>
        <w:rPr>
          <w:sz w:val="20"/>
          <w:szCs w:val="20"/>
          <w:color w:val="auto"/>
        </w:rPr>
      </w:pPr>
    </w:p>
    <w:p>
      <w:pPr>
        <w:ind w:left="1420" w:right="60" w:hanging="439"/>
        <w:spacing w:after="0" w:line="275" w:lineRule="auto"/>
        <w:tabs>
          <w:tab w:leader="none" w:pos="1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81" w:lineRule="exact"/>
        <w:rPr>
          <w:rFonts w:ascii="Arial" w:cs="Arial" w:eastAsia="Arial" w:hAnsi="Arial"/>
          <w:sz w:val="17"/>
          <w:szCs w:val="17"/>
          <w:color w:val="auto"/>
        </w:rPr>
      </w:pPr>
    </w:p>
    <w:p>
      <w:pPr>
        <w:ind w:left="1420" w:right="100" w:hanging="439"/>
        <w:spacing w:after="0" w:line="277"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75" w:lineRule="exact"/>
        <w:rPr>
          <w:rFonts w:ascii="Arial" w:cs="Arial" w:eastAsia="Arial" w:hAnsi="Arial"/>
          <w:sz w:val="18"/>
          <w:szCs w:val="18"/>
          <w:color w:val="auto"/>
        </w:rPr>
      </w:pPr>
    </w:p>
    <w:p>
      <w:pPr>
        <w:jc w:val="both"/>
        <w:ind w:left="1420" w:right="460" w:hanging="439"/>
        <w:spacing w:after="0" w:line="311" w:lineRule="auto"/>
        <w:tabs>
          <w:tab w:leader="none" w:pos="1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54" w:lineRule="exact"/>
        <w:rPr>
          <w:rFonts w:ascii="Arial" w:cs="Arial" w:eastAsia="Arial" w:hAnsi="Arial"/>
          <w:sz w:val="16"/>
          <w:szCs w:val="16"/>
          <w:color w:val="auto"/>
        </w:rPr>
      </w:pPr>
    </w:p>
    <w:p>
      <w:pPr>
        <w:ind w:left="1420" w:right="280" w:hanging="439"/>
        <w:spacing w:after="0" w:line="259"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92" w:lineRule="exact"/>
        <w:rPr>
          <w:rFonts w:ascii="Arial" w:cs="Arial" w:eastAsia="Arial" w:hAnsi="Arial"/>
          <w:sz w:val="18"/>
          <w:szCs w:val="18"/>
          <w:color w:val="auto"/>
        </w:rPr>
      </w:pPr>
    </w:p>
    <w:p>
      <w:pPr>
        <w:ind w:left="1420" w:hanging="439"/>
        <w:spacing w:after="0" w:line="286" w:lineRule="auto"/>
        <w:tabs>
          <w:tab w:leader="none" w:pos="1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70" w:lineRule="exact"/>
        <w:rPr>
          <w:rFonts w:ascii="Arial" w:cs="Arial" w:eastAsia="Arial" w:hAnsi="Arial"/>
          <w:sz w:val="17"/>
          <w:szCs w:val="17"/>
          <w:color w:val="auto"/>
        </w:rPr>
      </w:pPr>
    </w:p>
    <w:p>
      <w:pPr>
        <w:jc w:val="both"/>
        <w:ind w:left="1420" w:right="300" w:hanging="439"/>
        <w:spacing w:after="0" w:line="311" w:lineRule="auto"/>
        <w:tabs>
          <w:tab w:leader="none" w:pos="1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132" w:name="page133"/>
    <w:bookmarkEnd w:id="132"/>
    <w:p>
      <w:pPr>
        <w:ind w:left="1420" w:right="80" w:hanging="439"/>
        <w:spacing w:after="0" w:line="263"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89" w:lineRule="exact"/>
        <w:rPr>
          <w:rFonts w:ascii="Arial" w:cs="Arial" w:eastAsia="Arial" w:hAnsi="Arial"/>
          <w:sz w:val="18"/>
          <w:szCs w:val="18"/>
          <w:color w:val="auto"/>
        </w:rPr>
      </w:pPr>
    </w:p>
    <w:p>
      <w:pPr>
        <w:ind w:left="1420" w:hanging="439"/>
        <w:spacing w:after="0" w:line="311" w:lineRule="auto"/>
        <w:tabs>
          <w:tab w:leader="none" w:pos="14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54" w:lineRule="exact"/>
        <w:rPr>
          <w:rFonts w:ascii="Arial" w:cs="Arial" w:eastAsia="Arial" w:hAnsi="Arial"/>
          <w:sz w:val="16"/>
          <w:szCs w:val="16"/>
          <w:color w:val="auto"/>
        </w:rPr>
      </w:pPr>
    </w:p>
    <w:p>
      <w:pPr>
        <w:ind w:left="1420" w:right="300" w:hanging="43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75" w:lineRule="exact"/>
        <w:rPr>
          <w:rFonts w:ascii="Arial" w:cs="Arial" w:eastAsia="Arial" w:hAnsi="Arial"/>
          <w:sz w:val="18"/>
          <w:szCs w:val="18"/>
          <w:color w:val="auto"/>
        </w:rPr>
      </w:pPr>
    </w:p>
    <w:p>
      <w:pPr>
        <w:ind w:left="1420" w:right="80" w:hanging="439"/>
        <w:spacing w:after="0" w:line="289" w:lineRule="auto"/>
        <w:tabs>
          <w:tab w:leader="none" w:pos="14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71"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4" w:right="519" w:bottom="1440" w:gutter="0" w:footer="0" w:header="0"/>
        </w:sectPr>
      </w:pPr>
    </w:p>
    <w:bookmarkStart w:id="133" w:name="page134"/>
    <w:bookmarkEnd w:id="133"/>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Compensation and Indemnification of Trustee and Its Prior Claim.</w:t>
      </w:r>
      <w:r>
        <w:rPr>
          <w:rFonts w:ascii="Arial" w:cs="Arial" w:eastAsia="Arial" w:hAnsi="Arial"/>
          <w:sz w:val="16"/>
          <w:szCs w:val="16"/>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7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34" w:name="page135"/>
    <w:bookmarkEnd w:id="134"/>
    <w:p>
      <w:pPr>
        <w:ind w:right="4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6.08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84"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61"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74" w:lineRule="exact"/>
        <w:rPr>
          <w:sz w:val="20"/>
          <w:szCs w:val="20"/>
          <w:color w:val="auto"/>
        </w:rPr>
      </w:pPr>
    </w:p>
    <w:p>
      <w:pPr>
        <w:ind w:left="1420" w:hanging="43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30" w:lineRule="exact"/>
        <w:rPr>
          <w:rFonts w:ascii="Arial" w:cs="Arial" w:eastAsia="Arial" w:hAnsi="Arial"/>
          <w:sz w:val="18"/>
          <w:szCs w:val="18"/>
          <w:color w:val="auto"/>
        </w:rPr>
      </w:pPr>
    </w:p>
    <w:p>
      <w:pPr>
        <w:ind w:left="1960" w:hanging="533"/>
        <w:spacing w:after="0" w:line="263" w:lineRule="auto"/>
        <w:tabs>
          <w:tab w:leader="none" w:pos="1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89" w:lineRule="exact"/>
        <w:rPr>
          <w:rFonts w:ascii="Arial" w:cs="Arial" w:eastAsia="Arial" w:hAnsi="Arial"/>
          <w:sz w:val="18"/>
          <w:szCs w:val="18"/>
          <w:color w:val="auto"/>
        </w:rPr>
      </w:pPr>
    </w:p>
    <w:p>
      <w:pPr>
        <w:ind w:left="1960" w:right="120" w:hanging="533"/>
        <w:spacing w:after="0" w:line="277" w:lineRule="auto"/>
        <w:tabs>
          <w:tab w:leader="none" w:pos="1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35" w:name="page136"/>
    <w:bookmarkEnd w:id="135"/>
    <w:p>
      <w:pPr>
        <w:ind w:left="1960" w:right="400" w:hanging="533"/>
        <w:spacing w:after="0" w:line="311" w:lineRule="auto"/>
        <w:tabs>
          <w:tab w:leader="none" w:pos="19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41"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00" w:lineRule="exact"/>
        <w:rPr>
          <w:sz w:val="20"/>
          <w:szCs w:val="20"/>
          <w:color w:val="auto"/>
        </w:rPr>
      </w:pPr>
    </w:p>
    <w:p>
      <w:pPr>
        <w:ind w:left="1420" w:hanging="439"/>
        <w:spacing w:after="0" w:line="279" w:lineRule="auto"/>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76" w:lineRule="exact"/>
        <w:rPr>
          <w:rFonts w:ascii="Arial" w:cs="Arial" w:eastAsia="Arial" w:hAnsi="Arial"/>
          <w:sz w:val="17"/>
          <w:szCs w:val="17"/>
          <w:color w:val="auto"/>
        </w:rPr>
      </w:pPr>
    </w:p>
    <w:p>
      <w:pPr>
        <w:jc w:val="both"/>
        <w:ind w:left="1420" w:right="60" w:hanging="439"/>
        <w:spacing w:after="0" w:line="263"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36" w:name="page137"/>
    <w:bookmarkEnd w:id="136"/>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7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 of Trustee.</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that such corporation shall be qualified under the provisions of Section 310(b) of the Trust Indenture Act of 1939 and eligible under the provisions of</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Section 310(a) of the Trust Indenture Act of 1939, without the execution or filing of any paper or any further act on the part of any of the parties hereto, anything herein to the contrary notwithstanding.</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137" w:name="page138"/>
    <w:bookmarkEnd w:id="13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have; </w:t>
      </w:r>
      <w:r>
        <w:rPr>
          <w:rFonts w:ascii="Arial" w:cs="Arial" w:eastAsia="Arial" w:hAnsi="Arial"/>
          <w:sz w:val="18"/>
          <w:szCs w:val="18"/>
          <w:i w:val="1"/>
          <w:iCs w:val="1"/>
          <w:color w:val="auto"/>
        </w:rPr>
        <w:t>provided</w:t>
      </w:r>
      <w:r>
        <w:rPr>
          <w:rFonts w:ascii="Arial" w:cs="Arial" w:eastAsia="Arial" w:hAnsi="Arial"/>
          <w:sz w:val="18"/>
          <w:szCs w:val="18"/>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9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Proof of Execution of Instruments and of Holding of Securities.</w:t>
      </w:r>
      <w:r>
        <w:rPr>
          <w:rFonts w:ascii="Arial" w:cs="Arial" w:eastAsia="Arial" w:hAnsi="Arial"/>
          <w:sz w:val="17"/>
          <w:szCs w:val="17"/>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8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38" w:name="page139"/>
    <w:bookmarkEnd w:id="13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7.04 </w:t>
      </w:r>
      <w:r>
        <w:rPr>
          <w:rFonts w:ascii="Arial" w:cs="Arial" w:eastAsia="Arial" w:hAnsi="Arial"/>
          <w:sz w:val="17"/>
          <w:szCs w:val="17"/>
          <w:i w:val="1"/>
          <w:iCs w:val="1"/>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139" w:name="page140"/>
    <w:bookmarkEnd w:id="139"/>
    <w:p>
      <w:pPr>
        <w:ind w:left="439" w:right="420" w:hanging="439"/>
        <w:spacing w:after="0" w:line="277" w:lineRule="auto"/>
        <w:tabs>
          <w:tab w:leader="none" w:pos="4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convey, transfer, assign, mortgage or pledge to the Trustee as security for the Securities of one or more series any property or assets;</w:t>
      </w:r>
    </w:p>
    <w:p>
      <w:pPr>
        <w:spacing w:after="0" w:line="75" w:lineRule="exact"/>
        <w:rPr>
          <w:rFonts w:ascii="Arial" w:cs="Arial" w:eastAsia="Arial" w:hAnsi="Arial"/>
          <w:sz w:val="18"/>
          <w:szCs w:val="18"/>
          <w:color w:val="auto"/>
        </w:rPr>
      </w:pPr>
    </w:p>
    <w:p>
      <w:pPr>
        <w:ind w:left="439" w:right="260" w:hanging="439"/>
        <w:spacing w:after="0" w:line="308" w:lineRule="auto"/>
        <w:tabs>
          <w:tab w:leader="none" w:pos="43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51" w:lineRule="exact"/>
        <w:rPr>
          <w:rFonts w:ascii="Arial" w:cs="Arial" w:eastAsia="Arial" w:hAnsi="Arial"/>
          <w:sz w:val="17"/>
          <w:szCs w:val="17"/>
          <w:color w:val="auto"/>
        </w:rPr>
      </w:pPr>
    </w:p>
    <w:p>
      <w:pPr>
        <w:ind w:left="439" w:right="140" w:hanging="439"/>
        <w:spacing w:after="0" w:line="277" w:lineRule="auto"/>
        <w:tabs>
          <w:tab w:leader="none" w:pos="4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comply with the requirements of the Commission in order to effect or maintain the qualification of this Indenture under the Trust Indenture Act of 1939, as amended;</w:t>
      </w:r>
    </w:p>
    <w:p>
      <w:pPr>
        <w:spacing w:after="0" w:line="75" w:lineRule="exact"/>
        <w:rPr>
          <w:rFonts w:ascii="Arial" w:cs="Arial" w:eastAsia="Arial" w:hAnsi="Arial"/>
          <w:sz w:val="18"/>
          <w:szCs w:val="18"/>
          <w:color w:val="auto"/>
        </w:rPr>
      </w:pPr>
    </w:p>
    <w:p>
      <w:pPr>
        <w:ind w:left="439" w:hanging="439"/>
        <w:spacing w:after="0" w:line="253" w:lineRule="auto"/>
        <w:tabs>
          <w:tab w:leader="none" w:pos="4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i w:val="1"/>
          <w:iCs w:val="1"/>
          <w:color w:val="auto"/>
        </w:rPr>
        <w:t>provided</w:t>
      </w:r>
      <w:r>
        <w:rPr>
          <w:rFonts w:ascii="Arial" w:cs="Arial" w:eastAsia="Arial" w:hAnsi="Arial"/>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01" w:lineRule="exact"/>
        <w:rPr>
          <w:rFonts w:ascii="Arial" w:cs="Arial" w:eastAsia="Arial" w:hAnsi="Arial"/>
          <w:sz w:val="18"/>
          <w:szCs w:val="18"/>
          <w:color w:val="auto"/>
        </w:rPr>
      </w:pPr>
    </w:p>
    <w:p>
      <w:pPr>
        <w:ind w:left="439" w:right="200" w:hanging="439"/>
        <w:spacing w:after="0" w:line="342" w:lineRule="auto"/>
        <w:tabs>
          <w:tab w:leader="none" w:pos="43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29" w:lineRule="exact"/>
        <w:rPr>
          <w:rFonts w:ascii="Arial" w:cs="Arial" w:eastAsia="Arial" w:hAnsi="Arial"/>
          <w:sz w:val="16"/>
          <w:szCs w:val="16"/>
          <w:color w:val="auto"/>
        </w:rPr>
      </w:pPr>
    </w:p>
    <w:p>
      <w:pPr>
        <w:ind w:left="439" w:hanging="439"/>
        <w:spacing w:after="0"/>
        <w:tabs>
          <w:tab w:leader="none" w:pos="4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30" w:lineRule="exact"/>
        <w:rPr>
          <w:rFonts w:ascii="Arial" w:cs="Arial" w:eastAsia="Arial" w:hAnsi="Arial"/>
          <w:sz w:val="18"/>
          <w:szCs w:val="18"/>
          <w:color w:val="auto"/>
        </w:rPr>
      </w:pPr>
    </w:p>
    <w:p>
      <w:pPr>
        <w:ind w:left="439" w:right="200" w:hanging="439"/>
        <w:spacing w:after="0" w:line="286" w:lineRule="auto"/>
        <w:tabs>
          <w:tab w:leader="none" w:pos="43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70" w:lineRule="exact"/>
        <w:rPr>
          <w:rFonts w:ascii="Arial" w:cs="Arial" w:eastAsia="Arial" w:hAnsi="Arial"/>
          <w:sz w:val="17"/>
          <w:szCs w:val="17"/>
          <w:color w:val="auto"/>
        </w:rPr>
      </w:pPr>
    </w:p>
    <w:p>
      <w:pPr>
        <w:ind w:left="439" w:right="60" w:hanging="439"/>
        <w:spacing w:after="0" w:line="277" w:lineRule="auto"/>
        <w:tabs>
          <w:tab w:leader="none" w:pos="4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shall (A) not (i) apply to any Security of</w:t>
      </w:r>
    </w:p>
    <w:p>
      <w:pPr>
        <w:spacing w:after="0" w:line="10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39"/>
          </w:cols>
          <w:pgMar w:left="1421" w:top="274" w:right="439" w:bottom="1440" w:gutter="0" w:footer="0" w:header="0"/>
        </w:sectPr>
      </w:pPr>
    </w:p>
    <w:bookmarkStart w:id="140" w:name="page141"/>
    <w:bookmarkEnd w:id="140"/>
    <w:p>
      <w:pPr>
        <w:ind w:left="1420"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89" w:lineRule="exact"/>
        <w:rPr>
          <w:sz w:val="20"/>
          <w:szCs w:val="20"/>
          <w:color w:val="auto"/>
        </w:rPr>
      </w:pPr>
    </w:p>
    <w:p>
      <w:pPr>
        <w:ind w:left="1420" w:hanging="43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interests of the Holders of the Securities in any material respect.</w:t>
      </w:r>
    </w:p>
    <w:p>
      <w:pPr>
        <w:spacing w:after="0" w:line="23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Supplemental Indentures With Consent of Securityholders.</w:t>
      </w:r>
      <w:r>
        <w:rPr>
          <w:rFonts w:ascii="Arial" w:cs="Arial" w:eastAsia="Arial" w:hAnsi="Arial"/>
          <w:sz w:val="16"/>
          <w:szCs w:val="16"/>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6"/>
          <w:szCs w:val="16"/>
          <w:i w:val="1"/>
          <w:iCs w:val="1"/>
          <w:color w:val="auto"/>
        </w:rPr>
        <w:t>provided</w:t>
      </w:r>
      <w:r>
        <w:rPr>
          <w:rFonts w:ascii="Arial" w:cs="Arial" w:eastAsia="Arial" w:hAnsi="Arial"/>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41" w:name="page142"/>
    <w:bookmarkEnd w:id="141"/>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8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142" w:name="page143"/>
    <w:bookmarkEnd w:id="142"/>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8.05 </w:t>
      </w:r>
      <w:r>
        <w:rPr>
          <w:rFonts w:ascii="Arial" w:cs="Arial" w:eastAsia="Arial" w:hAnsi="Arial"/>
          <w:sz w:val="18"/>
          <w:szCs w:val="18"/>
          <w:i w:val="1"/>
          <w:iCs w:val="1"/>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CONSOLIDATION, MERGER, SALE OR CONVEYANCE</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w:t>
      </w:r>
    </w:p>
    <w:p>
      <w:pPr>
        <w:spacing w:after="0" w:line="1" w:lineRule="exact"/>
        <w:rPr>
          <w:sz w:val="20"/>
          <w:szCs w:val="20"/>
          <w:color w:val="auto"/>
        </w:rPr>
      </w:pPr>
    </w:p>
    <w:p>
      <w:pPr>
        <w:ind w:left="4" w:right="20" w:hanging="4"/>
        <w:spacing w:after="0" w:line="268" w:lineRule="auto"/>
        <w:tabs>
          <w:tab w:leader="none" w:pos="26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79"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6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r>
        <w:rPr>
          <w:rFonts w:ascii="Arial" w:cs="Arial" w:eastAsia="Arial" w:hAnsi="Arial"/>
          <w:sz w:val="18"/>
          <w:szCs w:val="18"/>
          <w:color w:val="auto"/>
        </w:rPr>
        <w:t xml:space="preserve"> Upon any consolidation of the Issuer with, or merger of the Issuer into, any other Person or any conveyance, transfer or lease of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143" w:name="page144"/>
    <w:bookmarkEnd w:id="143"/>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5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OF INDENTURE; DEFEASANCE; UNCLAIMED MONEYS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131" w:lineRule="exact"/>
        <w:rPr>
          <w:sz w:val="20"/>
          <w:szCs w:val="20"/>
          <w:color w:val="auto"/>
        </w:rPr>
      </w:pPr>
    </w:p>
    <w:p>
      <w:pPr>
        <w:ind w:left="1960" w:right="20" w:hanging="533"/>
        <w:spacing w:after="0" w:line="259" w:lineRule="auto"/>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92" w:lineRule="exact"/>
        <w:rPr>
          <w:rFonts w:ascii="Arial" w:cs="Arial" w:eastAsia="Arial" w:hAnsi="Arial"/>
          <w:sz w:val="18"/>
          <w:szCs w:val="18"/>
          <w:color w:val="auto"/>
        </w:rPr>
      </w:pPr>
    </w:p>
    <w:p>
      <w:pPr>
        <w:ind w:left="1960" w:right="60" w:hanging="533"/>
        <w:spacing w:after="0" w:line="263" w:lineRule="auto"/>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89" w:lineRule="exact"/>
        <w:rPr>
          <w:rFonts w:ascii="Arial" w:cs="Arial" w:eastAsia="Arial" w:hAnsi="Arial"/>
          <w:sz w:val="18"/>
          <w:szCs w:val="18"/>
          <w:color w:val="auto"/>
        </w:rPr>
      </w:pPr>
    </w:p>
    <w:p>
      <w:pPr>
        <w:jc w:val="both"/>
        <w:ind w:left="1960" w:right="180" w:hanging="533"/>
        <w:spacing w:after="0" w:line="263" w:lineRule="auto"/>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89" w:lineRule="exact"/>
        <w:rPr>
          <w:rFonts w:ascii="Arial" w:cs="Arial" w:eastAsia="Arial" w:hAnsi="Arial"/>
          <w:sz w:val="18"/>
          <w:szCs w:val="18"/>
          <w:color w:val="auto"/>
        </w:rPr>
      </w:pPr>
    </w:p>
    <w:p>
      <w:pPr>
        <w:ind w:left="2400" w:right="60" w:hanging="433"/>
        <w:spacing w:after="0" w:line="259" w:lineRule="auto"/>
        <w:tabs>
          <w:tab w:leader="none" w:pos="24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92" w:lineRule="exact"/>
        <w:rPr>
          <w:rFonts w:ascii="Arial" w:cs="Arial" w:eastAsia="Arial" w:hAnsi="Arial"/>
          <w:sz w:val="18"/>
          <w:szCs w:val="18"/>
          <w:color w:val="auto"/>
        </w:rPr>
      </w:pPr>
    </w:p>
    <w:p>
      <w:pPr>
        <w:ind w:left="5420" w:right="160" w:hanging="3453"/>
        <w:spacing w:after="0" w:line="449" w:lineRule="auto"/>
        <w:tabs>
          <w:tab w:leader="none" w:pos="240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Issuer shall have irrevocably deposited or caused to be deposited with the Trustee as trust funds the entire amount 40</w:t>
      </w:r>
    </w:p>
    <w:p>
      <w:pPr>
        <w:sectPr>
          <w:pgSz w:w="11900" w:h="16838" w:orient="portrait"/>
          <w:cols w:equalWidth="0" w:num="1">
            <w:col w:w="11000"/>
          </w:cols>
          <w:pgMar w:left="440" w:top="274" w:right="459" w:bottom="1440" w:gutter="0" w:footer="0" w:header="0"/>
        </w:sectPr>
      </w:pPr>
    </w:p>
    <w:bookmarkStart w:id="144" w:name="page145"/>
    <w:bookmarkEnd w:id="144"/>
    <w:p>
      <w:pPr>
        <w:ind w:left="2420" w:hanging="8"/>
        <w:spacing w:after="0" w:line="287" w:lineRule="auto"/>
        <w:tabs>
          <w:tab w:leader="none" w:pos="26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6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73" w:lineRule="exact"/>
        <w:rPr>
          <w:sz w:val="20"/>
          <w:szCs w:val="20"/>
          <w:color w:val="auto"/>
        </w:rPr>
      </w:pPr>
    </w:p>
    <w:p>
      <w:pPr>
        <w:ind w:left="1420" w:right="240" w:hanging="43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following subsection shall apply to the Securities of each series unless specifically otherwise provided in a Board Resolution, Officer’s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45" w:name="page146"/>
    <w:bookmarkEnd w:id="145"/>
    <w:p>
      <w:pPr>
        <w:ind w:left="439"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6"/>
          <w:szCs w:val="16"/>
          <w:b w:val="1"/>
          <w:bCs w:val="1"/>
          <w:color w:val="auto"/>
        </w:rPr>
        <w:t>Legal Defeasance</w:t>
      </w:r>
      <w:r>
        <w:rPr>
          <w:rFonts w:ascii="Arial" w:cs="Arial" w:eastAsia="Arial" w:hAnsi="Arial"/>
          <w:sz w:val="16"/>
          <w:szCs w:val="16"/>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79" w:lineRule="exact"/>
        <w:rPr>
          <w:sz w:val="20"/>
          <w:szCs w:val="20"/>
          <w:color w:val="auto"/>
        </w:rPr>
      </w:pPr>
    </w:p>
    <w:p>
      <w:pPr>
        <w:ind w:left="439" w:right="160" w:hanging="439"/>
        <w:spacing w:after="0" w:line="284" w:lineRule="auto"/>
        <w:tabs>
          <w:tab w:leader="none" w:pos="43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w:t>
      </w:r>
    </w:p>
    <w:p>
      <w:pPr>
        <w:spacing w:after="0" w:line="2" w:lineRule="exact"/>
        <w:rPr>
          <w:rFonts w:ascii="Arial" w:cs="Arial" w:eastAsia="Arial" w:hAnsi="Arial"/>
          <w:sz w:val="16"/>
          <w:szCs w:val="16"/>
          <w:color w:val="auto"/>
        </w:rPr>
      </w:pPr>
    </w:p>
    <w:p>
      <w:pPr>
        <w:ind w:left="439"/>
        <w:spacing w:after="0" w:line="252" w:lineRule="auto"/>
        <w:rPr>
          <w:rFonts w:ascii="Arial" w:cs="Arial" w:eastAsia="Arial" w:hAnsi="Arial"/>
          <w:sz w:val="16"/>
          <w:szCs w:val="16"/>
          <w:color w:val="auto"/>
        </w:rPr>
      </w:pPr>
      <w:r>
        <w:rPr>
          <w:rFonts w:ascii="Arial" w:cs="Arial" w:eastAsia="Arial" w:hAnsi="Arial"/>
          <w:sz w:val="18"/>
          <w:szCs w:val="18"/>
          <w:color w:val="auto"/>
        </w:rPr>
        <w:t>(i)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w:t>
      </w:r>
    </w:p>
    <w:p>
      <w:pPr>
        <w:spacing w:after="0" w:line="126"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019"/>
          </w:cols>
          <w:pgMar w:left="1421" w:top="274" w:right="459" w:bottom="1440" w:gutter="0" w:footer="0" w:header="0"/>
        </w:sectPr>
      </w:pPr>
    </w:p>
    <w:bookmarkStart w:id="146" w:name="page147"/>
    <w:bookmarkEnd w:id="146"/>
    <w:p>
      <w:pPr>
        <w:ind w:left="439"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63" w:lineRule="exact"/>
        <w:rPr>
          <w:sz w:val="20"/>
          <w:szCs w:val="20"/>
          <w:color w:val="auto"/>
        </w:rPr>
      </w:pPr>
    </w:p>
    <w:p>
      <w:pPr>
        <w:ind w:left="439" w:right="180" w:hanging="439"/>
        <w:spacing w:after="0" w:line="277" w:lineRule="auto"/>
        <w:tabs>
          <w:tab w:leader="none" w:pos="43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75" w:lineRule="exact"/>
        <w:rPr>
          <w:rFonts w:ascii="Arial" w:cs="Arial" w:eastAsia="Arial" w:hAnsi="Arial"/>
          <w:sz w:val="18"/>
          <w:szCs w:val="18"/>
          <w:color w:val="auto"/>
        </w:rPr>
      </w:pPr>
    </w:p>
    <w:p>
      <w:pPr>
        <w:ind w:left="979" w:hanging="533"/>
        <w:spacing w:after="0" w:line="268" w:lineRule="auto"/>
        <w:tabs>
          <w:tab w:leader="none" w:pos="97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89" w:lineRule="exact"/>
        <w:rPr>
          <w:rFonts w:ascii="Arial" w:cs="Arial" w:eastAsia="Arial" w:hAnsi="Arial"/>
          <w:sz w:val="17"/>
          <w:szCs w:val="17"/>
          <w:color w:val="auto"/>
        </w:rPr>
      </w:pPr>
    </w:p>
    <w:p>
      <w:pPr>
        <w:ind w:left="979" w:right="140" w:hanging="533"/>
        <w:spacing w:after="0" w:line="263" w:lineRule="auto"/>
        <w:tabs>
          <w:tab w:leader="none" w:pos="97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89" w:lineRule="exact"/>
        <w:rPr>
          <w:rFonts w:ascii="Arial" w:cs="Arial" w:eastAsia="Arial" w:hAnsi="Arial"/>
          <w:sz w:val="18"/>
          <w:szCs w:val="18"/>
          <w:color w:val="auto"/>
        </w:rPr>
      </w:pPr>
    </w:p>
    <w:p>
      <w:pPr>
        <w:ind w:left="979" w:right="140" w:hanging="533"/>
        <w:spacing w:after="0" w:line="277" w:lineRule="auto"/>
        <w:tabs>
          <w:tab w:leader="none" w:pos="97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Event of Default under subsection (a), (b), (d) or (e) of Section 5.01 shall have occurred and be continuing, and no event which</w:t>
      </w:r>
    </w:p>
    <w:p>
      <w:pPr>
        <w:spacing w:after="0" w:line="10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19"/>
          </w:cols>
          <w:pgMar w:left="1421" w:top="274" w:right="459" w:bottom="1440" w:gutter="0" w:footer="0" w:header="0"/>
        </w:sectPr>
      </w:pPr>
    </w:p>
    <w:bookmarkStart w:id="147" w:name="page148"/>
    <w:bookmarkEnd w:id="147"/>
    <w:p>
      <w:pPr>
        <w:ind w:left="196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notice or lapse of time or both would become such an Event of Default shall have occurred and be continuing, on the date of such deposit;</w:t>
      </w:r>
    </w:p>
    <w:p>
      <w:pPr>
        <w:spacing w:after="0" w:line="76" w:lineRule="exact"/>
        <w:rPr>
          <w:sz w:val="20"/>
          <w:szCs w:val="20"/>
          <w:color w:val="auto"/>
        </w:rPr>
      </w:pPr>
    </w:p>
    <w:p>
      <w:pPr>
        <w:ind w:left="1960" w:hanging="533"/>
        <w:spacing w:after="0" w:line="291" w:lineRule="auto"/>
        <w:tabs>
          <w:tab w:leader="none" w:pos="19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71" w:lineRule="exact"/>
        <w:rPr>
          <w:rFonts w:ascii="Arial" w:cs="Arial" w:eastAsia="Arial" w:hAnsi="Arial"/>
          <w:sz w:val="16"/>
          <w:szCs w:val="16"/>
          <w:color w:val="auto"/>
        </w:rPr>
      </w:pPr>
    </w:p>
    <w:p>
      <w:pPr>
        <w:ind w:left="1960" w:hanging="533"/>
        <w:spacing w:after="0" w:line="257" w:lineRule="auto"/>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93" w:lineRule="exact"/>
        <w:rPr>
          <w:rFonts w:ascii="Arial" w:cs="Arial" w:eastAsia="Arial" w:hAnsi="Arial"/>
          <w:sz w:val="18"/>
          <w:szCs w:val="18"/>
          <w:color w:val="auto"/>
        </w:rPr>
      </w:pPr>
    </w:p>
    <w:p>
      <w:pPr>
        <w:ind w:left="1960" w:right="560" w:hanging="533"/>
        <w:spacing w:after="0" w:line="342" w:lineRule="auto"/>
        <w:tabs>
          <w:tab w:leader="none" w:pos="19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4"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148" w:name="page149"/>
    <w:bookmarkEnd w:id="148"/>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r>
        <w:rPr>
          <w:rFonts w:ascii="Arial" w:cs="Arial" w:eastAsia="Arial" w:hAnsi="Arial"/>
          <w:sz w:val="18"/>
          <w:szCs w:val="18"/>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9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Indemnity for U.S. Government Obligations and Foreign Government Obligations.</w:t>
      </w:r>
      <w:r>
        <w:rPr>
          <w:rFonts w:ascii="Arial" w:cs="Arial" w:eastAsia="Arial" w:hAnsi="Arial"/>
          <w:sz w:val="18"/>
          <w:szCs w:val="18"/>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149" w:name="page150"/>
    <w:bookmarkEnd w:id="149"/>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11.02 </w:t>
      </w:r>
      <w:r>
        <w:rPr>
          <w:rFonts w:ascii="Arial" w:cs="Arial" w:eastAsia="Arial" w:hAnsi="Arial"/>
          <w:sz w:val="16"/>
          <w:szCs w:val="16"/>
          <w:i w:val="1"/>
          <w:iCs w:val="1"/>
          <w:color w:val="auto"/>
        </w:rPr>
        <w:t>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5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70"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Notices and Demands on Issuer, Trustee and Holders of Securities.</w:t>
      </w:r>
      <w:r>
        <w:rPr>
          <w:rFonts w:ascii="Arial" w:cs="Arial" w:eastAsia="Arial" w:hAnsi="Arial"/>
          <w:sz w:val="16"/>
          <w:szCs w:val="16"/>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Fulcrum Therapeutics, Inc., 26 Landsdowne Street, Cambridge, MA 02139, Attn: Chief Operating Officer. Any notice, direction, request or demand by the Issuer or any Holder of Securities to or upon the Trustee shall be deemed to have been sufficiently given or made,</w:t>
      </w:r>
    </w:p>
    <w:p>
      <w:pPr>
        <w:spacing w:after="0" w:line="2" w:lineRule="exact"/>
        <w:rPr>
          <w:sz w:val="20"/>
          <w:szCs w:val="20"/>
          <w:color w:val="auto"/>
        </w:rPr>
      </w:pPr>
    </w:p>
    <w:p>
      <w:pPr>
        <w:spacing w:after="0"/>
        <w:tabs>
          <w:tab w:leader="none" w:pos="3480" w:val="left"/>
          <w:tab w:leader="none" w:pos="4480" w:val="left"/>
          <w:tab w:leader="none" w:pos="5880" w:val="left"/>
        </w:tabs>
        <w:rPr>
          <w:sz w:val="20"/>
          <w:szCs w:val="20"/>
          <w:color w:val="auto"/>
        </w:rPr>
      </w:pPr>
      <w:r>
        <w:rPr>
          <w:rFonts w:ascii="Arial" w:cs="Arial" w:eastAsia="Arial" w:hAnsi="Arial"/>
          <w:sz w:val="18"/>
          <w:szCs w:val="18"/>
          <w:color w:val="auto"/>
        </w:rPr>
        <w:t>for all purposes, if given or made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Attn: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76"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84"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150" w:name="page151"/>
    <w:bookmarkEnd w:id="150"/>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151" w:name="page152"/>
    <w:bookmarkEnd w:id="151"/>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certificate or opinion of any independent firm of public accountants filed with and directed to the Trustee shall contain a statement that such firm is independent.</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8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 SINKING FUNDS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52" w:name="page153"/>
    <w:bookmarkEnd w:id="152"/>
    <w:p>
      <w:pPr>
        <w:ind w:right="10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12.02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providing notice of such redemption at least 30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85"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6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53" w:name="page154"/>
    <w:bookmarkEnd w:id="153"/>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7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54" w:name="page155"/>
    <w:bookmarkEnd w:id="154"/>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12.04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ind w:right="260" w:firstLine="440"/>
        <w:spacing w:after="0" w:line="290"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55" w:name="page156"/>
    <w:bookmarkEnd w:id="155"/>
    <w:p>
      <w:pPr>
        <w:jc w:val="both"/>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6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18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Trustee shall not redeem or cause to be redeemed any Securities of a series with sinking fund moneys or give any notice of redemption of Securities for such series by operation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56" w:name="page157"/>
    <w:bookmarkEnd w:id="15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157" w:name="page158"/>
    <w:bookmarkEnd w:id="157"/>
    <w:p>
      <w:pPr>
        <w:spacing w:after="0"/>
        <w:tabs>
          <w:tab w:leader="none" w:pos="7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Indenture to be duly executed as of</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FULCRUM THERAPEUTICS,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74"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Trustee</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w:t>
      </w:r>
    </w:p>
    <w:p>
      <w:pPr>
        <w:spacing w:after="0" w:line="22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020"/>
          </w:cols>
          <w:pgMar w:left="1440" w:top="121" w:right="439" w:bottom="1440" w:gutter="0" w:footer="0" w:header="0"/>
        </w:sectPr>
      </w:pPr>
    </w:p>
    <w:bookmarkStart w:id="159" w:name="page160"/>
    <w:bookmarkEnd w:id="159"/>
    <w:tbl>
      <w:tblPr>
        <w:tblLayout w:type="fixed"/>
        <w:tblInd w:w="4" w:type="dxa"/>
        <w:tblCellMar>
          <w:top w:w="0" w:type="dxa"/>
          <w:left w:w="0" w:type="dxa"/>
          <w:bottom w:w="0" w:type="dxa"/>
          <w:right w:w="0" w:type="dxa"/>
        </w:tblCellMar>
      </w:tblPr>
      <w:tr>
        <w:trPr>
          <w:trHeight w:val="253"/>
        </w:trPr>
        <w:tc>
          <w:tcPr>
            <w:tcW w:w="3620" w:type="dxa"/>
            <w:vAlign w:val="bottom"/>
          </w:tcPr>
          <w:p>
            <w:pPr>
              <w:spacing w:after="0"/>
              <w:rPr>
                <w:sz w:val="22"/>
                <w:szCs w:val="22"/>
                <w:color w:val="auto"/>
              </w:rPr>
            </w:pPr>
          </w:p>
        </w:tc>
        <w:tc>
          <w:tcPr>
            <w:tcW w:w="7400" w:type="dxa"/>
            <w:vAlign w:val="bottom"/>
            <w:gridSpan w:val="2"/>
          </w:tcPr>
          <w:p>
            <w:pPr>
              <w:ind w:left="640"/>
              <w:spacing w:after="0"/>
              <w:rPr>
                <w:sz w:val="20"/>
                <w:szCs w:val="20"/>
                <w:color w:val="auto"/>
              </w:rPr>
            </w:pPr>
            <w:r>
              <w:rPr>
                <w:rFonts w:ascii="Arial" w:cs="Arial" w:eastAsia="Arial" w:hAnsi="Arial"/>
                <w:sz w:val="18"/>
                <w:szCs w:val="18"/>
                <w:b w:val="1"/>
                <w:bCs w:val="1"/>
                <w:color w:val="auto"/>
              </w:rPr>
              <w:t>CROSS-REFERENCE TABLE</w:t>
            </w:r>
            <w:r>
              <w:rPr>
                <w:rFonts w:ascii="Arial" w:cs="Arial" w:eastAsia="Arial" w:hAnsi="Arial"/>
                <w:sz w:val="15"/>
                <w:szCs w:val="15"/>
                <w:b w:val="1"/>
                <w:bCs w:val="1"/>
                <w:color w:val="auto"/>
              </w:rPr>
              <w:t>1</w:t>
            </w:r>
          </w:p>
        </w:tc>
      </w:tr>
      <w:tr>
        <w:trPr>
          <w:trHeight w:val="354"/>
        </w:trPr>
        <w:tc>
          <w:tcPr>
            <w:tcW w:w="36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4"/>
                <w:szCs w:val="14"/>
                <w:color w:val="auto"/>
              </w:rPr>
              <w:t>Section of</w:t>
            </w:r>
          </w:p>
        </w:tc>
      </w:tr>
      <w:tr>
        <w:trPr>
          <w:trHeight w:val="181"/>
        </w:trPr>
        <w:tc>
          <w:tcPr>
            <w:tcW w:w="3620" w:type="dxa"/>
            <w:vAlign w:val="bottom"/>
          </w:tcPr>
          <w:p>
            <w:pPr>
              <w:spacing w:after="0"/>
              <w:rPr>
                <w:sz w:val="20"/>
                <w:szCs w:val="20"/>
                <w:color w:val="auto"/>
              </w:rPr>
            </w:pPr>
            <w:r>
              <w:rPr>
                <w:rFonts w:ascii="Arial" w:cs="Arial" w:eastAsia="Arial" w:hAnsi="Arial"/>
                <w:sz w:val="14"/>
                <w:szCs w:val="14"/>
                <w:color w:val="auto"/>
              </w:rPr>
              <w:t>Section of Trust Indenture Act of 1939, as amended</w:t>
            </w:r>
          </w:p>
        </w:tc>
        <w:tc>
          <w:tcPr>
            <w:tcW w:w="6400" w:type="dxa"/>
            <w:vAlign w:val="bottom"/>
          </w:tcPr>
          <w:p>
            <w:pPr>
              <w:spacing w:after="0"/>
              <w:rPr>
                <w:sz w:val="15"/>
                <w:szCs w:val="15"/>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Indenture</w:t>
            </w: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640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6.09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310(b)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6.08</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6.10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310(c)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311(a)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311(b)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311(c)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312(a)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4.01</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312(b)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4.04(c)</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312(c)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4.04(c)</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313(d)</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2.04</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8.04</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9.01(c)</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10.01(b)</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11.05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314(d)</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314(e)</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11.05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314(f)</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6.01</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315(d)</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6.01</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315(e)</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316(a)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5.09</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5.10</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7.04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316(b)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5.06</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316(c)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7.02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317(a)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5.04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317(b)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3.04</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318(a)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600" w:hanging="224"/>
        <w:spacing w:after="0" w:line="277" w:lineRule="auto"/>
        <w:tabs>
          <w:tab w:leader="none" w:pos="224" w:val="left"/>
        </w:tabs>
        <w:numPr>
          <w:ilvl w:val="0"/>
          <w:numId w:val="116"/>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70" w:right="4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800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r>
      <w:tr>
        <w:trPr>
          <w:trHeight w:val="406"/>
        </w:trPr>
        <w:tc>
          <w:tcPr>
            <w:tcW w:w="14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460" w:type="dxa"/>
            <w:vAlign w:val="bottom"/>
          </w:tcPr>
          <w:p>
            <w:pPr>
              <w:spacing w:after="0"/>
              <w:rPr>
                <w:sz w:val="20"/>
                <w:szCs w:val="20"/>
                <w:color w:val="auto"/>
              </w:rPr>
            </w:pPr>
            <w:r>
              <w:rPr>
                <w:rFonts w:ascii="Arial" w:cs="Arial" w:eastAsia="Arial" w:hAnsi="Arial"/>
                <w:sz w:val="18"/>
                <w:szCs w:val="18"/>
                <w:color w:val="auto"/>
              </w:rPr>
              <w:t>ARTICLE 1</w:t>
            </w:r>
          </w:p>
        </w:tc>
        <w:tc>
          <w:tcPr>
            <w:tcW w:w="80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1.01   Certain Terms Defined</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2</w:t>
            </w:r>
          </w:p>
        </w:tc>
        <w:tc>
          <w:tcPr>
            <w:tcW w:w="800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60" w:type="dxa"/>
            <w:vAlign w:val="bottom"/>
          </w:tcPr>
          <w:p>
            <w:pPr>
              <w:ind w:left="420"/>
              <w:spacing w:after="0"/>
              <w:rPr>
                <w:sz w:val="20"/>
                <w:szCs w:val="20"/>
                <w:color w:val="auto"/>
              </w:rPr>
            </w:pPr>
            <w:r>
              <w:rPr>
                <w:rFonts w:ascii="Arial" w:cs="Arial" w:eastAsia="Arial" w:hAnsi="Arial"/>
                <w:sz w:val="18"/>
                <w:szCs w:val="18"/>
                <w:color w:val="auto"/>
              </w:rPr>
              <w:t>Section 2.01</w:t>
            </w:r>
          </w:p>
        </w:tc>
        <w:tc>
          <w:tcPr>
            <w:tcW w:w="8000" w:type="dxa"/>
            <w:vAlign w:val="bottom"/>
          </w:tcPr>
          <w:p>
            <w:pPr>
              <w:ind w:left="160"/>
              <w:spacing w:after="0"/>
              <w:rPr>
                <w:sz w:val="20"/>
                <w:szCs w:val="20"/>
                <w:color w:val="auto"/>
              </w:rPr>
            </w:pPr>
            <w:r>
              <w:rPr>
                <w:rFonts w:ascii="Arial" w:cs="Arial" w:eastAsia="Arial" w:hAnsi="Arial"/>
                <w:sz w:val="18"/>
                <w:szCs w:val="18"/>
                <w:color w:val="auto"/>
              </w:rPr>
              <w:t>Forms Generally</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2.02   Form of Trustee’s Certificate of Authentication</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2.03   Amount Unlimited; Issuable in Series</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2.04   Authentication and Delivery of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2.05   Execution of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2.06   Certificate of Authentication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2.07   Denomination and Date of Securities; Payments of Interest</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2.08   Registration, Transfer and Exchange</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2.09   Mutilated, Defaced, Destroyed, Lost and Stolen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2.10   Cancellation of Securities; Destruction Thereof</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460" w:type="dxa"/>
            <w:vAlign w:val="bottom"/>
          </w:tcPr>
          <w:p>
            <w:pPr>
              <w:ind w:left="420"/>
              <w:spacing w:after="0"/>
              <w:rPr>
                <w:sz w:val="20"/>
                <w:szCs w:val="20"/>
                <w:color w:val="auto"/>
              </w:rPr>
            </w:pPr>
            <w:r>
              <w:rPr>
                <w:rFonts w:ascii="Arial" w:cs="Arial" w:eastAsia="Arial" w:hAnsi="Arial"/>
                <w:sz w:val="18"/>
                <w:szCs w:val="18"/>
                <w:color w:val="auto"/>
              </w:rPr>
              <w:t>Section 2.11</w:t>
            </w:r>
          </w:p>
        </w:tc>
        <w:tc>
          <w:tcPr>
            <w:tcW w:w="8000" w:type="dxa"/>
            <w:vAlign w:val="bottom"/>
          </w:tcPr>
          <w:p>
            <w:pPr>
              <w:ind w:left="160"/>
              <w:spacing w:after="0"/>
              <w:rPr>
                <w:sz w:val="20"/>
                <w:szCs w:val="20"/>
                <w:color w:val="auto"/>
              </w:rPr>
            </w:pPr>
            <w:r>
              <w:rPr>
                <w:rFonts w:ascii="Arial" w:cs="Arial" w:eastAsia="Arial" w:hAnsi="Arial"/>
                <w:sz w:val="18"/>
                <w:szCs w:val="18"/>
                <w:color w:val="auto"/>
              </w:rPr>
              <w:t>Temporary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3</w:t>
            </w:r>
          </w:p>
        </w:tc>
        <w:tc>
          <w:tcPr>
            <w:tcW w:w="8000" w:type="dxa"/>
            <w:vAlign w:val="bottom"/>
          </w:tcPr>
          <w:p>
            <w:pPr>
              <w:ind w:left="160"/>
              <w:spacing w:after="0"/>
              <w:rPr>
                <w:sz w:val="20"/>
                <w:szCs w:val="20"/>
                <w:color w:val="auto"/>
              </w:rPr>
            </w:pPr>
            <w:r>
              <w:rPr>
                <w:rFonts w:ascii="Arial" w:cs="Arial" w:eastAsia="Arial" w:hAnsi="Arial"/>
                <w:sz w:val="18"/>
                <w:szCs w:val="18"/>
                <w:color w:val="auto"/>
              </w:rPr>
              <w:t>COVENANTS OF THE ISSUER</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3.01   Payment of Principal and Interest</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3.02   Offices for Payments, Etc</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3.03   Appointment to Fill a Vacancy in Office of 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420"/>
              <w:spacing w:after="0"/>
              <w:rPr>
                <w:sz w:val="20"/>
                <w:szCs w:val="20"/>
                <w:color w:val="auto"/>
              </w:rPr>
            </w:pPr>
            <w:r>
              <w:rPr>
                <w:rFonts w:ascii="Arial" w:cs="Arial" w:eastAsia="Arial" w:hAnsi="Arial"/>
                <w:sz w:val="18"/>
                <w:szCs w:val="18"/>
                <w:color w:val="auto"/>
              </w:rPr>
              <w:t>Section 3.04</w:t>
            </w:r>
          </w:p>
        </w:tc>
        <w:tc>
          <w:tcPr>
            <w:tcW w:w="8000" w:type="dxa"/>
            <w:vAlign w:val="bottom"/>
          </w:tcPr>
          <w:p>
            <w:pPr>
              <w:ind w:left="160"/>
              <w:spacing w:after="0"/>
              <w:rPr>
                <w:sz w:val="20"/>
                <w:szCs w:val="20"/>
                <w:color w:val="auto"/>
              </w:rPr>
            </w:pPr>
            <w:r>
              <w:rPr>
                <w:rFonts w:ascii="Arial" w:cs="Arial" w:eastAsia="Arial" w:hAnsi="Arial"/>
                <w:sz w:val="18"/>
                <w:szCs w:val="18"/>
                <w:color w:val="auto"/>
              </w:rPr>
              <w:t>Paying Agents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3.05   Written Statement to 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4</w:t>
            </w:r>
          </w:p>
        </w:tc>
        <w:tc>
          <w:tcPr>
            <w:tcW w:w="8000" w:type="dxa"/>
            <w:vAlign w:val="bottom"/>
          </w:tcPr>
          <w:p>
            <w:pPr>
              <w:ind w:left="160"/>
              <w:spacing w:after="0"/>
              <w:rPr>
                <w:sz w:val="20"/>
                <w:szCs w:val="20"/>
                <w:color w:val="auto"/>
              </w:rPr>
            </w:pPr>
            <w:r>
              <w:rPr>
                <w:rFonts w:ascii="Arial" w:cs="Arial" w:eastAsia="Arial" w:hAnsi="Arial"/>
                <w:sz w:val="18"/>
                <w:szCs w:val="18"/>
                <w:color w:val="auto"/>
              </w:rPr>
              <w:t>SECURITYHOLDERS LISTS AND REPORTS BY THE ISSUER AND THE 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4.01   Issuer to Furnish Trustee Information as to Names and Addresses of Securityholders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4.02   Reports by the Issuer</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4.03   Reports by the 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4.04   Preservation of Information; Communication with Securityholders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5</w:t>
            </w:r>
          </w:p>
        </w:tc>
        <w:tc>
          <w:tcPr>
            <w:tcW w:w="8000" w:type="dxa"/>
            <w:vAlign w:val="bottom"/>
          </w:tcPr>
          <w:p>
            <w:pPr>
              <w:ind w:left="160"/>
              <w:spacing w:after="0"/>
              <w:rPr>
                <w:sz w:val="20"/>
                <w:szCs w:val="20"/>
                <w:color w:val="auto"/>
              </w:rPr>
            </w:pPr>
            <w:r>
              <w:rPr>
                <w:rFonts w:ascii="Arial" w:cs="Arial" w:eastAsia="Arial" w:hAnsi="Arial"/>
                <w:sz w:val="18"/>
                <w:szCs w:val="18"/>
                <w:color w:val="auto"/>
              </w:rPr>
              <w:t>REMEDIES OF THE TRUSTEE AND SECURITYHOLDERS ON EVENT OF DEFAULT</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5.01   Event of Default Defined; Acceleration of Maturity; Waiver of Default</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5.02   Collection of Debt by Trustee; Trustee May Prove Debt</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5.03   Application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5.04   Suits for Enforcement</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5.05   Restoration of Rights on Abandonment of Proceedings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5.06   Limitations on Suits by Securityholders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5.07   Unconditional Right of Securityholders to Institute Certain Suits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5.08   Powers and Remedies Cumulative; Delay or Omission Not Waiver of Default</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1" w:name="page162"/>
    <w:bookmarkEnd w:id="161"/>
    <w:tbl>
      <w:tblPr>
        <w:tblLayout w:type="fixed"/>
        <w:tblInd w:w="0" w:type="dxa"/>
        <w:tblCellMar>
          <w:top w:w="0" w:type="dxa"/>
          <w:left w:w="0" w:type="dxa"/>
          <w:bottom w:w="0" w:type="dxa"/>
          <w:right w:w="0" w:type="dxa"/>
        </w:tblCellMar>
      </w:tblP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5.09</w:t>
            </w:r>
          </w:p>
        </w:tc>
        <w:tc>
          <w:tcPr>
            <w:tcW w:w="8380" w:type="dxa"/>
            <w:vAlign w:val="bottom"/>
          </w:tcPr>
          <w:p>
            <w:pPr>
              <w:ind w:left="100"/>
              <w:spacing w:after="0"/>
              <w:rPr>
                <w:sz w:val="20"/>
                <w:szCs w:val="20"/>
                <w:color w:val="auto"/>
              </w:rPr>
            </w:pPr>
            <w:r>
              <w:rPr>
                <w:rFonts w:ascii="Arial" w:cs="Arial" w:eastAsia="Arial" w:hAnsi="Arial"/>
                <w:sz w:val="18"/>
                <w:szCs w:val="18"/>
                <w:color w:val="auto"/>
              </w:rPr>
              <w:t>Control by Holders of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5.10</w:t>
            </w:r>
          </w:p>
        </w:tc>
        <w:tc>
          <w:tcPr>
            <w:tcW w:w="838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5.11</w:t>
            </w:r>
          </w:p>
        </w:tc>
        <w:tc>
          <w:tcPr>
            <w:tcW w:w="8380" w:type="dxa"/>
            <w:vAlign w:val="bottom"/>
          </w:tcPr>
          <w:p>
            <w:pPr>
              <w:ind w:left="100"/>
              <w:spacing w:after="0"/>
              <w:rPr>
                <w:sz w:val="20"/>
                <w:szCs w:val="20"/>
                <w:color w:val="auto"/>
              </w:rPr>
            </w:pPr>
            <w:r>
              <w:rPr>
                <w:rFonts w:ascii="Arial" w:cs="Arial" w:eastAsia="Arial" w:hAnsi="Arial"/>
                <w:sz w:val="18"/>
                <w:szCs w:val="18"/>
                <w:color w:val="auto"/>
              </w:rPr>
              <w:t>Trustee to Give Notice of Default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5.12</w:t>
            </w:r>
          </w:p>
        </w:tc>
        <w:tc>
          <w:tcPr>
            <w:tcW w:w="8380" w:type="dxa"/>
            <w:vAlign w:val="bottom"/>
          </w:tcPr>
          <w:p>
            <w:pPr>
              <w:ind w:left="100"/>
              <w:spacing w:after="0"/>
              <w:rPr>
                <w:sz w:val="20"/>
                <w:szCs w:val="20"/>
                <w:color w:val="auto"/>
              </w:rPr>
            </w:pPr>
            <w:r>
              <w:rPr>
                <w:rFonts w:ascii="Arial" w:cs="Arial" w:eastAsia="Arial" w:hAnsi="Arial"/>
                <w:sz w:val="18"/>
                <w:szCs w:val="18"/>
                <w:color w:val="auto"/>
              </w:rPr>
              <w:t>Right of Court to Require Filing of Undertaking to Pay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6</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CONCERNING THE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6.01</w:t>
            </w:r>
          </w:p>
        </w:tc>
        <w:tc>
          <w:tcPr>
            <w:tcW w:w="8380" w:type="dxa"/>
            <w:vAlign w:val="bottom"/>
          </w:tcPr>
          <w:p>
            <w:pPr>
              <w:ind w:left="10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6.02</w:t>
            </w:r>
          </w:p>
        </w:tc>
        <w:tc>
          <w:tcPr>
            <w:tcW w:w="8380" w:type="dxa"/>
            <w:vAlign w:val="bottom"/>
          </w:tcPr>
          <w:p>
            <w:pPr>
              <w:ind w:left="100"/>
              <w:spacing w:after="0"/>
              <w:rPr>
                <w:sz w:val="20"/>
                <w:szCs w:val="20"/>
                <w:color w:val="auto"/>
              </w:rPr>
            </w:pPr>
            <w:r>
              <w:rPr>
                <w:rFonts w:ascii="Arial" w:cs="Arial" w:eastAsia="Arial" w:hAnsi="Arial"/>
                <w:sz w:val="18"/>
                <w:szCs w:val="18"/>
                <w:color w:val="auto"/>
              </w:rPr>
              <w:t>Certain Rights of the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6.03</w:t>
            </w:r>
          </w:p>
        </w:tc>
        <w:tc>
          <w:tcPr>
            <w:tcW w:w="8380" w:type="dxa"/>
            <w:vAlign w:val="bottom"/>
          </w:tcPr>
          <w:p>
            <w:pPr>
              <w:ind w:left="10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6.04</w:t>
            </w:r>
          </w:p>
        </w:tc>
        <w:tc>
          <w:tcPr>
            <w:tcW w:w="8380" w:type="dxa"/>
            <w:vAlign w:val="bottom"/>
          </w:tcPr>
          <w:p>
            <w:pPr>
              <w:ind w:left="100"/>
              <w:spacing w:after="0"/>
              <w:rPr>
                <w:sz w:val="20"/>
                <w:szCs w:val="20"/>
                <w:color w:val="auto"/>
              </w:rPr>
            </w:pPr>
            <w:r>
              <w:rPr>
                <w:rFonts w:ascii="Arial" w:cs="Arial" w:eastAsia="Arial" w:hAnsi="Arial"/>
                <w:sz w:val="18"/>
                <w:szCs w:val="18"/>
                <w:color w:val="auto"/>
              </w:rPr>
              <w:t>Trustee and Agents May Hold Securities; Collections, Etc</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6.05</w:t>
            </w:r>
          </w:p>
        </w:tc>
        <w:tc>
          <w:tcPr>
            <w:tcW w:w="8380" w:type="dxa"/>
            <w:vAlign w:val="bottom"/>
          </w:tcPr>
          <w:p>
            <w:pPr>
              <w:ind w:left="100"/>
              <w:spacing w:after="0"/>
              <w:rPr>
                <w:sz w:val="20"/>
                <w:szCs w:val="20"/>
                <w:color w:val="auto"/>
              </w:rPr>
            </w:pPr>
            <w:r>
              <w:rPr>
                <w:rFonts w:ascii="Arial" w:cs="Arial" w:eastAsia="Arial" w:hAnsi="Arial"/>
                <w:sz w:val="18"/>
                <w:szCs w:val="18"/>
                <w:color w:val="auto"/>
              </w:rPr>
              <w:t>Moneys Held by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6.06</w:t>
            </w:r>
          </w:p>
        </w:tc>
        <w:tc>
          <w:tcPr>
            <w:tcW w:w="8380" w:type="dxa"/>
            <w:vAlign w:val="bottom"/>
          </w:tcPr>
          <w:p>
            <w:pPr>
              <w:ind w:left="100"/>
              <w:spacing w:after="0"/>
              <w:rPr>
                <w:sz w:val="20"/>
                <w:szCs w:val="20"/>
                <w:color w:val="auto"/>
              </w:rPr>
            </w:pPr>
            <w:r>
              <w:rPr>
                <w:rFonts w:ascii="Arial" w:cs="Arial" w:eastAsia="Arial" w:hAnsi="Arial"/>
                <w:sz w:val="18"/>
                <w:szCs w:val="18"/>
                <w:color w:val="auto"/>
              </w:rPr>
              <w:t>Compensation and Indemnification of Trustee and Its Prior Claim</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6.07</w:t>
            </w:r>
          </w:p>
        </w:tc>
        <w:tc>
          <w:tcPr>
            <w:tcW w:w="8380" w:type="dxa"/>
            <w:vAlign w:val="bottom"/>
          </w:tcPr>
          <w:p>
            <w:pPr>
              <w:ind w:left="100"/>
              <w:spacing w:after="0"/>
              <w:rPr>
                <w:sz w:val="20"/>
                <w:szCs w:val="20"/>
                <w:color w:val="auto"/>
              </w:rPr>
            </w:pPr>
            <w:r>
              <w:rPr>
                <w:rFonts w:ascii="Arial" w:cs="Arial" w:eastAsia="Arial" w:hAnsi="Arial"/>
                <w:sz w:val="18"/>
                <w:szCs w:val="18"/>
                <w:color w:val="auto"/>
              </w:rPr>
              <w:t>Right of Trustee to Rely on Officer’s Certificate, Etc</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6.08</w:t>
            </w:r>
          </w:p>
        </w:tc>
        <w:tc>
          <w:tcPr>
            <w:tcW w:w="8380" w:type="dxa"/>
            <w:vAlign w:val="bottom"/>
          </w:tcPr>
          <w:p>
            <w:pPr>
              <w:ind w:left="100"/>
              <w:spacing w:after="0"/>
              <w:rPr>
                <w:sz w:val="20"/>
                <w:szCs w:val="20"/>
                <w:color w:val="auto"/>
              </w:rPr>
            </w:pPr>
            <w:r>
              <w:rPr>
                <w:rFonts w:ascii="Arial" w:cs="Arial" w:eastAsia="Arial" w:hAnsi="Arial"/>
                <w:sz w:val="18"/>
                <w:szCs w:val="18"/>
                <w:color w:val="auto"/>
              </w:rPr>
              <w:t>Disqualification; Conflicting Interests</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6.09</w:t>
            </w:r>
          </w:p>
        </w:tc>
        <w:tc>
          <w:tcPr>
            <w:tcW w:w="8380" w:type="dxa"/>
            <w:vAlign w:val="bottom"/>
          </w:tcPr>
          <w:p>
            <w:pPr>
              <w:ind w:left="100"/>
              <w:spacing w:after="0"/>
              <w:rPr>
                <w:sz w:val="20"/>
                <w:szCs w:val="20"/>
                <w:color w:val="auto"/>
              </w:rPr>
            </w:pPr>
            <w:r>
              <w:rPr>
                <w:rFonts w:ascii="Arial" w:cs="Arial" w:eastAsia="Arial" w:hAnsi="Arial"/>
                <w:sz w:val="18"/>
                <w:szCs w:val="18"/>
                <w:color w:val="auto"/>
              </w:rPr>
              <w:t>Persons Eligible for Appointment as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6.10</w:t>
            </w:r>
          </w:p>
        </w:tc>
        <w:tc>
          <w:tcPr>
            <w:tcW w:w="8380" w:type="dxa"/>
            <w:vAlign w:val="bottom"/>
          </w:tcPr>
          <w:p>
            <w:pPr>
              <w:ind w:left="100"/>
              <w:spacing w:after="0"/>
              <w:rPr>
                <w:sz w:val="20"/>
                <w:szCs w:val="20"/>
                <w:color w:val="auto"/>
              </w:rPr>
            </w:pPr>
            <w:r>
              <w:rPr>
                <w:rFonts w:ascii="Arial" w:cs="Arial" w:eastAsia="Arial" w:hAnsi="Arial"/>
                <w:sz w:val="18"/>
                <w:szCs w:val="18"/>
                <w:color w:val="auto"/>
              </w:rPr>
              <w:t>Resignation and Removal; Appointment of Successor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6.11</w:t>
            </w:r>
          </w:p>
        </w:tc>
        <w:tc>
          <w:tcPr>
            <w:tcW w:w="8380" w:type="dxa"/>
            <w:vAlign w:val="bottom"/>
          </w:tcPr>
          <w:p>
            <w:pPr>
              <w:ind w:left="100"/>
              <w:spacing w:after="0"/>
              <w:rPr>
                <w:sz w:val="20"/>
                <w:szCs w:val="20"/>
                <w:color w:val="auto"/>
              </w:rPr>
            </w:pPr>
            <w:r>
              <w:rPr>
                <w:rFonts w:ascii="Arial" w:cs="Arial" w:eastAsia="Arial" w:hAnsi="Arial"/>
                <w:sz w:val="18"/>
                <w:szCs w:val="18"/>
                <w:color w:val="auto"/>
              </w:rPr>
              <w:t>Acceptance of Appointment by Successor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6.12</w:t>
            </w:r>
          </w:p>
        </w:tc>
        <w:tc>
          <w:tcPr>
            <w:tcW w:w="8380" w:type="dxa"/>
            <w:vAlign w:val="bottom"/>
          </w:tcPr>
          <w:p>
            <w:pPr>
              <w:ind w:left="10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6.13</w:t>
            </w:r>
          </w:p>
        </w:tc>
        <w:tc>
          <w:tcPr>
            <w:tcW w:w="8380" w:type="dxa"/>
            <w:vAlign w:val="bottom"/>
          </w:tcPr>
          <w:p>
            <w:pPr>
              <w:ind w:left="100"/>
              <w:spacing w:after="0"/>
              <w:rPr>
                <w:sz w:val="20"/>
                <w:szCs w:val="20"/>
                <w:color w:val="auto"/>
              </w:rPr>
            </w:pPr>
            <w:r>
              <w:rPr>
                <w:rFonts w:ascii="Arial" w:cs="Arial" w:eastAsia="Arial" w:hAnsi="Arial"/>
                <w:sz w:val="18"/>
                <w:szCs w:val="18"/>
                <w:color w:val="auto"/>
              </w:rPr>
              <w:t>Preferential Collection of Claims Against the Issuer</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7</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CONCERNING THE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7.01</w:t>
            </w:r>
          </w:p>
        </w:tc>
        <w:tc>
          <w:tcPr>
            <w:tcW w:w="8380" w:type="dxa"/>
            <w:vAlign w:val="bottom"/>
          </w:tcPr>
          <w:p>
            <w:pPr>
              <w:ind w:left="100"/>
              <w:spacing w:after="0"/>
              <w:rPr>
                <w:sz w:val="20"/>
                <w:szCs w:val="20"/>
                <w:color w:val="auto"/>
              </w:rPr>
            </w:pPr>
            <w:r>
              <w:rPr>
                <w:rFonts w:ascii="Arial" w:cs="Arial" w:eastAsia="Arial" w:hAnsi="Arial"/>
                <w:sz w:val="18"/>
                <w:szCs w:val="18"/>
                <w:color w:val="auto"/>
              </w:rPr>
              <w:t>Evidence of Action Taken by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7.02</w:t>
            </w:r>
          </w:p>
        </w:tc>
        <w:tc>
          <w:tcPr>
            <w:tcW w:w="8380" w:type="dxa"/>
            <w:vAlign w:val="bottom"/>
          </w:tcPr>
          <w:p>
            <w:pPr>
              <w:ind w:left="100"/>
              <w:spacing w:after="0"/>
              <w:rPr>
                <w:sz w:val="20"/>
                <w:szCs w:val="20"/>
                <w:color w:val="auto"/>
              </w:rPr>
            </w:pPr>
            <w:r>
              <w:rPr>
                <w:rFonts w:ascii="Arial" w:cs="Arial" w:eastAsia="Arial" w:hAnsi="Arial"/>
                <w:sz w:val="18"/>
                <w:szCs w:val="18"/>
                <w:color w:val="auto"/>
              </w:rPr>
              <w:t>Proof of Execution of Instruments and of Holding of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7.03</w:t>
            </w:r>
          </w:p>
        </w:tc>
        <w:tc>
          <w:tcPr>
            <w:tcW w:w="8380" w:type="dxa"/>
            <w:vAlign w:val="bottom"/>
          </w:tcPr>
          <w:p>
            <w:pPr>
              <w:ind w:left="100"/>
              <w:spacing w:after="0"/>
              <w:rPr>
                <w:sz w:val="20"/>
                <w:szCs w:val="20"/>
                <w:color w:val="auto"/>
              </w:rPr>
            </w:pPr>
            <w:r>
              <w:rPr>
                <w:rFonts w:ascii="Arial" w:cs="Arial" w:eastAsia="Arial" w:hAnsi="Arial"/>
                <w:sz w:val="18"/>
                <w:szCs w:val="18"/>
                <w:color w:val="auto"/>
              </w:rPr>
              <w:t>Holders to Be Treated as Owners</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7.04</w:t>
            </w:r>
          </w:p>
        </w:tc>
        <w:tc>
          <w:tcPr>
            <w:tcW w:w="8380" w:type="dxa"/>
            <w:vAlign w:val="bottom"/>
          </w:tcPr>
          <w:p>
            <w:pPr>
              <w:ind w:left="100"/>
              <w:spacing w:after="0"/>
              <w:rPr>
                <w:sz w:val="20"/>
                <w:szCs w:val="20"/>
                <w:color w:val="auto"/>
              </w:rPr>
            </w:pPr>
            <w:r>
              <w:rPr>
                <w:rFonts w:ascii="Arial" w:cs="Arial" w:eastAsia="Arial" w:hAnsi="Arial"/>
                <w:sz w:val="18"/>
                <w:szCs w:val="18"/>
                <w:color w:val="auto"/>
              </w:rPr>
              <w:t>Securities Owned by Issuer Deemed Not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7.05</w:t>
            </w:r>
          </w:p>
        </w:tc>
        <w:tc>
          <w:tcPr>
            <w:tcW w:w="8380" w:type="dxa"/>
            <w:vAlign w:val="bottom"/>
          </w:tcPr>
          <w:p>
            <w:pPr>
              <w:ind w:left="100"/>
              <w:spacing w:after="0"/>
              <w:rPr>
                <w:sz w:val="20"/>
                <w:szCs w:val="20"/>
                <w:color w:val="auto"/>
              </w:rPr>
            </w:pPr>
            <w:r>
              <w:rPr>
                <w:rFonts w:ascii="Arial" w:cs="Arial" w:eastAsia="Arial" w:hAnsi="Arial"/>
                <w:sz w:val="18"/>
                <w:szCs w:val="18"/>
                <w:color w:val="auto"/>
              </w:rPr>
              <w:t>Right of Revocation of Action Taken</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8</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SUPPLEMENTAL INDENTURES</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8.01</w:t>
            </w:r>
          </w:p>
        </w:tc>
        <w:tc>
          <w:tcPr>
            <w:tcW w:w="838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8.02</w:t>
            </w:r>
          </w:p>
        </w:tc>
        <w:tc>
          <w:tcPr>
            <w:tcW w:w="838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8.03</w:t>
            </w:r>
          </w:p>
        </w:tc>
        <w:tc>
          <w:tcPr>
            <w:tcW w:w="8380" w:type="dxa"/>
            <w:vAlign w:val="bottom"/>
          </w:tcPr>
          <w:p>
            <w:pPr>
              <w:ind w:left="100"/>
              <w:spacing w:after="0"/>
              <w:rPr>
                <w:sz w:val="20"/>
                <w:szCs w:val="20"/>
                <w:color w:val="auto"/>
              </w:rPr>
            </w:pPr>
            <w:r>
              <w:rPr>
                <w:rFonts w:ascii="Arial" w:cs="Arial" w:eastAsia="Arial" w:hAnsi="Arial"/>
                <w:sz w:val="18"/>
                <w:szCs w:val="18"/>
                <w:color w:val="auto"/>
              </w:rPr>
              <w:t>Effect of Supplemental Indenture</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8.04</w:t>
            </w:r>
          </w:p>
        </w:tc>
        <w:tc>
          <w:tcPr>
            <w:tcW w:w="8380" w:type="dxa"/>
            <w:vAlign w:val="bottom"/>
          </w:tcPr>
          <w:p>
            <w:pPr>
              <w:ind w:left="100"/>
              <w:spacing w:after="0"/>
              <w:rPr>
                <w:sz w:val="20"/>
                <w:szCs w:val="20"/>
                <w:color w:val="auto"/>
              </w:rPr>
            </w:pPr>
            <w:r>
              <w:rPr>
                <w:rFonts w:ascii="Arial" w:cs="Arial" w:eastAsia="Arial" w:hAnsi="Arial"/>
                <w:sz w:val="18"/>
                <w:szCs w:val="18"/>
                <w:color w:val="auto"/>
              </w:rPr>
              <w:t>Documents to Be Given to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8.05</w:t>
            </w:r>
          </w:p>
        </w:tc>
        <w:tc>
          <w:tcPr>
            <w:tcW w:w="8380" w:type="dxa"/>
            <w:vAlign w:val="bottom"/>
          </w:tcPr>
          <w:p>
            <w:pPr>
              <w:ind w:left="100"/>
              <w:spacing w:after="0"/>
              <w:rPr>
                <w:sz w:val="20"/>
                <w:szCs w:val="20"/>
                <w:color w:val="auto"/>
              </w:rPr>
            </w:pPr>
            <w:r>
              <w:rPr>
                <w:rFonts w:ascii="Arial" w:cs="Arial" w:eastAsia="Arial" w:hAnsi="Arial"/>
                <w:sz w:val="18"/>
                <w:szCs w:val="18"/>
                <w:color w:val="auto"/>
              </w:rPr>
              <w:t>Notation on Securities in Respect of Supplemental Indentures</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9</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CONSOLIDATION, MERGER, SALE OR CONVEYANCE</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9.01</w:t>
            </w:r>
          </w:p>
        </w:tc>
        <w:tc>
          <w:tcPr>
            <w:tcW w:w="8380" w:type="dxa"/>
            <w:vAlign w:val="bottom"/>
          </w:tcPr>
          <w:p>
            <w:pPr>
              <w:ind w:left="100"/>
              <w:spacing w:after="0"/>
              <w:rPr>
                <w:sz w:val="20"/>
                <w:szCs w:val="20"/>
                <w:color w:val="auto"/>
              </w:rPr>
            </w:pPr>
            <w:r>
              <w:rPr>
                <w:rFonts w:ascii="Arial" w:cs="Arial" w:eastAsia="Arial" w:hAnsi="Arial"/>
                <w:sz w:val="18"/>
                <w:szCs w:val="18"/>
                <w:color w:val="auto"/>
              </w:rPr>
              <w:t>Issuer May Consolidate, Etc., on Certain Terms</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9.02</w:t>
            </w:r>
          </w:p>
        </w:tc>
        <w:tc>
          <w:tcPr>
            <w:tcW w:w="8380" w:type="dxa"/>
            <w:vAlign w:val="bottom"/>
          </w:tcPr>
          <w:p>
            <w:pPr>
              <w:ind w:left="100"/>
              <w:spacing w:after="0"/>
              <w:rPr>
                <w:sz w:val="20"/>
                <w:szCs w:val="20"/>
                <w:color w:val="auto"/>
              </w:rPr>
            </w:pPr>
            <w:r>
              <w:rPr>
                <w:rFonts w:ascii="Arial" w:cs="Arial" w:eastAsia="Arial" w:hAnsi="Arial"/>
                <w:sz w:val="18"/>
                <w:szCs w:val="18"/>
                <w:color w:val="auto"/>
              </w:rPr>
              <w:t>Successor Issuer Substituted</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000" w:type="dxa"/>
            <w:vAlign w:val="bottom"/>
          </w:tcPr>
          <w:p>
            <w:pPr>
              <w:jc w:val="right"/>
              <w:spacing w:after="0"/>
              <w:rPr>
                <w:sz w:val="20"/>
                <w:szCs w:val="20"/>
                <w:color w:val="auto"/>
              </w:rPr>
            </w:pPr>
            <w:r>
              <w:rPr>
                <w:rFonts w:ascii="Arial" w:cs="Arial" w:eastAsia="Arial" w:hAnsi="Arial"/>
                <w:sz w:val="18"/>
                <w:szCs w:val="18"/>
                <w:color w:val="auto"/>
                <w:w w:val="92"/>
              </w:rPr>
              <w:t>ARTICLE 10</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 UNCLAIMED MONEYS</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10.01</w:t>
            </w:r>
          </w:p>
        </w:tc>
        <w:tc>
          <w:tcPr>
            <w:tcW w:w="838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10.02</w:t>
            </w:r>
          </w:p>
        </w:tc>
        <w:tc>
          <w:tcPr>
            <w:tcW w:w="8380" w:type="dxa"/>
            <w:vAlign w:val="bottom"/>
          </w:tcPr>
          <w:p>
            <w:pPr>
              <w:ind w:left="10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2" w:name="page163"/>
    <w:bookmarkEnd w:id="162"/>
    <w:tbl>
      <w:tblPr>
        <w:tblLayout w:type="fixed"/>
        <w:tblInd w:w="0" w:type="dxa"/>
        <w:tblCellMar>
          <w:top w:w="0" w:type="dxa"/>
          <w:left w:w="0" w:type="dxa"/>
          <w:bottom w:w="0" w:type="dxa"/>
          <w:right w:w="0" w:type="dxa"/>
        </w:tblCellMar>
      </w:tblP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10.03</w:t>
            </w:r>
          </w:p>
        </w:tc>
        <w:tc>
          <w:tcPr>
            <w:tcW w:w="7740" w:type="dxa"/>
            <w:vAlign w:val="bottom"/>
          </w:tcPr>
          <w:p>
            <w:pPr>
              <w:ind w:left="100"/>
              <w:spacing w:after="0"/>
              <w:rPr>
                <w:sz w:val="20"/>
                <w:szCs w:val="20"/>
                <w:color w:val="auto"/>
              </w:rPr>
            </w:pPr>
            <w:r>
              <w:rPr>
                <w:rFonts w:ascii="Arial" w:cs="Arial" w:eastAsia="Arial" w:hAnsi="Arial"/>
                <w:sz w:val="18"/>
                <w:szCs w:val="18"/>
                <w:color w:val="auto"/>
              </w:rPr>
              <w:t>Repayment of Moneys Held by Paying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10.04</w:t>
            </w:r>
          </w:p>
        </w:tc>
        <w:tc>
          <w:tcPr>
            <w:tcW w:w="7740" w:type="dxa"/>
            <w:vAlign w:val="bottom"/>
          </w:tcPr>
          <w:p>
            <w:pPr>
              <w:ind w:left="10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10.05</w:t>
            </w:r>
          </w:p>
        </w:tc>
        <w:tc>
          <w:tcPr>
            <w:tcW w:w="7740" w:type="dxa"/>
            <w:vAlign w:val="bottom"/>
          </w:tcPr>
          <w:p>
            <w:pPr>
              <w:ind w:left="100"/>
              <w:spacing w:after="0"/>
              <w:rPr>
                <w:sz w:val="20"/>
                <w:szCs w:val="20"/>
                <w:color w:val="auto"/>
              </w:rPr>
            </w:pPr>
            <w:r>
              <w:rPr>
                <w:rFonts w:ascii="Arial" w:cs="Arial" w:eastAsia="Arial" w:hAnsi="Arial"/>
                <w:sz w:val="18"/>
                <w:szCs w:val="18"/>
                <w:color w:val="auto"/>
              </w:rPr>
              <w:t>Indemnity for U.S. Government Obligations and Foreign Government Obligations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w w:val="96"/>
              </w:rPr>
              <w:t>ARTICLE 11</w:t>
            </w:r>
          </w:p>
        </w:tc>
        <w:tc>
          <w:tcPr>
            <w:tcW w:w="52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gridSpan w:val="2"/>
          </w:tcPr>
          <w:p>
            <w:pPr>
              <w:ind w:left="420"/>
              <w:spacing w:after="0"/>
              <w:rPr>
                <w:sz w:val="20"/>
                <w:szCs w:val="20"/>
                <w:color w:val="auto"/>
              </w:rPr>
            </w:pPr>
            <w:r>
              <w:rPr>
                <w:rFonts w:ascii="Arial" w:cs="Arial" w:eastAsia="Arial" w:hAnsi="Arial"/>
                <w:sz w:val="18"/>
                <w:szCs w:val="18"/>
                <w:color w:val="auto"/>
                <w:w w:val="98"/>
              </w:rPr>
              <w:t>Section 11.01</w:t>
            </w:r>
          </w:p>
        </w:tc>
        <w:tc>
          <w:tcPr>
            <w:tcW w:w="774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11.02   Provisions of Indenture for the Sole Benefit of Parties and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11.03   Successors and Assigns of Issuer Bound by Indenture</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11.04   Notices and Demands on Issuer, Trustee and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11.05   Officer’s Certificates and Opinions of Counsel; Statements to Be Contained Therein</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11.06   Payments Due on Saturdays, Sundays and Holidays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11.07   Conflict of Any Provision of Indenture With Trust Indenture Act of 1939</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11.08   New York Law to Govern</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20" w:type="dxa"/>
            <w:vAlign w:val="bottom"/>
            <w:gridSpan w:val="2"/>
          </w:tcPr>
          <w:p>
            <w:pPr>
              <w:ind w:left="420"/>
              <w:spacing w:after="0"/>
              <w:rPr>
                <w:sz w:val="20"/>
                <w:szCs w:val="20"/>
                <w:color w:val="auto"/>
              </w:rPr>
            </w:pPr>
            <w:r>
              <w:rPr>
                <w:rFonts w:ascii="Arial" w:cs="Arial" w:eastAsia="Arial" w:hAnsi="Arial"/>
                <w:sz w:val="18"/>
                <w:szCs w:val="18"/>
                <w:color w:val="auto"/>
                <w:w w:val="98"/>
              </w:rPr>
              <w:t>Section 11.09</w:t>
            </w:r>
          </w:p>
        </w:tc>
        <w:tc>
          <w:tcPr>
            <w:tcW w:w="77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11.10   Effect of Headings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11.11</w:t>
            </w:r>
          </w:p>
        </w:tc>
        <w:tc>
          <w:tcPr>
            <w:tcW w:w="7740" w:type="dxa"/>
            <w:vAlign w:val="bottom"/>
          </w:tcPr>
          <w:p>
            <w:pPr>
              <w:ind w:left="100"/>
              <w:spacing w:after="0"/>
              <w:rPr>
                <w:sz w:val="20"/>
                <w:szCs w:val="20"/>
                <w:color w:val="auto"/>
              </w:rPr>
            </w:pPr>
            <w:r>
              <w:rPr>
                <w:rFonts w:ascii="Arial" w:cs="Arial" w:eastAsia="Arial" w:hAnsi="Arial"/>
                <w:sz w:val="18"/>
                <w:szCs w:val="18"/>
                <w:color w:val="auto"/>
              </w:rPr>
              <w:t>Actions by Successor</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520" w:type="dxa"/>
            <w:vAlign w:val="bottom"/>
            <w:gridSpan w:val="2"/>
          </w:tcPr>
          <w:p>
            <w:pPr>
              <w:ind w:left="420"/>
              <w:spacing w:after="0"/>
              <w:rPr>
                <w:sz w:val="20"/>
                <w:szCs w:val="20"/>
                <w:color w:val="auto"/>
              </w:rPr>
            </w:pPr>
            <w:r>
              <w:rPr>
                <w:rFonts w:ascii="Arial" w:cs="Arial" w:eastAsia="Arial" w:hAnsi="Arial"/>
                <w:sz w:val="18"/>
                <w:szCs w:val="18"/>
                <w:color w:val="auto"/>
                <w:w w:val="98"/>
              </w:rPr>
              <w:t>Section 11.12</w:t>
            </w:r>
          </w:p>
        </w:tc>
        <w:tc>
          <w:tcPr>
            <w:tcW w:w="77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w w:val="96"/>
              </w:rPr>
              <w:t>ARTICLE 12</w:t>
            </w:r>
          </w:p>
        </w:tc>
        <w:tc>
          <w:tcPr>
            <w:tcW w:w="52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REDEMPTION OF SECURITIES AND SINKING FUNDS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12.01</w:t>
            </w:r>
          </w:p>
        </w:tc>
        <w:tc>
          <w:tcPr>
            <w:tcW w:w="7740" w:type="dxa"/>
            <w:vAlign w:val="bottom"/>
          </w:tcPr>
          <w:p>
            <w:pPr>
              <w:ind w:left="100"/>
              <w:spacing w:after="0"/>
              <w:rPr>
                <w:sz w:val="20"/>
                <w:szCs w:val="20"/>
                <w:color w:val="auto"/>
              </w:rPr>
            </w:pPr>
            <w:r>
              <w:rPr>
                <w:rFonts w:ascii="Arial" w:cs="Arial" w:eastAsia="Arial" w:hAnsi="Arial"/>
                <w:sz w:val="18"/>
                <w:szCs w:val="18"/>
                <w:color w:val="auto"/>
              </w:rPr>
              <w:t>Applicability of Article</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12.02</w:t>
            </w:r>
          </w:p>
        </w:tc>
        <w:tc>
          <w:tcPr>
            <w:tcW w:w="7740" w:type="dxa"/>
            <w:vAlign w:val="bottom"/>
          </w:tcPr>
          <w:p>
            <w:pPr>
              <w:ind w:left="100"/>
              <w:spacing w:after="0"/>
              <w:rPr>
                <w:sz w:val="20"/>
                <w:szCs w:val="20"/>
                <w:color w:val="auto"/>
              </w:rPr>
            </w:pPr>
            <w:r>
              <w:rPr>
                <w:rFonts w:ascii="Arial" w:cs="Arial" w:eastAsia="Arial" w:hAnsi="Arial"/>
                <w:sz w:val="18"/>
                <w:szCs w:val="18"/>
                <w:color w:val="auto"/>
              </w:rPr>
              <w:t>Notice of Redemption; Partial Redemptions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12.03</w:t>
            </w:r>
          </w:p>
        </w:tc>
        <w:tc>
          <w:tcPr>
            <w:tcW w:w="7740" w:type="dxa"/>
            <w:vAlign w:val="bottom"/>
          </w:tcPr>
          <w:p>
            <w:pPr>
              <w:ind w:left="100"/>
              <w:spacing w:after="0"/>
              <w:rPr>
                <w:sz w:val="20"/>
                <w:szCs w:val="20"/>
                <w:color w:val="auto"/>
              </w:rPr>
            </w:pPr>
            <w:r>
              <w:rPr>
                <w:rFonts w:ascii="Arial" w:cs="Arial" w:eastAsia="Arial" w:hAnsi="Arial"/>
                <w:sz w:val="18"/>
                <w:szCs w:val="18"/>
                <w:color w:val="auto"/>
              </w:rPr>
              <w:t>Payment of Securities Called for Redemption</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12.04</w:t>
            </w:r>
          </w:p>
        </w:tc>
        <w:tc>
          <w:tcPr>
            <w:tcW w:w="7740" w:type="dxa"/>
            <w:vAlign w:val="bottom"/>
          </w:tcPr>
          <w:p>
            <w:pPr>
              <w:ind w:left="10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12.05</w:t>
            </w:r>
          </w:p>
        </w:tc>
        <w:tc>
          <w:tcPr>
            <w:tcW w:w="7740" w:type="dxa"/>
            <w:vAlign w:val="bottom"/>
          </w:tcPr>
          <w:p>
            <w:pPr>
              <w:ind w:left="100"/>
              <w:spacing w:after="0"/>
              <w:rPr>
                <w:sz w:val="20"/>
                <w:szCs w:val="20"/>
                <w:color w:val="auto"/>
              </w:rPr>
            </w:pPr>
            <w:r>
              <w:rPr>
                <w:rFonts w:ascii="Arial" w:cs="Arial" w:eastAsia="Arial" w:hAnsi="Arial"/>
                <w:sz w:val="18"/>
                <w:szCs w:val="18"/>
                <w:color w:val="auto"/>
              </w:rPr>
              <w:t>Mandatory and Optional Sinking Funds</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w w:val="96"/>
              </w:rPr>
              <w:t>ARTICLE 13</w:t>
            </w:r>
          </w:p>
        </w:tc>
        <w:tc>
          <w:tcPr>
            <w:tcW w:w="52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SUBORDINATION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13.01</w:t>
            </w:r>
          </w:p>
        </w:tc>
        <w:tc>
          <w:tcPr>
            <w:tcW w:w="7740" w:type="dxa"/>
            <w:vAlign w:val="bottom"/>
          </w:tcPr>
          <w:p>
            <w:pPr>
              <w:ind w:left="100"/>
              <w:spacing w:after="0"/>
              <w:rPr>
                <w:sz w:val="20"/>
                <w:szCs w:val="20"/>
                <w:color w:val="auto"/>
              </w:rPr>
            </w:pPr>
            <w:r>
              <w:rPr>
                <w:rFonts w:ascii="Arial" w:cs="Arial" w:eastAsia="Arial" w:hAnsi="Arial"/>
                <w:sz w:val="18"/>
                <w:szCs w:val="18"/>
                <w:color w:val="auto"/>
              </w:rPr>
              <w:t>Agreement of Subordination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13.02</w:t>
            </w:r>
          </w:p>
        </w:tc>
        <w:tc>
          <w:tcPr>
            <w:tcW w:w="7740" w:type="dxa"/>
            <w:vAlign w:val="bottom"/>
          </w:tcPr>
          <w:p>
            <w:pPr>
              <w:ind w:left="100"/>
              <w:spacing w:after="0"/>
              <w:rPr>
                <w:sz w:val="20"/>
                <w:szCs w:val="20"/>
                <w:color w:val="auto"/>
              </w:rPr>
            </w:pPr>
            <w:r>
              <w:rPr>
                <w:rFonts w:ascii="Arial" w:cs="Arial" w:eastAsia="Arial" w:hAnsi="Arial"/>
                <w:sz w:val="18"/>
                <w:szCs w:val="18"/>
                <w:color w:val="auto"/>
              </w:rPr>
              <w:t>Payments to Securityholders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13.03</w:t>
            </w:r>
          </w:p>
        </w:tc>
        <w:tc>
          <w:tcPr>
            <w:tcW w:w="7740" w:type="dxa"/>
            <w:vAlign w:val="bottom"/>
          </w:tcPr>
          <w:p>
            <w:pPr>
              <w:ind w:left="100"/>
              <w:spacing w:after="0"/>
              <w:rPr>
                <w:sz w:val="20"/>
                <w:szCs w:val="20"/>
                <w:color w:val="auto"/>
              </w:rPr>
            </w:pPr>
            <w:r>
              <w:rPr>
                <w:rFonts w:ascii="Arial" w:cs="Arial" w:eastAsia="Arial" w:hAnsi="Arial"/>
                <w:sz w:val="18"/>
                <w:szCs w:val="18"/>
                <w:color w:val="auto"/>
              </w:rPr>
              <w:t>Subrogation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13.04</w:t>
            </w:r>
          </w:p>
        </w:tc>
        <w:tc>
          <w:tcPr>
            <w:tcW w:w="7740" w:type="dxa"/>
            <w:vAlign w:val="bottom"/>
          </w:tcPr>
          <w:p>
            <w:pPr>
              <w:ind w:left="100"/>
              <w:spacing w:after="0"/>
              <w:rPr>
                <w:sz w:val="20"/>
                <w:szCs w:val="20"/>
                <w:color w:val="auto"/>
              </w:rPr>
            </w:pPr>
            <w:r>
              <w:rPr>
                <w:rFonts w:ascii="Arial" w:cs="Arial" w:eastAsia="Arial" w:hAnsi="Arial"/>
                <w:sz w:val="18"/>
                <w:szCs w:val="18"/>
                <w:color w:val="auto"/>
              </w:rPr>
              <w:t>Authorization by Securityholders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13.05</w:t>
            </w:r>
          </w:p>
        </w:tc>
        <w:tc>
          <w:tcPr>
            <w:tcW w:w="7740" w:type="dxa"/>
            <w:vAlign w:val="bottom"/>
          </w:tcPr>
          <w:p>
            <w:pPr>
              <w:ind w:left="100"/>
              <w:spacing w:after="0"/>
              <w:rPr>
                <w:sz w:val="20"/>
                <w:szCs w:val="20"/>
                <w:color w:val="auto"/>
              </w:rPr>
            </w:pPr>
            <w:r>
              <w:rPr>
                <w:rFonts w:ascii="Arial" w:cs="Arial" w:eastAsia="Arial" w:hAnsi="Arial"/>
                <w:sz w:val="18"/>
                <w:szCs w:val="18"/>
                <w:color w:val="auto"/>
              </w:rPr>
              <w:t>Notice to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13.06</w:t>
            </w:r>
          </w:p>
        </w:tc>
        <w:tc>
          <w:tcPr>
            <w:tcW w:w="7740" w:type="dxa"/>
            <w:vAlign w:val="bottom"/>
          </w:tcPr>
          <w:p>
            <w:pPr>
              <w:ind w:left="100"/>
              <w:spacing w:after="0"/>
              <w:rPr>
                <w:sz w:val="20"/>
                <w:szCs w:val="20"/>
                <w:color w:val="auto"/>
              </w:rPr>
            </w:pPr>
            <w:r>
              <w:rPr>
                <w:rFonts w:ascii="Arial" w:cs="Arial" w:eastAsia="Arial" w:hAnsi="Arial"/>
                <w:sz w:val="18"/>
                <w:szCs w:val="18"/>
                <w:color w:val="auto"/>
              </w:rPr>
              <w:t>Trustee’s Relation to Senior Indebtedness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13.07</w:t>
            </w:r>
          </w:p>
        </w:tc>
        <w:tc>
          <w:tcPr>
            <w:tcW w:w="7740" w:type="dxa"/>
            <w:vAlign w:val="bottom"/>
          </w:tcPr>
          <w:p>
            <w:pPr>
              <w:ind w:left="100"/>
              <w:spacing w:after="0"/>
              <w:rPr>
                <w:sz w:val="20"/>
                <w:szCs w:val="20"/>
                <w:color w:val="auto"/>
              </w:rPr>
            </w:pPr>
            <w:r>
              <w:rPr>
                <w:rFonts w:ascii="Arial" w:cs="Arial" w:eastAsia="Arial" w:hAnsi="Arial"/>
                <w:sz w:val="18"/>
                <w:szCs w:val="18"/>
                <w:color w:val="auto"/>
              </w:rPr>
              <w:t>No Impairment of Subordination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13.08</w:t>
            </w:r>
          </w:p>
        </w:tc>
        <w:tc>
          <w:tcPr>
            <w:tcW w:w="7740" w:type="dxa"/>
            <w:vAlign w:val="bottom"/>
          </w:tcPr>
          <w:p>
            <w:pPr>
              <w:ind w:left="100"/>
              <w:spacing w:after="0"/>
              <w:rPr>
                <w:sz w:val="20"/>
                <w:szCs w:val="20"/>
                <w:color w:val="auto"/>
              </w:rPr>
            </w:pPr>
            <w:r>
              <w:rPr>
                <w:rFonts w:ascii="Arial" w:cs="Arial" w:eastAsia="Arial" w:hAnsi="Arial"/>
                <w:sz w:val="18"/>
                <w:szCs w:val="18"/>
                <w:color w:val="auto"/>
              </w:rPr>
              <w:t>Rights of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3" w:name="page164"/>
    <w:bookmarkEnd w:id="163"/>
    <w:p>
      <w:pPr>
        <w:spacing w:after="0" w:line="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dated as of</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6"/>
          <w:szCs w:val="16"/>
          <w:color w:val="auto"/>
        </w:rPr>
        <w:t>between Fulcrum Therapeutics,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-198755</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w:t>
      </w:r>
    </w:p>
    <w:p>
      <w:pPr>
        <w:spacing w:after="0" w:line="46" w:lineRule="exact"/>
        <w:rPr>
          <w:sz w:val="20"/>
          <w:szCs w:val="20"/>
          <w:color w:val="auto"/>
        </w:rPr>
      </w:pPr>
    </w:p>
    <w:p>
      <w:pPr>
        <w:sectPr>
          <w:pgSz w:w="11900" w:h="16838" w:orient="portrait"/>
          <w:cols w:equalWidth="0" w:num="3">
            <w:col w:w="3040" w:space="720"/>
            <w:col w:w="5960" w:space="720"/>
            <w:col w:w="560"/>
          </w:cols>
          <w:pgMar w:left="440" w:top="270" w:right="459" w:bottom="1440" w:gutter="0" w:footer="0" w:header="0"/>
        </w:sectPr>
      </w:pPr>
    </w:p>
    <w:p>
      <w:pPr>
        <w:ind w:left="94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WHEREAS, the Issuer may from time to time duly authorize the issue of its unsecured subordinated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w:t>
      </w:r>
      <w:r>
        <w:rPr>
          <w:rFonts w:ascii="Arial" w:cs="Arial" w:eastAsia="Arial" w:hAnsi="Arial"/>
          <w:sz w:val="16"/>
          <w:szCs w:val="16"/>
          <w:color w:val="auto"/>
        </w:rPr>
        <w:t xml:space="preserve"> </w:t>
      </w:r>
      <w:r>
        <w:rPr>
          <w:rFonts w:ascii="Arial" w:cs="Arial" w:eastAsia="Arial" w:hAnsi="Arial"/>
          <w:sz w:val="16"/>
          <w:szCs w:val="16"/>
          <w:b w:val="1"/>
          <w:bCs w:val="1"/>
          <w:color w:val="auto"/>
        </w:rPr>
        <w:t>principles</w:t>
      </w:r>
      <w:r>
        <w:rPr>
          <w:rFonts w:ascii="Arial" w:cs="Arial" w:eastAsia="Arial" w:hAnsi="Arial"/>
          <w:sz w:val="16"/>
          <w:szCs w:val="16"/>
          <w:color w:val="auto"/>
        </w:rPr>
        <w:t>” means such accounting principles as are generally accepted in the United States at the time of any computation. The words “herein”,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64"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Amounts</w:t>
      </w:r>
      <w:r>
        <w:rPr>
          <w:rFonts w:ascii="Arial" w:cs="Arial" w:eastAsia="Arial" w:hAnsi="Arial"/>
          <w:sz w:val="18"/>
          <w:szCs w:val="18"/>
          <w:color w:val="auto"/>
        </w:rPr>
        <w:t>” means any additional amounts that are required by this Indenture or by any Security, under circumstances specified herein or therein, to be paid by the Issuer in respect of certain taxes, assessments or other governmental charges imposed on Holders specified therein and which are owing to such Holders.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type w:val="continuous"/>
        </w:sectPr>
      </w:pPr>
    </w:p>
    <w:bookmarkStart w:id="164" w:name="page165"/>
    <w:bookmarkEnd w:id="164"/>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62"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16"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4"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6"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$0.001 per share, of the Issuer as the same exists at the date of execution and delivery of this Indenture or as such stock may be reconstituted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w:t>
      </w:r>
    </w:p>
    <w:p>
      <w:pPr>
        <w:spacing w:after="0" w:line="50" w:lineRule="exact"/>
        <w:rPr>
          <w:sz w:val="20"/>
          <w:szCs w:val="20"/>
          <w:color w:val="auto"/>
        </w:rPr>
      </w:pPr>
    </w:p>
    <w:p>
      <w:pPr>
        <w:spacing w:after="0"/>
        <w:tabs>
          <w:tab w:leader="none" w:pos="7960" w:val="left"/>
        </w:tabs>
        <w:rPr>
          <w:sz w:val="20"/>
          <w:szCs w:val="20"/>
          <w:color w:val="auto"/>
        </w:rPr>
      </w:pPr>
      <w:r>
        <w:rPr>
          <w:rFonts w:ascii="Arial" w:cs="Arial" w:eastAsia="Arial" w:hAnsi="Arial"/>
          <w:sz w:val="18"/>
          <w:szCs w:val="18"/>
          <w:color w:val="auto"/>
        </w:rPr>
        <w:t>principally administered, which office is, at the date as of which this Indenture is dated, located at</w:t>
      </w:r>
      <w:r>
        <w:rPr>
          <w:sz w:val="20"/>
          <w:szCs w:val="20"/>
          <w:color w:val="auto"/>
        </w:rPr>
        <w:tab/>
      </w:r>
      <w:r>
        <w:rPr>
          <w:rFonts w:ascii="Arial" w:cs="Arial" w:eastAsia="Arial" w:hAnsi="Arial"/>
          <w:sz w:val="13"/>
          <w:szCs w:val="13"/>
          <w:color w:val="auto"/>
        </w:rPr>
        <w:t>.</w:t>
      </w:r>
    </w:p>
    <w:p>
      <w:pPr>
        <w:spacing w:after="0" w:line="20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w:t>
      </w:r>
      <w:r>
        <w:rPr>
          <w:rFonts w:ascii="Arial" w:cs="Arial" w:eastAsia="Arial" w:hAnsi="Arial"/>
          <w:sz w:val="17"/>
          <w:szCs w:val="17"/>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65" w:name="page166"/>
    <w:bookmarkEnd w:id="165"/>
    <w:p>
      <w:pPr>
        <w:ind w:right="2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Government Obligation</w:t>
      </w:r>
      <w:r>
        <w:rPr>
          <w:rFonts w:ascii="Arial" w:cs="Arial" w:eastAsia="Arial" w:hAnsi="Arial"/>
          <w:sz w:val="16"/>
          <w:szCs w:val="16"/>
          <w:color w:val="auto"/>
        </w:rPr>
        <w:t>” means (a) a direct obligation of the government of a 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59"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62"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1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Fulcrum Therapeutics, Inc., a Delaware corporation, and, subject to Article 9, its successors and assigns.</w:t>
      </w:r>
    </w:p>
    <w:p>
      <w:pPr>
        <w:spacing w:after="0" w:line="225"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shall have the meaning set forth in Section 5.01(c).</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58"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58"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6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166" w:lineRule="exact"/>
        <w:rPr>
          <w:sz w:val="20"/>
          <w:szCs w:val="20"/>
          <w:color w:val="auto"/>
        </w:rPr>
      </w:pPr>
    </w:p>
    <w:p>
      <w:pPr>
        <w:ind w:left="1240" w:hanging="253"/>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jc w:val="both"/>
        <w:ind w:firstLine="987"/>
        <w:spacing w:after="0" w:line="296" w:lineRule="auto"/>
        <w:tabs>
          <w:tab w:leader="none" w:pos="124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167" w:name="page168"/>
    <w:bookmarkEnd w:id="167"/>
    <w:p>
      <w:pPr>
        <w:ind w:left="1240" w:hanging="253"/>
        <w:spacing w:after="0"/>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as to which Legal Defeasance shall have been effected pursuant to Section 10.01(b);</w:t>
      </w:r>
    </w:p>
    <w:p>
      <w:pPr>
        <w:spacing w:after="0" w:line="225" w:lineRule="exact"/>
        <w:rPr>
          <w:rFonts w:ascii="Arial" w:cs="Arial" w:eastAsia="Arial" w:hAnsi="Arial"/>
          <w:sz w:val="18"/>
          <w:szCs w:val="18"/>
          <w:color w:val="auto"/>
        </w:rPr>
      </w:pPr>
    </w:p>
    <w:p>
      <w:pPr>
        <w:jc w:val="both"/>
        <w:ind w:right="380" w:firstLine="987"/>
        <w:spacing w:after="0" w:line="279" w:lineRule="auto"/>
        <w:tabs>
          <w:tab w:leader="none" w:pos="124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71" w:lineRule="exact"/>
        <w:rPr>
          <w:rFonts w:ascii="Arial" w:cs="Arial" w:eastAsia="Arial" w:hAnsi="Arial"/>
          <w:sz w:val="17"/>
          <w:szCs w:val="17"/>
          <w:color w:val="auto"/>
        </w:rPr>
      </w:pPr>
    </w:p>
    <w:p>
      <w:pPr>
        <w:ind w:firstLine="987"/>
        <w:spacing w:after="0" w:line="342" w:lineRule="auto"/>
        <w:tabs>
          <w:tab w:leader="none" w:pos="12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7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shall have the meaning set forth in Section 2.07.</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68" w:name="page169"/>
    <w:bookmarkEnd w:id="168"/>
    <w:p>
      <w:pPr>
        <w:ind w:right="8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225"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of a Person means the principal of, premium, if any, interest on, and any other payment due pursuant to any of the following, whether outstanding at the date hereof or hereafter incurred or created:</w:t>
      </w:r>
    </w:p>
    <w:p>
      <w:pPr>
        <w:spacing w:after="0" w:line="166" w:lineRule="exact"/>
        <w:rPr>
          <w:sz w:val="20"/>
          <w:szCs w:val="20"/>
          <w:color w:val="auto"/>
        </w:rPr>
      </w:pPr>
    </w:p>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211" w:lineRule="exact"/>
        <w:rPr>
          <w:sz w:val="20"/>
          <w:szCs w:val="20"/>
          <w:color w:val="auto"/>
        </w:rPr>
      </w:pPr>
    </w:p>
    <w:p>
      <w:pPr>
        <w:ind w:right="40" w:firstLine="987"/>
        <w:spacing w:after="0" w:line="263" w:lineRule="auto"/>
        <w:tabs>
          <w:tab w:leader="none" w:pos="12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spacing w:after="0" w:line="183" w:lineRule="exact"/>
        <w:rPr>
          <w:rFonts w:ascii="Arial" w:cs="Arial" w:eastAsia="Arial" w:hAnsi="Arial"/>
          <w:sz w:val="18"/>
          <w:szCs w:val="18"/>
          <w:color w:val="auto"/>
        </w:rPr>
      </w:pPr>
    </w:p>
    <w:p>
      <w:pPr>
        <w:ind w:right="320" w:firstLine="987"/>
        <w:spacing w:after="0" w:line="277"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leases of the kinds described in either of the preceding clauses (c) or (d) above;</w:t>
      </w:r>
    </w:p>
    <w:p>
      <w:pPr>
        <w:spacing w:after="0" w:line="170"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or guarantee relating to it expressly provides that such indebtedness, lease, renewal, extension or refunding is not superior in right of payment to the Securities.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6" w:lineRule="exact"/>
        <w:rPr>
          <w:sz w:val="20"/>
          <w:szCs w:val="20"/>
          <w:color w:val="auto"/>
        </w:rPr>
      </w:pPr>
    </w:p>
    <w:p>
      <w:pPr>
        <w:ind w:right="2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69" w:name="page170"/>
    <w:bookmarkEnd w:id="169"/>
    <w:p>
      <w:pPr>
        <w:ind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62"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14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70" w:name="page171"/>
    <w:bookmarkEnd w:id="170"/>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71" w:lineRule="exact"/>
        <w:rPr>
          <w:sz w:val="20"/>
          <w:szCs w:val="20"/>
          <w:color w:val="auto"/>
        </w:rPr>
      </w:pPr>
    </w:p>
    <w:p>
      <w:pPr>
        <w:ind w:left="1240" w:hanging="25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225" w:lineRule="exact"/>
        <w:rPr>
          <w:rFonts w:ascii="Arial" w:cs="Arial" w:eastAsia="Arial" w:hAnsi="Arial"/>
          <w:sz w:val="18"/>
          <w:szCs w:val="18"/>
          <w:color w:val="auto"/>
        </w:rPr>
      </w:pPr>
    </w:p>
    <w:p>
      <w:pPr>
        <w:ind w:firstLine="987"/>
        <w:spacing w:after="0" w:line="263" w:lineRule="auto"/>
        <w:tabs>
          <w:tab w:leader="none" w:pos="12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83" w:lineRule="exact"/>
        <w:rPr>
          <w:rFonts w:ascii="Arial" w:cs="Arial" w:eastAsia="Arial" w:hAnsi="Arial"/>
          <w:sz w:val="18"/>
          <w:szCs w:val="18"/>
          <w:color w:val="auto"/>
        </w:rPr>
      </w:pPr>
    </w:p>
    <w:p>
      <w:pPr>
        <w:ind w:right="260" w:firstLine="987"/>
        <w:spacing w:after="0" w:line="277" w:lineRule="auto"/>
        <w:tabs>
          <w:tab w:leader="none" w:pos="12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used to determine those dates and the right, if any, to extend such date or dates;</w:t>
      </w:r>
    </w:p>
    <w:p>
      <w:pPr>
        <w:spacing w:after="0" w:line="170" w:lineRule="exact"/>
        <w:rPr>
          <w:rFonts w:ascii="Arial" w:cs="Arial" w:eastAsia="Arial" w:hAnsi="Arial"/>
          <w:sz w:val="18"/>
          <w:szCs w:val="18"/>
          <w:color w:val="auto"/>
        </w:rPr>
      </w:pPr>
    </w:p>
    <w:p>
      <w:pPr>
        <w:ind w:right="60" w:firstLine="987"/>
        <w:spacing w:after="0" w:line="257" w:lineRule="auto"/>
        <w:tabs>
          <w:tab w:leader="none" w:pos="12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interest on Securities of the series shall be payable (if other than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3.02);</w:t>
      </w:r>
    </w:p>
    <w:p>
      <w:pPr>
        <w:spacing w:after="0" w:line="210" w:lineRule="exact"/>
        <w:rPr>
          <w:rFonts w:ascii="Arial" w:cs="Arial" w:eastAsia="Arial" w:hAnsi="Arial"/>
          <w:sz w:val="17"/>
          <w:szCs w:val="17"/>
          <w:color w:val="auto"/>
        </w:rPr>
      </w:pPr>
    </w:p>
    <w:p>
      <w:pPr>
        <w:ind w:right="220" w:firstLine="987"/>
        <w:spacing w:after="0" w:line="259" w:lineRule="auto"/>
        <w:tabs>
          <w:tab w:leader="none" w:pos="121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1" w:name="page172"/>
    <w:bookmarkEnd w:id="171"/>
    <w:p>
      <w:pPr>
        <w:ind w:right="160" w:firstLine="987"/>
        <w:spacing w:after="0" w:line="277"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other than denominations of $2,000 and any integral multiple of $1,000 in excess thereof, the denominations in which Securities of the series shall be issuable;</w:t>
      </w:r>
    </w:p>
    <w:p>
      <w:pPr>
        <w:spacing w:after="0" w:line="170"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other than Dollars, the currency, currencies or currency units in which the Securities of the series are denominated;</w:t>
      </w:r>
    </w:p>
    <w:p>
      <w:pPr>
        <w:spacing w:after="0" w:line="225" w:lineRule="exact"/>
        <w:rPr>
          <w:rFonts w:ascii="Arial" w:cs="Arial" w:eastAsia="Arial" w:hAnsi="Arial"/>
          <w:sz w:val="18"/>
          <w:szCs w:val="18"/>
          <w:color w:val="auto"/>
        </w:rPr>
      </w:pPr>
    </w:p>
    <w:p>
      <w:pPr>
        <w:ind w:right="280" w:firstLine="987"/>
        <w:spacing w:after="0" w:line="277" w:lineRule="auto"/>
        <w:tabs>
          <w:tab w:leader="none" w:pos="12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the series are denominated, the currency in which payment of the principal of or interest on the Securities of such series shall be payable;</w:t>
      </w:r>
    </w:p>
    <w:p>
      <w:pPr>
        <w:spacing w:after="0" w:line="170" w:lineRule="exact"/>
        <w:rPr>
          <w:rFonts w:ascii="Arial" w:cs="Arial" w:eastAsia="Arial" w:hAnsi="Arial"/>
          <w:sz w:val="18"/>
          <w:szCs w:val="18"/>
          <w:color w:val="auto"/>
        </w:rPr>
      </w:pPr>
    </w:p>
    <w:p>
      <w:pPr>
        <w:ind w:right="320" w:firstLine="987"/>
        <w:spacing w:after="0" w:line="263"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83" w:lineRule="exact"/>
        <w:rPr>
          <w:rFonts w:ascii="Arial" w:cs="Arial" w:eastAsia="Arial" w:hAnsi="Arial"/>
          <w:sz w:val="18"/>
          <w:szCs w:val="18"/>
          <w:color w:val="auto"/>
        </w:rPr>
      </w:pPr>
    </w:p>
    <w:p>
      <w:pPr>
        <w:jc w:val="both"/>
        <w:ind w:right="80" w:firstLine="987"/>
        <w:spacing w:after="0" w:line="263" w:lineRule="auto"/>
        <w:tabs>
          <w:tab w:leader="none" w:pos="12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183" w:lineRule="exact"/>
        <w:rPr>
          <w:rFonts w:ascii="Arial" w:cs="Arial" w:eastAsia="Arial" w:hAnsi="Arial"/>
          <w:sz w:val="18"/>
          <w:szCs w:val="18"/>
          <w:color w:val="auto"/>
        </w:rPr>
      </w:pPr>
    </w:p>
    <w:p>
      <w:pPr>
        <w:ind w:right="360" w:firstLine="987"/>
        <w:spacing w:after="0" w:line="263" w:lineRule="auto"/>
        <w:tabs>
          <w:tab w:leader="none" w:pos="12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83" w:lineRule="exact"/>
        <w:rPr>
          <w:rFonts w:ascii="Arial" w:cs="Arial" w:eastAsia="Arial" w:hAnsi="Arial"/>
          <w:sz w:val="18"/>
          <w:szCs w:val="18"/>
          <w:color w:val="auto"/>
        </w:rPr>
      </w:pPr>
    </w:p>
    <w:p>
      <w:pPr>
        <w:ind w:firstLine="987"/>
        <w:spacing w:after="0" w:line="311" w:lineRule="auto"/>
        <w:tabs>
          <w:tab w:leader="none" w:pos="12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225" w:lineRule="exact"/>
        <w:rPr>
          <w:rFonts w:ascii="Arial" w:cs="Arial" w:eastAsia="Arial" w:hAnsi="Arial"/>
          <w:sz w:val="18"/>
          <w:szCs w:val="18"/>
          <w:color w:val="auto"/>
        </w:rPr>
      </w:pPr>
    </w:p>
    <w:p>
      <w:pPr>
        <w:ind w:firstLine="987"/>
        <w:spacing w:after="0" w:line="277"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and, if so, whether the Issuer will have the option to redeem such Securities rather than pay such additional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2" w:name="page173"/>
    <w:bookmarkEnd w:id="172"/>
    <w:p>
      <w:pPr>
        <w:ind w:right="180" w:firstLine="987"/>
        <w:spacing w:after="0" w:line="263"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89" w:lineRule="exact"/>
        <w:rPr>
          <w:rFonts w:ascii="Arial" w:cs="Arial" w:eastAsia="Arial" w:hAnsi="Arial"/>
          <w:sz w:val="18"/>
          <w:szCs w:val="18"/>
          <w:color w:val="auto"/>
        </w:rPr>
      </w:pPr>
    </w:p>
    <w:p>
      <w:pPr>
        <w:ind w:left="1420" w:right="220" w:hanging="439"/>
        <w:spacing w:after="0" w:line="277"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any other agents with respect to the Securities of such series;</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events of default or covenants with respect to the Securities of such series in addition to or in lieu of those contained in this Indenture;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extent to which payments on the Securities will be subordinated to the payment of Senior Indebtedness of the Issuer; and</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8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an Issuer Order requesting such authentication and setting forth delivery instructions if the Securities are not to be delivered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ind w:right="66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170" w:lineRule="exact"/>
        <w:rPr>
          <w:rFonts w:ascii="Arial" w:cs="Arial" w:eastAsia="Arial" w:hAnsi="Arial"/>
          <w:sz w:val="18"/>
          <w:szCs w:val="18"/>
          <w:color w:val="auto"/>
        </w:rPr>
      </w:pPr>
    </w:p>
    <w:p>
      <w:pPr>
        <w:ind w:right="80" w:firstLine="987"/>
        <w:spacing w:after="0" w:line="263"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3" w:name="page174"/>
    <w:bookmarkEnd w:id="173"/>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Opinion of Counsel to the effect that:</w:t>
      </w:r>
    </w:p>
    <w:p>
      <w:pPr>
        <w:spacing w:after="0" w:line="117" w:lineRule="exact"/>
        <w:rPr>
          <w:rFonts w:ascii="Arial" w:cs="Arial" w:eastAsia="Arial" w:hAnsi="Arial"/>
          <w:sz w:val="18"/>
          <w:szCs w:val="18"/>
          <w:color w:val="auto"/>
        </w:rPr>
      </w:pPr>
    </w:p>
    <w:p>
      <w:pPr>
        <w:ind w:left="980" w:right="320" w:firstLine="408"/>
        <w:spacing w:after="0" w:line="277" w:lineRule="auto"/>
        <w:tabs>
          <w:tab w:leader="none" w:pos="159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pursuant to Sections 2.01 and 2.03 and comply with this Indenture,</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authentication and delivery of such Securities by the Trustee are authorized under the provisions of this Indenture, and</w:t>
      </w:r>
    </w:p>
    <w:p>
      <w:pPr>
        <w:spacing w:after="0" w:line="128" w:lineRule="exact"/>
        <w:rPr>
          <w:rFonts w:ascii="Arial" w:cs="Arial" w:eastAsia="Arial" w:hAnsi="Arial"/>
          <w:sz w:val="17"/>
          <w:szCs w:val="17"/>
          <w:color w:val="auto"/>
        </w:rPr>
      </w:pPr>
    </w:p>
    <w:p>
      <w:pPr>
        <w:ind w:left="980" w:right="520" w:firstLine="408"/>
        <w:spacing w:after="0" w:line="308" w:lineRule="auto"/>
        <w:tabs>
          <w:tab w:leader="none" w:pos="169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8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4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any vice chairman of its Board of Directors,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74" w:name="page175"/>
    <w:bookmarkEnd w:id="174"/>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6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7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r>
        <w:rPr>
          <w:rFonts w:ascii="Arial" w:cs="Arial" w:eastAsia="Arial" w:hAnsi="Arial"/>
          <w:sz w:val="18"/>
          <w:szCs w:val="18"/>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8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4" w:right="539" w:bottom="1440" w:gutter="0" w:footer="0" w:header="0"/>
        </w:sectPr>
      </w:pPr>
    </w:p>
    <w:bookmarkStart w:id="175" w:name="page176"/>
    <w:bookmarkEnd w:id="175"/>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88"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84"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6" w:name="page177"/>
    <w:bookmarkEnd w:id="176"/>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8"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57" w:lineRule="exact"/>
        <w:rPr>
          <w:sz w:val="20"/>
          <w:szCs w:val="20"/>
          <w:color w:val="auto"/>
        </w:rPr>
      </w:pPr>
    </w:p>
    <w:p>
      <w:pPr>
        <w:jc w:val="both"/>
        <w:ind w:left="980" w:right="280" w:firstLine="408"/>
        <w:spacing w:after="0" w:line="263" w:lineRule="auto"/>
        <w:tabs>
          <w:tab w:leader="none" w:pos="159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75" w:lineRule="exact"/>
        <w:rPr>
          <w:rFonts w:ascii="Arial" w:cs="Arial" w:eastAsia="Arial" w:hAnsi="Arial"/>
          <w:sz w:val="18"/>
          <w:szCs w:val="18"/>
          <w:color w:val="auto"/>
        </w:rPr>
      </w:pPr>
    </w:p>
    <w:p>
      <w:pPr>
        <w:ind w:left="980" w:right="180" w:firstLine="408"/>
        <w:spacing w:after="0" w:line="342" w:lineRule="auto"/>
        <w:tabs>
          <w:tab w:leader="none" w:pos="16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7" w:name="page178"/>
    <w:bookmarkEnd w:id="177"/>
    <w:p>
      <w:pPr>
        <w:ind w:right="2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Mutilated, Defaced, Destroyed, Lost and Stolen Securities.</w:t>
      </w:r>
      <w:r>
        <w:rPr>
          <w:rFonts w:ascii="Arial" w:cs="Arial" w:eastAsia="Arial" w:hAnsi="Arial"/>
          <w:sz w:val="17"/>
          <w:szCs w:val="17"/>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81"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78" w:name="page179"/>
    <w:bookmarkEnd w:id="17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92"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r>
        <w:rPr>
          <w:rFonts w:ascii="Arial" w:cs="Arial" w:eastAsia="Arial" w:hAnsi="Arial"/>
          <w:sz w:val="18"/>
          <w:szCs w:val="18"/>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9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ISSUER</w:t>
      </w:r>
    </w:p>
    <w:p>
      <w:pPr>
        <w:spacing w:after="0" w:line="211"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79" w:name="page180"/>
    <w:bookmarkEnd w:id="17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71" w:lineRule="exact"/>
        <w:rPr>
          <w:sz w:val="20"/>
          <w:szCs w:val="20"/>
          <w:color w:val="auto"/>
        </w:rPr>
      </w:pPr>
    </w:p>
    <w:p>
      <w:pPr>
        <w:ind w:left="440"/>
        <w:spacing w:after="0"/>
        <w:tabs>
          <w:tab w:leader="none" w:pos="6380" w:val="left"/>
        </w:tabs>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 xml:space="preserve"> The Issuer will maintain (i) in</w:t>
      </w:r>
      <w:r>
        <w:rPr>
          <w:sz w:val="20"/>
          <w:szCs w:val="20"/>
          <w:color w:val="auto"/>
        </w:rPr>
        <w:tab/>
      </w:r>
      <w:r>
        <w:rPr>
          <w:rFonts w:ascii="Arial" w:cs="Arial" w:eastAsia="Arial" w:hAnsi="Arial"/>
          <w:sz w:val="15"/>
          <w:szCs w:val="15"/>
          <w:color w:val="auto"/>
        </w:rPr>
        <w:t>, an agency where the Securities of each series may be</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ectPr>
          <w:pgSz w:w="11900" w:h="16838" w:orient="portrait"/>
          <w:cols w:equalWidth="0" w:num="1">
            <w:col w:w="10980"/>
          </w:cols>
          <w:pgMar w:left="440" w:top="274" w:right="479" w:bottom="1440" w:gutter="0" w:footer="0" w:header="0"/>
        </w:sectPr>
      </w:pPr>
    </w:p>
    <w:p>
      <w:pPr>
        <w:spacing w:after="0" w:line="173"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Issuer will maintain in this Indenture may be served.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an agency where notices and demands to or upon the Issuer in respect of the Securities of any series or</w:t>
      </w:r>
    </w:p>
    <w:p>
      <w:pPr>
        <w:spacing w:after="0" w:line="464" w:lineRule="exact"/>
        <w:rPr>
          <w:sz w:val="20"/>
          <w:szCs w:val="20"/>
          <w:color w:val="auto"/>
        </w:rPr>
      </w:pPr>
    </w:p>
    <w:p>
      <w:pPr>
        <w:sectPr>
          <w:pgSz w:w="11900" w:h="16838" w:orient="portrait"/>
          <w:cols w:equalWidth="0" w:num="2">
            <w:col w:w="2600" w:space="720"/>
            <w:col w:w="7660"/>
          </w:cols>
          <w:pgMar w:left="440" w:top="274" w:right="4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w:t>
      </w:r>
    </w:p>
    <w:p>
      <w:pPr>
        <w:spacing w:after="0" w:line="46" w:lineRule="exact"/>
        <w:rPr>
          <w:sz w:val="20"/>
          <w:szCs w:val="20"/>
          <w:color w:val="auto"/>
        </w:rPr>
      </w:pPr>
    </w:p>
    <w:p>
      <w:pPr>
        <w:jc w:val="both"/>
        <w:ind w:right="80"/>
        <w:spacing w:after="0" w:line="323" w:lineRule="auto"/>
        <w:rPr>
          <w:sz w:val="20"/>
          <w:szCs w:val="20"/>
          <w:color w:val="auto"/>
        </w:rPr>
      </w:pPr>
      <w:r>
        <w:rPr>
          <w:rFonts w:ascii="Arial" w:cs="Arial" w:eastAsia="Arial" w:hAnsi="Arial"/>
          <w:sz w:val="16"/>
          <w:szCs w:val="16"/>
          <w:color w:val="auto"/>
        </w:rPr>
        <w:t>fail to maintain any agency required by this Section to be located in , or shall fail to give such notice of the location or of any change in the location of any of the above agencies, presentations and demands may be made and notices may be served at the Corporate Trust Office of the Trustee.</w:t>
      </w:r>
    </w:p>
    <w:p>
      <w:pPr>
        <w:spacing w:after="0" w:line="13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84" w:lineRule="exact"/>
        <w:rPr>
          <w:sz w:val="20"/>
          <w:szCs w:val="20"/>
          <w:color w:val="auto"/>
        </w:rPr>
      </w:pPr>
    </w:p>
    <w:p>
      <w:pPr>
        <w:ind w:right="220" w:firstLine="987"/>
        <w:spacing w:after="0" w:line="263" w:lineRule="auto"/>
        <w:tabs>
          <w:tab w:leader="none" w:pos="12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type w:val="continuous"/>
        </w:sectPr>
      </w:pPr>
    </w:p>
    <w:bookmarkStart w:id="180" w:name="page181"/>
    <w:bookmarkEnd w:id="180"/>
    <w:p>
      <w:pPr>
        <w:ind w:right="300" w:firstLine="987"/>
        <w:spacing w:after="0" w:line="277" w:lineRule="auto"/>
        <w:tabs>
          <w:tab w:leader="none" w:pos="12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0" w:lineRule="exact"/>
        <w:rPr>
          <w:rFonts w:ascii="Arial" w:cs="Arial" w:eastAsia="Arial" w:hAnsi="Arial"/>
          <w:sz w:val="18"/>
          <w:szCs w:val="18"/>
          <w:color w:val="auto"/>
        </w:rPr>
      </w:pPr>
    </w:p>
    <w:p>
      <w:pPr>
        <w:ind w:right="100" w:firstLine="987"/>
        <w:spacing w:after="0" w:line="277" w:lineRule="auto"/>
        <w:tabs>
          <w:tab w:leader="none" w:pos="12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4"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Written Statement to Trustee.</w:t>
      </w:r>
      <w:r>
        <w:rPr>
          <w:rFonts w:ascii="Arial" w:cs="Arial" w:eastAsia="Arial" w:hAnsi="Arial"/>
          <w:sz w:val="17"/>
          <w:szCs w:val="17"/>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21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84" w:lineRule="exact"/>
        <w:rPr>
          <w:sz w:val="20"/>
          <w:szCs w:val="20"/>
          <w:color w:val="auto"/>
        </w:rPr>
      </w:pPr>
    </w:p>
    <w:p>
      <w:pPr>
        <w:ind w:right="40" w:firstLine="987"/>
        <w:spacing w:after="0" w:line="308" w:lineRule="auto"/>
        <w:tabs>
          <w:tab w:leader="none" w:pos="123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46" w:lineRule="exact"/>
        <w:rPr>
          <w:rFonts w:ascii="Arial" w:cs="Arial" w:eastAsia="Arial" w:hAnsi="Arial"/>
          <w:sz w:val="17"/>
          <w:szCs w:val="17"/>
          <w:color w:val="auto"/>
        </w:rPr>
      </w:pPr>
    </w:p>
    <w:p>
      <w:pPr>
        <w:ind w:right="80" w:firstLine="987"/>
        <w:spacing w:after="0" w:line="263" w:lineRule="auto"/>
        <w:tabs>
          <w:tab w:leader="none" w:pos="12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and so long as the Trustee shall be the Security registrar (the </w:t>
      </w:r>
      <w:r>
        <w:rPr>
          <w:rFonts w:ascii="Arial" w:cs="Arial" w:eastAsia="Arial" w:hAnsi="Arial"/>
          <w:sz w:val="18"/>
          <w:szCs w:val="18"/>
          <w:b w:val="1"/>
          <w:bCs w:val="1"/>
          <w:color w:val="auto"/>
        </w:rPr>
        <w:t>“Security Registrar”</w:t>
      </w:r>
      <w:r>
        <w:rPr>
          <w:rFonts w:ascii="Arial" w:cs="Arial" w:eastAsia="Arial" w:hAnsi="Arial"/>
          <w:sz w:val="18"/>
          <w:szCs w:val="18"/>
          <w:color w:val="auto"/>
        </w:rPr>
        <w:t>) for such series, such list shall not be required to be furnished.</w:t>
      </w:r>
    </w:p>
    <w:p>
      <w:pPr>
        <w:spacing w:after="0" w:line="184"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Reports by the Trustee.</w:t>
      </w:r>
      <w:r>
        <w:rPr>
          <w:rFonts w:ascii="Arial" w:cs="Arial" w:eastAsia="Arial" w:hAnsi="Arial"/>
          <w:sz w:val="16"/>
          <w:szCs w:val="16"/>
          <w:color w:val="auto"/>
        </w:rPr>
        <w:t xml:space="preserve"> Any Trustee’s report required under Section 313(a) of the Trust Indenture Act of 1939 shall be transmitted on</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or before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19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Preservation of Information; Communication with Securityholders.</w:t>
      </w:r>
      <w:r>
        <w:rPr>
          <w:rFonts w:ascii="Arial" w:cs="Arial" w:eastAsia="Arial" w:hAnsi="Arial"/>
          <w:sz w:val="18"/>
          <w:szCs w:val="18"/>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92" w:lineRule="exact"/>
        <w:rPr>
          <w:sz w:val="20"/>
          <w:szCs w:val="20"/>
          <w:color w:val="auto"/>
        </w:rPr>
      </w:pPr>
    </w:p>
    <w:p>
      <w:pPr>
        <w:ind w:left="1420" w:hanging="43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4.01 upon receipt of a new list so furnished.</w:t>
      </w:r>
    </w:p>
    <w:p>
      <w:pPr>
        <w:spacing w:after="0" w:line="130" w:lineRule="exact"/>
        <w:rPr>
          <w:rFonts w:ascii="Arial" w:cs="Arial" w:eastAsia="Arial" w:hAnsi="Arial"/>
          <w:sz w:val="18"/>
          <w:szCs w:val="18"/>
          <w:color w:val="auto"/>
        </w:rPr>
      </w:pPr>
    </w:p>
    <w:p>
      <w:pPr>
        <w:ind w:left="1420" w:right="60" w:hanging="439"/>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0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right="180" w:firstLine="987"/>
        <w:spacing w:after="0" w:line="263" w:lineRule="auto"/>
        <w:tabs>
          <w:tab w:leader="none" w:pos="12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183"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83" w:lineRule="exact"/>
        <w:rPr>
          <w:rFonts w:ascii="Arial" w:cs="Arial" w:eastAsia="Arial" w:hAnsi="Arial"/>
          <w:sz w:val="18"/>
          <w:szCs w:val="18"/>
          <w:color w:val="auto"/>
        </w:rPr>
      </w:pPr>
    </w:p>
    <w:p>
      <w:pPr>
        <w:ind w:firstLine="987"/>
        <w:spacing w:after="0" w:line="296" w:lineRule="auto"/>
        <w:tabs>
          <w:tab w:leader="none" w:pos="123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161" w:lineRule="exact"/>
        <w:rPr>
          <w:rFonts w:ascii="Arial" w:cs="Arial" w:eastAsia="Arial" w:hAnsi="Arial"/>
          <w:sz w:val="16"/>
          <w:szCs w:val="16"/>
          <w:color w:val="auto"/>
        </w:rPr>
      </w:pPr>
    </w:p>
    <w:p>
      <w:pPr>
        <w:ind w:right="100" w:firstLine="987"/>
        <w:spacing w:after="0" w:line="279" w:lineRule="auto"/>
        <w:tabs>
          <w:tab w:leader="none" w:pos="124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171" w:lineRule="exact"/>
        <w:rPr>
          <w:rFonts w:ascii="Arial" w:cs="Arial" w:eastAsia="Arial" w:hAnsi="Arial"/>
          <w:sz w:val="17"/>
          <w:szCs w:val="17"/>
          <w:color w:val="auto"/>
        </w:rPr>
      </w:pPr>
    </w:p>
    <w:p>
      <w:pPr>
        <w:ind w:right="20" w:firstLine="987"/>
        <w:spacing w:after="0" w:line="259" w:lineRule="auto"/>
        <w:tabs>
          <w:tab w:leader="none" w:pos="12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86" w:lineRule="exact"/>
        <w:rPr>
          <w:rFonts w:ascii="Arial" w:cs="Arial" w:eastAsia="Arial" w:hAnsi="Arial"/>
          <w:sz w:val="18"/>
          <w:szCs w:val="18"/>
          <w:color w:val="auto"/>
        </w:rPr>
      </w:pPr>
    </w:p>
    <w:p>
      <w:pPr>
        <w:ind w:left="1220" w:hanging="233"/>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225"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83" w:name="page184"/>
    <w:bookmarkEnd w:id="183"/>
    <w:p>
      <w:pPr>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4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8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Collection of Debt by Trustee; Trustee May Prove Debt.</w:t>
      </w:r>
      <w:r>
        <w:rPr>
          <w:rFonts w:ascii="Arial" w:cs="Arial" w:eastAsia="Arial" w:hAnsi="Arial"/>
          <w:sz w:val="18"/>
          <w:szCs w:val="18"/>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84" w:name="page185"/>
    <w:bookmarkEnd w:id="184"/>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64" w:lineRule="exact"/>
        <w:rPr>
          <w:sz w:val="20"/>
          <w:szCs w:val="20"/>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69" w:lineRule="exact"/>
        <w:rPr>
          <w:sz w:val="20"/>
          <w:szCs w:val="20"/>
          <w:color w:val="auto"/>
        </w:rPr>
      </w:pPr>
    </w:p>
    <w:p>
      <w:pPr>
        <w:ind w:left="980" w:right="240" w:firstLine="408"/>
        <w:spacing w:after="0" w:line="291" w:lineRule="auto"/>
        <w:tabs>
          <w:tab w:leader="none" w:pos="159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58" w:lineRule="exact"/>
        <w:rPr>
          <w:rFonts w:ascii="Arial" w:cs="Arial" w:eastAsia="Arial" w:hAnsi="Arial"/>
          <w:sz w:val="16"/>
          <w:szCs w:val="16"/>
          <w:color w:val="auto"/>
        </w:rPr>
      </w:pPr>
    </w:p>
    <w:p>
      <w:pPr>
        <w:ind w:left="980" w:firstLine="408"/>
        <w:spacing w:after="0" w:line="277" w:lineRule="auto"/>
        <w:tabs>
          <w:tab w:leader="none" w:pos="16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85" w:name="page186"/>
    <w:bookmarkEnd w:id="185"/>
    <w:p>
      <w:pPr>
        <w:ind w:left="98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standby trustee in arrangement, reorganization, liquidation or other bankruptcy or insolvency proceedings or person performing similar functions in comparable proceedings, and</w:t>
      </w:r>
    </w:p>
    <w:p>
      <w:pPr>
        <w:spacing w:after="0" w:line="62" w:lineRule="exact"/>
        <w:rPr>
          <w:sz w:val="20"/>
          <w:szCs w:val="20"/>
          <w:color w:val="auto"/>
        </w:rPr>
      </w:pPr>
    </w:p>
    <w:p>
      <w:pPr>
        <w:ind w:left="980" w:right="20" w:firstLine="408"/>
        <w:spacing w:after="0" w:line="291" w:lineRule="auto"/>
        <w:tabs>
          <w:tab w:leader="none" w:pos="169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66"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86" w:name="page187"/>
    <w:bookmarkEnd w:id="186"/>
    <w:p>
      <w:pPr>
        <w:ind w:right="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61"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r>
        <w:rPr>
          <w:rFonts w:ascii="Arial" w:cs="Arial" w:eastAsia="Arial" w:hAnsi="Arial"/>
          <w:sz w:val="18"/>
          <w:szCs w:val="18"/>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88"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Limitations on Suits by Securityholders</w:t>
      </w:r>
      <w:r>
        <w:rPr>
          <w:rFonts w:ascii="Arial" w:cs="Arial" w:eastAsia="Arial" w:hAnsi="Arial"/>
          <w:sz w:val="17"/>
          <w:szCs w:val="17"/>
          <w:color w:val="auto"/>
        </w:rPr>
        <w:t>. No Holder of any Security of any series shall have any right by virtue, or by availing itself, of any provision of this Indenture to institute any action or proceeding at law or in equity or in bankruptcy or otherwise upon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87" w:name="page188"/>
    <w:bookmarkEnd w:id="18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74" w:lineRule="exact"/>
        <w:rPr>
          <w:sz w:val="20"/>
          <w:szCs w:val="20"/>
          <w:color w:val="auto"/>
        </w:rPr>
      </w:pPr>
    </w:p>
    <w:p>
      <w:pPr>
        <w:ind w:right="220" w:firstLine="440"/>
        <w:spacing w:after="0" w:line="28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Unconditional Right of Securityholders to Institute Certain Suits</w:t>
      </w:r>
      <w:r>
        <w:rPr>
          <w:rFonts w:ascii="Arial" w:cs="Arial" w:eastAsia="Arial" w:hAnsi="Arial"/>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88" w:name="page189"/>
    <w:bookmarkEnd w:id="188"/>
    <w:p>
      <w:pPr>
        <w:jc w:val="both"/>
        <w:ind w:right="2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5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Control by Holders of Securities</w:t>
      </w:r>
      <w:r>
        <w:rPr>
          <w:rFonts w:ascii="Arial" w:cs="Arial" w:eastAsia="Arial" w:hAnsi="Arial"/>
          <w:sz w:val="17"/>
          <w:szCs w:val="17"/>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7"/>
          <w:szCs w:val="17"/>
          <w:i w:val="1"/>
          <w:iCs w:val="1"/>
          <w:color w:val="auto"/>
        </w:rPr>
        <w:t>provided</w:t>
      </w:r>
      <w:r>
        <w:rPr>
          <w:rFonts w:ascii="Arial" w:cs="Arial" w:eastAsia="Arial" w:hAnsi="Arial"/>
          <w:sz w:val="17"/>
          <w:szCs w:val="17"/>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8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Waiver of Past Defaults</w:t>
      </w:r>
      <w:r>
        <w:rPr>
          <w:rFonts w:ascii="Arial" w:cs="Arial" w:eastAsia="Arial" w:hAnsi="Arial"/>
          <w:sz w:val="17"/>
          <w:szCs w:val="17"/>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1"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Trustee to Give Notice of Default</w:t>
      </w:r>
      <w:r>
        <w:rPr>
          <w:rFonts w:ascii="Arial" w:cs="Arial" w:eastAsia="Arial" w:hAnsi="Arial"/>
          <w:sz w:val="17"/>
          <w:szCs w:val="17"/>
          <w:color w:val="auto"/>
        </w:rPr>
        <w:t>. The Trustee shall, within 90 days after the occurrence of a default with respect to the Securities of any series, give notice of all defaults with respect to that series known to the Trustee to all Holders of Securities of such series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89" w:name="page190"/>
    <w:bookmarkEnd w:id="189"/>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manner and to the extent provided in Sections 4.03 and 11.04, unless in each case such defaults shall have been cured before the giving of such notice (the term “</w:t>
      </w:r>
      <w:r>
        <w:rPr>
          <w:rFonts w:ascii="Arial" w:cs="Arial" w:eastAsia="Arial" w:hAnsi="Arial"/>
          <w:sz w:val="16"/>
          <w:szCs w:val="16"/>
          <w:b w:val="1"/>
          <w:bCs w:val="1"/>
          <w:color w:val="auto"/>
        </w:rPr>
        <w:t>defaults</w:t>
      </w:r>
      <w:r>
        <w:rPr>
          <w:rFonts w:ascii="Arial" w:cs="Arial" w:eastAsia="Arial" w:hAnsi="Arial"/>
          <w:sz w:val="16"/>
          <w:szCs w:val="16"/>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6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Right of Court to Require Filing of Undertaking to Pay Costs</w:t>
      </w:r>
      <w:r>
        <w:rPr>
          <w:rFonts w:ascii="Arial" w:cs="Arial" w:eastAsia="Arial" w:hAnsi="Arial"/>
          <w:sz w:val="17"/>
          <w:szCs w:val="17"/>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211"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Certain Rights of the Trustee.</w:t>
      </w:r>
      <w:r>
        <w:rPr>
          <w:rFonts w:ascii="Arial" w:cs="Arial" w:eastAsia="Arial" w:hAnsi="Arial"/>
          <w:sz w:val="17"/>
          <w:szCs w:val="17"/>
          <w:color w:val="auto"/>
        </w:rPr>
        <w:t xml:space="preserve"> In furtherance of and subject to the Trust Indenture Act of 1939 and subject to Section 6.01: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90" w:name="page191"/>
    <w:bookmarkEnd w:id="190"/>
    <w:p>
      <w:pPr>
        <w:ind w:right="80" w:firstLine="987"/>
        <w:spacing w:after="0" w:line="301" w:lineRule="auto"/>
        <w:tabs>
          <w:tab w:leader="none" w:pos="1236"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57" w:lineRule="exact"/>
        <w:rPr>
          <w:rFonts w:ascii="Arial" w:cs="Arial" w:eastAsia="Arial" w:hAnsi="Arial"/>
          <w:sz w:val="16"/>
          <w:szCs w:val="16"/>
          <w:color w:val="auto"/>
        </w:rPr>
      </w:pPr>
    </w:p>
    <w:p>
      <w:pPr>
        <w:ind w:right="320" w:firstLine="987"/>
        <w:spacing w:after="0" w:line="277" w:lineRule="auto"/>
        <w:tabs>
          <w:tab w:leader="none" w:pos="12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right="20" w:firstLine="987"/>
        <w:spacing w:after="0" w:line="263" w:lineRule="auto"/>
        <w:tabs>
          <w:tab w:leader="none" w:pos="12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83" w:lineRule="exact"/>
        <w:rPr>
          <w:rFonts w:ascii="Arial" w:cs="Arial" w:eastAsia="Arial" w:hAnsi="Arial"/>
          <w:sz w:val="18"/>
          <w:szCs w:val="18"/>
          <w:color w:val="auto"/>
        </w:rPr>
      </w:pPr>
    </w:p>
    <w:p>
      <w:pPr>
        <w:jc w:val="both"/>
        <w:ind w:right="80" w:firstLine="987"/>
        <w:spacing w:after="0" w:line="286" w:lineRule="auto"/>
        <w:tabs>
          <w:tab w:leader="none" w:pos="12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65" w:lineRule="exact"/>
        <w:rPr>
          <w:rFonts w:ascii="Arial" w:cs="Arial" w:eastAsia="Arial" w:hAnsi="Arial"/>
          <w:sz w:val="17"/>
          <w:szCs w:val="17"/>
          <w:color w:val="auto"/>
        </w:rPr>
      </w:pPr>
    </w:p>
    <w:p>
      <w:pPr>
        <w:ind w:right="60" w:firstLine="987"/>
        <w:spacing w:after="0" w:line="263" w:lineRule="auto"/>
        <w:tabs>
          <w:tab w:leader="none" w:pos="12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ind w:firstLine="987"/>
        <w:spacing w:after="0" w:line="263" w:lineRule="auto"/>
        <w:tabs>
          <w:tab w:leader="none" w:pos="12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83" w:lineRule="exact"/>
        <w:rPr>
          <w:rFonts w:ascii="Arial" w:cs="Arial" w:eastAsia="Arial" w:hAnsi="Arial"/>
          <w:sz w:val="18"/>
          <w:szCs w:val="18"/>
          <w:color w:val="auto"/>
        </w:rPr>
      </w:pPr>
    </w:p>
    <w:p>
      <w:pPr>
        <w:ind w:right="140" w:firstLine="987"/>
        <w:spacing w:after="0" w:line="342" w:lineRule="auto"/>
        <w:tabs>
          <w:tab w:leader="none" w:pos="12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3" w:lineRule="exact"/>
        <w:rPr>
          <w:rFonts w:ascii="Arial" w:cs="Arial" w:eastAsia="Arial" w:hAnsi="Arial"/>
          <w:sz w:val="16"/>
          <w:szCs w:val="16"/>
          <w:color w:val="auto"/>
        </w:rPr>
      </w:pPr>
    </w:p>
    <w:p>
      <w:pPr>
        <w:ind w:right="360" w:firstLine="987"/>
        <w:spacing w:after="0" w:line="286" w:lineRule="auto"/>
        <w:tabs>
          <w:tab w:leader="none" w:pos="12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91" w:name="page192"/>
    <w:bookmarkEnd w:id="191"/>
    <w:p>
      <w:pPr>
        <w:ind w:right="560" w:firstLine="987"/>
        <w:spacing w:after="0" w:line="277" w:lineRule="auto"/>
        <w:tabs>
          <w:tab w:leader="none" w:pos="1206"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shall not be liable for any action taken or omitted by it in good faith and believed by it to be authorized or within the discretion, rights or powers conferred upon it by this Indenture;</w:t>
      </w:r>
    </w:p>
    <w:p>
      <w:pPr>
        <w:spacing w:after="0" w:line="170" w:lineRule="exact"/>
        <w:rPr>
          <w:rFonts w:ascii="Arial" w:cs="Arial" w:eastAsia="Arial" w:hAnsi="Arial"/>
          <w:sz w:val="18"/>
          <w:szCs w:val="18"/>
          <w:color w:val="auto"/>
        </w:rPr>
      </w:pPr>
    </w:p>
    <w:p>
      <w:pPr>
        <w:ind w:firstLine="987"/>
        <w:spacing w:after="0" w:line="271" w:lineRule="auto"/>
        <w:tabs>
          <w:tab w:leader="none" w:pos="120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78" w:lineRule="exact"/>
        <w:rPr>
          <w:rFonts w:ascii="Arial" w:cs="Arial" w:eastAsia="Arial" w:hAnsi="Arial"/>
          <w:sz w:val="17"/>
          <w:szCs w:val="17"/>
          <w:color w:val="auto"/>
        </w:rPr>
      </w:pPr>
    </w:p>
    <w:p>
      <w:pPr>
        <w:ind w:right="140" w:firstLine="987"/>
        <w:spacing w:after="0" w:line="263"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5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92" w:name="page193"/>
    <w:bookmarkEnd w:id="19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7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2"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84"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Resignation and Removal; Appointment of Successor Trustee.</w:t>
      </w:r>
      <w:r>
        <w:rPr>
          <w:rFonts w:ascii="Arial" w:cs="Arial" w:eastAsia="Arial" w:hAnsi="Arial"/>
          <w:sz w:val="18"/>
          <w:szCs w:val="18"/>
          <w:color w:val="auto"/>
        </w:rPr>
        <w:t xml:space="preserve"> (a) The Trustee, or any trustee or trustees hereafter appointed, may at any time resign with respect to one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93" w:name="page194"/>
    <w:bookmarkEnd w:id="19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81" w:lineRule="exact"/>
        <w:rPr>
          <w:sz w:val="20"/>
          <w:szCs w:val="20"/>
          <w:color w:val="auto"/>
        </w:rPr>
      </w:pPr>
    </w:p>
    <w:p>
      <w:pPr>
        <w:ind w:left="1240" w:hanging="253"/>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980" w:right="20" w:firstLine="408"/>
        <w:spacing w:after="0" w:line="263" w:lineRule="auto"/>
        <w:tabs>
          <w:tab w:leader="none" w:pos="159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75" w:lineRule="exact"/>
        <w:rPr>
          <w:rFonts w:ascii="Arial" w:cs="Arial" w:eastAsia="Arial" w:hAnsi="Arial"/>
          <w:sz w:val="18"/>
          <w:szCs w:val="18"/>
          <w:color w:val="auto"/>
        </w:rPr>
      </w:pPr>
    </w:p>
    <w:p>
      <w:pPr>
        <w:ind w:left="980" w:right="120" w:firstLine="408"/>
        <w:spacing w:after="0" w:line="277" w:lineRule="auto"/>
        <w:tabs>
          <w:tab w:leader="none" w:pos="164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62" w:lineRule="exact"/>
        <w:rPr>
          <w:rFonts w:ascii="Arial" w:cs="Arial" w:eastAsia="Arial" w:hAnsi="Arial"/>
          <w:sz w:val="18"/>
          <w:szCs w:val="18"/>
          <w:color w:val="auto"/>
        </w:rPr>
      </w:pPr>
    </w:p>
    <w:p>
      <w:pPr>
        <w:ind w:left="980" w:right="80" w:firstLine="408"/>
        <w:spacing w:after="0" w:line="263" w:lineRule="auto"/>
        <w:tabs>
          <w:tab w:leader="none" w:pos="169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64" w:lineRule="exact"/>
        <w:rPr>
          <w:sz w:val="20"/>
          <w:szCs w:val="20"/>
          <w:color w:val="auto"/>
        </w:rPr>
      </w:pPr>
    </w:p>
    <w:p>
      <w:pPr>
        <w:ind w:right="500" w:firstLine="987"/>
        <w:spacing w:after="0" w:line="308" w:lineRule="auto"/>
        <w:tabs>
          <w:tab w:leader="none" w:pos="123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94" w:name="page195"/>
    <w:bookmarkEnd w:id="194"/>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respect to the Securities of such series by delivering to the Trustee so removed, to the successor trustee so appointed and to the Issuer the evidence provided for in Section 7.01 of the action in that regard taken by the Securityholders.</w:t>
      </w:r>
    </w:p>
    <w:p>
      <w:pPr>
        <w:spacing w:after="0" w:line="170" w:lineRule="exact"/>
        <w:rPr>
          <w:sz w:val="20"/>
          <w:szCs w:val="20"/>
          <w:color w:val="auto"/>
        </w:rPr>
      </w:pPr>
    </w:p>
    <w:p>
      <w:pPr>
        <w:ind w:right="80" w:firstLine="987"/>
        <w:spacing w:after="0" w:line="263" w:lineRule="auto"/>
        <w:tabs>
          <w:tab w:leader="none" w:pos="12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6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77"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95" w:name="page196"/>
    <w:bookmarkEnd w:id="19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 of Trustee.</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that such corporation shall be qualified under the provisions of Section 310(b) of the Trust Indenture Act of 1939 and eligible under the provisions of</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310(a) of the Trust Indenture Act of 1939, without the execution or filing of any paper or any further act on the part of any of the parties hereto, anything herein to the contrary notwithstanding.</w:t>
      </w:r>
    </w:p>
    <w:p>
      <w:pPr>
        <w:spacing w:after="0" w:line="18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6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96" w:name="page197"/>
    <w:bookmarkEnd w:id="196"/>
    <w:p>
      <w:pPr>
        <w:ind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7.02 </w:t>
      </w:r>
      <w:r>
        <w:rPr>
          <w:rFonts w:ascii="Arial" w:cs="Arial" w:eastAsia="Arial" w:hAnsi="Arial"/>
          <w:sz w:val="17"/>
          <w:szCs w:val="17"/>
          <w:i w:val="1"/>
          <w:iCs w:val="1"/>
          <w:color w:val="auto"/>
        </w:rPr>
        <w:t>Proof of Execution of Instruments and of Holding of Securities.</w:t>
      </w:r>
      <w:r>
        <w:rPr>
          <w:rFonts w:ascii="Arial" w:cs="Arial" w:eastAsia="Arial" w:hAnsi="Arial"/>
          <w:sz w:val="17"/>
          <w:szCs w:val="17"/>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8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6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82"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7.01, of the taking of any action by the Holders of the percentage in aggregate principal amount of the Securities of any or all series, as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97" w:name="page198"/>
    <w:bookmarkEnd w:id="19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84" w:lineRule="exact"/>
        <w:rPr>
          <w:sz w:val="20"/>
          <w:szCs w:val="20"/>
          <w:color w:val="auto"/>
        </w:rPr>
      </w:pPr>
    </w:p>
    <w:p>
      <w:pPr>
        <w:ind w:left="1240" w:hanging="253"/>
        <w:spacing w:after="0"/>
        <w:tabs>
          <w:tab w:leader="none" w:pos="12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248" w:lineRule="exact"/>
        <w:rPr>
          <w:rFonts w:ascii="Arial" w:cs="Arial" w:eastAsia="Arial" w:hAnsi="Arial"/>
          <w:sz w:val="16"/>
          <w:szCs w:val="16"/>
          <w:color w:val="auto"/>
        </w:rPr>
      </w:pPr>
    </w:p>
    <w:p>
      <w:pPr>
        <w:ind w:right="420" w:firstLine="987"/>
        <w:spacing w:after="0" w:line="277"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70" w:lineRule="exact"/>
        <w:rPr>
          <w:rFonts w:ascii="Arial" w:cs="Arial" w:eastAsia="Arial" w:hAnsi="Arial"/>
          <w:sz w:val="18"/>
          <w:szCs w:val="18"/>
          <w:color w:val="auto"/>
        </w:rPr>
      </w:pPr>
    </w:p>
    <w:p>
      <w:pPr>
        <w:ind w:right="300" w:firstLine="987"/>
        <w:spacing w:after="0" w:line="277" w:lineRule="auto"/>
        <w:tabs>
          <w:tab w:leader="none" w:pos="12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comply with the requirements of the Commission in order to effect or maintain the qualification of this Indenture under the Trust Indenture Act of 1939, as amended;</w:t>
      </w:r>
    </w:p>
    <w:p>
      <w:pPr>
        <w:spacing w:after="0" w:line="170" w:lineRule="exact"/>
        <w:rPr>
          <w:rFonts w:ascii="Arial" w:cs="Arial" w:eastAsia="Arial" w:hAnsi="Arial"/>
          <w:sz w:val="18"/>
          <w:szCs w:val="18"/>
          <w:color w:val="auto"/>
        </w:rPr>
      </w:pPr>
    </w:p>
    <w:p>
      <w:pPr>
        <w:ind w:firstLine="987"/>
        <w:spacing w:after="0" w:line="254"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i w:val="1"/>
          <w:iCs w:val="1"/>
          <w:color w:val="auto"/>
        </w:rPr>
        <w:t>provided</w:t>
      </w:r>
      <w:r>
        <w:rPr>
          <w:rFonts w:ascii="Arial" w:cs="Arial" w:eastAsia="Arial" w:hAnsi="Arial"/>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98" w:name="page199"/>
    <w:bookmarkEnd w:id="198"/>
    <w:p>
      <w:pPr>
        <w:ind w:right="360" w:firstLine="987"/>
        <w:spacing w:after="0" w:line="308" w:lineRule="auto"/>
        <w:tabs>
          <w:tab w:leader="none" w:pos="1236"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46" w:lineRule="exact"/>
        <w:rPr>
          <w:rFonts w:ascii="Arial" w:cs="Arial" w:eastAsia="Arial" w:hAnsi="Arial"/>
          <w:sz w:val="17"/>
          <w:szCs w:val="17"/>
          <w:color w:val="auto"/>
        </w:rPr>
      </w:pPr>
    </w:p>
    <w:p>
      <w:pPr>
        <w:ind w:left="1220" w:hanging="233"/>
        <w:spacing w:after="0"/>
        <w:tabs>
          <w:tab w:leader="none" w:pos="1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225" w:lineRule="exact"/>
        <w:rPr>
          <w:rFonts w:ascii="Arial" w:cs="Arial" w:eastAsia="Arial" w:hAnsi="Arial"/>
          <w:sz w:val="18"/>
          <w:szCs w:val="18"/>
          <w:color w:val="auto"/>
        </w:rPr>
      </w:pPr>
    </w:p>
    <w:p>
      <w:pPr>
        <w:jc w:val="both"/>
        <w:ind w:right="360" w:firstLine="987"/>
        <w:spacing w:after="0" w:line="263" w:lineRule="auto"/>
        <w:tabs>
          <w:tab w:leader="none" w:pos="12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83" w:lineRule="exact"/>
        <w:rPr>
          <w:rFonts w:ascii="Arial" w:cs="Arial" w:eastAsia="Arial" w:hAnsi="Arial"/>
          <w:sz w:val="18"/>
          <w:szCs w:val="18"/>
          <w:color w:val="auto"/>
        </w:rPr>
      </w:pPr>
    </w:p>
    <w:p>
      <w:pPr>
        <w:jc w:val="both"/>
        <w:ind w:right="220" w:firstLine="987"/>
        <w:spacing w:after="0" w:line="259" w:lineRule="auto"/>
        <w:tabs>
          <w:tab w:leader="none" w:pos="120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interests of the Holders of the Securities in any material respect.</w:t>
      </w:r>
    </w:p>
    <w:p>
      <w:pPr>
        <w:spacing w:after="0" w:line="23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Supplemental Indentures With Consent of Securityholders.</w:t>
      </w:r>
      <w:r>
        <w:rPr>
          <w:rFonts w:ascii="Arial" w:cs="Arial" w:eastAsia="Arial" w:hAnsi="Arial"/>
          <w:sz w:val="17"/>
          <w:szCs w:val="17"/>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7"/>
          <w:szCs w:val="17"/>
          <w:i w:val="1"/>
          <w:iCs w:val="1"/>
          <w:color w:val="auto"/>
        </w:rPr>
        <w:t>provided</w:t>
      </w:r>
      <w:r>
        <w:rPr>
          <w:rFonts w:ascii="Arial" w:cs="Arial" w:eastAsia="Arial" w:hAnsi="Arial"/>
          <w:sz w:val="17"/>
          <w:szCs w:val="17"/>
          <w:color w:val="auto"/>
        </w:rPr>
        <w:t>, that no such supplemental indenture shall,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99" w:name="page200"/>
    <w:bookmarkEnd w:id="199"/>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7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200" w:name="page201"/>
    <w:bookmarkEnd w:id="200"/>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70"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CONSOLIDATION, MERGER, SALE OR CONVEYANCE</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w:t>
      </w:r>
    </w:p>
    <w:p>
      <w:pPr>
        <w:spacing w:after="0" w:line="1" w:lineRule="exact"/>
        <w:rPr>
          <w:sz w:val="20"/>
          <w:szCs w:val="20"/>
          <w:color w:val="auto"/>
        </w:rPr>
      </w:pPr>
    </w:p>
    <w:p>
      <w:pPr>
        <w:ind w:left="4" w:right="20" w:hanging="4"/>
        <w:spacing w:after="0" w:line="252" w:lineRule="auto"/>
        <w:tabs>
          <w:tab w:leader="none" w:pos="26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201" w:name="page202"/>
    <w:bookmarkEnd w:id="20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7"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6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r>
        <w:rPr>
          <w:rFonts w:ascii="Arial" w:cs="Arial" w:eastAsia="Arial" w:hAnsi="Arial"/>
          <w:sz w:val="18"/>
          <w:szCs w:val="18"/>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SATISFACTION AND DISCHARGE OF INDENTURE; DEFEASANCE;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UNCLAIMED MONEYS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117" w:lineRule="exact"/>
        <w:rPr>
          <w:sz w:val="20"/>
          <w:szCs w:val="20"/>
          <w:color w:val="auto"/>
        </w:rPr>
      </w:pPr>
    </w:p>
    <w:p>
      <w:pPr>
        <w:ind w:left="980" w:right="80" w:firstLine="408"/>
        <w:spacing w:after="0" w:line="311" w:lineRule="auto"/>
        <w:tabs>
          <w:tab w:leader="none" w:pos="159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40" w:lineRule="exact"/>
        <w:rPr>
          <w:rFonts w:ascii="Arial" w:cs="Arial" w:eastAsia="Arial" w:hAnsi="Arial"/>
          <w:sz w:val="16"/>
          <w:szCs w:val="16"/>
          <w:color w:val="auto"/>
        </w:rPr>
      </w:pPr>
    </w:p>
    <w:p>
      <w:pPr>
        <w:ind w:left="980" w:right="20" w:firstLine="408"/>
        <w:spacing w:after="0" w:line="263" w:lineRule="auto"/>
        <w:tabs>
          <w:tab w:leader="none" w:pos="16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202" w:name="page203"/>
    <w:bookmarkEnd w:id="202"/>
    <w:p>
      <w:pPr>
        <w:ind w:left="980" w:right="460" w:firstLine="408"/>
        <w:spacing w:after="0" w:line="263" w:lineRule="auto"/>
        <w:tabs>
          <w:tab w:leader="none" w:pos="1696"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75" w:lineRule="exact"/>
        <w:rPr>
          <w:rFonts w:ascii="Arial" w:cs="Arial" w:eastAsia="Arial" w:hAnsi="Arial"/>
          <w:sz w:val="18"/>
          <w:szCs w:val="18"/>
          <w:color w:val="auto"/>
        </w:rPr>
      </w:pPr>
    </w:p>
    <w:p>
      <w:pPr>
        <w:ind w:left="1420" w:right="20" w:firstLine="391"/>
        <w:spacing w:after="0" w:line="286" w:lineRule="auto"/>
        <w:tabs>
          <w:tab w:leader="none" w:pos="209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57" w:lineRule="exact"/>
        <w:rPr>
          <w:rFonts w:ascii="Arial" w:cs="Arial" w:eastAsia="Arial" w:hAnsi="Arial"/>
          <w:sz w:val="17"/>
          <w:szCs w:val="17"/>
          <w:color w:val="auto"/>
        </w:rPr>
      </w:pPr>
    </w:p>
    <w:p>
      <w:pPr>
        <w:ind w:left="1420" w:firstLine="391"/>
        <w:spacing w:after="0" w:line="269" w:lineRule="auto"/>
        <w:tabs>
          <w:tab w:leader="none" w:pos="208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03" w:name="page204"/>
    <w:bookmarkEnd w:id="20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84" w:lineRule="exact"/>
        <w:rPr>
          <w:sz w:val="20"/>
          <w:szCs w:val="20"/>
          <w:color w:val="auto"/>
        </w:rPr>
      </w:pPr>
    </w:p>
    <w:p>
      <w:pPr>
        <w:ind w:firstLine="987"/>
        <w:spacing w:after="0" w:line="268" w:lineRule="auto"/>
        <w:tabs>
          <w:tab w:leader="none" w:pos="124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7"/>
          <w:szCs w:val="17"/>
          <w:b w:val="1"/>
          <w:bCs w:val="1"/>
          <w:color w:val="auto"/>
        </w:rPr>
        <w:t>Legal Defeasance</w:t>
      </w:r>
      <w:r>
        <w:rPr>
          <w:rFonts w:ascii="Arial" w:cs="Arial" w:eastAsia="Arial" w:hAnsi="Arial"/>
          <w:sz w:val="17"/>
          <w:szCs w:val="17"/>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86" w:lineRule="exact"/>
        <w:rPr>
          <w:rFonts w:ascii="Arial" w:cs="Arial" w:eastAsia="Arial" w:hAnsi="Arial"/>
          <w:sz w:val="17"/>
          <w:szCs w:val="17"/>
          <w:color w:val="auto"/>
        </w:rPr>
      </w:pPr>
    </w:p>
    <w:p>
      <w:pPr>
        <w:ind w:right="20" w:firstLine="987"/>
        <w:spacing w:after="0" w:line="286" w:lineRule="auto"/>
        <w:tabs>
          <w:tab w:leader="none" w:pos="123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204" w:name="page205"/>
    <w:bookmarkEnd w:id="204"/>
    <w:p>
      <w:pPr>
        <w:ind w:left="-20" w:right="340" w:firstLine="987"/>
        <w:spacing w:after="0" w:line="277" w:lineRule="auto"/>
        <w:tabs>
          <w:tab w:leader="none" w:pos="1226"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shall be the conditions to the application of Legal Defeasance (to the extent set forth in subsection (b)), or Covenant Defeasance (to the extent set forth in subsection (c)) to the Securities of the applicable series:</w:t>
      </w:r>
    </w:p>
    <w:p>
      <w:pPr>
        <w:spacing w:after="0" w:line="62" w:lineRule="exact"/>
        <w:rPr>
          <w:rFonts w:ascii="Arial" w:cs="Arial" w:eastAsia="Arial" w:hAnsi="Arial"/>
          <w:sz w:val="18"/>
          <w:szCs w:val="18"/>
          <w:color w:val="auto"/>
        </w:rPr>
      </w:pPr>
    </w:p>
    <w:p>
      <w:pPr>
        <w:ind w:left="960" w:right="60" w:firstLine="408"/>
        <w:spacing w:after="0" w:line="287" w:lineRule="auto"/>
        <w:tabs>
          <w:tab w:leader="none" w:pos="157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59" w:lineRule="exact"/>
        <w:rPr>
          <w:rFonts w:ascii="Arial" w:cs="Arial" w:eastAsia="Arial" w:hAnsi="Arial"/>
          <w:sz w:val="16"/>
          <w:szCs w:val="16"/>
          <w:color w:val="auto"/>
        </w:rPr>
      </w:pPr>
    </w:p>
    <w:p>
      <w:pPr>
        <w:ind w:left="960" w:right="280" w:firstLine="408"/>
        <w:spacing w:after="0" w:line="342" w:lineRule="auto"/>
        <w:tabs>
          <w:tab w:leader="none" w:pos="162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5" w:lineRule="exact"/>
        <w:rPr>
          <w:rFonts w:ascii="Arial" w:cs="Arial" w:eastAsia="Arial" w:hAnsi="Arial"/>
          <w:sz w:val="16"/>
          <w:szCs w:val="16"/>
          <w:color w:val="auto"/>
        </w:rPr>
      </w:pPr>
    </w:p>
    <w:p>
      <w:pPr>
        <w:ind w:left="960" w:right="200" w:firstLine="408"/>
        <w:spacing w:after="0" w:line="263" w:lineRule="auto"/>
        <w:tabs>
          <w:tab w:leader="none" w:pos="167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75" w:lineRule="exact"/>
        <w:rPr>
          <w:rFonts w:ascii="Arial" w:cs="Arial" w:eastAsia="Arial" w:hAnsi="Arial"/>
          <w:sz w:val="18"/>
          <w:szCs w:val="18"/>
          <w:color w:val="auto"/>
        </w:rPr>
      </w:pPr>
    </w:p>
    <w:p>
      <w:pPr>
        <w:ind w:left="960" w:firstLine="408"/>
        <w:spacing w:after="0" w:line="275" w:lineRule="auto"/>
        <w:tabs>
          <w:tab w:leader="none" w:pos="166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60" w:top="274" w:right="459" w:bottom="1440" w:gutter="0" w:footer="0" w:header="0"/>
        </w:sectPr>
      </w:pPr>
    </w:p>
    <w:bookmarkStart w:id="205" w:name="page206"/>
    <w:bookmarkEnd w:id="205"/>
    <w:p>
      <w:pPr>
        <w:ind w:left="98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and will be subject to Federal income tax on the same amounts, in the same manner and at the same times as would be the case if such deposit, defeasance and discharge were not to occur;</w:t>
      </w:r>
    </w:p>
    <w:p>
      <w:pPr>
        <w:spacing w:after="0" w:line="62" w:lineRule="exact"/>
        <w:rPr>
          <w:sz w:val="20"/>
          <w:szCs w:val="20"/>
          <w:color w:val="auto"/>
        </w:rPr>
      </w:pPr>
    </w:p>
    <w:p>
      <w:pPr>
        <w:ind w:left="980" w:right="80" w:firstLine="408"/>
        <w:spacing w:after="0" w:line="257" w:lineRule="auto"/>
        <w:tabs>
          <w:tab w:leader="none" w:pos="163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79" w:lineRule="exact"/>
        <w:rPr>
          <w:rFonts w:ascii="Arial" w:cs="Arial" w:eastAsia="Arial" w:hAnsi="Arial"/>
          <w:sz w:val="18"/>
          <w:szCs w:val="18"/>
          <w:color w:val="auto"/>
        </w:rPr>
      </w:pPr>
    </w:p>
    <w:p>
      <w:pPr>
        <w:ind w:left="980" w:firstLine="408"/>
        <w:spacing w:after="0" w:line="277" w:lineRule="auto"/>
        <w:tabs>
          <w:tab w:leader="none" w:pos="168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4"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r>
        <w:rPr>
          <w:rFonts w:ascii="Arial" w:cs="Arial" w:eastAsia="Arial" w:hAnsi="Arial"/>
          <w:sz w:val="18"/>
          <w:szCs w:val="18"/>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440" w:top="274" w:right="559" w:bottom="1440" w:gutter="0" w:footer="0" w:header="0"/>
        </w:sectPr>
      </w:pPr>
    </w:p>
    <w:bookmarkStart w:id="206" w:name="page207"/>
    <w:bookmarkEnd w:id="206"/>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10.05 </w:t>
      </w:r>
      <w:r>
        <w:rPr>
          <w:rFonts w:ascii="Arial" w:cs="Arial" w:eastAsia="Arial" w:hAnsi="Arial"/>
          <w:sz w:val="18"/>
          <w:szCs w:val="18"/>
          <w:i w:val="1"/>
          <w:iCs w:val="1"/>
          <w:color w:val="auto"/>
        </w:rPr>
        <w:t>Indemnity for U.S. Government Obligations and Foreign Government Obligations.</w:t>
      </w:r>
      <w:r>
        <w:rPr>
          <w:rFonts w:ascii="Arial" w:cs="Arial" w:eastAsia="Arial" w:hAnsi="Arial"/>
          <w:sz w:val="18"/>
          <w:szCs w:val="18"/>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68"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5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Notices and Demands on Issuer, Trustee and Holders of Securities.</w:t>
      </w:r>
      <w:r>
        <w:rPr>
          <w:rFonts w:ascii="Arial" w:cs="Arial" w:eastAsia="Arial" w:hAnsi="Arial"/>
          <w:sz w:val="18"/>
          <w:szCs w:val="18"/>
          <w:color w:val="auto"/>
        </w:rPr>
        <w:t xml:space="preserve"> Any notice or demand which by any provision of this Indenture is required or permitted to be given or served by the Trustee or by the Holders of Securities to or on the Issuer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207" w:name="page208"/>
    <w:bookmarkEnd w:id="20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delivered, given or served by being deposited postage prepaid, first-class mail (except as otherwise specifically provided herein) addressed (until another address of the Issuer is filed by the Issuer with the Trustee) to Fulcrum Therapeutics, Inc., 26 Landsdowne Street, Cambridge, MA 02139, Attn: Chief Operating Officer. Any notice, direction, request or demand by the Issuer or any Holder of Securities to or upon the Trustee shall be deemed to have</w:t>
      </w:r>
    </w:p>
    <w:p>
      <w:pPr>
        <w:spacing w:after="0" w:line="2" w:lineRule="exact"/>
        <w:rPr>
          <w:sz w:val="20"/>
          <w:szCs w:val="20"/>
          <w:color w:val="auto"/>
        </w:rPr>
      </w:pPr>
    </w:p>
    <w:p>
      <w:pPr>
        <w:spacing w:after="0"/>
        <w:tabs>
          <w:tab w:leader="none" w:pos="5860" w:val="left"/>
          <w:tab w:leader="none" w:pos="6840" w:val="left"/>
          <w:tab w:leader="none" w:pos="8240" w:val="left"/>
        </w:tabs>
        <w:rPr>
          <w:sz w:val="20"/>
          <w:szCs w:val="20"/>
          <w:color w:val="auto"/>
        </w:rPr>
      </w:pPr>
      <w:r>
        <w:rPr>
          <w:rFonts w:ascii="Arial" w:cs="Arial" w:eastAsia="Arial" w:hAnsi="Arial"/>
          <w:sz w:val="18"/>
          <w:szCs w:val="18"/>
          <w:color w:val="auto"/>
        </w:rPr>
        <w:t>been sufficiently given or made, for all purposes, if given or made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Attn: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7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84"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08" w:name="page209"/>
    <w:bookmarkEnd w:id="208"/>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209" w:name="page210"/>
    <w:bookmarkEnd w:id="209"/>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 SINKING FUNDS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providing notice of such redemption at least 30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85" w:lineRule="exact"/>
        <w:rPr>
          <w:sz w:val="20"/>
          <w:szCs w:val="20"/>
          <w:color w:val="auto"/>
        </w:rPr>
      </w:pPr>
    </w:p>
    <w:p>
      <w:pPr>
        <w:jc w:val="both"/>
        <w:ind w:right="620" w:firstLine="440"/>
        <w:spacing w:after="0" w:line="263" w:lineRule="auto"/>
        <w:rPr>
          <w:sz w:val="20"/>
          <w:szCs w:val="20"/>
          <w:color w:val="auto"/>
        </w:rPr>
      </w:pPr>
      <w:r>
        <w:rPr>
          <w:rFonts w:ascii="Arial" w:cs="Arial" w:eastAsia="Arial" w:hAnsi="Arial"/>
          <w:sz w:val="18"/>
          <w:szCs w:val="18"/>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210" w:name="page211"/>
    <w:bookmarkEnd w:id="210"/>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92"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7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11" w:name="page212"/>
    <w:bookmarkEnd w:id="211"/>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12.03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7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212" w:name="page213"/>
    <w:bookmarkEnd w:id="212"/>
    <w:p>
      <w:pPr>
        <w:ind w:right="26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82"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213" w:name="page214"/>
    <w:bookmarkEnd w:id="21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39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214" w:name="page215"/>
    <w:bookmarkEnd w:id="2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SUBORDINATION OF SECURITIES</w:t>
      </w:r>
    </w:p>
    <w:p>
      <w:pPr>
        <w:spacing w:after="0" w:line="211"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i w:val="1"/>
          <w:iCs w:val="1"/>
          <w:color w:val="auto"/>
        </w:rPr>
        <w:t>Agreement of Subordination.</w:t>
      </w:r>
      <w:r>
        <w:rPr>
          <w:rFonts w:ascii="Arial" w:cs="Arial" w:eastAsia="Arial" w:hAnsi="Arial"/>
          <w:sz w:val="17"/>
          <w:szCs w:val="17"/>
          <w:color w:val="auto"/>
        </w:rPr>
        <w:t xml:space="preserve"> 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provisions of this Article 13 define the subordination of the Securities, as obligations of the Issuer, with respect to Senior Indebtedness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provision of this Article 13 shall prevent the occurrence of any default or Event of Default hereunder.</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i w:val="1"/>
          <w:iCs w:val="1"/>
          <w:color w:val="auto"/>
        </w:rPr>
        <w:t>Payments to Securityholders.</w:t>
      </w:r>
      <w:r>
        <w:rPr>
          <w:rFonts w:ascii="Arial" w:cs="Arial" w:eastAsia="Arial" w:hAnsi="Arial"/>
          <w:sz w:val="17"/>
          <w:szCs w:val="17"/>
          <w:color w:val="auto"/>
        </w:rPr>
        <w:t xml:space="preserve">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 of such default and payments made pursuant to Article 10 hereof from monies deposited with the Trustee pursuant thereto prior to the happening of such default.</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4" w:right="499" w:bottom="1440" w:gutter="0" w:footer="0" w:header="0"/>
        </w:sectPr>
      </w:pPr>
    </w:p>
    <w:bookmarkStart w:id="215" w:name="page216"/>
    <w:bookmarkEnd w:id="215"/>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spacing w:after="0" w:line="16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w:t>
      </w:r>
    </w:p>
    <w:p>
      <w:pPr>
        <w:spacing w:after="0" w:line="17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i w:val="1"/>
          <w:iCs w:val="1"/>
          <w:color w:val="auto"/>
        </w:rPr>
        <w:t>Subrogation of Securities.</w:t>
      </w:r>
      <w:r>
        <w:rPr>
          <w:rFonts w:ascii="Arial" w:cs="Arial" w:eastAsia="Arial" w:hAnsi="Arial"/>
          <w:sz w:val="17"/>
          <w:szCs w:val="17"/>
          <w:color w:val="auto"/>
        </w:rPr>
        <w:t xml:space="preserve">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216" w:name="page217"/>
    <w:bookmarkEnd w:id="216"/>
    <w:p>
      <w:pPr>
        <w:ind w:left="4"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spacing w:after="0" w:line="12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spacing w:after="0" w:line="166"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spacing w:after="0" w:line="178"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xml:space="preserve"> 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spacing w:after="0" w:line="184"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i w:val="1"/>
          <w:iCs w:val="1"/>
          <w:color w:val="auto"/>
        </w:rPr>
        <w:t>Notice to Trustee.</w:t>
      </w:r>
      <w:r>
        <w:rPr>
          <w:rFonts w:ascii="Arial" w:cs="Arial" w:eastAsia="Arial" w:hAnsi="Arial"/>
          <w:sz w:val="16"/>
          <w:szCs w:val="16"/>
          <w:color w:val="auto"/>
        </w:rPr>
        <w:t xml:space="preserve"> The Issuer shall give prompt written notice to a Responsible Officer of the Trustee of any fact known to the Issuer which would prohibit the making of any payment of monies to or by the Trustee in respect of the Securities pursuant to the provisions of this Article</w:t>
      </w:r>
    </w:p>
    <w:p>
      <w:pPr>
        <w:ind w:left="4" w:right="20" w:hanging="4"/>
        <w:spacing w:after="0" w:line="268" w:lineRule="auto"/>
        <w:tabs>
          <w:tab w:leader="none" w:pos="27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217" w:name="page218"/>
    <w:bookmarkEnd w:id="217"/>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spacing w:after="0" w:line="1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xml:space="preserve">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i w:val="1"/>
          <w:iCs w:val="1"/>
          <w:color w:val="auto"/>
        </w:rPr>
        <w:t>No Impairment of Subordination.</w:t>
      </w:r>
      <w:r>
        <w:rPr>
          <w:rFonts w:ascii="Arial" w:cs="Arial" w:eastAsia="Arial" w:hAnsi="Arial"/>
          <w:sz w:val="17"/>
          <w:szCs w:val="17"/>
          <w:color w:val="auto"/>
        </w:rPr>
        <w:t xml:space="preserve"> 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i w:val="1"/>
          <w:iCs w:val="1"/>
          <w:color w:val="auto"/>
        </w:rPr>
        <w:t>Rights of Trustee.</w:t>
      </w:r>
      <w:r>
        <w:rPr>
          <w:rFonts w:ascii="Arial" w:cs="Arial" w:eastAsia="Arial" w:hAnsi="Arial"/>
          <w:sz w:val="17"/>
          <w:szCs w:val="17"/>
          <w:color w:val="auto"/>
        </w:rPr>
        <w:t xml:space="preserve"> Nothing in this Article 13 shall apply to claims of or payments to, the Trustee pursuant to Section 6.06.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218" w:name="page219"/>
    <w:bookmarkEnd w:id="218"/>
    <w:p>
      <w:pPr>
        <w:spacing w:after="0"/>
        <w:tabs>
          <w:tab w:leader="none" w:pos="7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Indenture to be duly executed as of</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FULCRUM THERAPEUTICS,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019"/>
          </w:cols>
          <w:pgMar w:left="440" w:top="274" w:right="1440"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Senior Note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 PURPOSES OF SECTIONS 1272 , 1273, and 1275 OF THE INTERNAL REVENUE CODE OF 1986, AS AMENDED (“THE CODE”), THIS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IS BEING ISSUED WITH ORIGINAL ISSUE DISCOUNT. THE AMOUNT OF ORIGINAL ISSUE DISCOUNT (AS DEFINED IN SECTION</w:t>
      </w:r>
    </w:p>
    <w:p>
      <w:pPr>
        <w:spacing w:after="0"/>
        <w:tabs>
          <w:tab w:leader="none" w:pos="10160" w:val="left"/>
        </w:tabs>
        <w:rPr>
          <w:sz w:val="20"/>
          <w:szCs w:val="20"/>
          <w:color w:val="auto"/>
        </w:rPr>
      </w:pPr>
      <w:r>
        <w:rPr>
          <w:rFonts w:ascii="Arial" w:cs="Arial" w:eastAsia="Arial" w:hAnsi="Arial"/>
          <w:sz w:val="18"/>
          <w:szCs w:val="18"/>
          <w:i w:val="1"/>
          <w:iCs w:val="1"/>
          <w:color w:val="auto"/>
        </w:rPr>
        <w:t>1273(A)(1) OF THE CODE AND TREASURY REGULATION SECTION 1.1273-1(A)) WITH RESPECT TO THIS SECURITY IS</w:t>
      </w:r>
      <w:r>
        <w:rPr>
          <w:sz w:val="20"/>
          <w:szCs w:val="20"/>
          <w:color w:val="auto"/>
        </w:rPr>
        <w:tab/>
      </w:r>
      <w:r>
        <w:rPr>
          <w:rFonts w:ascii="Arial" w:cs="Arial" w:eastAsia="Arial" w:hAnsi="Arial"/>
          <w:sz w:val="16"/>
          <w:szCs w:val="16"/>
          <w:i w:val="1"/>
          <w:iCs w:val="1"/>
          <w:color w:val="auto"/>
        </w:rPr>
        <w:t>,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 DATE (AS DEFINED IN SECTION 1275(A)(2) OF THE CODE AND TREASURY REGULATION SECTION 1.1273-2(A)(2)) OF THIS</w:t>
      </w:r>
    </w:p>
    <w:p>
      <w:pPr>
        <w:spacing w:after="0" w:line="2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i w:val="1"/>
          <w:iCs w:val="1"/>
          <w:color w:val="auto"/>
        </w:rPr>
        <w:t>SECURITY IS</w:t>
      </w:r>
      <w:r>
        <w:rPr>
          <w:sz w:val="20"/>
          <w:szCs w:val="20"/>
          <w:color w:val="auto"/>
        </w:rPr>
        <w:tab/>
      </w:r>
      <w:r>
        <w:rPr>
          <w:rFonts w:ascii="Arial" w:cs="Arial" w:eastAsia="Arial" w:hAnsi="Arial"/>
          <w:sz w:val="16"/>
          <w:szCs w:val="16"/>
          <w:i w:val="1"/>
          <w:iCs w:val="1"/>
          <w:color w:val="auto"/>
        </w:rPr>
        <w:t>, THE ISSUE PRICE (AS DEFINED IN SECTION 1273(B) OF THE CODE AND TREASURY REGULATION SECTION</w:t>
      </w:r>
    </w:p>
    <w:p>
      <w:pPr>
        <w:spacing w:after="0" w:line="9"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i w:val="1"/>
          <w:iCs w:val="1"/>
          <w:color w:val="auto"/>
        </w:rPr>
        <w:t>1.1273-2(A)) OF THIS SECURITY IS</w:t>
      </w:r>
      <w:r>
        <w:rPr>
          <w:sz w:val="20"/>
          <w:szCs w:val="20"/>
          <w:color w:val="auto"/>
        </w:rPr>
        <w:tab/>
      </w:r>
      <w:r>
        <w:rPr>
          <w:rFonts w:ascii="Arial" w:cs="Arial" w:eastAsia="Arial" w:hAnsi="Arial"/>
          <w:sz w:val="16"/>
          <w:szCs w:val="16"/>
          <w:i w:val="1"/>
          <w:iCs w:val="1"/>
          <w:color w:val="auto"/>
        </w:rPr>
        <w:t>, AND THE YIELD TO MATURITY (AS DEFINED IN TREASURY REGULATION SECTION</w:t>
      </w:r>
    </w:p>
    <w:p>
      <w:pPr>
        <w:spacing w:after="0" w:line="9"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i w:val="1"/>
          <w:iCs w:val="1"/>
          <w:color w:val="auto"/>
        </w:rPr>
        <w:t>1.1272-1(B)) OF THIS SECURITY IS</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color w:val="auto"/>
        </w:rPr>
        <w:t>] ]</w:t>
      </w:r>
    </w:p>
    <w:p>
      <w:pPr>
        <w:sectPr>
          <w:pgSz w:w="11900" w:h="16838" w:orient="portrait"/>
          <w:cols w:equalWidth="0" w:num="1">
            <w:col w:w="11020"/>
          </w:cols>
          <w:pgMar w:left="440" w:top="121" w:right="4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FULCRUM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Title of Security ]</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No. [  ]</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CUSIP No.: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[Common Code][ISIN]: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0940" w:type="dxa"/>
            <w:vAlign w:val="bottom"/>
            <w:gridSpan w:val="7"/>
          </w:tcPr>
          <w:p>
            <w:pPr>
              <w:jc w:val="right"/>
              <w:ind w:right="70"/>
              <w:spacing w:after="0"/>
              <w:rPr>
                <w:sz w:val="20"/>
                <w:szCs w:val="20"/>
                <w:color w:val="auto"/>
              </w:rPr>
            </w:pPr>
            <w:r>
              <w:rPr>
                <w:rFonts w:ascii="Arial" w:cs="Arial" w:eastAsia="Arial" w:hAnsi="Arial"/>
                <w:sz w:val="18"/>
                <w:szCs w:val="18"/>
                <w:color w:val="auto"/>
                <w:w w:val="96"/>
              </w:rPr>
              <w:t>FULCRUM THERAPEUTICS, INC., a Delaware corporation (the “Issuer”, which term includes any successor corporation), for value received</w:t>
            </w:r>
          </w:p>
        </w:tc>
        <w:tc>
          <w:tcPr>
            <w:tcW w:w="80" w:type="dxa"/>
            <w:vAlign w:val="bottom"/>
          </w:tcPr>
          <w:p>
            <w:pPr>
              <w:spacing w:after="0"/>
              <w:rPr>
                <w:sz w:val="24"/>
                <w:szCs w:val="24"/>
                <w:color w:val="auto"/>
              </w:rPr>
            </w:pPr>
          </w:p>
        </w:tc>
      </w:tr>
      <w:tr>
        <w:trPr>
          <w:trHeight w:val="216"/>
        </w:trPr>
        <w:tc>
          <w:tcPr>
            <w:tcW w:w="8580" w:type="dxa"/>
            <w:vAlign w:val="bottom"/>
            <w:gridSpan w:val="6"/>
          </w:tcPr>
          <w:p>
            <w:pPr>
              <w:spacing w:after="0"/>
              <w:rPr>
                <w:sz w:val="20"/>
                <w:szCs w:val="20"/>
                <w:color w:val="auto"/>
              </w:rPr>
            </w:pPr>
            <w:r>
              <w:rPr>
                <w:rFonts w:ascii="Arial" w:cs="Arial" w:eastAsia="Arial" w:hAnsi="Arial"/>
                <w:sz w:val="18"/>
                <w:szCs w:val="18"/>
                <w:color w:val="auto"/>
                <w:w w:val="95"/>
              </w:rPr>
              <w:t>promises to pay to [</w:t>
            </w:r>
            <w:r>
              <w:rPr>
                <w:rFonts w:ascii="Arial" w:cs="Arial" w:eastAsia="Arial" w:hAnsi="Arial"/>
                <w:sz w:val="18"/>
                <w:szCs w:val="18"/>
                <w:i w:val="1"/>
                <w:iCs w:val="1"/>
                <w:color w:val="auto"/>
                <w:w w:val="95"/>
              </w:rPr>
              <w:t>If the Security is a Global Security —</w:t>
            </w:r>
            <w:r>
              <w:rPr>
                <w:rFonts w:ascii="Arial" w:cs="Arial" w:eastAsia="Arial" w:hAnsi="Arial"/>
                <w:sz w:val="18"/>
                <w:szCs w:val="18"/>
                <w:color w:val="auto"/>
                <w:w w:val="95"/>
              </w:rPr>
              <w:t xml:space="preserve"> CEDE &amp; CO.][</w:t>
            </w:r>
            <w:r>
              <w:rPr>
                <w:rFonts w:ascii="Arial" w:cs="Arial" w:eastAsia="Arial" w:hAnsi="Arial"/>
                <w:sz w:val="18"/>
                <w:szCs w:val="18"/>
                <w:i w:val="1"/>
                <w:iCs w:val="1"/>
                <w:color w:val="auto"/>
                <w:w w:val="95"/>
              </w:rPr>
              <w:t>If the Security is not a Global Security —</w:t>
            </w: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 or registered assigns,</w:t>
            </w:r>
          </w:p>
        </w:tc>
        <w:tc>
          <w:tcPr>
            <w:tcW w:w="8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the principal sum of</w:t>
            </w:r>
          </w:p>
        </w:tc>
        <w:tc>
          <w:tcPr>
            <w:tcW w:w="1100" w:type="dxa"/>
            <w:vAlign w:val="bottom"/>
          </w:tcPr>
          <w:p>
            <w:pPr>
              <w:ind w:left="800"/>
              <w:spacing w:after="0"/>
              <w:rPr>
                <w:sz w:val="20"/>
                <w:szCs w:val="20"/>
                <w:color w:val="auto"/>
              </w:rPr>
            </w:pPr>
            <w:r>
              <w:rPr>
                <w:rFonts w:ascii="Arial" w:cs="Arial" w:eastAsia="Arial" w:hAnsi="Arial"/>
                <w:sz w:val="18"/>
                <w:szCs w:val="18"/>
                <w:color w:val="auto"/>
              </w:rPr>
              <w:t>on</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140" w:type="dxa"/>
            <w:vAlign w:val="bottom"/>
            <w:gridSpan w:val="4"/>
          </w:tcPr>
          <w:p>
            <w:pPr>
              <w:jc w:val="right"/>
              <w:ind w:right="130"/>
              <w:spacing w:after="0"/>
              <w:rPr>
                <w:sz w:val="20"/>
                <w:szCs w:val="20"/>
                <w:color w:val="auto"/>
              </w:rPr>
            </w:pPr>
            <w:r>
              <w:rPr>
                <w:rFonts w:ascii="Arial" w:cs="Arial" w:eastAsia="Arial" w:hAnsi="Arial"/>
                <w:sz w:val="18"/>
                <w:szCs w:val="18"/>
                <w:color w:val="auto"/>
                <w:w w:val="95"/>
              </w:rPr>
              <w:t>(the “Maturity Date”) [</w:t>
            </w:r>
            <w:r>
              <w:rPr>
                <w:rFonts w:ascii="Arial" w:cs="Arial" w:eastAsia="Arial" w:hAnsi="Arial"/>
                <w:sz w:val="18"/>
                <w:szCs w:val="18"/>
                <w:i w:val="1"/>
                <w:iCs w:val="1"/>
                <w:color w:val="auto"/>
                <w:w w:val="95"/>
              </w:rPr>
              <w:t>If the Security is to bear interest prior to maturity, insert—</w:t>
            </w:r>
            <w:r>
              <w:rPr>
                <w:rFonts w:ascii="Arial" w:cs="Arial" w:eastAsia="Arial" w:hAnsi="Arial"/>
                <w:sz w:val="18"/>
                <w:szCs w:val="18"/>
                <w:color w:val="auto"/>
                <w:w w:val="95"/>
              </w:rPr>
              <w:t>, and to pay</w:t>
            </w:r>
          </w:p>
        </w:tc>
        <w:tc>
          <w:tcPr>
            <w:tcW w:w="8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96"/>
              </w:rPr>
              <w:t>interest thereon from</w:t>
            </w:r>
          </w:p>
        </w:tc>
        <w:tc>
          <w:tcPr>
            <w:tcW w:w="9320" w:type="dxa"/>
            <w:vAlign w:val="bottom"/>
            <w:gridSpan w:val="6"/>
          </w:tcPr>
          <w:p>
            <w:pPr>
              <w:jc w:val="right"/>
              <w:ind w:right="10"/>
              <w:spacing w:after="0"/>
              <w:rPr>
                <w:sz w:val="20"/>
                <w:szCs w:val="20"/>
                <w:color w:val="auto"/>
              </w:rPr>
            </w:pPr>
            <w:r>
              <w:rPr>
                <w:rFonts w:ascii="Arial" w:cs="Arial" w:eastAsia="Arial" w:hAnsi="Arial"/>
                <w:sz w:val="18"/>
                <w:szCs w:val="18"/>
                <w:color w:val="auto"/>
              </w:rPr>
              <w:t xml:space="preserve">or from the most recent interest payment date to which interest has been paid or duly provided for, </w:t>
            </w:r>
            <w:r>
              <w:rPr>
                <w:rFonts w:ascii="Arial" w:cs="Arial" w:eastAsia="Arial" w:hAnsi="Arial"/>
                <w:sz w:val="18"/>
                <w:szCs w:val="18"/>
                <w:i w:val="1"/>
                <w:iCs w:val="1"/>
                <w:color w:val="auto"/>
              </w:rPr>
              <w:t>[semiannually in</w:t>
            </w:r>
          </w:p>
        </w:tc>
        <w:tc>
          <w:tcPr>
            <w:tcW w:w="8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i w:val="1"/>
                <w:iCs w:val="1"/>
                <w:color w:val="auto"/>
              </w:rPr>
              <w:t>arrears on</w:t>
            </w:r>
          </w:p>
        </w:tc>
        <w:tc>
          <w:tcPr>
            <w:tcW w:w="1100" w:type="dxa"/>
            <w:vAlign w:val="bottom"/>
          </w:tcPr>
          <w:p>
            <w:pPr>
              <w:ind w:left="120"/>
              <w:spacing w:after="0"/>
              <w:rPr>
                <w:sz w:val="20"/>
                <w:szCs w:val="20"/>
                <w:color w:val="auto"/>
              </w:rPr>
            </w:pPr>
            <w:r>
              <w:rPr>
                <w:rFonts w:ascii="Arial" w:cs="Arial" w:eastAsia="Arial" w:hAnsi="Arial"/>
                <w:sz w:val="18"/>
                <w:szCs w:val="18"/>
                <w:i w:val="1"/>
                <w:iCs w:val="1"/>
                <w:color w:val="auto"/>
              </w:rPr>
              <w:t>and</w:t>
            </w:r>
          </w:p>
        </w:tc>
        <w:tc>
          <w:tcPr>
            <w:tcW w:w="2720" w:type="dxa"/>
            <w:vAlign w:val="bottom"/>
            <w:gridSpan w:val="2"/>
          </w:tcPr>
          <w:p>
            <w:pPr>
              <w:ind w:left="280"/>
              <w:spacing w:after="0"/>
              <w:rPr>
                <w:sz w:val="20"/>
                <w:szCs w:val="20"/>
                <w:color w:val="auto"/>
              </w:rPr>
            </w:pPr>
            <w:r>
              <w:rPr>
                <w:rFonts w:ascii="Arial" w:cs="Arial" w:eastAsia="Arial" w:hAnsi="Arial"/>
                <w:sz w:val="18"/>
                <w:szCs w:val="18"/>
                <w:i w:val="1"/>
                <w:iCs w:val="1"/>
                <w:color w:val="auto"/>
              </w:rPr>
              <w:t>in each year</w:t>
            </w:r>
            <w:r>
              <w:rPr>
                <w:rFonts w:ascii="Arial" w:cs="Arial" w:eastAsia="Arial" w:hAnsi="Arial"/>
                <w:sz w:val="18"/>
                <w:szCs w:val="18"/>
                <w:color w:val="auto"/>
              </w:rPr>
              <w:t>], commencing</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80" w:type="dxa"/>
            <w:vAlign w:val="bottom"/>
            <w:gridSpan w:val="2"/>
          </w:tcPr>
          <w:p>
            <w:pPr>
              <w:jc w:val="right"/>
              <w:ind w:right="310"/>
              <w:spacing w:after="0"/>
              <w:rPr>
                <w:sz w:val="20"/>
                <w:szCs w:val="20"/>
                <w:color w:val="auto"/>
              </w:rPr>
            </w:pPr>
            <w:r>
              <w:rPr>
                <w:rFonts w:ascii="Arial" w:cs="Arial" w:eastAsia="Arial" w:hAnsi="Arial"/>
                <w:sz w:val="18"/>
                <w:szCs w:val="18"/>
                <w:color w:val="auto"/>
                <w:w w:val="96"/>
              </w:rPr>
              <w:t xml:space="preserve">(each, an “Interest Payment Date”) at the rate of [  </w:t>
            </w:r>
            <w:r>
              <w:rPr>
                <w:rFonts w:ascii="Arial" w:cs="Arial" w:eastAsia="Arial" w:hAnsi="Arial"/>
                <w:sz w:val="18"/>
                <w:szCs w:val="18"/>
                <w:i w:val="1"/>
                <w:iCs w:val="1"/>
                <w:color w:val="auto"/>
                <w:w w:val="96"/>
              </w:rPr>
              <w:t>% per</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i w:val="1"/>
                <w:iCs w:val="1"/>
                <w:color w:val="auto"/>
                <w:w w:val="91"/>
              </w:rPr>
              <w:t>annum</w:t>
            </w:r>
            <w:r>
              <w:rPr>
                <w:rFonts w:ascii="Arial" w:cs="Arial" w:eastAsia="Arial" w:hAnsi="Arial"/>
                <w:sz w:val="18"/>
                <w:szCs w:val="18"/>
                <w:color w:val="auto"/>
                <w:w w:val="91"/>
              </w:rPr>
              <w:t>], until the principal hereof is paid or made available for payment [</w:t>
            </w:r>
            <w:r>
              <w:rPr>
                <w:rFonts w:ascii="Arial" w:cs="Arial" w:eastAsia="Arial" w:hAnsi="Arial"/>
                <w:sz w:val="18"/>
                <w:szCs w:val="18"/>
                <w:i w:val="1"/>
                <w:iCs w:val="1"/>
                <w:color w:val="auto"/>
                <w:w w:val="91"/>
              </w:rPr>
              <w:t xml:space="preserve">If applicable insert—, </w:t>
            </w:r>
            <w:r>
              <w:rPr>
                <w:rFonts w:ascii="Arial" w:cs="Arial" w:eastAsia="Arial" w:hAnsi="Arial"/>
                <w:sz w:val="18"/>
                <w:szCs w:val="18"/>
                <w:color w:val="auto"/>
                <w:w w:val="91"/>
              </w:rPr>
              <w:t>and (to the extent that the payment of such interest shall</w:t>
            </w:r>
          </w:p>
        </w:tc>
        <w:tc>
          <w:tcPr>
            <w:tcW w:w="80" w:type="dxa"/>
            <w:vAlign w:val="bottom"/>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w w:val="94"/>
              </w:rPr>
              <w:t>be legally enforceable) at the rate of</w:t>
            </w:r>
          </w:p>
        </w:tc>
        <w:tc>
          <w:tcPr>
            <w:tcW w:w="8220" w:type="dxa"/>
            <w:vAlign w:val="bottom"/>
            <w:gridSpan w:val="5"/>
          </w:tcPr>
          <w:p>
            <w:pPr>
              <w:jc w:val="right"/>
              <w:ind w:right="10"/>
              <w:spacing w:after="0"/>
              <w:rPr>
                <w:sz w:val="20"/>
                <w:szCs w:val="20"/>
                <w:color w:val="auto"/>
              </w:rPr>
            </w:pPr>
            <w:r>
              <w:rPr>
                <w:rFonts w:ascii="Arial" w:cs="Arial" w:eastAsia="Arial" w:hAnsi="Arial"/>
                <w:sz w:val="18"/>
                <w:szCs w:val="18"/>
                <w:color w:val="auto"/>
                <w:w w:val="91"/>
              </w:rPr>
              <w:t>% per annum on any overdue principal and on any overdue installment of interest]. The interest so payable, and</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1"/>
              </w:rPr>
              <w:t>punctually paid or duly provided for, on any Interest Payment Date will, as provided in the Indenture (as defined below), be paid to the Holder in whose</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0"/>
              </w:rPr>
              <w:t>name this Security (or one or more predecessor Securities) is registered at the close of business on the record date for such interest, which shall be the</w:t>
            </w:r>
          </w:p>
        </w:tc>
        <w:tc>
          <w:tcPr>
            <w:tcW w:w="80" w:type="dxa"/>
            <w:vAlign w:val="bottom"/>
          </w:tcPr>
          <w:p>
            <w:pPr>
              <w:spacing w:after="0"/>
              <w:rPr>
                <w:sz w:val="18"/>
                <w:szCs w:val="18"/>
                <w:color w:val="auto"/>
              </w:rPr>
            </w:pPr>
          </w:p>
        </w:tc>
      </w:tr>
      <w:tr>
        <w:trPr>
          <w:trHeight w:val="230"/>
        </w:trPr>
        <w:tc>
          <w:tcPr>
            <w:tcW w:w="1620" w:type="dxa"/>
            <w:vAlign w:val="bottom"/>
          </w:tcPr>
          <w:p>
            <w:pPr>
              <w:ind w:left="940"/>
              <w:spacing w:after="0"/>
              <w:rPr>
                <w:sz w:val="20"/>
                <w:szCs w:val="20"/>
                <w:color w:val="auto"/>
              </w:rPr>
            </w:pPr>
            <w:r>
              <w:rPr>
                <w:rFonts w:ascii="Arial" w:cs="Arial" w:eastAsia="Arial" w:hAnsi="Arial"/>
                <w:sz w:val="18"/>
                <w:szCs w:val="18"/>
                <w:color w:val="auto"/>
              </w:rPr>
              <w:t>or</w:t>
            </w:r>
          </w:p>
        </w:tc>
        <w:tc>
          <w:tcPr>
            <w:tcW w:w="9320" w:type="dxa"/>
            <w:vAlign w:val="bottom"/>
            <w:gridSpan w:val="6"/>
          </w:tcPr>
          <w:p>
            <w:pPr>
              <w:jc w:val="right"/>
              <w:spacing w:after="0"/>
              <w:rPr>
                <w:sz w:val="20"/>
                <w:szCs w:val="20"/>
                <w:color w:val="auto"/>
              </w:rPr>
            </w:pPr>
            <w:r>
              <w:rPr>
                <w:rFonts w:ascii="Arial" w:cs="Arial" w:eastAsia="Arial" w:hAnsi="Arial"/>
                <w:sz w:val="18"/>
                <w:szCs w:val="18"/>
                <w:color w:val="auto"/>
                <w:w w:val="93"/>
              </w:rPr>
              <w:t>(whether or not a Business Day), as the case may be, next preceding such Interest Payment Date (each, an “Interest Record</w:t>
            </w:r>
          </w:p>
        </w:tc>
        <w:tc>
          <w:tcPr>
            <w:tcW w:w="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Date”). Interest 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is not to bear interest prior to maturity, insert—</w:t>
      </w:r>
      <w:r>
        <w:rPr>
          <w:rFonts w:ascii="Arial" w:cs="Arial" w:eastAsia="Arial" w:hAnsi="Arial"/>
          <w:sz w:val="18"/>
          <w:szCs w:val="18"/>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ectPr>
          <w:pgSz w:w="11900" w:h="16838" w:orient="portrait"/>
          <w:cols w:equalWidth="0" w:num="1">
            <w:col w:w="11020"/>
          </w:cols>
          <w:pgMar w:left="440" w:top="274" w:right="439" w:bottom="1440" w:gutter="0" w:footer="0" w:header="0"/>
        </w:sectPr>
      </w:pPr>
    </w:p>
    <w:bookmarkStart w:id="221" w:name="page222"/>
    <w:bookmarkEnd w:id="22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14605</wp:posOffset>
            </wp:positionV>
            <wp:extent cx="23831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-1905</wp:posOffset>
            </wp:positionV>
            <wp:extent cx="18688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-1905</wp:posOffset>
            </wp:positionV>
            <wp:extent cx="18688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-1905</wp:posOffset>
            </wp:positionV>
            <wp:extent cx="21513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1">
            <w:col w:w="10460"/>
          </w:cols>
          <w:pgMar w:left="440" w:top="274" w:right="999" w:bottom="1440" w:gutter="0" w:footer="0" w:header="0"/>
        </w:sectPr>
      </w:pPr>
    </w:p>
    <w:bookmarkStart w:id="222" w:name="page223"/>
    <w:bookmarkEnd w:id="22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SECURITY)</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Title of Security ]</w:t>
      </w:r>
    </w:p>
    <w:p>
      <w:pPr>
        <w:spacing w:after="0" w:line="378" w:lineRule="exact"/>
        <w:rPr>
          <w:sz w:val="20"/>
          <w:szCs w:val="20"/>
          <w:color w:val="auto"/>
        </w:rPr>
      </w:pPr>
    </w:p>
    <w:p>
      <w:pPr>
        <w:ind w:left="424" w:hanging="424"/>
        <w:spacing w:after="0"/>
        <w:tabs>
          <w:tab w:leader="none" w:pos="42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8"/>
          <w:szCs w:val="18"/>
          <w:i w:val="1"/>
          <w:iCs w:val="1"/>
          <w:color w:val="auto"/>
        </w:rPr>
        <w:t>$</w:t>
      </w:r>
      <w:r>
        <w:rPr>
          <w:rFonts w:ascii="Arial" w:cs="Arial" w:eastAsia="Arial" w:hAnsi="Arial"/>
          <w:sz w:val="18"/>
          <w:szCs w:val="18"/>
          <w:color w:val="auto"/>
        </w:rPr>
        <w:t>] , all of such Securities issued and to be issued under an Indenture dated as of , (the “Indenture”) between the Issuer and as trustee (the</w:t>
      </w:r>
    </w:p>
    <w:p>
      <w:pPr>
        <w:spacing w:after="0" w:line="3" w:lineRule="exact"/>
        <w:rPr>
          <w:sz w:val="20"/>
          <w:szCs w:val="20"/>
          <w:color w:val="auto"/>
        </w:rPr>
      </w:pPr>
    </w:p>
    <w:p>
      <w:pPr>
        <w:ind w:left="4" w:right="160"/>
        <w:spacing w:after="0" w:line="253" w:lineRule="auto"/>
        <w:rPr>
          <w:sz w:val="20"/>
          <w:szCs w:val="20"/>
          <w:color w:val="auto"/>
        </w:rPr>
      </w:pPr>
      <w:r>
        <w:rPr>
          <w:rFonts w:ascii="Arial" w:cs="Arial" w:eastAsia="Arial" w:hAnsi="Arial"/>
          <w:sz w:val="18"/>
          <w:szCs w:val="18"/>
          <w:color w:val="auto"/>
        </w:rPr>
        <w:t>“Trustee”).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91" w:lineRule="exact"/>
        <w:rPr>
          <w:sz w:val="20"/>
          <w:szCs w:val="20"/>
          <w:color w:val="auto"/>
        </w:rPr>
      </w:pPr>
    </w:p>
    <w:p>
      <w:pPr>
        <w:jc w:val="both"/>
        <w:ind w:left="4" w:firstLine="440"/>
        <w:spacing w:after="0" w:line="258" w:lineRule="auto"/>
        <w:rPr>
          <w:sz w:val="20"/>
          <w:szCs w:val="20"/>
          <w:color w:val="auto"/>
        </w:rPr>
      </w:pPr>
      <w:r>
        <w:rPr>
          <w:rFonts w:ascii="Arial" w:cs="Arial" w:eastAsia="Arial" w:hAnsi="Arial"/>
          <w:sz w:val="18"/>
          <w:szCs w:val="18"/>
          <w:color w:val="auto"/>
        </w:rPr>
        <w:t>This Security is one of a series of Securities designated pursuant to the Indenture [and a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 , issued pursuant to Section 2.01 and Section 2.03 thereof (the “Supplemental Indenture”)] as . The Securities are general unsecured</w:t>
      </w:r>
    </w:p>
    <w:p>
      <w:pPr>
        <w:spacing w:after="0" w:line="1" w:lineRule="exact"/>
        <w:rPr>
          <w:sz w:val="20"/>
          <w:szCs w:val="20"/>
          <w:color w:val="auto"/>
        </w:rPr>
      </w:pPr>
    </w:p>
    <w:p>
      <w:pPr>
        <w:ind w:left="4" w:right="40"/>
        <w:spacing w:after="0" w:line="260" w:lineRule="auto"/>
        <w:rPr>
          <w:sz w:val="20"/>
          <w:szCs w:val="20"/>
          <w:color w:val="auto"/>
        </w:rPr>
      </w:pPr>
      <w:r>
        <w:rPr>
          <w:rFonts w:ascii="Arial" w:cs="Arial" w:eastAsia="Arial" w:hAnsi="Arial"/>
          <w:sz w:val="18"/>
          <w:szCs w:val="18"/>
          <w:color w:val="auto"/>
        </w:rPr>
        <w:t>obligations of the Issuer. The Issuer may, subject to the provisions of the Indenture and applicable law, issue additional Securities of any series under the Indenture.</w:t>
      </w:r>
    </w:p>
    <w:p>
      <w:pPr>
        <w:spacing w:after="0" w:line="334" w:lineRule="exact"/>
        <w:rPr>
          <w:sz w:val="20"/>
          <w:szCs w:val="20"/>
          <w:color w:val="auto"/>
        </w:rPr>
      </w:pPr>
    </w:p>
    <w:p>
      <w:pPr>
        <w:ind w:left="424" w:hanging="424"/>
        <w:spacing w:after="0"/>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6"/>
          <w:szCs w:val="16"/>
          <w:i w:val="1"/>
          <w:iCs w:val="1"/>
          <w:color w:val="auto"/>
        </w:rPr>
        <w:t>the United States</w:t>
      </w:r>
      <w:r>
        <w:rPr>
          <w:rFonts w:ascii="Arial" w:cs="Arial" w:eastAsia="Arial" w:hAnsi="Arial"/>
          <w:sz w:val="16"/>
          <w:szCs w:val="16"/>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w:t>
      </w:r>
    </w:p>
    <w:p>
      <w:pPr>
        <w:spacing w:after="0" w:line="4" w:lineRule="exact"/>
        <w:rPr>
          <w:sz w:val="20"/>
          <w:szCs w:val="20"/>
          <w:color w:val="auto"/>
        </w:rPr>
      </w:pPr>
    </w:p>
    <w:p>
      <w:pPr>
        <w:ind w:left="4"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a./p.m.</w:t>
      </w:r>
      <w:r>
        <w:rPr>
          <w:rFonts w:ascii="Arial" w:cs="Arial" w:eastAsia="Arial" w:hAnsi="Arial"/>
          <w:sz w:val="18"/>
          <w:szCs w:val="18"/>
          <w:color w:val="auto"/>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004"/>
          </w:cols>
          <w:pgMar w:left="436" w:top="270" w:right="459" w:bottom="1440" w:gutter="0" w:footer="0" w:header="0"/>
        </w:sectPr>
      </w:pPr>
    </w:p>
    <w:bookmarkStart w:id="223" w:name="page224"/>
    <w:bookmarkEnd w:id="223"/>
    <w:p>
      <w:pPr>
        <w:ind w:left="424" w:hanging="424"/>
        <w:spacing w:after="0"/>
        <w:tabs>
          <w:tab w:leader="none" w:pos="4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Redemption.</w:t>
      </w:r>
    </w:p>
    <w:p>
      <w:pPr>
        <w:spacing w:after="0" w:line="225" w:lineRule="exact"/>
        <w:rPr>
          <w:sz w:val="20"/>
          <w:szCs w:val="20"/>
          <w:color w:val="auto"/>
        </w:rPr>
      </w:pPr>
    </w:p>
    <w:p>
      <w:pPr>
        <w:ind w:left="444"/>
        <w:spacing w:after="0"/>
        <w:tabs>
          <w:tab w:leader="none" w:pos="6424" w:val="left"/>
          <w:tab w:leader="none" w:pos="7404"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Securities of this series may be redeemed at any time</w:t>
      </w:r>
      <w:r>
        <w:rPr>
          <w:rFonts w:ascii="Arial" w:cs="Arial" w:eastAsia="Arial" w:hAnsi="Arial"/>
          <w:sz w:val="18"/>
          <w:szCs w:val="18"/>
          <w:color w:val="auto"/>
        </w:rPr>
        <w:t xml:space="preserve"> [</w:t>
      </w:r>
      <w:r>
        <w:rPr>
          <w:rFonts w:ascii="Arial" w:cs="Arial" w:eastAsia="Arial" w:hAnsi="Arial"/>
          <w:sz w:val="18"/>
          <w:szCs w:val="18"/>
          <w:i w:val="1"/>
          <w:iCs w:val="1"/>
          <w:color w:val="auto"/>
        </w:rPr>
        <w:t>on or after</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 as a whole or in part, at the option of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Issuer, upon mailing notice of such redemption not less than 30 and not more than 60 days to the Holders of such Securities, at a redemption price equal</w:t>
      </w:r>
    </w:p>
    <w:p>
      <w:pPr>
        <w:spacing w:after="0" w:line="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i w:val="1"/>
          <w:iCs w:val="1"/>
          <w:color w:val="auto"/>
        </w:rPr>
        <w:t>to</w:t>
      </w:r>
      <w:r>
        <w:rPr>
          <w:sz w:val="20"/>
          <w:szCs w:val="20"/>
          <w:color w:val="auto"/>
        </w:rPr>
        <w:tab/>
      </w:r>
      <w:r>
        <w:rPr>
          <w:rFonts w:ascii="Arial" w:cs="Arial" w:eastAsia="Arial" w:hAnsi="Arial"/>
          <w:sz w:val="18"/>
          <w:szCs w:val="18"/>
          <w:color w:val="auto"/>
        </w:rPr>
        <w:t>.]</w:t>
      </w:r>
    </w:p>
    <w:p>
      <w:pPr>
        <w:spacing w:after="0" w:line="359" w:lineRule="exact"/>
        <w:rPr>
          <w:sz w:val="20"/>
          <w:szCs w:val="20"/>
          <w:color w:val="auto"/>
        </w:rPr>
      </w:pPr>
    </w:p>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117"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pacing w:after="0" w:line="319" w:lineRule="exact"/>
        <w:rPr>
          <w:sz w:val="20"/>
          <w:szCs w:val="20"/>
          <w:color w:val="auto"/>
        </w:rPr>
      </w:pPr>
    </w:p>
    <w:p>
      <w:pPr>
        <w:ind w:left="424" w:hanging="424"/>
        <w:spacing w:after="0"/>
        <w:tabs>
          <w:tab w:leader="none" w:pos="4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Securities are in registered form, without coupons, in denominations of [</w:t>
      </w:r>
      <w:r>
        <w:rPr>
          <w:rFonts w:ascii="Arial" w:cs="Arial" w:eastAsia="Arial" w:hAnsi="Arial"/>
          <w:sz w:val="17"/>
          <w:szCs w:val="17"/>
          <w:i w:val="1"/>
          <w:iCs w:val="1"/>
          <w:color w:val="auto"/>
        </w:rPr>
        <w:t>$2,000</w:t>
      </w:r>
      <w:r>
        <w:rPr>
          <w:rFonts w:ascii="Arial" w:cs="Arial" w:eastAsia="Arial" w:hAnsi="Arial"/>
          <w:sz w:val="17"/>
          <w:szCs w:val="17"/>
          <w:color w:val="auto"/>
        </w:rPr>
        <w:t>] and multiples of [</w:t>
      </w:r>
      <w:r>
        <w:rPr>
          <w:rFonts w:ascii="Arial" w:cs="Arial" w:eastAsia="Arial" w:hAnsi="Arial"/>
          <w:sz w:val="17"/>
          <w:szCs w:val="17"/>
          <w:i w:val="1"/>
          <w:iCs w:val="1"/>
          <w:color w:val="auto"/>
        </w:rPr>
        <w:t>$1,000</w:t>
      </w:r>
      <w:r>
        <w:rPr>
          <w:rFonts w:ascii="Arial" w:cs="Arial" w:eastAsia="Arial" w:hAnsi="Arial"/>
          <w:sz w:val="17"/>
          <w:szCs w:val="17"/>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7"/>
          <w:szCs w:val="17"/>
          <w:i w:val="1"/>
          <w:iCs w:val="1"/>
          <w:color w:val="auto"/>
        </w:rPr>
        <w:t>The Issuer need not register the transfer of or exchange (a) any Securities for a period of fifteen (15) days preceding the first notice that such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7"/>
          <w:szCs w:val="17"/>
          <w:color w:val="auto"/>
        </w:rPr>
        <w:t>]</w:t>
      </w:r>
    </w:p>
    <w:p>
      <w:pPr>
        <w:spacing w:after="0" w:line="326" w:lineRule="exact"/>
        <w:rPr>
          <w:sz w:val="20"/>
          <w:szCs w:val="20"/>
          <w:color w:val="auto"/>
        </w:rPr>
      </w:pPr>
    </w:p>
    <w:p>
      <w:pPr>
        <w:ind w:left="424" w:hanging="424"/>
        <w:spacing w:after="0"/>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registered Holder of a Security shall be treated as the owner of it for all purposes.</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319" w:lineRule="exact"/>
        <w:rPr>
          <w:sz w:val="20"/>
          <w:szCs w:val="20"/>
          <w:color w:val="auto"/>
        </w:rPr>
      </w:pPr>
    </w:p>
    <w:p>
      <w:pPr>
        <w:ind w:left="424" w:hanging="424"/>
        <w:spacing w:after="0"/>
        <w:tabs>
          <w:tab w:leader="none" w:pos="42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Defeasance.</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Supplemental Indenture</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332" w:lineRule="exact"/>
        <w:rPr>
          <w:sz w:val="20"/>
          <w:szCs w:val="20"/>
          <w:color w:val="auto"/>
        </w:rPr>
      </w:pPr>
    </w:p>
    <w:p>
      <w:pPr>
        <w:ind w:left="424" w:hanging="424"/>
        <w:spacing w:after="0"/>
        <w:tabs>
          <w:tab w:leader="none" w:pos="4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w:t>
      </w:r>
    </w:p>
    <w:p>
      <w:pPr>
        <w:sectPr>
          <w:pgSz w:w="11900" w:h="16838" w:orient="portrait"/>
          <w:cols w:equalWidth="0" w:num="1">
            <w:col w:w="11004"/>
          </w:cols>
          <w:pgMar w:left="436" w:top="274" w:right="459" w:bottom="1440" w:gutter="0" w:footer="0" w:header="0"/>
        </w:sectPr>
      </w:pPr>
    </w:p>
    <w:bookmarkStart w:id="224" w:name="page225"/>
    <w:bookmarkEnd w:id="224"/>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20" w:lineRule="exact"/>
        <w:rPr>
          <w:sz w:val="20"/>
          <w:szCs w:val="20"/>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17"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424" w:hanging="424"/>
        <w:spacing w:after="0"/>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Security shall not be valid until the Trustee manually signs the certificate of authentication on this Security.</w:t>
      </w:r>
    </w:p>
    <w:p>
      <w:pPr>
        <w:sectPr>
          <w:pgSz w:w="11900" w:h="16838" w:orient="portrait"/>
          <w:cols w:equalWidth="0" w:num="1">
            <w:col w:w="11004"/>
          </w:cols>
          <w:pgMar w:left="436" w:top="274" w:right="459" w:bottom="1440" w:gutter="0" w:footer="0" w:header="0"/>
        </w:sectPr>
      </w:pPr>
    </w:p>
    <w:bookmarkStart w:id="225" w:name="page226"/>
    <w:bookmarkEnd w:id="225"/>
    <w:p>
      <w:pPr>
        <w:ind w:left="424" w:hanging="424"/>
        <w:spacing w:after="0"/>
        <w:tabs>
          <w:tab w:leader="none" w:pos="424"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Abbreviations and Defined Terms.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2" w:lineRule="exact"/>
        <w:rPr>
          <w:sz w:val="20"/>
          <w:szCs w:val="20"/>
          <w:color w:val="auto"/>
        </w:rPr>
      </w:pPr>
    </w:p>
    <w:p>
      <w:pPr>
        <w:ind w:left="424" w:hanging="424"/>
        <w:spacing w:after="0"/>
        <w:tabs>
          <w:tab w:leader="none" w:pos="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14" w:lineRule="exact"/>
        <w:rPr>
          <w:sz w:val="20"/>
          <w:szCs w:val="20"/>
          <w:color w:val="auto"/>
        </w:rPr>
      </w:pPr>
    </w:p>
    <w:p>
      <w:pPr>
        <w:ind w:left="424" w:hanging="424"/>
        <w:spacing w:after="0"/>
        <w:tabs>
          <w:tab w:leader="none" w:pos="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ectPr>
          <w:pgSz w:w="11900" w:h="16838" w:orient="portrait"/>
          <w:cols w:equalWidth="0" w:num="1">
            <w:col w:w="11004"/>
          </w:cols>
          <w:pgMar w:left="436" w:top="274" w:right="4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840" w:type="dxa"/>
            <w:vAlign w:val="bottom"/>
            <w:tcBorders>
              <w:top w:val="single" w:sz="8" w:color="auto"/>
            </w:tcBorders>
            <w:gridSpan w:val="4"/>
          </w:tcPr>
          <w:p>
            <w:pPr>
              <w:jc w:val="center"/>
              <w:ind w:right="211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431"/>
        </w:trPr>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24"/>
        </w:trPr>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40" w:type="dxa"/>
            <w:vAlign w:val="bottom"/>
            <w:gridSpan w:val="4"/>
          </w:tcPr>
          <w:p>
            <w:pPr>
              <w:jc w:val="center"/>
              <w:ind w:right="209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1"/>
        </w:trPr>
        <w:tc>
          <w:tcPr>
            <w:tcW w:w="2180" w:type="dxa"/>
            <w:vAlign w:val="bottom"/>
            <w:gridSpan w:val="2"/>
          </w:tcPr>
          <w:p>
            <w:pPr>
              <w:ind w:left="440"/>
              <w:spacing w:after="0"/>
              <w:rPr>
                <w:sz w:val="20"/>
                <w:szCs w:val="20"/>
                <w:color w:val="auto"/>
              </w:rPr>
            </w:pPr>
            <w:r>
              <w:rPr>
                <w:rFonts w:ascii="Arial" w:cs="Arial" w:eastAsia="Arial" w:hAnsi="Arial"/>
                <w:sz w:val="18"/>
                <w:szCs w:val="18"/>
                <w:color w:val="auto"/>
                <w:w w:val="92"/>
              </w:rPr>
              <w:t>and irrevocably appoint</w:t>
            </w:r>
          </w:p>
        </w:tc>
        <w:tc>
          <w:tcPr>
            <w:tcW w:w="1900" w:type="dxa"/>
            <w:vAlign w:val="bottom"/>
            <w:tcBorders>
              <w:bottom w:val="single" w:sz="8" w:color="auto"/>
            </w:tcBorders>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w w:val="89"/>
              </w:rPr>
              <w:t>agent to transfer this Security on the books of the Issuer. The agent may substitute another to act</w:t>
            </w:r>
          </w:p>
        </w:tc>
      </w:tr>
      <w:tr>
        <w:trPr>
          <w:trHeight w:val="237"/>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for him.</w:t>
            </w: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2180" w:type="dxa"/>
            <w:vAlign w:val="bottom"/>
            <w:gridSpan w:val="2"/>
          </w:tcPr>
          <w:p>
            <w:pPr>
              <w:spacing w:after="0"/>
              <w:rPr>
                <w:sz w:val="20"/>
                <w:szCs w:val="20"/>
                <w:color w:val="auto"/>
              </w:rPr>
            </w:pPr>
            <w:r>
              <w:rPr>
                <w:rFonts w:ascii="Arial" w:cs="Arial" w:eastAsia="Arial" w:hAnsi="Arial"/>
                <w:sz w:val="18"/>
                <w:szCs w:val="18"/>
                <w:color w:val="auto"/>
              </w:rPr>
              <w:t>Dated:</w:t>
            </w:r>
          </w:p>
        </w:tc>
        <w:tc>
          <w:tcPr>
            <w:tcW w:w="1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Signed:</w:t>
            </w:r>
          </w:p>
        </w:tc>
      </w:tr>
      <w:tr>
        <w:trPr>
          <w:trHeight w:val="209"/>
        </w:trPr>
        <w:tc>
          <w:tcPr>
            <w:tcW w:w="6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(Signed exactly as name appears on the other side of this</w:t>
            </w:r>
          </w:p>
        </w:tc>
      </w:tr>
      <w:tr>
        <w:trPr>
          <w:trHeight w:val="230"/>
        </w:trPr>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Security)</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5715</wp:posOffset>
            </wp:positionV>
            <wp:extent cx="31457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1020"/>
          </w:cols>
          <w:pgMar w:left="440" w:top="270" w:right="4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Subordinated Note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 PURPOSES OF SECTIONS 1272 , 1273, and 1275 OF THE INTERNAL REVENUE CODE OF 1986, AS AMENDED (“THE CODE”), THIS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IS BEING ISSUED WITH ORIGINAL ISSUE DISCOUNT. THE AMOUNT OF ORIGINAL ISSUE DISCOUNT (AS DEFINED IN SECTION</w:t>
      </w:r>
    </w:p>
    <w:p>
      <w:pPr>
        <w:spacing w:after="0"/>
        <w:tabs>
          <w:tab w:leader="none" w:pos="10160" w:val="left"/>
        </w:tabs>
        <w:rPr>
          <w:sz w:val="20"/>
          <w:szCs w:val="20"/>
          <w:color w:val="auto"/>
        </w:rPr>
      </w:pPr>
      <w:r>
        <w:rPr>
          <w:rFonts w:ascii="Arial" w:cs="Arial" w:eastAsia="Arial" w:hAnsi="Arial"/>
          <w:sz w:val="18"/>
          <w:szCs w:val="18"/>
          <w:i w:val="1"/>
          <w:iCs w:val="1"/>
          <w:color w:val="auto"/>
        </w:rPr>
        <w:t>1273(A)(1) OF THE CODE AND TREASURY REGULATION SECTION 1.1273-1(A)) WITH RESPECT TO THIS SECURITY IS</w:t>
      </w:r>
      <w:r>
        <w:rPr>
          <w:sz w:val="20"/>
          <w:szCs w:val="20"/>
          <w:color w:val="auto"/>
        </w:rPr>
        <w:tab/>
      </w:r>
      <w:r>
        <w:rPr>
          <w:rFonts w:ascii="Arial" w:cs="Arial" w:eastAsia="Arial" w:hAnsi="Arial"/>
          <w:sz w:val="16"/>
          <w:szCs w:val="16"/>
          <w:i w:val="1"/>
          <w:iCs w:val="1"/>
          <w:color w:val="auto"/>
        </w:rPr>
        <w:t>,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 DATE (AS DEFINED IN SECTION 1275(A)(2) OF THE CODE AND TREASURY REGULATION SECTION 1.1273-2(A)(2)) OF THIS</w:t>
      </w:r>
    </w:p>
    <w:p>
      <w:pPr>
        <w:spacing w:after="0" w:line="2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i w:val="1"/>
          <w:iCs w:val="1"/>
          <w:color w:val="auto"/>
        </w:rPr>
        <w:t>SECURITY IS</w:t>
      </w:r>
      <w:r>
        <w:rPr>
          <w:sz w:val="20"/>
          <w:szCs w:val="20"/>
          <w:color w:val="auto"/>
        </w:rPr>
        <w:tab/>
      </w:r>
      <w:r>
        <w:rPr>
          <w:rFonts w:ascii="Arial" w:cs="Arial" w:eastAsia="Arial" w:hAnsi="Arial"/>
          <w:sz w:val="16"/>
          <w:szCs w:val="16"/>
          <w:i w:val="1"/>
          <w:iCs w:val="1"/>
          <w:color w:val="auto"/>
        </w:rPr>
        <w:t>, THE ISSUE PRICE (AS DEFINED IN SECTION 1273(B) OF THE CODE AND TREASURY REGULATION SECTION</w:t>
      </w:r>
    </w:p>
    <w:p>
      <w:pPr>
        <w:spacing w:after="0" w:line="9"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i w:val="1"/>
          <w:iCs w:val="1"/>
          <w:color w:val="auto"/>
        </w:rPr>
        <w:t>1.1273-2(A)) OF THIS SECURITY IS</w:t>
      </w:r>
      <w:r>
        <w:rPr>
          <w:sz w:val="20"/>
          <w:szCs w:val="20"/>
          <w:color w:val="auto"/>
        </w:rPr>
        <w:tab/>
      </w:r>
      <w:r>
        <w:rPr>
          <w:rFonts w:ascii="Arial" w:cs="Arial" w:eastAsia="Arial" w:hAnsi="Arial"/>
          <w:sz w:val="16"/>
          <w:szCs w:val="16"/>
          <w:i w:val="1"/>
          <w:iCs w:val="1"/>
          <w:color w:val="auto"/>
        </w:rPr>
        <w:t>, AND THE YIELD TO MATURITY (AS DEFINED IN TREASURY REGULATION SECTION</w:t>
      </w:r>
    </w:p>
    <w:p>
      <w:pPr>
        <w:spacing w:after="0" w:line="9"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i w:val="1"/>
          <w:iCs w:val="1"/>
          <w:color w:val="auto"/>
        </w:rPr>
        <w:t>1.1272-1(B)) OF THIS SECURITY IS</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color w:val="auto"/>
        </w:rPr>
        <w:t>] ]</w:t>
      </w:r>
    </w:p>
    <w:p>
      <w:pPr>
        <w:sectPr>
          <w:pgSz w:w="11900" w:h="16838" w:orient="portrait"/>
          <w:cols w:equalWidth="0" w:num="1">
            <w:col w:w="11020"/>
          </w:cols>
          <w:pgMar w:left="440" w:top="121" w:right="4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FULCRUM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Title of Security ]</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9"/>
              </w:rPr>
              <w:t>No. [</w:t>
            </w:r>
          </w:p>
        </w:tc>
        <w:tc>
          <w:tcPr>
            <w:tcW w:w="148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CUSIP No.: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160" w:type="dxa"/>
            <w:vAlign w:val="bottom"/>
            <w:gridSpan w:val="2"/>
          </w:tcPr>
          <w:p>
            <w:pPr>
              <w:jc w:val="right"/>
              <w:ind w:right="70"/>
              <w:spacing w:after="0"/>
              <w:rPr>
                <w:sz w:val="20"/>
                <w:szCs w:val="20"/>
                <w:color w:val="auto"/>
              </w:rPr>
            </w:pPr>
            <w:r>
              <w:rPr>
                <w:rFonts w:ascii="Arial" w:cs="Arial" w:eastAsia="Arial" w:hAnsi="Arial"/>
                <w:sz w:val="18"/>
                <w:szCs w:val="18"/>
                <w:color w:val="auto"/>
              </w:rPr>
              <w:t>[Common Code][ISIN]: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400" w:type="dxa"/>
            <w:vAlign w:val="bottom"/>
          </w:tcPr>
          <w:p>
            <w:pPr>
              <w:spacing w:after="0"/>
              <w:rPr>
                <w:sz w:val="24"/>
                <w:szCs w:val="24"/>
                <w:color w:val="auto"/>
              </w:rPr>
            </w:pPr>
          </w:p>
        </w:tc>
        <w:tc>
          <w:tcPr>
            <w:tcW w:w="10540" w:type="dxa"/>
            <w:vAlign w:val="bottom"/>
            <w:gridSpan w:val="6"/>
          </w:tcPr>
          <w:p>
            <w:pPr>
              <w:jc w:val="right"/>
              <w:ind w:right="70"/>
              <w:spacing w:after="0"/>
              <w:rPr>
                <w:sz w:val="20"/>
                <w:szCs w:val="20"/>
                <w:color w:val="auto"/>
              </w:rPr>
            </w:pPr>
            <w:r>
              <w:rPr>
                <w:rFonts w:ascii="Arial" w:cs="Arial" w:eastAsia="Arial" w:hAnsi="Arial"/>
                <w:sz w:val="18"/>
                <w:szCs w:val="18"/>
                <w:color w:val="auto"/>
                <w:w w:val="92"/>
              </w:rPr>
              <w:t>FULCRUM THERAPEUTICS, INC., a Delaware corporation (the “Issuer”, which term includes any successor corporation), for value received</w:t>
            </w:r>
          </w:p>
        </w:tc>
        <w:tc>
          <w:tcPr>
            <w:tcW w:w="80" w:type="dxa"/>
            <w:vAlign w:val="bottom"/>
          </w:tcPr>
          <w:p>
            <w:pPr>
              <w:spacing w:after="0"/>
              <w:rPr>
                <w:sz w:val="24"/>
                <w:szCs w:val="24"/>
                <w:color w:val="auto"/>
              </w:rPr>
            </w:pPr>
          </w:p>
        </w:tc>
      </w:tr>
      <w:tr>
        <w:trPr>
          <w:trHeight w:val="216"/>
        </w:trPr>
        <w:tc>
          <w:tcPr>
            <w:tcW w:w="9120" w:type="dxa"/>
            <w:vAlign w:val="bottom"/>
            <w:gridSpan w:val="6"/>
          </w:tcPr>
          <w:p>
            <w:pPr>
              <w:spacing w:after="0"/>
              <w:rPr>
                <w:sz w:val="20"/>
                <w:szCs w:val="20"/>
                <w:color w:val="auto"/>
              </w:rPr>
            </w:pPr>
            <w:r>
              <w:rPr>
                <w:rFonts w:ascii="Arial" w:cs="Arial" w:eastAsia="Arial" w:hAnsi="Arial"/>
                <w:sz w:val="18"/>
                <w:szCs w:val="18"/>
                <w:color w:val="auto"/>
              </w:rPr>
              <w:t>promises to pay to [</w:t>
            </w:r>
            <w:r>
              <w:rPr>
                <w:rFonts w:ascii="Arial" w:cs="Arial" w:eastAsia="Arial" w:hAnsi="Arial"/>
                <w:sz w:val="18"/>
                <w:szCs w:val="18"/>
                <w:i w:val="1"/>
                <w:iCs w:val="1"/>
                <w:color w:val="auto"/>
              </w:rPr>
              <w:t>If the Security is a Global Security —</w:t>
            </w:r>
            <w:r>
              <w:rPr>
                <w:rFonts w:ascii="Arial" w:cs="Arial" w:eastAsia="Arial" w:hAnsi="Arial"/>
                <w:sz w:val="18"/>
                <w:szCs w:val="18"/>
                <w:color w:val="auto"/>
              </w:rPr>
              <w:t xml:space="preserve"> CEDE &amp; CO.][</w:t>
            </w:r>
            <w:r>
              <w:rPr>
                <w:rFonts w:ascii="Arial" w:cs="Arial" w:eastAsia="Arial" w:hAnsi="Arial"/>
                <w:sz w:val="18"/>
                <w:szCs w:val="18"/>
                <w:i w:val="1"/>
                <w:iCs w:val="1"/>
                <w:color w:val="auto"/>
              </w:rPr>
              <w:t>If the Security is not a Global Security</w:t>
            </w:r>
            <w:r>
              <w:rPr>
                <w:rFonts w:ascii="Arial" w:cs="Arial" w:eastAsia="Arial" w:hAnsi="Arial"/>
                <w:sz w:val="18"/>
                <w:szCs w:val="18"/>
                <w:color w:val="auto"/>
              </w:rPr>
              <w:t xml:space="preserve"> —</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w w:val="92"/>
              </w:rPr>
              <w:t>] or registered assigns,</w:t>
            </w:r>
          </w:p>
        </w:tc>
        <w:tc>
          <w:tcPr>
            <w:tcW w:w="80" w:type="dxa"/>
            <w:vAlign w:val="bottom"/>
          </w:tcPr>
          <w:p>
            <w:pPr>
              <w:spacing w:after="0"/>
              <w:rPr>
                <w:sz w:val="18"/>
                <w:szCs w:val="18"/>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the principal sum of</w:t>
            </w:r>
          </w:p>
        </w:tc>
        <w:tc>
          <w:tcPr>
            <w:tcW w:w="940" w:type="dxa"/>
            <w:vAlign w:val="bottom"/>
          </w:tcPr>
          <w:p>
            <w:pPr>
              <w:ind w:left="360"/>
              <w:spacing w:after="0"/>
              <w:rPr>
                <w:sz w:val="20"/>
                <w:szCs w:val="20"/>
                <w:color w:val="auto"/>
              </w:rPr>
            </w:pPr>
            <w:r>
              <w:rPr>
                <w:rFonts w:ascii="Arial" w:cs="Arial" w:eastAsia="Arial" w:hAnsi="Arial"/>
                <w:sz w:val="18"/>
                <w:szCs w:val="18"/>
                <w:color w:val="auto"/>
              </w:rPr>
              <w:t>on</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560" w:type="dxa"/>
            <w:vAlign w:val="bottom"/>
            <w:gridSpan w:val="3"/>
          </w:tcPr>
          <w:p>
            <w:pPr>
              <w:jc w:val="right"/>
              <w:ind w:right="50"/>
              <w:spacing w:after="0"/>
              <w:rPr>
                <w:sz w:val="20"/>
                <w:szCs w:val="20"/>
                <w:color w:val="auto"/>
              </w:rPr>
            </w:pPr>
            <w:r>
              <w:rPr>
                <w:rFonts w:ascii="Arial" w:cs="Arial" w:eastAsia="Arial" w:hAnsi="Arial"/>
                <w:sz w:val="18"/>
                <w:szCs w:val="18"/>
                <w:color w:val="auto"/>
                <w:w w:val="94"/>
              </w:rPr>
              <w:t>(the “Maturity Date”) [</w:t>
            </w:r>
            <w:r>
              <w:rPr>
                <w:rFonts w:ascii="Arial" w:cs="Arial" w:eastAsia="Arial" w:hAnsi="Arial"/>
                <w:sz w:val="18"/>
                <w:szCs w:val="18"/>
                <w:i w:val="1"/>
                <w:iCs w:val="1"/>
                <w:color w:val="auto"/>
                <w:w w:val="94"/>
              </w:rPr>
              <w:t>If the Security is to bear interest prior to maturity, insert—</w:t>
            </w:r>
            <w:r>
              <w:rPr>
                <w:rFonts w:ascii="Arial" w:cs="Arial" w:eastAsia="Arial" w:hAnsi="Arial"/>
                <w:sz w:val="18"/>
                <w:szCs w:val="18"/>
                <w:color w:val="auto"/>
                <w:w w:val="94"/>
              </w:rPr>
              <w:t>, and to pay interest</w:t>
            </w:r>
          </w:p>
        </w:tc>
        <w:tc>
          <w:tcPr>
            <w:tcW w:w="80" w:type="dxa"/>
            <w:vAlign w:val="bottom"/>
          </w:tcPr>
          <w:p>
            <w:pPr>
              <w:spacing w:after="0"/>
              <w:rPr>
                <w:sz w:val="18"/>
                <w:szCs w:val="18"/>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thereon from</w:t>
            </w:r>
          </w:p>
        </w:tc>
        <w:tc>
          <w:tcPr>
            <w:tcW w:w="9060" w:type="dxa"/>
            <w:vAlign w:val="bottom"/>
            <w:gridSpan w:val="5"/>
          </w:tcPr>
          <w:p>
            <w:pPr>
              <w:jc w:val="right"/>
              <w:ind w:right="10"/>
              <w:spacing w:after="0"/>
              <w:rPr>
                <w:sz w:val="20"/>
                <w:szCs w:val="20"/>
                <w:color w:val="auto"/>
              </w:rPr>
            </w:pPr>
            <w:r>
              <w:rPr>
                <w:rFonts w:ascii="Arial" w:cs="Arial" w:eastAsia="Arial" w:hAnsi="Arial"/>
                <w:sz w:val="18"/>
                <w:szCs w:val="18"/>
                <w:color w:val="auto"/>
                <w:w w:val="91"/>
              </w:rPr>
              <w:t xml:space="preserve">or from the most recent interest payment date to which interest has been paid or duly provided for, </w:t>
            </w:r>
            <w:r>
              <w:rPr>
                <w:rFonts w:ascii="Arial" w:cs="Arial" w:eastAsia="Arial" w:hAnsi="Arial"/>
                <w:sz w:val="18"/>
                <w:szCs w:val="18"/>
                <w:i w:val="1"/>
                <w:iCs w:val="1"/>
                <w:color w:val="auto"/>
                <w:w w:val="91"/>
              </w:rPr>
              <w:t>[semiannually in arrears</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i w:val="1"/>
                <w:iCs w:val="1"/>
                <w:color w:val="auto"/>
              </w:rPr>
              <w:t>on</w:t>
            </w:r>
          </w:p>
        </w:tc>
        <w:tc>
          <w:tcPr>
            <w:tcW w:w="1480" w:type="dxa"/>
            <w:vAlign w:val="bottom"/>
          </w:tcPr>
          <w:p>
            <w:pPr>
              <w:jc w:val="right"/>
              <w:ind w:right="350"/>
              <w:spacing w:after="0"/>
              <w:rPr>
                <w:sz w:val="20"/>
                <w:szCs w:val="20"/>
                <w:color w:val="auto"/>
              </w:rPr>
            </w:pPr>
            <w:r>
              <w:rPr>
                <w:rFonts w:ascii="Arial" w:cs="Arial" w:eastAsia="Arial" w:hAnsi="Arial"/>
                <w:sz w:val="18"/>
                <w:szCs w:val="18"/>
                <w:i w:val="1"/>
                <w:iCs w:val="1"/>
                <w:color w:val="auto"/>
              </w:rPr>
              <w:t>and</w:t>
            </w:r>
          </w:p>
        </w:tc>
        <w:tc>
          <w:tcPr>
            <w:tcW w:w="2900" w:type="dxa"/>
            <w:vAlign w:val="bottom"/>
            <w:gridSpan w:val="3"/>
          </w:tcPr>
          <w:p>
            <w:pPr>
              <w:ind w:left="540"/>
              <w:spacing w:after="0"/>
              <w:rPr>
                <w:sz w:val="20"/>
                <w:szCs w:val="20"/>
                <w:color w:val="auto"/>
              </w:rPr>
            </w:pPr>
            <w:r>
              <w:rPr>
                <w:rFonts w:ascii="Arial" w:cs="Arial" w:eastAsia="Arial" w:hAnsi="Arial"/>
                <w:sz w:val="18"/>
                <w:szCs w:val="18"/>
                <w:i w:val="1"/>
                <w:iCs w:val="1"/>
                <w:color w:val="auto"/>
              </w:rPr>
              <w:t>in each year</w:t>
            </w:r>
            <w:r>
              <w:rPr>
                <w:rFonts w:ascii="Arial" w:cs="Arial" w:eastAsia="Arial" w:hAnsi="Arial"/>
                <w:sz w:val="18"/>
                <w:szCs w:val="18"/>
                <w:color w:val="auto"/>
              </w:rPr>
              <w:t>], commencing</w:t>
            </w:r>
          </w:p>
        </w:tc>
        <w:tc>
          <w:tcPr>
            <w:tcW w:w="4340" w:type="dxa"/>
            <w:vAlign w:val="bottom"/>
          </w:tcPr>
          <w:p>
            <w:pPr>
              <w:ind w:left="380"/>
              <w:spacing w:after="0"/>
              <w:rPr>
                <w:sz w:val="20"/>
                <w:szCs w:val="20"/>
                <w:color w:val="auto"/>
              </w:rPr>
            </w:pPr>
            <w:r>
              <w:rPr>
                <w:rFonts w:ascii="Arial" w:cs="Arial" w:eastAsia="Arial" w:hAnsi="Arial"/>
                <w:sz w:val="18"/>
                <w:szCs w:val="18"/>
                <w:color w:val="auto"/>
                <w:w w:val="95"/>
              </w:rPr>
              <w:t>,   (each, an “Interest Payment Date”) at the rate of [</w:t>
            </w:r>
          </w:p>
        </w:tc>
        <w:tc>
          <w:tcPr>
            <w:tcW w:w="1820" w:type="dxa"/>
            <w:vAlign w:val="bottom"/>
          </w:tcPr>
          <w:p>
            <w:pPr>
              <w:jc w:val="right"/>
              <w:spacing w:after="0"/>
              <w:rPr>
                <w:sz w:val="20"/>
                <w:szCs w:val="20"/>
                <w:color w:val="auto"/>
              </w:rPr>
            </w:pPr>
            <w:r>
              <w:rPr>
                <w:rFonts w:ascii="Arial" w:cs="Arial" w:eastAsia="Arial" w:hAnsi="Arial"/>
                <w:sz w:val="18"/>
                <w:szCs w:val="18"/>
                <w:color w:val="auto"/>
                <w:w w:val="96"/>
              </w:rPr>
              <w:t>% per annum], until the</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5"/>
              </w:rPr>
              <w:t>principal hereof is paid or made available for payment [</w:t>
            </w:r>
            <w:r>
              <w:rPr>
                <w:rFonts w:ascii="Arial" w:cs="Arial" w:eastAsia="Arial" w:hAnsi="Arial"/>
                <w:sz w:val="18"/>
                <w:szCs w:val="18"/>
                <w:i w:val="1"/>
                <w:iCs w:val="1"/>
                <w:color w:val="auto"/>
                <w:w w:val="95"/>
              </w:rPr>
              <w:t>If applicable insert—,</w:t>
            </w:r>
            <w:r>
              <w:rPr>
                <w:rFonts w:ascii="Arial" w:cs="Arial" w:eastAsia="Arial" w:hAnsi="Arial"/>
                <w:sz w:val="18"/>
                <w:szCs w:val="18"/>
                <w:color w:val="auto"/>
                <w:w w:val="95"/>
              </w:rPr>
              <w:t xml:space="preserve"> and (to the extent that the payment of such interest shall be legally</w:t>
            </w:r>
          </w:p>
        </w:tc>
        <w:tc>
          <w:tcPr>
            <w:tcW w:w="80" w:type="dxa"/>
            <w:vAlign w:val="bottom"/>
          </w:tcPr>
          <w:p>
            <w:pPr>
              <w:spacing w:after="0"/>
              <w:rPr>
                <w:sz w:val="18"/>
                <w:szCs w:val="18"/>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enforceable) at the rate of</w:t>
            </w:r>
          </w:p>
        </w:tc>
        <w:tc>
          <w:tcPr>
            <w:tcW w:w="9060" w:type="dxa"/>
            <w:vAlign w:val="bottom"/>
            <w:gridSpan w:val="5"/>
          </w:tcPr>
          <w:p>
            <w:pPr>
              <w:jc w:val="right"/>
              <w:spacing w:after="0"/>
              <w:rPr>
                <w:sz w:val="20"/>
                <w:szCs w:val="20"/>
                <w:color w:val="auto"/>
              </w:rPr>
            </w:pPr>
            <w:r>
              <w:rPr>
                <w:rFonts w:ascii="Arial" w:cs="Arial" w:eastAsia="Arial" w:hAnsi="Arial"/>
                <w:sz w:val="18"/>
                <w:szCs w:val="18"/>
                <w:color w:val="auto"/>
                <w:w w:val="92"/>
              </w:rPr>
              <w:t>% per annum on any overdue principal and on any overdue installment of interest]. The interest so payable, and punctually</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1"/>
              </w:rPr>
              <w:t>paid or duly provided for, on any Interest Payment Date will, as provided in the Indenture (as defined below), be paid to the Holder in whose name this</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7"/>
              </w:rPr>
              <w:t>Security (or one or more predecessor Securities) is registered at the close of business on the record date for such interest, which shall be the</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or</w:t>
            </w:r>
          </w:p>
        </w:tc>
        <w:tc>
          <w:tcPr>
            <w:tcW w:w="10540" w:type="dxa"/>
            <w:vAlign w:val="bottom"/>
            <w:gridSpan w:val="6"/>
          </w:tcPr>
          <w:p>
            <w:pPr>
              <w:jc w:val="right"/>
              <w:ind w:right="870"/>
              <w:spacing w:after="0"/>
              <w:rPr>
                <w:sz w:val="20"/>
                <w:szCs w:val="20"/>
                <w:color w:val="auto"/>
              </w:rPr>
            </w:pPr>
            <w:r>
              <w:rPr>
                <w:rFonts w:ascii="Arial" w:cs="Arial" w:eastAsia="Arial" w:hAnsi="Arial"/>
                <w:sz w:val="18"/>
                <w:szCs w:val="18"/>
                <w:color w:val="auto"/>
                <w:w w:val="96"/>
              </w:rPr>
              <w:t>(whether or not a Business Day), as the case may be, next preceding such Interest Payment Date (each, an “Interest Record</w:t>
            </w:r>
          </w:p>
        </w:tc>
        <w:tc>
          <w:tcPr>
            <w:tcW w:w="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Date”). Interest 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is not to bear interest prior to maturity, insert—</w:t>
      </w:r>
      <w:r>
        <w:rPr>
          <w:rFonts w:ascii="Arial" w:cs="Arial" w:eastAsia="Arial" w:hAnsi="Arial"/>
          <w:sz w:val="18"/>
          <w:szCs w:val="18"/>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ectPr>
          <w:pgSz w:w="11900" w:h="16838" w:orient="portrait"/>
          <w:cols w:equalWidth="0" w:num="1">
            <w:col w:w="11020"/>
          </w:cols>
          <w:pgMar w:left="440" w:top="274" w:right="439" w:bottom="1440" w:gutter="0" w:footer="0" w:header="0"/>
        </w:sectPr>
      </w:pPr>
    </w:p>
    <w:bookmarkStart w:id="229" w:name="page230"/>
    <w:bookmarkEnd w:id="22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0460"/>
          </w:cols>
          <w:pgMar w:left="440" w:top="274" w:right="999" w:bottom="1440" w:gutter="0" w:footer="0" w:header="0"/>
        </w:sectPr>
      </w:pPr>
    </w:p>
    <w:bookmarkStart w:id="230" w:name="page231"/>
    <w:bookmarkEnd w:id="23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SECURITY)</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FULCRUM THERAPEUTICS, INC.</w:t>
      </w:r>
    </w:p>
    <w:p>
      <w:pPr>
        <w:spacing w:after="0" w:line="22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 Title of Security ]</w:t>
      </w:r>
    </w:p>
    <w:p>
      <w:pPr>
        <w:spacing w:after="0" w:line="256" w:lineRule="exact"/>
        <w:rPr>
          <w:sz w:val="20"/>
          <w:szCs w:val="20"/>
          <w:color w:val="auto"/>
        </w:rPr>
      </w:pPr>
    </w:p>
    <w:p>
      <w:pPr>
        <w:ind w:left="424" w:hanging="424"/>
        <w:spacing w:after="0"/>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Security is one of a duly authorized issue of debentures, notes or other evidence of indebtedness (hereinafter called the “Securities”) of the</w:t>
      </w:r>
    </w:p>
    <w:p>
      <w:pPr>
        <w:spacing w:after="0" w:line="46" w:lineRule="exact"/>
        <w:rPr>
          <w:sz w:val="20"/>
          <w:szCs w:val="20"/>
          <w:color w:val="auto"/>
        </w:rPr>
      </w:pPr>
    </w:p>
    <w:p>
      <w:pPr>
        <w:ind w:left="4"/>
        <w:spacing w:after="0" w:line="250" w:lineRule="auto"/>
        <w:rPr>
          <w:sz w:val="20"/>
          <w:szCs w:val="20"/>
          <w:color w:val="auto"/>
        </w:rPr>
      </w:pPr>
      <w:r>
        <w:rPr>
          <w:rFonts w:ascii="Arial" w:cs="Arial" w:eastAsia="Arial" w:hAnsi="Arial"/>
          <w:sz w:val="18"/>
          <w:szCs w:val="18"/>
          <w:color w:val="auto"/>
        </w:rPr>
        <w:t>Issuer of the series hereinafter specified, which series is initially limited in aggregate principal amount to [</w:t>
      </w:r>
      <w:r>
        <w:rPr>
          <w:rFonts w:ascii="Arial" w:cs="Arial" w:eastAsia="Arial" w:hAnsi="Arial"/>
          <w:sz w:val="18"/>
          <w:szCs w:val="18"/>
          <w:i w:val="1"/>
          <w:iCs w:val="1"/>
          <w:color w:val="auto"/>
        </w:rPr>
        <w:t>$</w:t>
      </w:r>
      <w:r>
        <w:rPr>
          <w:rFonts w:ascii="Arial" w:cs="Arial" w:eastAsia="Arial" w:hAnsi="Arial"/>
          <w:sz w:val="18"/>
          <w:szCs w:val="18"/>
          <w:color w:val="auto"/>
        </w:rPr>
        <w:t>] , all of such Securities issued and to be issued under an Indenture dated as of , (the “Indenture”) between the Issuer and as trustee (the “Trustee”). Capitalized terms</w:t>
      </w:r>
    </w:p>
    <w:p>
      <w:pPr>
        <w:spacing w:after="0" w:line="1" w:lineRule="exact"/>
        <w:rPr>
          <w:sz w:val="20"/>
          <w:szCs w:val="20"/>
          <w:color w:val="auto"/>
        </w:rPr>
      </w:pPr>
    </w:p>
    <w:p>
      <w:pPr>
        <w:ind w:left="4" w:right="100"/>
        <w:spacing w:after="0" w:line="295" w:lineRule="auto"/>
        <w:rPr>
          <w:sz w:val="20"/>
          <w:szCs w:val="20"/>
          <w:color w:val="auto"/>
        </w:rPr>
      </w:pPr>
      <w:r>
        <w:rPr>
          <w:rFonts w:ascii="Arial" w:cs="Arial" w:eastAsia="Arial" w:hAnsi="Arial"/>
          <w:sz w:val="16"/>
          <w:szCs w:val="16"/>
          <w:color w:val="auto"/>
        </w:rPr>
        <w:t>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61" w:lineRule="exact"/>
        <w:rPr>
          <w:sz w:val="20"/>
          <w:szCs w:val="20"/>
          <w:color w:val="auto"/>
        </w:rPr>
      </w:pPr>
    </w:p>
    <w:p>
      <w:pPr>
        <w:ind w:left="4" w:right="160" w:firstLine="440"/>
        <w:spacing w:after="0" w:line="274" w:lineRule="auto"/>
        <w:rPr>
          <w:sz w:val="20"/>
          <w:szCs w:val="20"/>
          <w:color w:val="auto"/>
        </w:rPr>
      </w:pPr>
      <w:r>
        <w:rPr>
          <w:rFonts w:ascii="Arial" w:cs="Arial" w:eastAsia="Arial" w:hAnsi="Arial"/>
          <w:sz w:val="17"/>
          <w:szCs w:val="17"/>
          <w:color w:val="auto"/>
        </w:rPr>
        <w:t>This Security is one of a series of Securities designated pursuant to the Indenture [and a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 , issued pursuant to Section 2.01 and Section 2.03 thereof (the “Supplemental Indenture”)] as . The Securities are general unsecured obligations of</w:t>
      </w:r>
    </w:p>
    <w:p>
      <w:pPr>
        <w:ind w:left="4"/>
        <w:spacing w:after="0"/>
        <w:rPr>
          <w:sz w:val="20"/>
          <w:szCs w:val="20"/>
          <w:color w:val="auto"/>
        </w:rPr>
      </w:pPr>
      <w:r>
        <w:rPr>
          <w:rFonts w:ascii="Arial" w:cs="Arial" w:eastAsia="Arial" w:hAnsi="Arial"/>
          <w:sz w:val="16"/>
          <w:szCs w:val="16"/>
          <w:color w:val="auto"/>
        </w:rPr>
        <w:t>the Issuer. The Issuer may, subject to the provisions of the Indenture and applicable law, issue additional Securities of any series under the Indenture.</w:t>
      </w:r>
    </w:p>
    <w:p>
      <w:pPr>
        <w:spacing w:after="0" w:line="382" w:lineRule="exact"/>
        <w:rPr>
          <w:sz w:val="20"/>
          <w:szCs w:val="20"/>
          <w:color w:val="auto"/>
        </w:rPr>
      </w:pPr>
    </w:p>
    <w:p>
      <w:pPr>
        <w:ind w:left="424" w:hanging="424"/>
        <w:spacing w:after="0"/>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7"/>
          <w:szCs w:val="17"/>
          <w:i w:val="1"/>
          <w:iCs w:val="1"/>
          <w:color w:val="auto"/>
        </w:rPr>
        <w:t>the United States</w:t>
      </w:r>
      <w:r>
        <w:rPr>
          <w:rFonts w:ascii="Arial" w:cs="Arial" w:eastAsia="Arial" w:hAnsi="Arial"/>
          <w:sz w:val="17"/>
          <w:szCs w:val="17"/>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w:t>
      </w:r>
      <w:r>
        <w:rPr>
          <w:rFonts w:ascii="Arial" w:cs="Arial" w:eastAsia="Arial" w:hAnsi="Arial"/>
          <w:sz w:val="17"/>
          <w:szCs w:val="17"/>
          <w:i w:val="1"/>
          <w:iCs w:val="1"/>
          <w:color w:val="auto"/>
        </w:rPr>
        <w:t>a./p.m.</w:t>
      </w:r>
      <w:r>
        <w:rPr>
          <w:rFonts w:ascii="Arial" w:cs="Arial" w:eastAsia="Arial" w:hAnsi="Arial"/>
          <w:sz w:val="17"/>
          <w:szCs w:val="17"/>
          <w:color w:val="auto"/>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004"/>
          </w:cols>
          <w:pgMar w:left="436" w:top="270" w:right="459" w:bottom="1440" w:gutter="0" w:footer="0" w:header="0"/>
        </w:sectPr>
      </w:pPr>
    </w:p>
    <w:bookmarkStart w:id="231" w:name="page232"/>
    <w:bookmarkEnd w:id="231"/>
    <w:p>
      <w:pPr>
        <w:ind w:left="424" w:hanging="424"/>
        <w:spacing w:after="0"/>
        <w:tabs>
          <w:tab w:leader="none" w:pos="4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Redemption.</w:t>
      </w:r>
    </w:p>
    <w:p>
      <w:pPr>
        <w:spacing w:after="0" w:line="117" w:lineRule="exact"/>
        <w:rPr>
          <w:sz w:val="20"/>
          <w:szCs w:val="20"/>
          <w:color w:val="auto"/>
        </w:rPr>
      </w:pPr>
    </w:p>
    <w:p>
      <w:pPr>
        <w:ind w:left="444"/>
        <w:spacing w:after="0"/>
        <w:tabs>
          <w:tab w:leader="none" w:pos="6424" w:val="left"/>
          <w:tab w:leader="none" w:pos="7404"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Securities of this series may be redeemed at any time</w:t>
      </w:r>
      <w:r>
        <w:rPr>
          <w:rFonts w:ascii="Arial" w:cs="Arial" w:eastAsia="Arial" w:hAnsi="Arial"/>
          <w:sz w:val="18"/>
          <w:szCs w:val="18"/>
          <w:color w:val="auto"/>
        </w:rPr>
        <w:t xml:space="preserve"> [</w:t>
      </w:r>
      <w:r>
        <w:rPr>
          <w:rFonts w:ascii="Arial" w:cs="Arial" w:eastAsia="Arial" w:hAnsi="Arial"/>
          <w:sz w:val="18"/>
          <w:szCs w:val="18"/>
          <w:i w:val="1"/>
          <w:iCs w:val="1"/>
          <w:color w:val="auto"/>
        </w:rPr>
        <w:t>on or after</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 as a whole or in part, at the option of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Issuer, upon mailing notice of such redemption not less than 30 and not more than 60 days to the Holders of such Securities, at a redemption price equal</w:t>
      </w:r>
    </w:p>
    <w:p>
      <w:pPr>
        <w:spacing w:after="0" w:line="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i w:val="1"/>
          <w:iCs w:val="1"/>
          <w:color w:val="auto"/>
        </w:rPr>
        <w:t>to</w:t>
      </w:r>
      <w:r>
        <w:rPr>
          <w:sz w:val="20"/>
          <w:szCs w:val="20"/>
          <w:color w:val="auto"/>
        </w:rPr>
        <w:tab/>
      </w:r>
      <w:r>
        <w:rPr>
          <w:rFonts w:ascii="Arial" w:cs="Arial" w:eastAsia="Arial" w:hAnsi="Arial"/>
          <w:sz w:val="18"/>
          <w:szCs w:val="18"/>
          <w:color w:val="auto"/>
        </w:rPr>
        <w:t>.]</w:t>
      </w:r>
    </w:p>
    <w:p>
      <w:pPr>
        <w:spacing w:after="0" w:line="359" w:lineRule="exact"/>
        <w:rPr>
          <w:sz w:val="20"/>
          <w:szCs w:val="20"/>
          <w:color w:val="auto"/>
        </w:rPr>
      </w:pPr>
    </w:p>
    <w:p>
      <w:pPr>
        <w:ind w:left="424" w:hanging="424"/>
        <w:spacing w:after="0"/>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117"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pacing w:after="0" w:line="319" w:lineRule="exact"/>
        <w:rPr>
          <w:sz w:val="20"/>
          <w:szCs w:val="20"/>
          <w:color w:val="auto"/>
        </w:rPr>
      </w:pPr>
    </w:p>
    <w:p>
      <w:pPr>
        <w:ind w:left="424" w:hanging="424"/>
        <w:spacing w:after="0"/>
        <w:tabs>
          <w:tab w:leader="none" w:pos="4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Securities are in registered form, without coupons, in denominations of [</w:t>
      </w:r>
      <w:r>
        <w:rPr>
          <w:rFonts w:ascii="Arial" w:cs="Arial" w:eastAsia="Arial" w:hAnsi="Arial"/>
          <w:sz w:val="17"/>
          <w:szCs w:val="17"/>
          <w:i w:val="1"/>
          <w:iCs w:val="1"/>
          <w:color w:val="auto"/>
        </w:rPr>
        <w:t>$2,000</w:t>
      </w:r>
      <w:r>
        <w:rPr>
          <w:rFonts w:ascii="Arial" w:cs="Arial" w:eastAsia="Arial" w:hAnsi="Arial"/>
          <w:sz w:val="17"/>
          <w:szCs w:val="17"/>
          <w:color w:val="auto"/>
        </w:rPr>
        <w:t>] and multiples of [</w:t>
      </w:r>
      <w:r>
        <w:rPr>
          <w:rFonts w:ascii="Arial" w:cs="Arial" w:eastAsia="Arial" w:hAnsi="Arial"/>
          <w:sz w:val="17"/>
          <w:szCs w:val="17"/>
          <w:i w:val="1"/>
          <w:iCs w:val="1"/>
          <w:color w:val="auto"/>
        </w:rPr>
        <w:t>$1,000</w:t>
      </w:r>
      <w:r>
        <w:rPr>
          <w:rFonts w:ascii="Arial" w:cs="Arial" w:eastAsia="Arial" w:hAnsi="Arial"/>
          <w:sz w:val="17"/>
          <w:szCs w:val="17"/>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7"/>
          <w:szCs w:val="17"/>
          <w:i w:val="1"/>
          <w:iCs w:val="1"/>
          <w:color w:val="auto"/>
        </w:rPr>
        <w:t>The Issuer need not register the transfer of or exchange (a) any Securities for a period of fifteen (15) days preceding the first notice that such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7"/>
          <w:szCs w:val="17"/>
          <w:color w:val="auto"/>
        </w:rPr>
        <w:t>]</w:t>
      </w:r>
    </w:p>
    <w:p>
      <w:pPr>
        <w:spacing w:after="0" w:line="326" w:lineRule="exact"/>
        <w:rPr>
          <w:sz w:val="20"/>
          <w:szCs w:val="20"/>
          <w:color w:val="auto"/>
        </w:rPr>
      </w:pPr>
    </w:p>
    <w:p>
      <w:pPr>
        <w:ind w:left="424" w:hanging="424"/>
        <w:spacing w:after="0"/>
        <w:tabs>
          <w:tab w:leader="none" w:pos="4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registered Holder of a Security shall be treated as the owner of it for all purposes.</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319" w:lineRule="exact"/>
        <w:rPr>
          <w:sz w:val="20"/>
          <w:szCs w:val="20"/>
          <w:color w:val="auto"/>
        </w:rPr>
      </w:pPr>
    </w:p>
    <w:p>
      <w:pPr>
        <w:ind w:left="424" w:hanging="424"/>
        <w:spacing w:after="0"/>
        <w:tabs>
          <w:tab w:leader="none" w:pos="42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Defeasance.</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Supplemental Indenture</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332" w:lineRule="exact"/>
        <w:rPr>
          <w:sz w:val="20"/>
          <w:szCs w:val="20"/>
          <w:color w:val="auto"/>
        </w:rPr>
      </w:pPr>
    </w:p>
    <w:p>
      <w:pPr>
        <w:ind w:left="424" w:hanging="424"/>
        <w:spacing w:after="0"/>
        <w:tabs>
          <w:tab w:leader="none" w:pos="42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w:t>
      </w:r>
    </w:p>
    <w:p>
      <w:pPr>
        <w:sectPr>
          <w:pgSz w:w="11900" w:h="16838" w:orient="portrait"/>
          <w:cols w:equalWidth="0" w:num="1">
            <w:col w:w="11004"/>
          </w:cols>
          <w:pgMar w:left="436" w:top="274" w:right="459" w:bottom="1440" w:gutter="0" w:footer="0" w:header="0"/>
        </w:sectPr>
      </w:pPr>
    </w:p>
    <w:bookmarkStart w:id="232" w:name="page233"/>
    <w:bookmarkEnd w:id="232"/>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36"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17" w:lineRule="exact"/>
        <w:rPr>
          <w:sz w:val="20"/>
          <w:szCs w:val="20"/>
          <w:color w:val="auto"/>
        </w:rPr>
      </w:pPr>
    </w:p>
    <w:p>
      <w:pPr>
        <w:ind w:left="424" w:hanging="424"/>
        <w:spacing w:after="0"/>
        <w:tabs>
          <w:tab w:leader="none" w:pos="42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Subordination.</w:t>
      </w:r>
    </w:p>
    <w:p>
      <w:pPr>
        <w:spacing w:after="0" w:line="11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spacing w:after="0" w:line="332"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424" w:hanging="424"/>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w:t>
      </w:r>
    </w:p>
    <w:p>
      <w:pPr>
        <w:sectPr>
          <w:pgSz w:w="11900" w:h="16838" w:orient="portrait"/>
          <w:cols w:equalWidth="0" w:num="1">
            <w:col w:w="11004"/>
          </w:cols>
          <w:pgMar w:left="436" w:top="274" w:right="459" w:bottom="1440" w:gutter="0" w:footer="0" w:header="0"/>
        </w:sectPr>
      </w:pPr>
    </w:p>
    <w:bookmarkStart w:id="233" w:name="page234"/>
    <w:bookmarkEnd w:id="23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releases all such liability. The waiver and release are part of the consideration for the issuance of the Securities.</w:t>
      </w:r>
    </w:p>
    <w:p>
      <w:pPr>
        <w:spacing w:after="0" w:line="374" w:lineRule="exact"/>
        <w:rPr>
          <w:sz w:val="20"/>
          <w:szCs w:val="20"/>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2"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14" w:lineRule="exact"/>
        <w:rPr>
          <w:sz w:val="20"/>
          <w:szCs w:val="20"/>
          <w:color w:val="auto"/>
        </w:rPr>
      </w:pPr>
    </w:p>
    <w:p>
      <w:pPr>
        <w:ind w:left="424" w:hanging="424"/>
        <w:spacing w:after="0"/>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ectPr>
          <w:pgSz w:w="11900" w:h="16838" w:orient="portrait"/>
          <w:cols w:equalWidth="0" w:num="1">
            <w:col w:w="11004"/>
          </w:cols>
          <w:pgMar w:left="436" w:top="274" w:right="45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40" w:type="dxa"/>
            <w:vAlign w:val="bottom"/>
            <w:gridSpan w:val="4"/>
          </w:tcPr>
          <w:p>
            <w:pPr>
              <w:jc w:val="center"/>
              <w:ind w:right="211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83"/>
        </w:trPr>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50"/>
        </w:trPr>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40" w:type="dxa"/>
            <w:vAlign w:val="bottom"/>
            <w:gridSpan w:val="4"/>
          </w:tcPr>
          <w:p>
            <w:pPr>
              <w:jc w:val="center"/>
              <w:ind w:right="209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05"/>
        </w:trPr>
        <w:tc>
          <w:tcPr>
            <w:tcW w:w="2180" w:type="dxa"/>
            <w:vAlign w:val="bottom"/>
            <w:gridSpan w:val="2"/>
          </w:tcPr>
          <w:p>
            <w:pPr>
              <w:ind w:left="440"/>
              <w:spacing w:after="0"/>
              <w:rPr>
                <w:sz w:val="20"/>
                <w:szCs w:val="20"/>
                <w:color w:val="auto"/>
              </w:rPr>
            </w:pPr>
            <w:r>
              <w:rPr>
                <w:rFonts w:ascii="Arial" w:cs="Arial" w:eastAsia="Arial" w:hAnsi="Arial"/>
                <w:sz w:val="18"/>
                <w:szCs w:val="18"/>
                <w:color w:val="auto"/>
                <w:w w:val="92"/>
              </w:rPr>
              <w:t>and irrevocably appoint</w:t>
            </w:r>
          </w:p>
        </w:tc>
        <w:tc>
          <w:tcPr>
            <w:tcW w:w="1860" w:type="dxa"/>
            <w:vAlign w:val="bottom"/>
            <w:tcBorders>
              <w:bottom w:val="single" w:sz="8" w:color="auto"/>
            </w:tcBorders>
          </w:tcPr>
          <w:p>
            <w:pPr>
              <w:spacing w:after="0"/>
              <w:rPr>
                <w:sz w:val="24"/>
                <w:szCs w:val="24"/>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89"/>
              </w:rPr>
              <w:t>agent to transfer this Security on the books of the Issuer. The agent may substitute another to act</w:t>
            </w:r>
          </w:p>
        </w:tc>
      </w:tr>
      <w:tr>
        <w:trPr>
          <w:trHeight w:val="237"/>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for him.</w:t>
            </w: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2180" w:type="dxa"/>
            <w:vAlign w:val="bottom"/>
            <w:gridSpan w:val="2"/>
          </w:tcPr>
          <w:p>
            <w:pPr>
              <w:spacing w:after="0"/>
              <w:rPr>
                <w:sz w:val="20"/>
                <w:szCs w:val="20"/>
                <w:color w:val="auto"/>
              </w:rPr>
            </w:pPr>
            <w:r>
              <w:rPr>
                <w:rFonts w:ascii="Arial" w:cs="Arial" w:eastAsia="Arial" w:hAnsi="Arial"/>
                <w:sz w:val="18"/>
                <w:szCs w:val="18"/>
                <w:color w:val="auto"/>
              </w:rPr>
              <w:t>Dated:</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color w:val="auto"/>
              </w:rPr>
              <w:t>Signed:</w:t>
            </w:r>
          </w:p>
        </w:tc>
      </w:tr>
      <w:tr>
        <w:trPr>
          <w:trHeight w:val="209"/>
        </w:trPr>
        <w:tc>
          <w:tcPr>
            <w:tcW w:w="9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(Signed exactly as name appears on the other side of this</w:t>
            </w:r>
          </w:p>
        </w:tc>
      </w:tr>
      <w:tr>
        <w:trPr>
          <w:trHeight w:val="230"/>
        </w:trPr>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Security)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5715</wp:posOffset>
            </wp:positionV>
            <wp:extent cx="29317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 w:lineRule="exact"/>
        <w:rPr>
          <w:sz w:val="20"/>
          <w:szCs w:val="20"/>
          <w:color w:val="auto"/>
        </w:rPr>
      </w:pPr>
    </w:p>
    <w:p>
      <w:pPr>
        <w:ind w:left="980" w:right="30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1020"/>
          </w:cols>
          <w:pgMar w:left="440" w:top="270" w:right="4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171450</wp:posOffset>
            </wp:positionV>
            <wp:extent cx="1139825"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11398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+1 617 526 6000 (t)</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+1 617 526 5000 (f)</w:t>
      </w:r>
    </w:p>
    <w:p>
      <w:pPr>
        <w:spacing w:after="0" w:line="32"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wilmerhale.com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02139</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This opinion is furnished to you in connection with a Registration Statement on Form S-3 (the “Registration Statement”) to be filed by Fulcrum Therapeutics, Inc., a Delaware corporation (the “Company”), with the Securities and Exchange Commission (the “Commission”) under the Securities Act of 1933, as amended (the “Securities Act”), for the registration of the following securities of the Company (the “Securities”):</w:t>
      </w:r>
    </w:p>
    <w:p>
      <w:pPr>
        <w:spacing w:after="0" w:line="71" w:lineRule="exact"/>
        <w:rPr>
          <w:sz w:val="20"/>
          <w:szCs w:val="20"/>
          <w:color w:val="auto"/>
        </w:rPr>
      </w:pPr>
    </w:p>
    <w:p>
      <w:pPr>
        <w:ind w:left="960" w:hanging="532"/>
        <w:spacing w:after="0"/>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senior debt securities (the “Senior Debt Securities”);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subordinated debt securities (the “Subordinated Debt Securities” and, together with the Senior Debt Securities, the “Debt Securities”);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common stock, par value $0.001 per share (“Common Stock”);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preferred stock, par value $0.001 per share (“Preferred Stock”);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depositary shares representing fractional interests in a share or multiple shares of Preferred Stock (“Depositary Shares”);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warrants to purchase Debt Securities, Common Stock, Preferred Stock or Depositary Shares (“Warrants”);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units, consisting of any combination of Debt Securities, Common Stock, Preferred Stock, Depositary Shares or Warrants (“Units”),</w:t>
      </w:r>
    </w:p>
    <w:p>
      <w:pPr>
        <w:spacing w:after="0" w:line="2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all of which may be issued from time to time on a delayed or continuous basis pursuant to Rule 415 under the Securities Act with an aggregate offering price of $250,000,000, as set forth in the Registration Statement, the base prospectus contained therein (the “Prospectus”) and any amendments or supplements thereto.</w:t>
      </w:r>
    </w:p>
    <w:p>
      <w:pPr>
        <w:sectPr>
          <w:pgSz w:w="11900" w:h="16838" w:orient="portrait"/>
          <w:cols w:equalWidth="0" w:num="1">
            <w:col w:w="11020"/>
          </w:cols>
          <w:pgMar w:left="440" w:top="121" w:right="439" w:bottom="1440" w:gutter="0" w:footer="0" w:header="0"/>
        </w:sectPr>
      </w:pPr>
    </w:p>
    <w:bookmarkStart w:id="236" w:name="page237"/>
    <w:bookmarkEnd w:id="236"/>
    <w:p>
      <w:pPr>
        <w:ind w:right="8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acting as counsel for the Company in connection with the filing of the Registration Statement. The Senior Debt Securities may be issued pursuant to a senior indenture (together with any supplemental indentures relating to the Senior Debt Securities, the “Senior Indenture”) to be entered into between the Company and a trustee to be named, as trustee (the “Senior Trustee”) and duly qualified under the Trust Indenture Act of 1939, as amended (the “Trust Indenture Act”). The Subordinated Debt Securities may be issued pursuant to a subordinated indenture (together with any supplemental indentures relating to the Subordinated Debt Securities, the “Subordinated Indenture,” and together with the Senior Indenture, the “Indentures,” and each individually, an “Indenture”) to be entered into between the Company and a trustee to be named,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shares of Preferred Stock represented by Depositary Shares will be deposited pursuant to a Depositary Agreement (the “Depositary Agreement”) to be entered into between the Company and a bank or trust company to be named, as depositary. The Units may be issued pursuant to a Unit Agreement (the “Unit Agreement”) to be entered into between the Company and a bank or trust company to be named, as unit agent. The Warrants may be issued pursuant to a warrant agreement (the “Warrant Agreement”) to be entered into between the Company and a bank or trust company to be named, as warrant agent.</w:t>
      </w:r>
    </w:p>
    <w:p>
      <w:pPr>
        <w:spacing w:after="0" w:line="18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We are also acting as counsel for the Company in connection with the equity distribution agreement prospectus included in the Registration Statement (the “Equity Distribution Agreement Prospectus”) relating to the issuance and sale of shares of Common Stock having an aggregate offering price of up to $75,000,000 (the “Equity Distribution Agreement Shares”) under an Equity Distribution Agreement, dated August 11, 2020, between the Company and Piper Sandler &amp; Co. (the “Equity Distribution Agreement”).</w:t>
      </w:r>
    </w:p>
    <w:p>
      <w:pPr>
        <w:spacing w:after="0" w:line="18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We have examined and relied upon signed copies of the Registration Statement to be filed with the Commission, including the exhibits thereto. We have also examined and relied upon the Equity Distribution Agreement, the Restated Certificate of Incorporation of the Company (as amended or restated from time to time, the “Certificate of Incorporation”), the Amended and Restated Bylaws of the Company (as amended or restated from time to time, the “Bylaws”) and minutes of meetings of the stockholders and the Board of Directors of the Company as provided to us by the Company.</w:t>
      </w:r>
    </w:p>
    <w:p>
      <w:pPr>
        <w:spacing w:after="0" w:line="157" w:lineRule="exact"/>
        <w:rPr>
          <w:sz w:val="20"/>
          <w:szCs w:val="20"/>
          <w:color w:val="auto"/>
        </w:rPr>
      </w:pPr>
    </w:p>
    <w:p>
      <w:pPr>
        <w:ind w:right="560" w:firstLine="440"/>
        <w:spacing w:after="0" w:line="311"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spacing w:after="0" w:line="14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have relied as to certain matters on information obtained from public officials and officers of the Company, and we have assumed (i) the Registration Statement will be effective and will comply with all applicable laws at the time Securities are offered or issued as contemplated by the Registration Statement; (ii) other than for the Equity Distribution Agreement Shares, one or more prospectus supplements and term sheets, as applicable will have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74" w:right="439" w:bottom="1440" w:gutter="0" w:footer="0" w:header="0"/>
        </w:sectPr>
      </w:pPr>
    </w:p>
    <w:bookmarkStart w:id="237" w:name="page238"/>
    <w:bookmarkEnd w:id="237"/>
    <w:p>
      <w:pPr>
        <w:ind w:left="4"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been prepared and filed with the Commission describing the Securities offered thereby; (iii) all Securities will be issued and sold in compliance with applicable federal and state securities laws and in the manner stated in the Registration Statement, the Prospectus, the Equity Distribution Agreement Prospectus, if applicable, and any applicable prospectus supplement; (iv) in the case of Debt Securities, (a) the applicable Indenture will be duly authorized, executed and delivered by the applicable Trustee in substantially the form filed as Exhibit 4.4 or Exhibit 4.5 to the Registration Statement,</w:t>
      </w:r>
    </w:p>
    <w:p>
      <w:pPr>
        <w:spacing w:after="0" w:line="1" w:lineRule="exact"/>
        <w:rPr>
          <w:sz w:val="20"/>
          <w:szCs w:val="20"/>
          <w:color w:val="auto"/>
        </w:rPr>
      </w:pPr>
    </w:p>
    <w:p>
      <w:pPr>
        <w:ind w:left="4" w:hanging="4"/>
        <w:spacing w:after="0" w:line="267" w:lineRule="auto"/>
        <w:tabs>
          <w:tab w:leader="none" w:pos="25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applicable Trustee will be duly eligible to serve as trustee, and (c) the Debt Securities will be duly authenticated by the Trustee named in the applicable Indenture; (v) any Depositary Agreement, Unit Agreement or Warrant Agreement, as applicable, will be duly authorized, executed and delivered by all parties thereto other than the Company; (vi) other than for the Equity Distribution Agreement Shares, a definitive purchase, underwriting or similar agreement with respect to any Securities offered will be duly authorized, executed and delivered by all parties thereto other than the Company; (vii) 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 (ix) if issued in 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Unit Agreement or Warrant Agreement will be governed by the laws of the State of New York or Delaware.</w:t>
      </w:r>
    </w:p>
    <w:p>
      <w:pPr>
        <w:spacing w:after="0" w:line="186"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87"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such Securities.</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4"/>
          </w:cols>
          <w:pgMar w:left="436" w:top="274" w:right="479" w:bottom="1440" w:gutter="0" w:footer="0" w:header="0"/>
        </w:sectPr>
      </w:pPr>
    </w:p>
    <w:bookmarkStart w:id="238" w:name="page239"/>
    <w:bookmarkEnd w:id="238"/>
    <w:p>
      <w:pPr>
        <w:ind w:left="4" w:right="16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opinions below are qualified to the extent that they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w:t>
      </w:r>
    </w:p>
    <w:p>
      <w:pPr>
        <w:spacing w:after="0" w:line="2" w:lineRule="exact"/>
        <w:rPr>
          <w:sz w:val="20"/>
          <w:szCs w:val="20"/>
          <w:color w:val="auto"/>
        </w:rPr>
      </w:pPr>
    </w:p>
    <w:p>
      <w:pPr>
        <w:ind w:left="4" w:right="20" w:hanging="4"/>
        <w:spacing w:after="0" w:line="287" w:lineRule="auto"/>
        <w:tabs>
          <w:tab w:leader="none" w:pos="31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70"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We also express no opinion herein as to any provision of any agreement (i) that may be deemed to or construed to waive any right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(ix) relating to choice of law or consent to jurisdiction.</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117" w:lineRule="exact"/>
        <w:rPr>
          <w:sz w:val="20"/>
          <w:szCs w:val="20"/>
          <w:color w:val="auto"/>
        </w:rPr>
      </w:pPr>
    </w:p>
    <w:p>
      <w:pPr>
        <w:ind w:left="4" w:firstLine="436"/>
        <w:spacing w:after="0" w:line="288" w:lineRule="auto"/>
        <w:tabs>
          <w:tab w:leader="none" w:pos="62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With respect to the Debt Securities, when (i) specifically authorized for issuance by proper action of the Board of Directors of the Company or an authorized committee thereof (the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w:t>
      </w:r>
    </w:p>
    <w:p>
      <w:pPr>
        <w:spacing w:after="0" w:line="100" w:lineRule="exact"/>
        <w:rPr>
          <w:rFonts w:ascii="Arial" w:cs="Arial" w:eastAsia="Arial" w:hAnsi="Arial"/>
          <w:sz w:val="16"/>
          <w:szCs w:val="16"/>
          <w:color w:val="auto"/>
        </w:rPr>
      </w:pPr>
    </w:p>
    <w:p>
      <w:pPr>
        <w:ind w:left="5464" w:hanging="106"/>
        <w:spacing w:after="0"/>
        <w:tabs>
          <w:tab w:leader="none" w:pos="546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84"/>
          </w:cols>
          <w:pgMar w:left="436" w:top="274" w:right="479" w:bottom="1440" w:gutter="0" w:footer="0" w:header="0"/>
        </w:sectPr>
      </w:pPr>
    </w:p>
    <w:bookmarkStart w:id="239" w:name="page240"/>
    <w:bookmarkEnd w:id="239"/>
    <w:p>
      <w:pPr>
        <w:ind w:left="-436" w:right="40" w:firstLine="436"/>
        <w:spacing w:after="0" w:line="254" w:lineRule="auto"/>
        <w:tabs>
          <w:tab w:leader="none" w:pos="1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respect to shares of Common Stock (other than the Equity Distribution Agreement Shares),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or exercise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p>
    <w:p>
      <w:pPr>
        <w:spacing w:after="0" w:line="83" w:lineRule="exact"/>
        <w:rPr>
          <w:rFonts w:ascii="Arial" w:cs="Arial" w:eastAsia="Arial" w:hAnsi="Arial"/>
          <w:sz w:val="18"/>
          <w:szCs w:val="18"/>
          <w:color w:val="auto"/>
        </w:rPr>
      </w:pPr>
    </w:p>
    <w:p>
      <w:pPr>
        <w:ind w:left="-436" w:firstLine="436"/>
        <w:spacing w:after="0" w:line="269" w:lineRule="auto"/>
        <w:tabs>
          <w:tab w:leader="none" w:pos="18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With respect to shares of any series of Preferred Stock, when (i) the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and such Certificate of Designation has been duly filed, (ii) the terms of the issuance and sale of the series of Preferred Stock have been duly established in conformity with the Certificate of Incorporation, Bylaws and Authorizing Resolutions, (iii)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spacing w:after="0" w:line="77" w:lineRule="exact"/>
        <w:rPr>
          <w:rFonts w:ascii="Arial" w:cs="Arial" w:eastAsia="Arial" w:hAnsi="Arial"/>
          <w:sz w:val="17"/>
          <w:szCs w:val="17"/>
          <w:color w:val="auto"/>
        </w:rPr>
      </w:pPr>
    </w:p>
    <w:p>
      <w:pPr>
        <w:ind w:left="-436" w:right="200" w:firstLine="436"/>
        <w:spacing w:after="0" w:line="254" w:lineRule="auto"/>
        <w:tabs>
          <w:tab w:leader="none" w:pos="1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 respect to the Depositary Shares, when (i) the Authorizing Resolutions have specifically authorized the issuance and terms of the Depositary Shares, the terms of the offering thereof and related matters, including the adoption of a Certificate of Designation relating to the Preferred Stock underlying the Depositary Shares and the filing of the Certificate of Designation with the Secretary of State of the State of Delaware, and such Certificate of Designation has been duly filed, (ii) the applicable Depositary Agreement relating to the Depositary Shares has been duly authorized, executed and delivered; any depositary receipts evidencing rights in the Depositary Shares have been executed; and the depositary appointed by the Company, (iii) the terms of the issuance and sale of the Depositary Shares have been duly established in conformity with the Certificate of Incorporation, Bylaws and Authorizing Resolutions, (iv) the Depositary Shares have been issued and delivered as contemplated by the Registration Statement, the</w:t>
      </w:r>
    </w:p>
    <w:p>
      <w:pPr>
        <w:spacing w:after="0" w:line="124" w:lineRule="exact"/>
        <w:rPr>
          <w:rFonts w:ascii="Arial" w:cs="Arial" w:eastAsia="Arial" w:hAnsi="Arial"/>
          <w:sz w:val="18"/>
          <w:szCs w:val="18"/>
          <w:color w:val="auto"/>
        </w:rPr>
      </w:pPr>
    </w:p>
    <w:p>
      <w:pPr>
        <w:ind w:left="5024" w:hanging="106"/>
        <w:spacing w:after="0"/>
        <w:tabs>
          <w:tab w:leader="none" w:pos="502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84"/>
          </w:cols>
          <w:pgMar w:left="876" w:top="274" w:right="439" w:bottom="1440" w:gutter="0" w:footer="0" w:header="0"/>
        </w:sectPr>
      </w:pPr>
    </w:p>
    <w:bookmarkStart w:id="240" w:name="page241"/>
    <w:bookmarkEnd w:id="240"/>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Prospectus and any applicable Prospectus Supplement in accordance with the applicable underwriting or other purchase agreement against payment therefor, (v) the shares of Preferred Stock underlying the Depositary Shares have been deposited with a bank or trust company (which meets the requirements for the depositary set forth in the Registration Statement), and (vi) the Company has received the consideration provided for in the Authorizing Resolutions and the applicable underwriting agreement or other purchase agreement, the Depositary Shares will be legally issued and will entitle the holders of such Depositary Shares to the rights specified in the applicable Depositary Agreement and the applicable depositary receipts.</w:t>
      </w:r>
    </w:p>
    <w:p>
      <w:pPr>
        <w:spacing w:after="0" w:line="53" w:lineRule="exact"/>
        <w:rPr>
          <w:sz w:val="20"/>
          <w:szCs w:val="20"/>
          <w:color w:val="auto"/>
        </w:rPr>
      </w:pPr>
    </w:p>
    <w:p>
      <w:pPr>
        <w:ind w:firstLine="436"/>
        <w:spacing w:after="0" w:line="291" w:lineRule="auto"/>
        <w:tabs>
          <w:tab w:leader="none" w:pos="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With respect to the Units, when (i) specifically authorized for issuance by Authorizing Resolutions, (ii) the applicable Unit Agreement has been duly authorized, executed and delivered, (iii) the terms of the Units and of their issuance and sale have been duly established in conformity with the applicable Unit Agreement and the Authorizing Resolutions, (iv) the Units have been duly executed and delivered in accordance with the applicable Unit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Units will constitute valid and binding obligations of the Company enforceable against the Company in accordance with their terms.</w:t>
      </w:r>
    </w:p>
    <w:p>
      <w:pPr>
        <w:spacing w:after="0" w:line="58" w:lineRule="exact"/>
        <w:rPr>
          <w:rFonts w:ascii="Arial" w:cs="Arial" w:eastAsia="Arial" w:hAnsi="Arial"/>
          <w:sz w:val="16"/>
          <w:szCs w:val="16"/>
          <w:color w:val="auto"/>
        </w:rPr>
      </w:pPr>
    </w:p>
    <w:p>
      <w:pPr>
        <w:ind w:right="20" w:firstLine="436"/>
        <w:spacing w:after="0" w:line="271" w:lineRule="auto"/>
        <w:tabs>
          <w:tab w:leader="none" w:pos="6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With respect to the Warrants, when (i) specifically authorized for issuance by the Authorizing Resolutions, (ii) the applicable Warrant Agreement relating to the Warrants has been duly authorized, executed and delivered by the Company, (iii) the terms of the Warrants and of their issuance and sale have been duly established in conformity with the applicable Warrant Agreement and the Authorizing Resolutions, (iv) the Warrants have been duly executed by the Company and countersigned in accordance with the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Warrants will constitute valid and binding obligations of the Company enforceable against the Company in accordance with their terms.</w:t>
      </w:r>
    </w:p>
    <w:p>
      <w:pPr>
        <w:spacing w:after="0" w:line="70" w:lineRule="exact"/>
        <w:rPr>
          <w:rFonts w:ascii="Arial" w:cs="Arial" w:eastAsia="Arial" w:hAnsi="Arial"/>
          <w:sz w:val="17"/>
          <w:szCs w:val="17"/>
          <w:color w:val="auto"/>
        </w:rPr>
      </w:pPr>
    </w:p>
    <w:p>
      <w:pPr>
        <w:ind w:right="20" w:firstLine="436"/>
        <w:spacing w:after="0" w:line="259" w:lineRule="auto"/>
        <w:tabs>
          <w:tab w:leader="none" w:pos="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 respect to the Equity Distribution Agreement Shares, such Equity Distribution Agreement Shares have been duly authorized for issuance and, when (i) the Registration Statement has become effective under the Securities Act and (ii) the Equity Distribution Agreement Shares have been issued and paid for in accordance with the terms and conditions of the Equity Distribution Agreement, the Equity Distribution Agreement Shares will be validly issued, fully paid and nonassessable.</w:t>
      </w:r>
    </w:p>
    <w:p>
      <w:pPr>
        <w:spacing w:after="0" w:line="119" w:lineRule="exact"/>
        <w:rPr>
          <w:rFonts w:ascii="Arial" w:cs="Arial" w:eastAsia="Arial" w:hAnsi="Arial"/>
          <w:sz w:val="18"/>
          <w:szCs w:val="18"/>
          <w:color w:val="auto"/>
        </w:rPr>
      </w:pPr>
    </w:p>
    <w:p>
      <w:pPr>
        <w:ind w:left="5460" w:hanging="106"/>
        <w:spacing w:after="0"/>
        <w:tabs>
          <w:tab w:leader="none" w:pos="54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0"/>
          </w:cols>
          <w:pgMar w:left="440" w:top="274" w:right="459" w:bottom="1440" w:gutter="0" w:footer="0" w:header="0"/>
        </w:sectPr>
      </w:pPr>
    </w:p>
    <w:bookmarkStart w:id="241" w:name="page242"/>
    <w:bookmarkEnd w:id="241"/>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49"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the Equity Distribution Agreement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 Der Marderosian, a Partner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4" w:right="47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Fulcrum Therapeutics, Inc. for the registration of its debt securities, common stock, preferred stock, depositary shares, units and warrants and to the incorporation by reference therein of our report dated March 5, 2020, with respect to the consolidated financial statements of Fulcrum Therapeutics, Inc. included in its Annual Report (Form 10-K) for the year ended December 31, 2019,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1)"/>
      <w:numFmt w:val="decimal"/>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1)"/>
      <w:numFmt w:val="decimal"/>
      <w:start w:val="617"/>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1)"/>
      <w:numFmt w:val="decimal"/>
      <w:start w:val="4"/>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1)"/>
      <w:numFmt w:val="decimal"/>
      <w:start w:val="4"/>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1)"/>
      <w:numFmt w:val="decimal"/>
      <w:start w:val="617"/>
    </w:lvl>
  </w:abstractNum>
  <w:abstractNum w:abstractNumId="35">
    <w:nsid w:val="97E1B4E"/>
    <w:multiLevelType w:val="hybridMultilevel"/>
    <w:lvl w:ilvl="0">
      <w:lvlJc w:val="left"/>
      <w:lvlText w:val="(%1)"/>
      <w:numFmt w:val="decimal"/>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1)"/>
      <w:numFmt w:val="lowerRoman"/>
      <w:start w:val="1"/>
    </w:lvl>
  </w:abstractNum>
  <w:abstractNum w:abstractNumId="39">
    <w:nsid w:val="415E286C"/>
    <w:multiLevelType w:val="hybridMultilevel"/>
    <w:lvl w:ilvl="0">
      <w:lvlJc w:val="left"/>
      <w:lvlText w:val="(%1)"/>
      <w:numFmt w:val="decimal"/>
      <w:start w:val="2"/>
    </w:lvl>
    <w:lvl w:ilvl="1">
      <w:lvlJc w:val="left"/>
      <w:lvlText w:val="(%2)"/>
      <w:numFmt w:val="lowerRoman"/>
      <w:start w:val="1"/>
    </w:lvl>
  </w:abstractNum>
  <w:abstractNum w:abstractNumId="40">
    <w:nsid w:val="7C58FD05"/>
    <w:multiLevelType w:val="hybridMultilevel"/>
    <w:lvl w:ilvl="0">
      <w:lvlJc w:val="left"/>
      <w:lvlText w:val="(%1)"/>
      <w:numFmt w:val="lowerLetter"/>
      <w:start w:val="2"/>
    </w:lvl>
    <w:lvl w:ilvl="1">
      <w:lvlJc w:val="left"/>
      <w:lvlText w:val="(%2)"/>
      <w:numFmt w:val="lowerRoman"/>
      <w:start w:val="1"/>
    </w:lvl>
  </w:abstractNum>
  <w:abstractNum w:abstractNumId="41">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2">
    <w:nsid w:val="45E6D486"/>
    <w:multiLevelType w:val="hybridMultilevel"/>
    <w:lvl w:ilvl="0">
      <w:lvlJc w:val="left"/>
      <w:lvlText w:val="(%1)"/>
      <w:numFmt w:val="lowerRoman"/>
      <w:start w:val="2"/>
    </w:lvl>
  </w:abstractNum>
  <w:abstractNum w:abstractNumId="43">
    <w:nsid w:val="5C10FE21"/>
    <w:multiLevelType w:val="hybridMultilevel"/>
    <w:lvl w:ilvl="0">
      <w:lvlJc w:val="left"/>
      <w:lvlText w:val="(%1)"/>
      <w:numFmt w:val="lowerRoman"/>
      <w:start w:val="4"/>
    </w:lvl>
  </w:abstractNum>
  <w:abstractNum w:abstractNumId="44">
    <w:nsid w:val="E7FFA2B"/>
    <w:multiLevelType w:val="hybridMultilevel"/>
    <w:lvl w:ilvl="0">
      <w:lvlJc w:val="left"/>
      <w:lvlText w:val="%1"/>
      <w:numFmt w:val="upperLetter"/>
      <w:start w:val="1"/>
    </w:lvl>
    <w:lvl w:ilvl="1">
      <w:lvlJc w:val="left"/>
      <w:lvlText w:val="(%2)"/>
      <w:numFmt w:val="lowerRoman"/>
      <w:start w:val="9"/>
    </w:lvl>
  </w:abstractNum>
  <w:abstractNum w:abstractNumId="45">
    <w:nsid w:val="3C5991AA"/>
    <w:multiLevelType w:val="hybridMultilevel"/>
    <w:lvl w:ilvl="0">
      <w:lvlJc w:val="left"/>
      <w:lvlText w:val="(%1)"/>
      <w:numFmt w:val="upperLetter"/>
      <w:start w:val="2"/>
    </w:lvl>
    <w:lvl w:ilvl="1">
      <w:lvlJc w:val="left"/>
      <w:lvlText w:val="(%2)"/>
      <w:numFmt w:val="lowerRoman"/>
      <w:start w:val="14"/>
    </w:lvl>
  </w:abstractNum>
  <w:abstractNum w:abstractNumId="46">
    <w:nsid w:val="4BD8591A"/>
    <w:multiLevelType w:val="hybridMultilevel"/>
    <w:lvl w:ilvl="0">
      <w:lvlJc w:val="left"/>
      <w:lvlText w:val="%1"/>
      <w:numFmt w:val="upperLetter"/>
      <w:start w:val="1"/>
    </w:lvl>
    <w:lvl w:ilvl="1">
      <w:lvlJc w:val="left"/>
      <w:lvlText w:val="(%2)"/>
      <w:numFmt w:val="lowerRoman"/>
      <w:start w:val="15"/>
    </w:lvl>
  </w:abstractNum>
  <w:abstractNum w:abstractNumId="47">
    <w:nsid w:val="78DF6A55"/>
    <w:multiLevelType w:val="hybridMultilevel"/>
    <w:lvl w:ilvl="0">
      <w:lvlJc w:val="left"/>
      <w:lvlText w:val="(%1)"/>
      <w:numFmt w:val="upperLetter"/>
      <w:start w:val="2"/>
    </w:lvl>
    <w:lvl w:ilvl="1">
      <w:lvlJc w:val="left"/>
      <w:lvlText w:val="(%2)"/>
      <w:numFmt w:val="lowerRoman"/>
      <w:start w:val="16"/>
    </w:lvl>
  </w:abstractNum>
  <w:abstractNum w:abstractNumId="48">
    <w:nsid w:val="39B7AAA2"/>
    <w:multiLevelType w:val="hybridMultilevel"/>
    <w:lvl w:ilvl="0">
      <w:lvlJc w:val="left"/>
      <w:lvlText w:val="(%1)"/>
      <w:numFmt w:val="upperLetter"/>
      <w:start w:val="10"/>
    </w:lvl>
    <w:lvl w:ilvl="1">
      <w:lvlJc w:val="left"/>
      <w:lvlText w:val="(%2)"/>
      <w:numFmt w:val="lowerRoman"/>
      <w:start w:val="20"/>
    </w:lvl>
  </w:abstractNum>
  <w:abstractNum w:abstractNumId="49">
    <w:nsid w:val="2B0D8DBE"/>
    <w:multiLevelType w:val="hybridMultilevel"/>
    <w:lvl w:ilvl="0">
      <w:lvlJc w:val="left"/>
      <w:lvlText w:val="(%1)"/>
      <w:numFmt w:val="upperLetter"/>
      <w:start w:val="2"/>
    </w:lvl>
    <w:lvl w:ilvl="1">
      <w:lvlJc w:val="left"/>
      <w:lvlText w:val="%2"/>
      <w:numFmt w:val="lowerRoman"/>
      <w:start w:val="1"/>
    </w:lvl>
  </w:abstractNum>
  <w:abstractNum w:abstractNumId="50">
    <w:nsid w:val="6C80EC70"/>
    <w:multiLevelType w:val="hybridMultilevel"/>
    <w:lvl w:ilvl="0">
      <w:lvlJc w:val="left"/>
      <w:lvlText w:val="(%1)"/>
      <w:numFmt w:val="lowerRoman"/>
      <w:start w:val="21"/>
    </w:lvl>
  </w:abstractNum>
  <w:abstractNum w:abstractNumId="51">
    <w:nsid w:val="379E21B5"/>
    <w:multiLevelType w:val="hybridMultilevel"/>
    <w:lvl w:ilvl="0">
      <w:lvlJc w:val="left"/>
      <w:lvlText w:val="(%1)"/>
      <w:numFmt w:val="lowerRoman"/>
      <w:start w:val="23"/>
    </w:lvl>
  </w:abstractNum>
  <w:abstractNum w:abstractNumId="52">
    <w:nsid w:val="69E373"/>
    <w:multiLevelType w:val="hybridMultilevel"/>
    <w:lvl w:ilvl="0">
      <w:lvlJc w:val="left"/>
      <w:lvlText w:val="(%1)"/>
      <w:numFmt w:val="lowerRoman"/>
      <w:start w:val="28"/>
    </w:lvl>
  </w:abstractNum>
  <w:abstractNum w:abstractNumId="53">
    <w:nsid w:val="2C27173B"/>
    <w:multiLevelType w:val="hybridMultilevel"/>
    <w:lvl w:ilvl="0">
      <w:lvlJc w:val="left"/>
      <w:lvlText w:val="%1"/>
      <w:numFmt w:val="upperLetter"/>
      <w:start w:val="1"/>
    </w:lvl>
    <w:lvl w:ilvl="1">
      <w:lvlJc w:val="left"/>
      <w:lvlText w:val="(%2)"/>
      <w:numFmt w:val="lowerRoman"/>
      <w:start w:val="33"/>
    </w:lvl>
  </w:abstractNum>
  <w:abstractNum w:abstractNumId="54">
    <w:nsid w:val="4C9B0904"/>
    <w:multiLevelType w:val="hybridMultilevel"/>
    <w:lvl w:ilvl="0">
      <w:lvlJc w:val="left"/>
      <w:lvlText w:val="(%1)"/>
      <w:numFmt w:val="upperLetter"/>
      <w:start w:val="1"/>
    </w:lvl>
    <w:lvl w:ilvl="1">
      <w:lvlJc w:val="left"/>
      <w:lvlText w:val="(%2)"/>
      <w:numFmt w:val="lowerRoman"/>
      <w:start w:val="1"/>
    </w:lvl>
  </w:abstractNum>
  <w:abstractNum w:abstractNumId="55">
    <w:nsid w:val="6AA7B75C"/>
    <w:multiLevelType w:val="hybridMultilevel"/>
    <w:lvl w:ilvl="0">
      <w:lvlJc w:val="left"/>
      <w:lvlText w:val="%1"/>
      <w:numFmt w:val="upperLetter"/>
      <w:start w:val="1"/>
    </w:lvl>
    <w:lvl w:ilvl="1">
      <w:lvlJc w:val="left"/>
      <w:lvlText w:val="(%2)"/>
      <w:numFmt w:val="lowerRoman"/>
      <w:start w:val="34"/>
    </w:lvl>
  </w:abstractNum>
  <w:abstractNum w:abstractNumId="56">
    <w:nsid w:val="1DF029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7"/>
    </w:lvl>
  </w:abstractNum>
  <w:abstractNum w:abstractNumId="57">
    <w:nsid w:val="5675FF3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8">
    <w:nsid w:val="3DD15094"/>
    <w:multiLevelType w:val="hybridMultilevel"/>
    <w:lvl w:ilvl="0">
      <w:lvlJc w:val="left"/>
      <w:lvlText w:val="(%1)"/>
      <w:numFmt w:val="lowerRoman"/>
      <w:start w:val="1"/>
    </w:lvl>
  </w:abstractNum>
  <w:abstractNum w:abstractNumId="59">
    <w:nsid w:val="3DB012B3"/>
    <w:multiLevelType w:val="hybridMultilevel"/>
    <w:lvl w:ilvl="0">
      <w:lvlJc w:val="left"/>
      <w:lvlText w:val="%1"/>
      <w:numFmt w:val="lowerRoman"/>
      <w:start w:val="1"/>
    </w:lvl>
    <w:lvl w:ilvl="1">
      <w:lvlJc w:val="left"/>
      <w:lvlText w:val="(%2)"/>
      <w:numFmt w:val="lowerRoman"/>
      <w:start w:val="4"/>
    </w:lvl>
  </w:abstractNum>
  <w:abstractNum w:abstractNumId="60">
    <w:nsid w:val="2708C9AF"/>
    <w:multiLevelType w:val="hybridMultilevel"/>
    <w:lvl w:ilvl="0">
      <w:lvlJc w:val="left"/>
      <w:lvlText w:val="(%1)"/>
      <w:numFmt w:val="lowerRoman"/>
      <w:start w:val="2"/>
    </w:lvl>
    <w:lvl w:ilvl="1">
      <w:lvlJc w:val="left"/>
      <w:lvlText w:val="%2"/>
      <w:numFmt w:val="lowerRoman"/>
      <w:start w:val="1"/>
    </w:lvl>
  </w:abstractNum>
  <w:abstractNum w:abstractNumId="61">
    <w:nsid w:val="5B25ACE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2">
    <w:nsid w:val="175DFCF0"/>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63">
    <w:nsid w:val="4F97E3E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64">
    <w:nsid w:val="53B0A9E"/>
    <w:multiLevelType w:val="hybridMultilevel"/>
    <w:lvl w:ilvl="0">
      <w:lvlJc w:val="left"/>
      <w:lvlText w:val="(%1)"/>
      <w:numFmt w:val="lowerLetter"/>
      <w:start w:val="2"/>
    </w:lvl>
  </w:abstractNum>
  <w:abstractNum w:abstractNumId="65">
    <w:nsid w:val="34FD6B4F"/>
    <w:multiLevelType w:val="hybridMultilevel"/>
    <w:lvl w:ilvl="0">
      <w:lvlJc w:val="left"/>
      <w:lvlText w:val="%1"/>
      <w:numFmt w:val="lowerLetter"/>
      <w:start w:val="1"/>
    </w:lvl>
    <w:lvl w:ilvl="1">
      <w:lvlJc w:val="left"/>
      <w:lvlText w:val="(%2)"/>
      <w:numFmt w:val="lowerLetter"/>
      <w:start w:val="6"/>
    </w:lvl>
  </w:abstractNum>
  <w:abstractNum w:abstractNumId="66">
    <w:nsid w:val="5915FF32"/>
    <w:multiLevelType w:val="hybridMultilevel"/>
    <w:lvl w:ilvl="0">
      <w:lvlJc w:val="left"/>
      <w:lvlText w:val="(%1)"/>
      <w:numFmt w:val="lowerLetter"/>
      <w:start w:val="25"/>
    </w:lvl>
    <w:lvl w:ilvl="1">
      <w:lvlJc w:val="left"/>
      <w:lvlText w:val="%2"/>
      <w:numFmt w:val="lowerLetter"/>
      <w:start w:val="1"/>
    </w:lvl>
  </w:abstractNum>
  <w:abstractNum w:abstractNumId="67">
    <w:nsid w:val="56438D15"/>
    <w:multiLevelType w:val="hybridMultilevel"/>
    <w:lvl w:ilvl="0">
      <w:lvlJc w:val="left"/>
      <w:lvlText w:val="(%1)"/>
      <w:numFmt w:val="lowerLetter"/>
      <w:start w:val="10"/>
    </w:lvl>
  </w:abstractNum>
  <w:abstractNum w:abstractNumId="68">
    <w:nsid w:val="519E3149"/>
    <w:multiLevelType w:val="hybridMultilevel"/>
    <w:lvl w:ilvl="0">
      <w:lvlJc w:val="left"/>
      <w:lvlText w:val="(%1)"/>
      <w:numFmt w:val="lowerLetter"/>
      <w:start w:val="15"/>
    </w:lvl>
    <w:lvl w:ilvl="1">
      <w:lvlJc w:val="left"/>
      <w:lvlText w:val="(%2)"/>
      <w:numFmt w:val="lowerRoman"/>
      <w:start w:val="1"/>
    </w:lvl>
  </w:abstractNum>
  <w:abstractNum w:abstractNumId="69">
    <w:nsid w:val="2C6E4AFD"/>
    <w:multiLevelType w:val="hybridMultilevel"/>
    <w:lvl w:ilvl="0">
      <w:lvlJc w:val="left"/>
      <w:lvlText w:val="%1"/>
      <w:numFmt w:val="lowerLetter"/>
      <w:start w:val="1"/>
    </w:lvl>
    <w:lvl w:ilvl="1">
      <w:lvlJc w:val="left"/>
      <w:lvlText w:val="(%2)"/>
      <w:numFmt w:val="lowerLetter"/>
      <w:start w:val="16"/>
    </w:lvl>
  </w:abstractNum>
  <w:abstractNum w:abstractNumId="70">
    <w:nsid w:val="17A1B582"/>
    <w:multiLevelType w:val="hybridMultilevel"/>
    <w:lvl w:ilvl="0">
      <w:lvlJc w:val="left"/>
      <w:lvlText w:val="(%1)"/>
      <w:numFmt w:val="lowerLetter"/>
      <w:start w:val="9"/>
    </w:lvl>
    <w:lvl w:ilvl="1">
      <w:lvlJc w:val="left"/>
      <w:lvlText w:val="%2"/>
      <w:numFmt w:val="lowerLetter"/>
      <w:start w:val="1"/>
    </w:lvl>
  </w:abstractNum>
  <w:abstractNum w:abstractNumId="71">
    <w:nsid w:val="4DF72E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7"/>
    </w:lvl>
  </w:abstractNum>
  <w:abstractNum w:abstractNumId="72">
    <w:nsid w:val="5046B5A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73">
    <w:nsid w:val="5D888A0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74">
    <w:nsid w:val="2A082C70"/>
    <w:multiLevelType w:val="hybridMultilevel"/>
    <w:lvl w:ilvl="0">
      <w:lvlJc w:val="left"/>
      <w:lvlText w:val="(%1)"/>
      <w:numFmt w:val="lowerLetter"/>
      <w:start w:val="3"/>
    </w:lvl>
  </w:abstractNum>
  <w:abstractNum w:abstractNumId="75">
    <w:nsid w:val="5EC6AFD4"/>
    <w:multiLevelType w:val="hybridMultilevel"/>
    <w:lvl w:ilvl="0">
      <w:lvlJc w:val="left"/>
      <w:lvlText w:val="(%1)"/>
      <w:numFmt w:val="lowerLetter"/>
      <w:start w:val="9"/>
    </w:lvl>
  </w:abstractNum>
  <w:abstractNum w:abstractNumId="76">
    <w:nsid w:val="19E21BB2"/>
    <w:multiLevelType w:val="hybridMultilevel"/>
    <w:lvl w:ilvl="0">
      <w:lvlJc w:val="left"/>
      <w:lvlText w:val="%1."/>
      <w:numFmt w:val="decimal"/>
      <w:start w:val="5"/>
    </w:lvl>
    <w:lvl w:ilvl="1">
      <w:lvlJc w:val="left"/>
      <w:lvlText w:val="(%2)"/>
      <w:numFmt w:val="lowerLetter"/>
      <w:start w:val="1"/>
    </w:lvl>
  </w:abstractNum>
  <w:abstractNum w:abstractNumId="77">
    <w:nsid w:val="75E0858A"/>
    <w:multiLevelType w:val="hybridMultilevel"/>
    <w:lvl w:ilvl="0">
      <w:lvlJc w:val="left"/>
      <w:lvlText w:val="(%1)"/>
      <w:numFmt w:val="lowerRoman"/>
      <w:start w:val="1"/>
    </w:lvl>
  </w:abstractNum>
  <w:abstractNum w:abstractNumId="78">
    <w:nsid w:val="57A61A29"/>
    <w:multiLevelType w:val="hybridMultilevel"/>
    <w:lvl w:ilvl="0">
      <w:lvlJc w:val="left"/>
      <w:lvlText w:val="(%1)"/>
      <w:numFmt w:val="lowerRoman"/>
      <w:start w:val="2"/>
    </w:lvl>
  </w:abstractNum>
  <w:abstractNum w:abstractNumId="79">
    <w:nsid w:val="5399C654"/>
    <w:multiLevelType w:val="hybridMultilevel"/>
    <w:lvl w:ilvl="0">
      <w:lvlJc w:val="left"/>
      <w:lvlText w:val="(%1)"/>
      <w:numFmt w:val="lowerLetter"/>
      <w:start w:val="2"/>
    </w:lvl>
  </w:abstractNum>
  <w:abstractNum w:abstractNumId="80">
    <w:nsid w:val="20EE13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81">
    <w:nsid w:val="4427069A"/>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82">
    <w:nsid w:val="B37E80A"/>
    <w:multiLevelType w:val="hybridMultilevel"/>
    <w:lvl w:ilvl="0">
      <w:lvlJc w:val="left"/>
      <w:lvlText w:val="%1."/>
      <w:numFmt w:val="decimal"/>
      <w:start w:val="7"/>
    </w:lvl>
    <w:lvl w:ilvl="1">
      <w:lvlJc w:val="left"/>
      <w:lvlText w:val="(%2)"/>
      <w:numFmt w:val="lowerLetter"/>
      <w:start w:val="1"/>
    </w:lvl>
  </w:abstractNum>
  <w:abstractNum w:abstractNumId="83">
    <w:nsid w:val="2157F6B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84">
    <w:nsid w:val="704E1DD5"/>
    <w:multiLevelType w:val="hybridMultilevel"/>
    <w:lvl w:ilvl="0">
      <w:lvlJc w:val="left"/>
      <w:lvlText w:val="(%1)"/>
      <w:numFmt w:val="lowerLetter"/>
      <w:start w:val="6"/>
    </w:lvl>
    <w:lvl w:ilvl="1">
      <w:lvlJc w:val="left"/>
      <w:lvlText w:val="%2."/>
      <w:numFmt w:val="decimal"/>
      <w:start w:val="12"/>
    </w:lvl>
    <w:lvl w:ilvl="2">
      <w:lvlJc w:val="left"/>
      <w:lvlText w:val="(%3)"/>
      <w:numFmt w:val="lowerLetter"/>
      <w:start w:val="1"/>
    </w:lvl>
  </w:abstractNum>
  <w:abstractNum w:abstractNumId="85">
    <w:nsid w:val="57D2F10E"/>
    <w:multiLevelType w:val="hybridMultilevel"/>
    <w:lvl w:ilvl="0">
      <w:lvlJc w:val="left"/>
      <w:lvlText w:val="(%1)"/>
      <w:numFmt w:val="lowerRoman"/>
      <w:start w:val="2"/>
    </w:lvl>
    <w:lvl w:ilvl="1">
      <w:lvlJc w:val="left"/>
      <w:lvlText w:val="%2."/>
      <w:numFmt w:val="decimal"/>
      <w:start w:val="13"/>
    </w:lvl>
  </w:abstractNum>
  <w:abstractNum w:abstractNumId="86">
    <w:nsid w:val="BFFAE18"/>
    <w:multiLevelType w:val="hybridMultilevel"/>
    <w:lvl w:ilvl="0">
      <w:lvlJc w:val="left"/>
      <w:lvlText w:val="(%1)"/>
      <w:numFmt w:val="lowerRoman"/>
      <w:start w:val="1"/>
    </w:lvl>
  </w:abstractNum>
  <w:abstractNum w:abstractNumId="87">
    <w:nsid w:val="E3E47A8"/>
    <w:multiLevelType w:val="hybridMultilevel"/>
    <w:lvl w:ilvl="0">
      <w:lvlJc w:val="left"/>
      <w:lvlText w:val="1"/>
      <w:numFmt w:val="bullet"/>
      <w:start w:val="1"/>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3"/>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11"/>
    </w:lvl>
  </w:abstractNum>
  <w:abstractNum w:abstractNumId="92">
    <w:nsid w:val="24F6AB8E"/>
    <w:multiLevelType w:val="hybridMultilevel"/>
    <w:lvl w:ilvl="0">
      <w:lvlJc w:val="left"/>
      <w:lvlText w:val="(%1)"/>
      <w:numFmt w:val="lowerLetter"/>
      <w:start w:val="1"/>
    </w:lvl>
    <w:lvl w:ilvl="1">
      <w:lvlJc w:val="left"/>
      <w:lvlText w:val="(%2)"/>
      <w:numFmt w:val="lowerRoman"/>
      <w:start w:val="1"/>
    </w:lvl>
  </w:abstractNum>
  <w:abstractNum w:abstractNumId="93">
    <w:nsid w:val="634C574C"/>
    <w:multiLevelType w:val="hybridMultilevel"/>
    <w:lvl w:ilvl="0">
      <w:lvlJc w:val="left"/>
      <w:lvlText w:val="(%1)"/>
      <w:numFmt w:val="lowerRoman"/>
      <w:start w:val="1"/>
    </w:lvl>
  </w:abstractNum>
  <w:abstractNum w:abstractNumId="94">
    <w:nsid w:val="24E99DD7"/>
    <w:multiLevelType w:val="hybridMultilevel"/>
    <w:lvl w:ilvl="0">
      <w:lvlJc w:val="left"/>
      <w:lvlText w:val="(%1)"/>
      <w:numFmt w:val="lowerLetter"/>
      <w:start w:val="1"/>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Letter"/>
      <w:start w:val="2"/>
    </w:lvl>
  </w:abstractNum>
  <w:abstractNum w:abstractNumId="97">
    <w:nsid w:val="7DFF9D09"/>
    <w:multiLevelType w:val="hybridMultilevel"/>
    <w:lvl w:ilvl="0">
      <w:lvlJc w:val="left"/>
      <w:lvlText w:val="(%1)"/>
      <w:numFmt w:val="lowerLetter"/>
      <w:start w:val="1"/>
    </w:lvl>
  </w:abstractNum>
  <w:abstractNum w:abstractNumId="98">
    <w:nsid w:val="754342"/>
    <w:multiLevelType w:val="hybridMultilevel"/>
    <w:lvl w:ilvl="0">
      <w:lvlJc w:val="left"/>
      <w:lvlText w:val="(%1)"/>
      <w:numFmt w:val="lowerLetter"/>
      <w:start w:val="3"/>
    </w:lvl>
  </w:abstractNum>
  <w:abstractNum w:abstractNumId="99">
    <w:nsid w:val="69E7F3E5"/>
    <w:multiLevelType w:val="hybridMultilevel"/>
    <w:lvl w:ilvl="0">
      <w:lvlJc w:val="left"/>
      <w:lvlText w:val="(%1)"/>
      <w:numFmt w:val="lowerRoman"/>
      <w:start w:val="1"/>
    </w:lvl>
  </w:abstractNum>
  <w:abstractNum w:abstractNumId="100">
    <w:nsid w:val="2A6DE806"/>
    <w:multiLevelType w:val="hybridMultilevel"/>
    <w:lvl w:ilvl="0">
      <w:lvlJc w:val="left"/>
      <w:lvlText w:val="(%1)"/>
      <w:numFmt w:val="lowerRoman"/>
      <w:start w:val="3"/>
    </w:lvl>
  </w:abstractNum>
  <w:abstractNum w:abstractNumId="101">
    <w:nsid w:val="1816F8C4"/>
    <w:multiLevelType w:val="hybridMultilevel"/>
    <w:lvl w:ilvl="0">
      <w:lvlJc w:val="left"/>
      <w:lvlText w:val="(%1)"/>
      <w:numFmt w:val="lowerLetter"/>
      <w:start w:val="1"/>
    </w:lvl>
  </w:abstractNum>
  <w:abstractNum w:abstractNumId="102">
    <w:nsid w:val="37DF2233"/>
    <w:multiLevelType w:val="hybridMultilevel"/>
    <w:lvl w:ilvl="0">
      <w:lvlJc w:val="left"/>
      <w:lvlText w:val="(%1)"/>
      <w:numFmt w:val="lowerLetter"/>
      <w:start w:val="7"/>
    </w:lvl>
  </w:abstractNum>
  <w:abstractNum w:abstractNumId="103">
    <w:nsid w:val="7AB49DAF"/>
    <w:multiLevelType w:val="hybridMultilevel"/>
    <w:lvl w:ilvl="0">
      <w:lvlJc w:val="left"/>
      <w:lvlText w:val="(%1)"/>
      <w:numFmt w:val="lowerLetter"/>
      <w:start w:val="2"/>
    </w:lvl>
    <w:lvl w:ilvl="1">
      <w:lvlJc w:val="left"/>
      <w:lvlText w:val="(%2)"/>
      <w:numFmt w:val="lowerRoman"/>
      <w:start w:val="1"/>
    </w:lvl>
  </w:abstractNum>
  <w:abstractNum w:abstractNumId="104">
    <w:nsid w:val="759F82CD"/>
    <w:multiLevelType w:val="hybridMultilevel"/>
    <w:lvl w:ilvl="0">
      <w:lvlJc w:val="left"/>
      <w:lvlText w:val="(%1)"/>
      <w:numFmt w:val="lowerRoman"/>
      <w:start w:val="3"/>
    </w:lvl>
  </w:abstractNum>
  <w:abstractNum w:abstractNumId="105">
    <w:nsid w:val="61E74EA3"/>
    <w:multiLevelType w:val="hybridMultilevel"/>
    <w:lvl w:ilvl="0">
      <w:lvlJc w:val="left"/>
      <w:lvlText w:val="(%1)"/>
      <w:numFmt w:val="lowerLetter"/>
      <w:start w:val="3"/>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10"/>
    </w:lvl>
  </w:abstractNum>
  <w:abstractNum w:abstractNumId="108">
    <w:nsid w:val="57C7D42D"/>
    <w:multiLevelType w:val="hybridMultilevel"/>
    <w:lvl w:ilvl="0">
      <w:lvlJc w:val="left"/>
      <w:lvlText w:val="(%1)"/>
      <w:numFmt w:val="lowerRoman"/>
      <w:start w:val="2"/>
    </w:lvl>
  </w:abstractNum>
  <w:abstractNum w:abstractNumId="109">
    <w:nsid w:val="312167AD"/>
    <w:multiLevelType w:val="hybridMultilevel"/>
    <w:lvl w:ilvl="0">
      <w:lvlJc w:val="left"/>
      <w:lvlText w:val="(%1)"/>
      <w:numFmt w:val="lowerRoman"/>
      <w:start w:val="1"/>
    </w:lvl>
    <w:lvl w:ilvl="1">
      <w:lvlJc w:val="left"/>
      <w:lvlText w:val="(%2)"/>
      <w:numFmt w:val="upperLetter"/>
      <w:start w:val="1"/>
    </w:lvl>
  </w:abstractNum>
  <w:abstractNum w:abstractNumId="110">
    <w:nsid w:val="631B64D4"/>
    <w:multiLevelType w:val="hybridMultilevel"/>
    <w:lvl w:ilvl="0">
      <w:lvlJc w:val="left"/>
      <w:lvlText w:val="(%1)"/>
      <w:numFmt w:val="lowerRoman"/>
      <w:start w:val="1"/>
    </w:lvl>
  </w:abstractNum>
  <w:abstractNum w:abstractNumId="111">
    <w:nsid w:val="78B5E776"/>
    <w:multiLevelType w:val="hybridMultilevel"/>
    <w:lvl w:ilvl="0">
      <w:lvlJc w:val="left"/>
      <w:lvlText w:val="(%1)"/>
      <w:numFmt w:val="lowerLetter"/>
      <w:start w:val="2"/>
    </w:lvl>
  </w:abstractNum>
  <w:abstractNum w:abstractNumId="112">
    <w:nsid w:val="75486E47"/>
    <w:multiLevelType w:val="hybridMultilevel"/>
    <w:lvl w:ilvl="0">
      <w:lvlJc w:val="left"/>
      <w:lvlText w:val="(%1)"/>
      <w:numFmt w:val="lowerLetter"/>
      <w:start w:val="3"/>
    </w:lvl>
  </w:abstractNum>
  <w:abstractNum w:abstractNumId="113">
    <w:nsid w:val="6E534CDE"/>
    <w:multiLevelType w:val="hybridMultilevel"/>
    <w:lvl w:ilvl="0">
      <w:lvlJc w:val="left"/>
      <w:lvlText w:val="(%1)"/>
      <w:numFmt w:val="lowerLetter"/>
      <w:start w:val="4"/>
    </w:lvl>
    <w:lvl w:ilvl="1">
      <w:lvlJc w:val="left"/>
      <w:lvlText w:val="(%2)"/>
      <w:numFmt w:val="lowerRoman"/>
      <w:start w:val="1"/>
    </w:lvl>
  </w:abstractNum>
  <w:abstractNum w:abstractNumId="114">
    <w:nsid w:val="1A0DDE32"/>
    <w:multiLevelType w:val="hybridMultilevel"/>
    <w:lvl w:ilvl="0">
      <w:lvlJc w:val="left"/>
      <w:lvlText w:val="(%1)"/>
      <w:numFmt w:val="lowerRoman"/>
      <w:start w:val="4"/>
    </w:lvl>
  </w:abstractNum>
  <w:abstractNum w:abstractNumId="115">
    <w:nsid w:val="65968C1C"/>
    <w:multiLevelType w:val="hybridMultilevel"/>
    <w:lvl w:ilvl="0">
      <w:lvlJc w:val="left"/>
      <w:lvlText w:val="1"/>
      <w:numFmt w:val="bullet"/>
      <w:start w:val="1"/>
    </w:lvl>
  </w:abstractNum>
  <w:abstractNum w:abstractNumId="116">
    <w:nsid w:val="46263DEC"/>
    <w:multiLevelType w:val="hybridMultilevel"/>
    <w:lvl w:ilvl="0">
      <w:lvlJc w:val="left"/>
      <w:lvlText w:val="(%1)"/>
      <w:numFmt w:val="lowerLetter"/>
      <w:start w:val="1"/>
    </w:lvl>
  </w:abstractNum>
  <w:abstractNum w:abstractNumId="117">
    <w:nsid w:val="260D8C4A"/>
    <w:multiLevelType w:val="hybridMultilevel"/>
    <w:lvl w:ilvl="0">
      <w:lvlJc w:val="left"/>
      <w:lvlText w:val="(%1)"/>
      <w:numFmt w:val="lowerLetter"/>
      <w:start w:val="3"/>
    </w:lvl>
  </w:abstractNum>
  <w:abstractNum w:abstractNumId="118">
    <w:nsid w:val="73D4D3C4"/>
    <w:multiLevelType w:val="hybridMultilevel"/>
    <w:lvl w:ilvl="0">
      <w:lvlJc w:val="left"/>
      <w:lvlText w:val="(%1)"/>
      <w:numFmt w:val="lowerLetter"/>
      <w:start w:val="1"/>
    </w:lvl>
  </w:abstractNum>
  <w:abstractNum w:abstractNumId="119">
    <w:nsid w:val="746F2E30"/>
    <w:multiLevelType w:val="hybridMultilevel"/>
    <w:lvl w:ilvl="0">
      <w:lvlJc w:val="left"/>
      <w:lvlText w:val="(%1)"/>
      <w:numFmt w:val="lowerLetter"/>
      <w:start w:val="4"/>
    </w:lvl>
  </w:abstractNum>
  <w:abstractNum w:abstractNumId="120">
    <w:nsid w:val="6FDE8AF6"/>
    <w:multiLevelType w:val="hybridMultilevel"/>
    <w:lvl w:ilvl="0">
      <w:lvlJc w:val="left"/>
      <w:lvlText w:val="(%1)"/>
      <w:numFmt w:val="lowerLetter"/>
      <w:start w:val="1"/>
    </w:lvl>
  </w:abstractNum>
  <w:abstractNum w:abstractNumId="121">
    <w:nsid w:val="3FC32E20"/>
    <w:multiLevelType w:val="hybridMultilevel"/>
    <w:lvl w:ilvl="0">
      <w:lvlJc w:val="left"/>
      <w:lvlText w:val="(%1)"/>
      <w:numFmt w:val="lowerLetter"/>
      <w:start w:val="7"/>
    </w:lvl>
  </w:abstractNum>
  <w:abstractNum w:abstractNumId="122">
    <w:nsid w:val="49C0E823"/>
    <w:multiLevelType w:val="hybridMultilevel"/>
    <w:lvl w:ilvl="0">
      <w:lvlJc w:val="left"/>
      <w:lvlText w:val="(%1)"/>
      <w:numFmt w:val="lowerLetter"/>
      <w:start w:val="17"/>
    </w:lvl>
  </w:abstractNum>
  <w:abstractNum w:abstractNumId="123">
    <w:nsid w:val="14D53685"/>
    <w:multiLevelType w:val="hybridMultilevel"/>
    <w:lvl w:ilvl="0">
      <w:lvlJc w:val="left"/>
      <w:lvlText w:val="(%1)"/>
      <w:numFmt w:val="lowerLetter"/>
      <w:start w:val="2"/>
    </w:lvl>
  </w:abstractNum>
  <w:abstractNum w:abstractNumId="124">
    <w:nsid w:val="230F856C"/>
    <w:multiLevelType w:val="hybridMultilevel"/>
    <w:lvl w:ilvl="0">
      <w:lvlJc w:val="left"/>
      <w:lvlText w:val="(%1)"/>
      <w:numFmt w:val="lowerLetter"/>
      <w:start w:val="4"/>
    </w:lvl>
    <w:lvl w:ilvl="1">
      <w:lvlJc w:val="left"/>
      <w:lvlText w:val="(%2)"/>
      <w:numFmt w:val="lowerRoman"/>
      <w:start w:val="1"/>
    </w:lvl>
  </w:abstractNum>
  <w:abstractNum w:abstractNumId="125">
    <w:nsid w:val="6EAA85FB"/>
    <w:multiLevelType w:val="hybridMultilevel"/>
    <w:lvl w:ilvl="0">
      <w:lvlJc w:val="left"/>
      <w:lvlText w:val="(%1)"/>
      <w:numFmt w:val="lowerRoman"/>
      <w:start w:val="1"/>
    </w:lvl>
  </w:abstractNum>
  <w:abstractNum w:abstractNumId="126">
    <w:nsid w:val="3F06ECB2"/>
    <w:multiLevelType w:val="hybridMultilevel"/>
    <w:lvl w:ilvl="0">
      <w:lvlJc w:val="left"/>
      <w:lvlText w:val="(%1)"/>
      <w:numFmt w:val="lowerLetter"/>
      <w:start w:val="1"/>
    </w:lvl>
  </w:abstractNum>
  <w:abstractNum w:abstractNumId="127">
    <w:nsid w:val="3B594807"/>
    <w:multiLevelType w:val="hybridMultilevel"/>
    <w:lvl w:ilvl="0">
      <w:lvlJc w:val="left"/>
      <w:lvlText w:val="(%1)"/>
      <w:numFmt w:val="lowerLetter"/>
      <w:start w:val="2"/>
    </w:lvl>
  </w:abstractNum>
  <w:abstractNum w:abstractNumId="128">
    <w:nsid w:val="6CAA2304"/>
    <w:multiLevelType w:val="hybridMultilevel"/>
    <w:lvl w:ilvl="0">
      <w:lvlJc w:val="left"/>
      <w:lvlText w:val="(%1)"/>
      <w:numFmt w:val="lowerLetter"/>
      <w:start w:val="1"/>
    </w:lvl>
  </w:abstractNum>
  <w:abstractNum w:abstractNumId="129">
    <w:nsid w:val="3F7C2FF4"/>
    <w:multiLevelType w:val="hybridMultilevel"/>
    <w:lvl w:ilvl="0">
      <w:lvlJc w:val="left"/>
      <w:lvlText w:val="(%1)"/>
      <w:numFmt w:val="lowerLetter"/>
      <w:start w:val="2"/>
    </w:lvl>
  </w:abstractNum>
  <w:abstractNum w:abstractNumId="130">
    <w:nsid w:val="25413BEC"/>
    <w:multiLevelType w:val="hybridMultilevel"/>
    <w:lvl w:ilvl="0">
      <w:lvlJc w:val="left"/>
      <w:lvlText w:val="(%1)"/>
      <w:numFmt w:val="lowerLetter"/>
      <w:start w:val="1"/>
    </w:lvl>
  </w:abstractNum>
  <w:abstractNum w:abstractNumId="131">
    <w:nsid w:val="17180B0B"/>
    <w:multiLevelType w:val="hybridMultilevel"/>
    <w:lvl w:ilvl="0">
      <w:lvlJc w:val="left"/>
      <w:lvlText w:val="(%1)"/>
      <w:numFmt w:val="lowerRoman"/>
      <w:start w:val="1"/>
    </w:lvl>
  </w:abstractNum>
  <w:abstractNum w:abstractNumId="132">
    <w:nsid w:val="579328B9"/>
    <w:multiLevelType w:val="hybridMultilevel"/>
    <w:lvl w:ilvl="0">
      <w:lvlJc w:val="left"/>
      <w:lvlText w:val="(%1)"/>
      <w:numFmt w:val="lowerRoman"/>
      <w:start w:val="3"/>
    </w:lvl>
  </w:abstractNum>
  <w:abstractNum w:abstractNumId="133">
    <w:nsid w:val="5D205E20"/>
    <w:multiLevelType w:val="hybridMultilevel"/>
    <w:lvl w:ilvl="0">
      <w:lvlJc w:val="left"/>
      <w:lvlText w:val="(%1)"/>
      <w:numFmt w:val="lowerLetter"/>
      <w:start w:val="1"/>
    </w:lvl>
  </w:abstractNum>
  <w:abstractNum w:abstractNumId="134">
    <w:nsid w:val="11CCA8BA"/>
    <w:multiLevelType w:val="hybridMultilevel"/>
    <w:lvl w:ilvl="0">
      <w:lvlJc w:val="left"/>
      <w:lvlText w:val="(%1)"/>
      <w:numFmt w:val="lowerLetter"/>
      <w:start w:val="9"/>
    </w:lvl>
  </w:abstractNum>
  <w:abstractNum w:abstractNumId="135">
    <w:nsid w:val="4D32AB86"/>
    <w:multiLevelType w:val="hybridMultilevel"/>
    <w:lvl w:ilvl="0">
      <w:lvlJc w:val="left"/>
      <w:lvlText w:val="(%1)"/>
      <w:numFmt w:val="lowerLetter"/>
      <w:start w:val="2"/>
    </w:lvl>
    <w:lvl w:ilvl="1">
      <w:lvlJc w:val="left"/>
      <w:lvlText w:val="(%2)"/>
      <w:numFmt w:val="lowerRoman"/>
      <w:start w:val="1"/>
    </w:lvl>
  </w:abstractNum>
  <w:abstractNum w:abstractNumId="136">
    <w:nsid w:val="3F07ACC3"/>
    <w:multiLevelType w:val="hybridMultilevel"/>
    <w:lvl w:ilvl="0">
      <w:lvlJc w:val="left"/>
      <w:lvlText w:val="(%1)"/>
      <w:numFmt w:val="lowerLetter"/>
      <w:start w:val="3"/>
    </w:lvl>
  </w:abstractNum>
  <w:abstractNum w:abstractNumId="137">
    <w:nsid w:val="6B47F63E"/>
    <w:multiLevelType w:val="hybridMultilevel"/>
    <w:lvl w:ilvl="0">
      <w:lvlJc w:val="left"/>
      <w:lvlText w:val="(%1)"/>
      <w:numFmt w:val="lowerLetter"/>
      <w:start w:val="4"/>
    </w:lvl>
  </w:abstractNum>
  <w:abstractNum w:abstractNumId="138">
    <w:nsid w:val="5CB44A05"/>
    <w:multiLevelType w:val="hybridMultilevel"/>
    <w:lvl w:ilvl="0">
      <w:lvlJc w:val="left"/>
      <w:lvlText w:val="(%1)"/>
      <w:numFmt w:val="lowerLetter"/>
      <w:start w:val="1"/>
    </w:lvl>
  </w:abstractNum>
  <w:abstractNum w:abstractNumId="139">
    <w:nsid w:val="16CF80F1"/>
    <w:multiLevelType w:val="hybridMultilevel"/>
    <w:lvl w:ilvl="0">
      <w:lvlJc w:val="left"/>
      <w:lvlText w:val="(%1)"/>
      <w:numFmt w:val="lowerLetter"/>
      <w:start w:val="5"/>
    </w:lvl>
  </w:abstractNum>
  <w:abstractNum w:abstractNumId="140">
    <w:nsid w:val="1C695DEC"/>
    <w:multiLevelType w:val="hybridMultilevel"/>
    <w:lvl w:ilvl="0">
      <w:lvlJc w:val="left"/>
      <w:lvlText w:val="(%1)"/>
      <w:numFmt w:val="lowerRoman"/>
      <w:start w:val="2"/>
    </w:lvl>
  </w:abstractNum>
  <w:abstractNum w:abstractNumId="141">
    <w:nsid w:val="3FCFAED9"/>
    <w:multiLevelType w:val="hybridMultilevel"/>
    <w:lvl w:ilvl="0">
      <w:lvlJc w:val="left"/>
      <w:lvlText w:val="(%1)"/>
      <w:numFmt w:val="lowerRoman"/>
      <w:start w:val="1"/>
    </w:lvl>
  </w:abstractNum>
  <w:abstractNum w:abstractNumId="142">
    <w:nsid w:val="F856867"/>
    <w:multiLevelType w:val="hybridMultilevel"/>
    <w:lvl w:ilvl="0">
      <w:lvlJc w:val="left"/>
      <w:lvlText w:val="(%1)"/>
      <w:numFmt w:val="lowerRoman"/>
      <w:start w:val="3"/>
    </w:lvl>
    <w:lvl w:ilvl="1">
      <w:lvlJc w:val="left"/>
      <w:lvlText w:val="(%2)"/>
      <w:numFmt w:val="upperLetter"/>
      <w:start w:val="1"/>
    </w:lvl>
  </w:abstractNum>
  <w:abstractNum w:abstractNumId="143">
    <w:nsid w:val="11B1CC33"/>
    <w:multiLevelType w:val="hybridMultilevel"/>
    <w:lvl w:ilvl="0">
      <w:lvlJc w:val="left"/>
      <w:lvlText w:val="(%1)"/>
      <w:numFmt w:val="lowerLetter"/>
      <w:start w:val="2"/>
    </w:lvl>
  </w:abstractNum>
  <w:abstractNum w:abstractNumId="144">
    <w:nsid w:val="2E22FBB7"/>
    <w:multiLevelType w:val="hybridMultilevel"/>
    <w:lvl w:ilvl="0">
      <w:lvlJc w:val="left"/>
      <w:lvlText w:val="(%1)"/>
      <w:numFmt w:val="lowerLetter"/>
      <w:start w:val="4"/>
    </w:lvl>
    <w:lvl w:ilvl="1">
      <w:lvlJc w:val="left"/>
      <w:lvlText w:val="(%2)"/>
      <w:numFmt w:val="lowerRoman"/>
      <w:start w:val="1"/>
    </w:lvl>
  </w:abstractNum>
  <w:abstractNum w:abstractNumId="145">
    <w:nsid w:val="29934699"/>
    <w:multiLevelType w:val="hybridMultilevel"/>
    <w:lvl w:ilvl="0">
      <w:lvlJc w:val="left"/>
      <w:lvlText w:val="(%1)"/>
      <w:numFmt w:val="lowerRoman"/>
      <w:start w:val="5"/>
    </w:lvl>
  </w:abstractNum>
  <w:abstractNum w:abstractNumId="146">
    <w:nsid w:val="77485850"/>
    <w:multiLevelType w:val="hybridMultilevel"/>
    <w:lvl w:ilvl="0">
      <w:lvlJc w:val="left"/>
      <w:lvlText w:val="%1."/>
      <w:numFmt w:val="decimal"/>
      <w:start w:val="13"/>
    </w:lvl>
  </w:abstractNum>
  <w:abstractNum w:abstractNumId="147">
    <w:nsid w:val="744939A3"/>
    <w:multiLevelType w:val="hybridMultilevel"/>
    <w:lvl w:ilvl="0">
      <w:lvlJc w:val="left"/>
      <w:lvlText w:val="%1."/>
      <w:numFmt w:val="decimal"/>
      <w:start w:val="1"/>
    </w:lvl>
  </w:abstractNum>
  <w:abstractNum w:abstractNumId="148">
    <w:nsid w:val="4FA0D2E3"/>
    <w:multiLevelType w:val="hybridMultilevel"/>
    <w:lvl w:ilvl="0">
      <w:lvlJc w:val="left"/>
      <w:lvlText w:val="%1."/>
      <w:numFmt w:val="decimal"/>
      <w:start w:val="2"/>
    </w:lvl>
  </w:abstractNum>
  <w:abstractNum w:abstractNumId="149">
    <w:nsid w:val="6B1D2C14"/>
    <w:multiLevelType w:val="hybridMultilevel"/>
    <w:lvl w:ilvl="0">
      <w:lvlJc w:val="left"/>
      <w:lvlText w:val="%1."/>
      <w:numFmt w:val="decimal"/>
      <w:start w:val="3"/>
    </w:lvl>
  </w:abstractNum>
  <w:abstractNum w:abstractNumId="150">
    <w:nsid w:val="68B867D3"/>
    <w:multiLevelType w:val="hybridMultilevel"/>
    <w:lvl w:ilvl="0">
      <w:lvlJc w:val="left"/>
      <w:lvlText w:val="%1."/>
      <w:numFmt w:val="decimal"/>
      <w:start w:val="4"/>
    </w:lvl>
  </w:abstractNum>
  <w:abstractNum w:abstractNumId="151">
    <w:nsid w:val="3F7F5DD9"/>
    <w:multiLevelType w:val="hybridMultilevel"/>
    <w:lvl w:ilvl="0">
      <w:lvlJc w:val="left"/>
      <w:lvlText w:val="%1."/>
      <w:numFmt w:val="decimal"/>
      <w:start w:val="5"/>
    </w:lvl>
  </w:abstractNum>
  <w:abstractNum w:abstractNumId="152">
    <w:nsid w:val="2AE05A34"/>
    <w:multiLevelType w:val="hybridMultilevel"/>
    <w:lvl w:ilvl="0">
      <w:lvlJc w:val="left"/>
      <w:lvlText w:val="%1."/>
      <w:numFmt w:val="decimal"/>
      <w:start w:val="6"/>
    </w:lvl>
  </w:abstractNum>
  <w:abstractNum w:abstractNumId="153">
    <w:nsid w:val="32794FF7"/>
    <w:multiLevelType w:val="hybridMultilevel"/>
    <w:lvl w:ilvl="0">
      <w:lvlJc w:val="left"/>
      <w:lvlText w:val="%1."/>
      <w:numFmt w:val="decimal"/>
      <w:start w:val="8"/>
    </w:lvl>
  </w:abstractNum>
  <w:abstractNum w:abstractNumId="154">
    <w:nsid w:val="5454945E"/>
    <w:multiLevelType w:val="hybridMultilevel"/>
    <w:lvl w:ilvl="0">
      <w:lvlJc w:val="left"/>
      <w:lvlText w:val="%1."/>
      <w:numFmt w:val="decimal"/>
      <w:start w:val="9"/>
    </w:lvl>
  </w:abstractNum>
  <w:abstractNum w:abstractNumId="155">
    <w:nsid w:val="4DEFDFA0"/>
    <w:multiLevelType w:val="hybridMultilevel"/>
    <w:lvl w:ilvl="0">
      <w:lvlJc w:val="left"/>
      <w:lvlText w:val="%1."/>
      <w:numFmt w:val="decimal"/>
      <w:start w:val="10"/>
    </w:lvl>
  </w:abstractNum>
  <w:abstractNum w:abstractNumId="156">
    <w:nsid w:val="2123D5F2"/>
    <w:multiLevelType w:val="hybridMultilevel"/>
    <w:lvl w:ilvl="0">
      <w:lvlJc w:val="left"/>
      <w:lvlText w:val="%1."/>
      <w:numFmt w:val="decimal"/>
      <w:start w:val="11"/>
    </w:lvl>
  </w:abstractNum>
  <w:abstractNum w:abstractNumId="157">
    <w:nsid w:val="135B8110"/>
    <w:multiLevelType w:val="hybridMultilevel"/>
    <w:lvl w:ilvl="0">
      <w:lvlJc w:val="left"/>
      <w:lvlText w:val="%1."/>
      <w:numFmt w:val="decimal"/>
      <w:start w:val="12"/>
    </w:lvl>
  </w:abstractNum>
  <w:abstractNum w:abstractNumId="158">
    <w:nsid w:val="94927A8"/>
    <w:multiLevelType w:val="hybridMultilevel"/>
    <w:lvl w:ilvl="0">
      <w:lvlJc w:val="left"/>
      <w:lvlText w:val="%1."/>
      <w:numFmt w:val="decimal"/>
      <w:start w:val="13"/>
    </w:lvl>
  </w:abstractNum>
  <w:abstractNum w:abstractNumId="159">
    <w:nsid w:val="DCDF8F6"/>
    <w:multiLevelType w:val="hybridMultilevel"/>
    <w:lvl w:ilvl="0">
      <w:lvlJc w:val="left"/>
      <w:lvlText w:val="%1."/>
      <w:numFmt w:val="decimal"/>
      <w:start w:val="14"/>
    </w:lvl>
  </w:abstractNum>
  <w:abstractNum w:abstractNumId="160">
    <w:nsid w:val="52D7B105"/>
    <w:multiLevelType w:val="hybridMultilevel"/>
    <w:lvl w:ilvl="0">
      <w:lvlJc w:val="left"/>
      <w:lvlText w:val="%1."/>
      <w:numFmt w:val="decimal"/>
      <w:start w:val="15"/>
    </w:lvl>
  </w:abstractNum>
  <w:abstractNum w:abstractNumId="161">
    <w:nsid w:val="2E8A6394"/>
    <w:multiLevelType w:val="hybridMultilevel"/>
    <w:lvl w:ilvl="0">
      <w:lvlJc w:val="left"/>
      <w:lvlText w:val="%1."/>
      <w:numFmt w:val="decimal"/>
      <w:start w:val="16"/>
    </w:lvl>
  </w:abstractNum>
  <w:abstractNum w:abstractNumId="162">
    <w:nsid w:val="24E60401"/>
    <w:multiLevelType w:val="hybridMultilevel"/>
    <w:lvl w:ilvl="0">
      <w:lvlJc w:val="left"/>
      <w:lvlText w:val="%1."/>
      <w:numFmt w:val="decimal"/>
      <w:start w:val="1"/>
    </w:lvl>
  </w:abstractNum>
  <w:abstractNum w:abstractNumId="163">
    <w:nsid w:val="2A6AD9BE"/>
    <w:multiLevelType w:val="hybridMultilevel"/>
    <w:lvl w:ilvl="0">
      <w:lvlJc w:val="left"/>
      <w:lvlText w:val="%1."/>
      <w:numFmt w:val="decimal"/>
      <w:start w:val="2"/>
    </w:lvl>
  </w:abstractNum>
  <w:abstractNum w:abstractNumId="164">
    <w:nsid w:val="BAAC1B4"/>
    <w:multiLevelType w:val="hybridMultilevel"/>
    <w:lvl w:ilvl="0">
      <w:lvlJc w:val="left"/>
      <w:lvlText w:val="%1."/>
      <w:numFmt w:val="decimal"/>
      <w:start w:val="3"/>
    </w:lvl>
  </w:abstractNum>
  <w:abstractNum w:abstractNumId="165">
    <w:nsid w:val="36B2ACBC"/>
    <w:multiLevelType w:val="hybridMultilevel"/>
    <w:lvl w:ilvl="0">
      <w:lvlJc w:val="left"/>
      <w:lvlText w:val="%1."/>
      <w:numFmt w:val="decimal"/>
      <w:start w:val="4"/>
    </w:lvl>
  </w:abstractNum>
  <w:abstractNum w:abstractNumId="166">
    <w:nsid w:val="779D8544"/>
    <w:multiLevelType w:val="hybridMultilevel"/>
    <w:lvl w:ilvl="0">
      <w:lvlJc w:val="left"/>
      <w:lvlText w:val="%1."/>
      <w:numFmt w:val="decimal"/>
      <w:start w:val="5"/>
    </w:lvl>
  </w:abstractNum>
  <w:abstractNum w:abstractNumId="167">
    <w:nsid w:val="4AB26E78"/>
    <w:multiLevelType w:val="hybridMultilevel"/>
    <w:lvl w:ilvl="0">
      <w:lvlJc w:val="left"/>
      <w:lvlText w:val="%1."/>
      <w:numFmt w:val="decimal"/>
      <w:start w:val="6"/>
    </w:lvl>
  </w:abstractNum>
  <w:abstractNum w:abstractNumId="168">
    <w:nsid w:val="21FAA2FA"/>
    <w:multiLevelType w:val="hybridMultilevel"/>
    <w:lvl w:ilvl="0">
      <w:lvlJc w:val="left"/>
      <w:lvlText w:val="%1."/>
      <w:numFmt w:val="decimal"/>
      <w:start w:val="8"/>
    </w:lvl>
  </w:abstractNum>
  <w:abstractNum w:abstractNumId="169">
    <w:nsid w:val="5451CF49"/>
    <w:multiLevelType w:val="hybridMultilevel"/>
    <w:lvl w:ilvl="0">
      <w:lvlJc w:val="left"/>
      <w:lvlText w:val="%1."/>
      <w:numFmt w:val="decimal"/>
      <w:start w:val="9"/>
    </w:lvl>
  </w:abstractNum>
  <w:abstractNum w:abstractNumId="170">
    <w:nsid w:val="6181EF69"/>
    <w:multiLevelType w:val="hybridMultilevel"/>
    <w:lvl w:ilvl="0">
      <w:lvlJc w:val="left"/>
      <w:lvlText w:val="%1."/>
      <w:numFmt w:val="decimal"/>
      <w:start w:val="10"/>
    </w:lvl>
  </w:abstractNum>
  <w:abstractNum w:abstractNumId="171">
    <w:nsid w:val="3E6400E6"/>
    <w:multiLevelType w:val="hybridMultilevel"/>
    <w:lvl w:ilvl="0">
      <w:lvlJc w:val="left"/>
      <w:lvlText w:val="%1."/>
      <w:numFmt w:val="decimal"/>
      <w:start w:val="11"/>
    </w:lvl>
  </w:abstractNum>
  <w:abstractNum w:abstractNumId="172">
    <w:nsid w:val="14217E23"/>
    <w:multiLevelType w:val="hybridMultilevel"/>
    <w:lvl w:ilvl="0">
      <w:lvlJc w:val="left"/>
      <w:lvlText w:val="%1."/>
      <w:numFmt w:val="decimal"/>
      <w:start w:val="12"/>
    </w:lvl>
  </w:abstractNum>
  <w:abstractNum w:abstractNumId="173">
    <w:nsid w:val="710757D0"/>
    <w:multiLevelType w:val="hybridMultilevel"/>
    <w:lvl w:ilvl="0">
      <w:lvlJc w:val="left"/>
      <w:lvlText w:val="%1."/>
      <w:numFmt w:val="decimal"/>
      <w:start w:val="13"/>
    </w:lvl>
  </w:abstractNum>
  <w:abstractNum w:abstractNumId="174">
    <w:nsid w:val="5015CD1A"/>
    <w:multiLevelType w:val="hybridMultilevel"/>
    <w:lvl w:ilvl="0">
      <w:lvlJc w:val="left"/>
      <w:lvlText w:val="%1."/>
      <w:numFmt w:val="decimal"/>
      <w:start w:val="14"/>
    </w:lvl>
  </w:abstractNum>
  <w:abstractNum w:abstractNumId="175">
    <w:nsid w:val="424479DA"/>
    <w:multiLevelType w:val="hybridMultilevel"/>
    <w:lvl w:ilvl="0">
      <w:lvlJc w:val="left"/>
      <w:lvlText w:val="%1."/>
      <w:numFmt w:val="decimal"/>
      <w:start w:val="16"/>
    </w:lvl>
  </w:abstractNum>
  <w:abstractNum w:abstractNumId="176">
    <w:nsid w:val="1A9A9E69"/>
    <w:multiLevelType w:val="hybridMultilevel"/>
    <w:lvl w:ilvl="0">
      <w:lvlJc w:val="left"/>
      <w:lvlText w:val="%1."/>
      <w:numFmt w:val="decimal"/>
      <w:start w:val="17"/>
    </w:lvl>
  </w:abstractNum>
  <w:abstractNum w:abstractNumId="177">
    <w:nsid w:val="475E256A"/>
    <w:multiLevelType w:val="hybridMultilevel"/>
    <w:lvl w:ilvl="0">
      <w:lvlJc w:val="left"/>
      <w:lvlText w:val="%1."/>
      <w:numFmt w:val="lowerRoman"/>
      <w:start w:val="1"/>
    </w:lvl>
  </w:abstractNum>
  <w:abstractNum w:abstractNumId="178">
    <w:nsid w:val="368DB37E"/>
    <w:multiLevelType w:val="hybridMultilevel"/>
    <w:lvl w:ilvl="0">
      <w:lvlJc w:val="left"/>
      <w:lvlText w:val="(%1)"/>
      <w:numFmt w:val="lowerLetter"/>
      <w:start w:val="2"/>
    </w:lvl>
  </w:abstractNum>
  <w:abstractNum w:abstractNumId="179">
    <w:nsid w:val="6A3B714C"/>
    <w:multiLevelType w:val="hybridMultilevel"/>
    <w:lvl w:ilvl="0">
      <w:lvlJc w:val="left"/>
      <w:lvlText w:val="(%1)"/>
      <w:numFmt w:val="lowerRoman"/>
      <w:start w:val="3"/>
    </w:lvl>
  </w:abstractNum>
  <w:abstractNum w:abstractNumId="180">
    <w:nsid w:val="327B517E"/>
    <w:multiLevelType w:val="hybridMultilevel"/>
    <w:lvl w:ilvl="0">
      <w:lvlJc w:val="left"/>
      <w:lvlText w:val="%1."/>
      <w:numFmt w:val="decimal"/>
      <w:start w:val="1"/>
    </w:lvl>
    <w:lvl w:ilvl="1">
      <w:lvlJc w:val="left"/>
      <w:lvlText w:val="-"/>
      <w:numFmt w:val="bullet"/>
      <w:start w:val="1"/>
    </w:lvl>
  </w:abstractNum>
  <w:abstractNum w:abstractNumId="181">
    <w:nsid w:val="1F461B51"/>
    <w:multiLevelType w:val="hybridMultilevel"/>
    <w:lvl w:ilvl="0">
      <w:lvlJc w:val="left"/>
      <w:lvlText w:val="%1."/>
      <w:numFmt w:val="decimal"/>
      <w:start w:val="2"/>
    </w:lvl>
    <w:lvl w:ilvl="1">
      <w:lvlJc w:val="left"/>
      <w:lvlText w:val="-"/>
      <w:numFmt w:val="bullet"/>
      <w:start w:val="1"/>
    </w:lvl>
  </w:abstractNum>
  <w:abstractNum w:abstractNumId="182">
    <w:nsid w:val="29BACF25"/>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jpe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jpe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jpe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8"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jpe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0" Type="http://schemas.openxmlformats.org/officeDocument/2006/relationships/hyperlink" Target="http://www.sec.gov/Archives/edgar/data/1680581/000156459020008951/fulc-10k_20191231.htm" TargetMode="External"/><Relationship Id="rId31" Type="http://schemas.openxmlformats.org/officeDocument/2006/relationships/hyperlink" Target="http://www.sec.gov/Archives/edgar/data/1680581/000119312520124813/d895226ddef14a.htm" TargetMode="External"/><Relationship Id="rId32" Type="http://schemas.openxmlformats.org/officeDocument/2006/relationships/hyperlink" Target="http://www.sec.gov/Archives/edgar/data/1680581/000156459020024866/fulc-10q_20200331.htm" TargetMode="External"/><Relationship Id="rId33" Type="http://schemas.openxmlformats.org/officeDocument/2006/relationships/hyperlink" Target="http://www.sec.gov/Archives/edgar/data/1680581/000156459020039121/fulc-10q_20200630.htm" TargetMode="External"/><Relationship Id="rId34" Type="http://schemas.openxmlformats.org/officeDocument/2006/relationships/hyperlink" Target="http://www.sec.gov/Archives/edgar/data/1680581/000119312520001768/d831315d8k.htm" TargetMode="External"/><Relationship Id="rId35" Type="http://schemas.openxmlformats.org/officeDocument/2006/relationships/hyperlink" Target="http://www.sec.gov/Archives/edgar/data/1680581/000156459020014860/fulc-8k_20200331.htm" TargetMode="External"/><Relationship Id="rId36" Type="http://schemas.openxmlformats.org/officeDocument/2006/relationships/hyperlink" Target="http://www.sec.gov/Archives/edgar/data/1680581/000119312520165696/d857108d8k.htm" TargetMode="External"/><Relationship Id="rId37" Type="http://schemas.openxmlformats.org/officeDocument/2006/relationships/hyperlink" Target="http://www.sec.gov/Archives/edgar/data/1680581/000119312520166654/d941094d8k.htm" TargetMode="External"/><Relationship Id="rId38" Type="http://schemas.openxmlformats.org/officeDocument/2006/relationships/hyperlink" Target="http://www.sec.gov/Archives/edgar/data/1680581/000119312520181057/d944287d8k.htm" TargetMode="External"/><Relationship Id="rId39" Type="http://schemas.openxmlformats.org/officeDocument/2006/relationships/hyperlink" Target="http://www.sec.gov/Archives/edgar/data/1680581/000119312520197820/d77378d8k.htm" TargetMode="External"/><Relationship Id="rId40" Type="http://schemas.openxmlformats.org/officeDocument/2006/relationships/hyperlink" Target="http://www.sec.gov/Archives/edgar/data/1680581/000110465919040208/a19-3408_78a12b.htm" TargetMode="External"/><Relationship Id="rId116" Type="http://schemas.openxmlformats.org/officeDocument/2006/relationships/hyperlink" Target="http://www.sec.gov/Archives/edgar/data/1680581/000104746919004324/a2239321zex-3_1.htm" TargetMode="External"/><Relationship Id="rId117" Type="http://schemas.openxmlformats.org/officeDocument/2006/relationships/hyperlink" Target="http://www.sec.gov/Archives/edgar/data/1680581/000104746919004324/a2239321zex-3_2.htm" TargetMode="External"/><Relationship Id="rId119" Type="http://schemas.openxmlformats.org/officeDocument/2006/relationships/hyperlink" Target="http://www.sec.gov/Archives/edgar/data/1680581/000104746919003793/a2239080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2020-08-11T07:00:05Z</dcterms:created>
  <dcterms:modified xsi:type="dcterms:W3CDTF">2020-08-11T07:00:05Z</dcterms:modified>
</cp:coreProperties>
</file>