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#359616109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719,659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1,749,736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1,749,736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6.371%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1,749,736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1,749,736</w:t>
      </w:r>
    </w:p>
    <w:p>
      <w:pPr>
        <w:spacing w:after="0"/>
        <w:rPr>
          <w:sz w:val="20"/>
          <w:szCs w:val="20"/>
          <w:color w:val="auto"/>
        </w:rPr>
      </w:pPr>
      <w:r>
        <w:rPr>
          <w:rFonts w:ascii="Courier New" w:cs="Courier New" w:eastAsia="Courier New" w:hAnsi="Courier New"/>
          <w:sz w:val="18"/>
          <w:szCs w:val="18"/>
          <w:color w:val="auto"/>
        </w:rPr>
        <w:t>Item 11: 6.371%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1,749,736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6.371%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719,659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1,749,736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FULCRUM THERAPEUTICS INC. No one other person's interest in the COMMON STOCK of FULCRUM THERAPEUTICS INC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96" w:orient="portrait"/>
          <w:cols w:equalWidth="0" w:num="1">
            <w:col w:w="10139"/>
          </w:cols>
          <w:pgMar w:left="320" w:top="312"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FULCRUM THERAPEUTICS INC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2021-02-08T09:26:01Z</dcterms:created>
  <dcterms:modified xsi:type="dcterms:W3CDTF">2021-02-08T09:26:01Z</dcterms:modified>
</cp:coreProperties>
</file>