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880" w:right="1720" w:hanging="3872"/>
        <w:spacing w:after="0" w:line="375" w:lineRule="auto"/>
        <w:tabs>
          <w:tab w:leader="none" w:pos="36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3880" w:type="dxa"/>
            <w:vAlign w:val="bottom"/>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tcPr>
          <w:p>
            <w:pPr>
              <w:jc w:val="right"/>
              <w:ind w:right="597"/>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80"/>
        </w:trPr>
        <w:tc>
          <w:tcPr>
            <w:tcW w:w="3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4700" w:type="dxa"/>
            <w:vAlign w:val="bottom"/>
          </w:tcPr>
          <w:p>
            <w:pPr>
              <w:jc w:val="center"/>
              <w:ind w:left="2417"/>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16"/>
        </w:trPr>
        <w:tc>
          <w:tcPr>
            <w:tcW w:w="388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4700" w:type="dxa"/>
            <w:vAlign w:val="bottom"/>
          </w:tcPr>
          <w:p>
            <w:pPr>
              <w:spacing w:after="0"/>
              <w:rPr>
                <w:sz w:val="18"/>
                <w:szCs w:val="18"/>
                <w:color w:val="auto"/>
              </w:rPr>
            </w:pPr>
          </w:p>
        </w:tc>
      </w:tr>
      <w:tr>
        <w:trPr>
          <w:trHeight w:val="238"/>
        </w:trPr>
        <w:tc>
          <w:tcPr>
            <w:tcW w:w="38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4700" w:type="dxa"/>
            <w:vAlign w:val="bottom"/>
          </w:tcPr>
          <w:p>
            <w:pPr>
              <w:jc w:val="right"/>
              <w:ind w:right="797"/>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3"/>
        </w:trPr>
        <w:tc>
          <w:tcPr>
            <w:tcW w:w="38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700" w:type="dxa"/>
            <w:vAlign w:val="bottom"/>
          </w:tcPr>
          <w:p>
            <w:pPr>
              <w:jc w:val="center"/>
              <w:ind w:left="2397"/>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3880" w:type="dxa"/>
            <w:vAlign w:val="bottom"/>
          </w:tcPr>
          <w:p>
            <w:pPr>
              <w:spacing w:after="0"/>
              <w:rPr>
                <w:sz w:val="24"/>
                <w:szCs w:val="24"/>
                <w:color w:val="auto"/>
              </w:rPr>
            </w:pPr>
          </w:p>
        </w:tc>
        <w:tc>
          <w:tcPr>
            <w:tcW w:w="4700" w:type="dxa"/>
            <w:vAlign w:val="bottom"/>
          </w:tcPr>
          <w:p>
            <w:pPr>
              <w:jc w:val="right"/>
              <w:ind w:right="3317"/>
              <w:spacing w:after="0"/>
              <w:rPr>
                <w:sz w:val="20"/>
                <w:szCs w:val="20"/>
                <w:color w:val="auto"/>
              </w:rPr>
            </w:pPr>
            <w:r>
              <w:rPr>
                <w:rFonts w:ascii="Times New Roman" w:cs="Times New Roman" w:eastAsia="Times New Roman" w:hAnsi="Times New Roman"/>
                <w:sz w:val="18"/>
                <w:szCs w:val="18"/>
                <w:b w:val="1"/>
                <w:bCs w:val="1"/>
                <w:color w:val="auto"/>
              </w:rPr>
              <w:t>(617) 651-8851</w:t>
            </w:r>
          </w:p>
        </w:tc>
      </w:tr>
    </w:tbl>
    <w:p>
      <w:pPr>
        <w:ind w:left="36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27"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Borders>
              <w:top w:val="single" w:sz="8" w:color="auto"/>
              <w:bottom w:val="single" w:sz="8" w:color="auto"/>
              <w:right w:val="single" w:sz="8" w:color="auto"/>
            </w:tcBorders>
          </w:tcPr>
          <w:p>
            <w:pPr>
              <w:spacing w:after="0"/>
              <w:rPr>
                <w:sz w:val="18"/>
                <w:szCs w:val="18"/>
                <w:color w:val="auto"/>
              </w:rPr>
            </w:pP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Borders>
              <w:top w:val="single" w:sz="8" w:color="auto"/>
              <w:bottom w:val="single" w:sz="8" w:color="auto"/>
              <w:right w:val="single" w:sz="8" w:color="auto"/>
            </w:tcBorders>
          </w:tcPr>
          <w:p>
            <w:pPr>
              <w:spacing w:after="0"/>
              <w:rPr>
                <w:sz w:val="18"/>
                <w:szCs w:val="18"/>
                <w:color w:val="auto"/>
              </w:rPr>
            </w:pP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4"/>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1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FULC</w:t>
            </w:r>
          </w:p>
        </w:tc>
        <w:tc>
          <w:tcPr>
            <w:tcW w:w="100" w:type="dxa"/>
            <w:vAlign w:val="bottom"/>
            <w:tcBorders>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Global Market</w:t>
            </w:r>
          </w:p>
        </w:tc>
      </w:tr>
    </w:tbl>
    <w:p>
      <w:pPr>
        <w:spacing w:after="0" w:line="100" w:lineRule="exact"/>
        <w:rPr>
          <w:sz w:val="24"/>
          <w:szCs w:val="24"/>
          <w:color w:val="auto"/>
        </w:rPr>
      </w:pPr>
    </w:p>
    <w:p>
      <w:pPr>
        <w:ind w:right="80" w:firstLine="50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196" w:lineRule="exact"/>
        <w:tabs>
          <w:tab w:leader="none" w:pos="4440" w:val="left"/>
          <w:tab w:leader="none" w:pos="5120" w:val="left"/>
        </w:tabs>
        <w:rPr>
          <w:sz w:val="20"/>
          <w:szCs w:val="20"/>
          <w:color w:val="auto"/>
        </w:rPr>
      </w:pPr>
      <w:r>
        <w:rPr>
          <w:rFonts w:ascii="Times New Roman" w:cs="Times New Roman" w:eastAsia="Times New Roman" w:hAnsi="Times New Roman"/>
          <w:sz w:val="17"/>
          <w:szCs w:val="17"/>
          <w:color w:val="auto"/>
        </w:rPr>
        <w:t>for the past 90 days.</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9" w:lineRule="exact"/>
        <w:rPr>
          <w:sz w:val="24"/>
          <w:szCs w:val="24"/>
          <w:color w:val="auto"/>
        </w:rPr>
      </w:pPr>
    </w:p>
    <w:p>
      <w:pPr>
        <w:ind w:right="40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26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8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Accelerated filer</w:t>
            </w:r>
          </w:p>
        </w:tc>
        <w:tc>
          <w:tcPr>
            <w:tcW w:w="3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92"/>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8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91"/>
        </w:trPr>
        <w:tc>
          <w:tcPr>
            <w:tcW w:w="1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3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89"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7" w:lineRule="exact"/>
        <w:rPr>
          <w:sz w:val="24"/>
          <w:szCs w:val="24"/>
          <w:color w:val="auto"/>
        </w:rPr>
      </w:pPr>
    </w:p>
    <w:p>
      <w:pPr>
        <w:spacing w:after="0" w:line="196" w:lineRule="exact"/>
        <w:tabs>
          <w:tab w:leader="none" w:pos="7960" w:val="left"/>
          <w:tab w:leader="none" w:pos="872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5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July 24, 2024, the registrant had 62,400,770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express or implied statements regarding:</w:t>
      </w:r>
    </w:p>
    <w:p>
      <w:pPr>
        <w:spacing w:after="0" w:line="94" w:lineRule="exact"/>
        <w:rPr>
          <w:sz w:val="20"/>
          <w:szCs w:val="20"/>
          <w:color w:val="auto"/>
        </w:rPr>
      </w:pPr>
    </w:p>
    <w:p>
      <w:pPr>
        <w:ind w:left="900" w:right="4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clinical trials of losmapimod and pociredir, including the effects of the revised inclusion and exclusion criteria on our trial of pociredir;</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obtain and maintain regulatory approvals for losmapimod, pociredir and any other product candidates;</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losmapimod, pociredir and any other product candidates, including in combination with other drugs and therapies;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 if our product candidates are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organizational streamlining and realignment of resources, including our anticipated cash runway;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recent collaboration and license agreement with Genzyme Corporation, a wholly-owned subsidiary of Sanofi, or Sanofi, under our collaboration agreement with MyoKardia, Inc., or MyoKardia, a wholly-owned subsidiary of Bristol-Myers Squibb Company, or under our exclusive global license agreement with CAMP4 Therapeutics Corp., or CAMP4;</w:t>
      </w:r>
    </w:p>
    <w:p>
      <w:pPr>
        <w:spacing w:after="0" w:line="6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license agreements or obtain additional funding;</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global pandemics or other geopolitical events on our business and operations, including our clinical trials and development plans, as well as our future financial results; and</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or a smaller reporting company as defined under the federal securities laws.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Such forward 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and “Management’s Discussion and Analysis of Results of Operations” sections, that we believe could cause actual results or events to differ materially from the forward-looking statements that we make. Our forward-looking statements do not reflect the potential impact of any future acquisitions, mergers, dispositions, collaborations, license agreements, joint ventures or investments we may make or enter into.</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76" w:lineRule="exact"/>
        <w:rPr>
          <w:sz w:val="20"/>
          <w:szCs w:val="20"/>
          <w:color w:val="auto"/>
        </w:rPr>
      </w:pPr>
    </w:p>
    <w:p>
      <w:pPr>
        <w:ind w:left="76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Our net loss was $97.3 million for the year ended December 31, 2023. Our net income was $28.5 million for the six months ended June 30, 2024, primarily due to the $80.0 million upfront payment under our collaboration and license agreement with Sanofi. Excluding the potential for future milestone payments under our collaboration and license agreement with Sanofi, we expect to incur losses over the next several years and may never achieve or maintain profitability. As of June 30, 2024, we had an accumulated deficit of $481.1 million.</w:t>
      </w:r>
    </w:p>
    <w:p>
      <w:pPr>
        <w:spacing w:after="0" w:line="183" w:lineRule="exact"/>
        <w:rPr>
          <w:rFonts w:ascii="Times New Roman" w:cs="Times New Roman" w:eastAsia="Times New Roman" w:hAnsi="Times New Roman"/>
          <w:sz w:val="18"/>
          <w:szCs w:val="18"/>
          <w:color w:val="auto"/>
        </w:rPr>
      </w:pPr>
    </w:p>
    <w:p>
      <w:pPr>
        <w:ind w:left="760" w:right="14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pociredir and continue research and development and initiate additional clinical trials of, and seek regulatory approval for, these and other product candidates.</w:t>
      </w:r>
    </w:p>
    <w:p>
      <w:pPr>
        <w:spacing w:after="0" w:line="179"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61"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further delays in completing, or ultimately be unable to complete, the development and commercialization of our product candidates.</w:t>
      </w:r>
    </w:p>
    <w:p>
      <w:pPr>
        <w:spacing w:after="0" w:line="175"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17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including others’ product candidates in the same class of drugs, we may need to abandon or limit our development of some of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discovery approach to build a pipeline of product candidates.</w:t>
      </w:r>
    </w:p>
    <w:p>
      <w:pPr>
        <w:spacing w:after="0" w:line="225"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61" w:lineRule="exact"/>
        <w:rPr>
          <w:rFonts w:ascii="Times New Roman" w:cs="Times New Roman" w:eastAsia="Times New Roman" w:hAnsi="Times New Roman"/>
          <w:sz w:val="18"/>
          <w:szCs w:val="18"/>
          <w:color w:val="auto"/>
        </w:rPr>
      </w:pPr>
    </w:p>
    <w:p>
      <w:pPr>
        <w:ind w:left="760" w:right="34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 w:name="page4"/>
    <w:bookmarkEnd w:id="3"/>
    <w:p>
      <w:pPr>
        <w:ind w:left="380" w:right="50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61" w:lineRule="exact"/>
        <w:rPr>
          <w:rFonts w:ascii="Times New Roman" w:cs="Times New Roman" w:eastAsia="Times New Roman" w:hAnsi="Times New Roman"/>
          <w:sz w:val="18"/>
          <w:szCs w:val="18"/>
          <w:color w:val="auto"/>
        </w:rPr>
      </w:pPr>
    </w:p>
    <w:p>
      <w:pPr>
        <w:ind w:left="380" w:hanging="378"/>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may in the future enter into, collaborations and license agreements with third parties for the discovery, development or commercialization of product candidates, including our recent collaboration and license agreement with Sanofi, our collaboration with MyoKardia, and our license agreement with CAMP4. If our collaborations are not successful or we are not able to develop product candidates that we license-in, we may not be able to capitalize on the market potential of these product candidates and our business could be adversely affected.</w:t>
      </w:r>
    </w:p>
    <w:p>
      <w:pPr>
        <w:spacing w:after="0" w:line="183" w:lineRule="exact"/>
        <w:rPr>
          <w:rFonts w:ascii="Times New Roman" w:cs="Times New Roman" w:eastAsia="Times New Roman" w:hAnsi="Times New Roman"/>
          <w:sz w:val="18"/>
          <w:szCs w:val="18"/>
          <w:color w:val="auto"/>
        </w:rPr>
      </w:pPr>
    </w:p>
    <w:p>
      <w:pPr>
        <w:ind w:left="380" w:right="4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75" w:lineRule="exact"/>
        <w:rPr>
          <w:rFonts w:ascii="Times New Roman" w:cs="Times New Roman" w:eastAsia="Times New Roman" w:hAnsi="Times New Roman"/>
          <w:sz w:val="18"/>
          <w:szCs w:val="18"/>
          <w:color w:val="auto"/>
        </w:rPr>
      </w:pPr>
    </w:p>
    <w:p>
      <w:pPr>
        <w:ind w:left="380" w:right="56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75" w:lineRule="exact"/>
        <w:rPr>
          <w:rFonts w:ascii="Times New Roman" w:cs="Times New Roman" w:eastAsia="Times New Roman" w:hAnsi="Times New Roman"/>
          <w:sz w:val="18"/>
          <w:szCs w:val="18"/>
          <w:color w:val="auto"/>
        </w:rPr>
      </w:pPr>
    </w:p>
    <w:p>
      <w:pPr>
        <w:ind w:left="380" w:right="2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75" w:lineRule="exact"/>
        <w:rPr>
          <w:rFonts w:ascii="Times New Roman" w:cs="Times New Roman" w:eastAsia="Times New Roman" w:hAnsi="Times New Roman"/>
          <w:sz w:val="18"/>
          <w:szCs w:val="18"/>
          <w:color w:val="auto"/>
        </w:rPr>
      </w:pPr>
    </w:p>
    <w:p>
      <w:pPr>
        <w:ind w:left="380" w:right="40" w:hanging="378"/>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was negatively impacted by the COVID-19 pandemic and may in the future be impacted by any future pandemics, as well as other geopolitical events that can impact our clinical trials or the supply chain, such as the Russian invasion of Ukraine or recent hostilities in Israel and the Gaza Strip. These events may continue to, and any future pandemics may, adversely impact economies worldwide, which could result in adverse effects on our business and operations.</w:t>
      </w:r>
    </w:p>
    <w:p>
      <w:pPr>
        <w:spacing w:after="0" w:line="18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1201"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30" w:type="dxa"/>
        <w:tblCellMar>
          <w:top w:w="0" w:type="dxa"/>
          <w:left w:w="0" w:type="dxa"/>
          <w:bottom w:w="0" w:type="dxa"/>
          <w:right w:w="0" w:type="dxa"/>
        </w:tblCellMar>
      </w:tblPr>
      <w:tr>
        <w:trPr>
          <w:trHeight w:val="187"/>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7580" w:type="dxa"/>
            <w:vAlign w:val="bottom"/>
            <w:gridSpan w:val="10"/>
            <w:vMerge w:val="restart"/>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880" w:type="dxa"/>
            <w:vAlign w:val="bottom"/>
            <w:gridSpan w:val="2"/>
            <w:vMerge w:val="continue"/>
          </w:tcPr>
          <w:p>
            <w:pPr>
              <w:spacing w:after="0"/>
              <w:rPr>
                <w:sz w:val="14"/>
                <w:szCs w:val="14"/>
                <w:color w:val="auto"/>
              </w:rPr>
            </w:pPr>
          </w:p>
        </w:tc>
        <w:tc>
          <w:tcPr>
            <w:tcW w:w="2260" w:type="dxa"/>
            <w:vAlign w:val="bottom"/>
            <w:tcBorders>
              <w:bottom w:val="single" w:sz="8" w:color="0000FF"/>
            </w:tcBorders>
            <w:gridSpan w:val="8"/>
            <w:vMerge w:val="continue"/>
          </w:tcPr>
          <w:p>
            <w:pPr>
              <w:spacing w:after="0"/>
              <w:rPr>
                <w:sz w:val="14"/>
                <w:szCs w:val="14"/>
                <w:color w:val="auto"/>
              </w:rPr>
            </w:pPr>
          </w:p>
        </w:tc>
        <w:tc>
          <w:tcPr>
            <w:tcW w:w="7580" w:type="dxa"/>
            <w:vAlign w:val="bottom"/>
            <w:gridSpan w:val="10"/>
            <w:vMerge w:val="continue"/>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June 30, 2024 and December 31, 2023</w:t>
            </w:r>
          </w:p>
        </w:tc>
        <w:tc>
          <w:tcPr>
            <w:tcW w:w="20" w:type="dxa"/>
            <w:vAlign w:val="bottom"/>
            <w:tcBorders>
              <w:bottom w:val="single" w:sz="8" w:color="0000EE"/>
            </w:tcBorders>
          </w:tcPr>
          <w:p>
            <w:pPr>
              <w:spacing w:after="0"/>
              <w:rPr>
                <w:sz w:val="18"/>
                <w:szCs w:val="18"/>
                <w:color w:val="auto"/>
              </w:rPr>
            </w:pPr>
          </w:p>
        </w:tc>
        <w:tc>
          <w:tcPr>
            <w:tcW w:w="452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Income (Loss) for the three and six months ended June 30, 2024 and 2023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and six months ended June 30, 2024 and 2023</w:t>
            </w:r>
          </w:p>
        </w:tc>
        <w:tc>
          <w:tcPr>
            <w:tcW w:w="196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six months ended June 30, 2024 and 2023</w:t>
            </w:r>
          </w:p>
        </w:tc>
        <w:tc>
          <w:tcPr>
            <w:tcW w:w="338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8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480" w:type="dxa"/>
            <w:vAlign w:val="bottom"/>
            <w:gridSpan w:val="6"/>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2"/>
            <w:vMerge w:val="continue"/>
          </w:tcPr>
          <w:p>
            <w:pPr>
              <w:spacing w:after="0"/>
              <w:rPr>
                <w:sz w:val="18"/>
                <w:szCs w:val="18"/>
                <w:color w:val="auto"/>
              </w:rPr>
            </w:pP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8"/>
                <w:szCs w:val="18"/>
                <w:color w:val="auto"/>
              </w:rPr>
            </w:pPr>
          </w:p>
        </w:tc>
        <w:tc>
          <w:tcPr>
            <w:tcW w:w="7960" w:type="dxa"/>
            <w:vAlign w:val="bottom"/>
            <w:gridSpan w:val="11"/>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500" w:type="dxa"/>
            <w:vAlign w:val="bottom"/>
            <w:gridSpan w:val="7"/>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520" w:type="dxa"/>
            <w:vAlign w:val="bottom"/>
            <w:gridSpan w:val="9"/>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tcBorders>
              <w:top w:val="single" w:sz="8" w:color="0000FF"/>
            </w:tcBorders>
            <w:gridSpan w:val="3"/>
          </w:tcPr>
          <w:p>
            <w:pPr>
              <w:spacing w:after="0"/>
              <w:rPr>
                <w:sz w:val="18"/>
                <w:szCs w:val="18"/>
                <w:color w:val="auto"/>
              </w:rPr>
            </w:pPr>
          </w:p>
        </w:tc>
        <w:tc>
          <w:tcPr>
            <w:tcW w:w="8060" w:type="dxa"/>
            <w:vAlign w:val="bottom"/>
            <w:gridSpan w:val="12"/>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this Quarterly Report on Form 10-Q, unless otherwise stated or as the context otherwise requires, references to “Fulcrum,” “Fulcrum Therapeutics,” “the Company,” “we,” “us,” “our” and similar references refer to Fulcrum Therapeutics, Inc. together with its consolidated subsidiary. The Fulcrum Therapeutics logo and other trademarks or service marks of Fulcrum Therapeutics, Inc. appearing in this Quarterly Report on Form 10-Q are the property of Fulcrum Therapeutics, Inc. This Quarterly Report on Form 10-Q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86,702</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25,563</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187,076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210,658</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2,333</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537</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4,175</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5,441</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280,286</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242,199</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4,408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5,216</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6,357</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7,176</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1,092</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1,989</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2,011</w:t>
            </w: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294,256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257,694</w:t>
            </w:r>
          </w:p>
        </w:tc>
      </w:tr>
      <w:tr>
        <w:trPr>
          <w:trHeight w:val="20"/>
        </w:trPr>
        <w:tc>
          <w:tcPr>
            <w:tcW w:w="7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3,584</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2,757</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7,033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8,726</w:t>
            </w: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2,082</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2,192</w:t>
            </w: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12,699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13,675</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excluding current portion</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7,570</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8,629</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excluding current portion</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20,466</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22,501</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3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200,000,000 shares authorized; 62,250,631 and 61,915,367 shares</w:t>
            </w: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outstanding as of June 30, 2024 and December 31, 2023, respectively</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755,228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744,940</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(481,134 )</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(509,673 )</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273,790</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235,193</w:t>
            </w: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294,256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257,694</w:t>
            </w:r>
          </w:p>
        </w:tc>
      </w:tr>
      <w:tr>
        <w:trPr>
          <w:trHeight w:val="20"/>
        </w:trPr>
        <w:tc>
          <w:tcPr>
            <w:tcW w:w="7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-3162935</wp:posOffset>
            </wp:positionV>
            <wp:extent cx="111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-2202815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80,000</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880</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80,000</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1,175</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17,261</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17,849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37,034</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34,564</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10,247</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10,323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20,308</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21,843</w:t>
            </w:r>
          </w:p>
        </w:tc>
      </w:tr>
      <w:tr>
        <w:trPr>
          <w:trHeight w:val="23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27,508</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28,172</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57,342</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56,407</w:t>
            </w: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52,492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(27,292 )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22,658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(55,232 )</w:t>
            </w: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2,917</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3,509</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5,881</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6,670</w:t>
            </w: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55,409</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(23,783 )</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28,539</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(48,562 )</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0.89</w:t>
            </w: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(0.80 )</w:t>
            </w: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0.87</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0.45</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w:t>
            </w: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2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62,205</w:t>
            </w: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61,794</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62,095</w:t>
            </w: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60,764</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63,587</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61,794</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63,684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60,764</w:t>
            </w: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8"/>
        </w:trPr>
        <w:tc>
          <w:tcPr>
            <w:tcW w:w="5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55,409</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(23,783 )</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28,539</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(48,562 )</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(403 )</w:t>
            </w:r>
          </w:p>
        </w:tc>
      </w:tr>
      <w:tr>
        <w:trPr>
          <w:trHeight w:val="236"/>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(403 )</w:t>
            </w: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55,477</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(24,332 )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28,309</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-2348230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-2348230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-2348230</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-2031365</wp:posOffset>
            </wp:positionV>
            <wp:extent cx="85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-2031365</wp:posOffset>
            </wp:positionV>
            <wp:extent cx="85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-2031365</wp:posOffset>
            </wp:positionV>
            <wp:extent cx="85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-1688465</wp:posOffset>
            </wp:positionV>
            <wp:extent cx="85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-1670685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-1688465</wp:posOffset>
            </wp:positionV>
            <wp:extent cx="85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-1670685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-1688465</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-1670685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-1327785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-1310640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-1327785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-1310640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-1327785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-1310640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-350520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-350520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-350520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2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18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6"/>
        </w:trPr>
        <w:tc>
          <w:tcPr>
            <w:tcW w:w="3740" w:type="dxa"/>
            <w:vAlign w:val="bottom"/>
          </w:tcPr>
          <w:p>
            <w:pPr>
              <w:spacing w:after="0"/>
              <w:rPr>
                <w:sz w:val="19"/>
                <w:szCs w:val="19"/>
                <w:color w:val="auto"/>
              </w:rPr>
            </w:pPr>
          </w:p>
        </w:tc>
        <w:tc>
          <w:tcPr>
            <w:tcW w:w="2180" w:type="dxa"/>
            <w:vAlign w:val="bottom"/>
            <w:tcBorders>
              <w:bottom w:val="single" w:sz="8" w:color="auto"/>
            </w:tcBorders>
            <w:gridSpan w:val="3"/>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15"/>
              <w:spacing w:after="0"/>
              <w:rPr>
                <w:sz w:val="20"/>
                <w:szCs w:val="20"/>
                <w:color w:val="auto"/>
              </w:rPr>
            </w:pPr>
            <w:r>
              <w:rPr>
                <w:rFonts w:ascii="Times New Roman" w:cs="Times New Roman" w:eastAsia="Times New Roman" w:hAnsi="Times New Roman"/>
                <w:sz w:val="17"/>
                <w:szCs w:val="17"/>
                <w:b w:val="1"/>
                <w:bCs w:val="1"/>
                <w:color w:val="auto"/>
                <w:w w:val="99"/>
              </w:rPr>
              <w:t>ve</w:t>
            </w:r>
          </w:p>
        </w:tc>
        <w:tc>
          <w:tcPr>
            <w:tcW w:w="1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12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3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7"/>
                <w:szCs w:val="17"/>
                <w:b w:val="1"/>
                <w:bCs w:val="1"/>
                <w:color w:val="auto"/>
                <w:w w:val="96"/>
              </w:rPr>
              <w:t>Loss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2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52,099,211</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612,025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(797 )</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(412,338 )</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198,942</w:t>
            </w:r>
          </w:p>
        </w:tc>
        <w:tc>
          <w:tcPr>
            <w:tcW w:w="0" w:type="dxa"/>
            <w:vAlign w:val="bottom"/>
          </w:tcPr>
          <w:p>
            <w:pPr>
              <w:spacing w:after="0"/>
              <w:rPr>
                <w:sz w:val="1"/>
                <w:szCs w:val="1"/>
                <w:color w:val="auto"/>
              </w:rPr>
            </w:pPr>
          </w:p>
        </w:tc>
      </w:tr>
      <w:tr>
        <w:trPr>
          <w:trHeight w:val="194"/>
        </w:trPr>
        <w:tc>
          <w:tcPr>
            <w:tcW w:w="374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Issuance of common stock in connection with</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public offering, net of issuance costs</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9,615,384</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117,336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117,346</w:t>
            </w:r>
          </w:p>
        </w:tc>
        <w:tc>
          <w:tcPr>
            <w:tcW w:w="0" w:type="dxa"/>
            <w:vAlign w:val="bottom"/>
          </w:tcPr>
          <w:p>
            <w:pPr>
              <w:spacing w:after="0"/>
              <w:rPr>
                <w:sz w:val="1"/>
                <w:szCs w:val="1"/>
                <w:color w:val="auto"/>
              </w:rPr>
            </w:pPr>
          </w:p>
        </w:tc>
      </w:tr>
      <w:tr>
        <w:trPr>
          <w:trHeight w:val="202"/>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under employee</w:t>
            </w: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benefit plans</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38,903</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348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348</w:t>
            </w:r>
          </w:p>
        </w:tc>
        <w:tc>
          <w:tcPr>
            <w:tcW w:w="0" w:type="dxa"/>
            <w:vAlign w:val="bottom"/>
          </w:tcPr>
          <w:p>
            <w:pPr>
              <w:spacing w:after="0"/>
              <w:rPr>
                <w:sz w:val="1"/>
                <w:szCs w:val="1"/>
                <w:color w:val="auto"/>
              </w:rPr>
            </w:pPr>
          </w:p>
        </w:tc>
      </w:tr>
      <w:tr>
        <w:trPr>
          <w:trHeight w:val="226"/>
        </w:trPr>
        <w:tc>
          <w:tcPr>
            <w:tcW w:w="3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Vesting of restricted stock awards</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5,496</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4,253</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4,253</w:t>
            </w:r>
          </w:p>
        </w:tc>
        <w:tc>
          <w:tcPr>
            <w:tcW w:w="0" w:type="dxa"/>
            <w:vAlign w:val="bottom"/>
          </w:tcPr>
          <w:p>
            <w:pPr>
              <w:spacing w:after="0"/>
              <w:rPr>
                <w:sz w:val="1"/>
                <w:szCs w:val="1"/>
                <w:color w:val="auto"/>
              </w:rPr>
            </w:pPr>
          </w:p>
        </w:tc>
      </w:tr>
      <w:tr>
        <w:trPr>
          <w:trHeight w:val="226"/>
        </w:trPr>
        <w:tc>
          <w:tcPr>
            <w:tcW w:w="3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Unrealized gain on marketable securities</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(24,779 )</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(24,779 )</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March 31, 2023</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61,758,994</w:t>
            </w:r>
          </w:p>
        </w:tc>
        <w:tc>
          <w:tcPr>
            <w:tcW w:w="980" w:type="dxa"/>
            <w:vAlign w:val="bottom"/>
            <w:gridSpan w:val="2"/>
          </w:tcPr>
          <w:p>
            <w:pPr>
              <w:jc w:val="right"/>
              <w:ind w:right="65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733,962</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(437,117 )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296,256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40" w:type="dxa"/>
            <w:vAlign w:val="bottom"/>
            <w:shd w:val="clear" w:color="auto" w:fill="CFF0FC"/>
          </w:tcPr>
          <w:p>
            <w:pPr>
              <w:ind w:left="200"/>
              <w:spacing w:after="0" w:line="178" w:lineRule="exact"/>
              <w:rPr>
                <w:sz w:val="20"/>
                <w:szCs w:val="20"/>
                <w:color w:val="auto"/>
              </w:rPr>
            </w:pPr>
            <w:r>
              <w:rPr>
                <w:rFonts w:ascii="Times New Roman" w:cs="Times New Roman" w:eastAsia="Times New Roman" w:hAnsi="Times New Roman"/>
                <w:sz w:val="17"/>
                <w:szCs w:val="17"/>
                <w:color w:val="auto"/>
              </w:rPr>
              <w:t>Issuance of common stock under employee</w:t>
            </w: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benefit plans</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50,912</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26"/>
        </w:trPr>
        <w:tc>
          <w:tcPr>
            <w:tcW w:w="3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Vesting of restricted stock awards</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12,648</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3,363</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3,363</w:t>
            </w:r>
          </w:p>
        </w:tc>
        <w:tc>
          <w:tcPr>
            <w:tcW w:w="0" w:type="dxa"/>
            <w:vAlign w:val="bottom"/>
          </w:tcPr>
          <w:p>
            <w:pPr>
              <w:spacing w:after="0"/>
              <w:rPr>
                <w:sz w:val="1"/>
                <w:szCs w:val="1"/>
                <w:color w:val="auto"/>
              </w:rPr>
            </w:pPr>
          </w:p>
        </w:tc>
      </w:tr>
      <w:tr>
        <w:trPr>
          <w:trHeight w:val="226"/>
        </w:trPr>
        <w:tc>
          <w:tcPr>
            <w:tcW w:w="3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Unrealized loss on marketable securities</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(549 )</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(23,783 )</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(23,783 )</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June 30, 2023</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61,822,554</w:t>
            </w:r>
          </w:p>
        </w:tc>
        <w:tc>
          <w:tcPr>
            <w:tcW w:w="980" w:type="dxa"/>
            <w:vAlign w:val="bottom"/>
            <w:gridSpan w:val="2"/>
          </w:tcPr>
          <w:p>
            <w:pPr>
              <w:jc w:val="right"/>
              <w:ind w:right="65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737,466</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(460,900 )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275,428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61,915,367</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744,940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(509,673 )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235,193</w:t>
            </w:r>
          </w:p>
        </w:tc>
        <w:tc>
          <w:tcPr>
            <w:tcW w:w="0" w:type="dxa"/>
            <w:vAlign w:val="bottom"/>
          </w:tcPr>
          <w:p>
            <w:pPr>
              <w:spacing w:after="0"/>
              <w:rPr>
                <w:sz w:val="1"/>
                <w:szCs w:val="1"/>
                <w:color w:val="auto"/>
              </w:rPr>
            </w:pPr>
          </w:p>
        </w:tc>
      </w:tr>
      <w:tr>
        <w:trPr>
          <w:trHeight w:val="194"/>
        </w:trPr>
        <w:tc>
          <w:tcPr>
            <w:tcW w:w="374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Issuance of common stock under employee</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benefit plans</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214,094</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1,651</w:t>
            </w:r>
          </w:p>
        </w:tc>
        <w:tc>
          <w:tcPr>
            <w:tcW w:w="0" w:type="dxa"/>
            <w:vAlign w:val="bottom"/>
          </w:tcPr>
          <w:p>
            <w:pPr>
              <w:spacing w:after="0"/>
              <w:rPr>
                <w:sz w:val="1"/>
                <w:szCs w:val="1"/>
                <w:color w:val="auto"/>
              </w:rPr>
            </w:pPr>
          </w:p>
        </w:tc>
      </w:tr>
      <w:tr>
        <w:trPr>
          <w:trHeight w:val="237"/>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Vesting of restricted stock awards</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11,550</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3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3,916</w:t>
            </w:r>
          </w:p>
        </w:tc>
        <w:tc>
          <w:tcPr>
            <w:tcW w:w="0" w:type="dxa"/>
            <w:vAlign w:val="bottom"/>
          </w:tcPr>
          <w:p>
            <w:pPr>
              <w:spacing w:after="0"/>
              <w:rPr>
                <w:sz w:val="1"/>
                <w:szCs w:val="1"/>
                <w:color w:val="auto"/>
              </w:rPr>
            </w:pPr>
          </w:p>
        </w:tc>
      </w:tr>
      <w:tr>
        <w:trPr>
          <w:trHeight w:val="233"/>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Unrealized loss on marketable securities</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(298 )</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(298 )</w:t>
            </w:r>
          </w:p>
        </w:tc>
        <w:tc>
          <w:tcPr>
            <w:tcW w:w="0" w:type="dxa"/>
            <w:vAlign w:val="bottom"/>
          </w:tcPr>
          <w:p>
            <w:pPr>
              <w:spacing w:after="0"/>
              <w:rPr>
                <w:sz w:val="1"/>
                <w:szCs w:val="1"/>
                <w:color w:val="auto"/>
              </w:rPr>
            </w:pPr>
          </w:p>
        </w:tc>
      </w:tr>
      <w:tr>
        <w:trPr>
          <w:trHeight w:val="226"/>
        </w:trPr>
        <w:tc>
          <w:tcPr>
            <w:tcW w:w="3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(26,870 )</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(26,870 )</w:t>
            </w:r>
          </w:p>
        </w:tc>
        <w:tc>
          <w:tcPr>
            <w:tcW w:w="0" w:type="dxa"/>
            <w:vAlign w:val="bottom"/>
          </w:tcPr>
          <w:p>
            <w:pPr>
              <w:spacing w:after="0"/>
              <w:rPr>
                <w:sz w:val="1"/>
                <w:szCs w:val="1"/>
                <w:color w:val="auto"/>
              </w:rPr>
            </w:pPr>
          </w:p>
        </w:tc>
      </w:tr>
      <w:tr>
        <w:trPr>
          <w:trHeight w:val="26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62,141,011</w:t>
            </w:r>
          </w:p>
        </w:tc>
        <w:tc>
          <w:tcPr>
            <w:tcW w:w="980" w:type="dxa"/>
            <w:vAlign w:val="bottom"/>
            <w:gridSpan w:val="2"/>
            <w:shd w:val="clear" w:color="auto" w:fill="CFF0FC"/>
          </w:tcPr>
          <w:p>
            <w:pPr>
              <w:jc w:val="right"/>
              <w:ind w:right="65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750,507</w:t>
            </w:r>
          </w:p>
        </w:tc>
        <w:tc>
          <w:tcPr>
            <w:tcW w:w="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(434 )</w:t>
            </w:r>
          </w:p>
        </w:tc>
        <w:tc>
          <w:tcPr>
            <w:tcW w:w="3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(536,543 )</w:t>
            </w:r>
          </w:p>
        </w:tc>
        <w:tc>
          <w:tcPr>
            <w:tcW w:w="3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213,592</w:t>
            </w:r>
          </w:p>
        </w:tc>
        <w:tc>
          <w:tcPr>
            <w:tcW w:w="0" w:type="dxa"/>
            <w:vAlign w:val="bottom"/>
          </w:tcPr>
          <w:p>
            <w:pPr>
              <w:spacing w:after="0"/>
              <w:rPr>
                <w:sz w:val="1"/>
                <w:szCs w:val="1"/>
                <w:color w:val="auto"/>
              </w:rPr>
            </w:pPr>
          </w:p>
        </w:tc>
      </w:tr>
      <w:tr>
        <w:trPr>
          <w:trHeight w:val="178"/>
        </w:trPr>
        <w:tc>
          <w:tcPr>
            <w:tcW w:w="3740" w:type="dxa"/>
            <w:vAlign w:val="bottom"/>
            <w:tcBorders>
              <w:top w:val="single" w:sz="8" w:color="CFF0FC"/>
            </w:tcBorders>
          </w:tcPr>
          <w:p>
            <w:pPr>
              <w:ind w:left="200"/>
              <w:spacing w:after="0" w:line="178" w:lineRule="exact"/>
              <w:rPr>
                <w:sz w:val="20"/>
                <w:szCs w:val="20"/>
                <w:color w:val="auto"/>
              </w:rPr>
            </w:pPr>
            <w:r>
              <w:rPr>
                <w:rFonts w:ascii="Times New Roman" w:cs="Times New Roman" w:eastAsia="Times New Roman" w:hAnsi="Times New Roman"/>
                <w:sz w:val="17"/>
                <w:szCs w:val="17"/>
                <w:color w:val="auto"/>
              </w:rPr>
              <w:t>Issuance of common stock under employee</w:t>
            </w:r>
          </w:p>
        </w:tc>
        <w:tc>
          <w:tcPr>
            <w:tcW w:w="12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benefit plans</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98,844</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377</w:t>
            </w:r>
          </w:p>
        </w:tc>
        <w:tc>
          <w:tcPr>
            <w:tcW w:w="0" w:type="dxa"/>
            <w:vAlign w:val="bottom"/>
          </w:tcPr>
          <w:p>
            <w:pPr>
              <w:spacing w:after="0"/>
              <w:rPr>
                <w:sz w:val="1"/>
                <w:szCs w:val="1"/>
                <w:color w:val="auto"/>
              </w:rPr>
            </w:pPr>
          </w:p>
        </w:tc>
      </w:tr>
      <w:tr>
        <w:trPr>
          <w:trHeight w:val="237"/>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Vesting of restricted stock awards</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10,776</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3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4,344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4,344</w:t>
            </w:r>
          </w:p>
        </w:tc>
        <w:tc>
          <w:tcPr>
            <w:tcW w:w="0" w:type="dxa"/>
            <w:vAlign w:val="bottom"/>
          </w:tcPr>
          <w:p>
            <w:pPr>
              <w:spacing w:after="0"/>
              <w:rPr>
                <w:sz w:val="1"/>
                <w:szCs w:val="1"/>
                <w:color w:val="auto"/>
              </w:rPr>
            </w:pPr>
          </w:p>
        </w:tc>
      </w:tr>
      <w:tr>
        <w:trPr>
          <w:trHeight w:val="233"/>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Unrealized gain on marketable securities</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26"/>
        </w:trPr>
        <w:tc>
          <w:tcPr>
            <w:tcW w:w="3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55,409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55,409</w:t>
            </w:r>
          </w:p>
        </w:tc>
        <w:tc>
          <w:tcPr>
            <w:tcW w:w="0" w:type="dxa"/>
            <w:vAlign w:val="bottom"/>
          </w:tcPr>
          <w:p>
            <w:pPr>
              <w:spacing w:after="0"/>
              <w:rPr>
                <w:sz w:val="1"/>
                <w:szCs w:val="1"/>
                <w:color w:val="auto"/>
              </w:rPr>
            </w:pPr>
          </w:p>
        </w:tc>
      </w:tr>
      <w:tr>
        <w:trPr>
          <w:trHeight w:val="263"/>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June 30, 2024</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62,250,631</w:t>
            </w:r>
          </w:p>
        </w:tc>
        <w:tc>
          <w:tcPr>
            <w:tcW w:w="1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755,228</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(366 )</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(481,134 )</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273,790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-3436620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-3436620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-3436620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-3436620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-3436620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-2399665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-2399665</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-2399665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-2399665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-2399665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-1062355</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-1045210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-1062355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-1045210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-1062355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-1045210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-1062355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-1045210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-1062355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-1045210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-24765</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4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28,539</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(48,562 )</w:t>
            </w: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9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expense</w:t>
            </w:r>
          </w:p>
        </w:tc>
        <w:tc>
          <w:tcPr>
            <w:tcW w:w="9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855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1,133</w:t>
            </w: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8,260</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7,616</w:t>
            </w: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accretion of discounts on marketable securities</w:t>
            </w:r>
          </w:p>
        </w:tc>
        <w:tc>
          <w:tcPr>
            <w:tcW w:w="9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(3,078 )</w:t>
            </w: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9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(427 )</w:t>
            </w: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1,266</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w:t>
            </w: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9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(337 )</w:t>
            </w: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9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251</w:t>
            </w: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(1,428 )</w:t>
            </w:r>
          </w:p>
        </w:tc>
      </w:tr>
      <w:tr>
        <w:trPr>
          <w:trHeight w:val="223"/>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(421 )</w:t>
            </w:r>
          </w:p>
        </w:tc>
      </w:tr>
      <w:tr>
        <w:trPr>
          <w:trHeight w:val="23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4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33,615</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(44,901 )</w:t>
            </w: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9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(119,054 )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(143,832 )</w:t>
            </w: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9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144,702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70,132</w:t>
            </w:r>
          </w:p>
        </w:tc>
      </w:tr>
      <w:tr>
        <w:trPr>
          <w:trHeight w:val="23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(366 )</w:t>
            </w: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25,620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(74,066 )</w:t>
            </w: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public offerings, net of issuance costs</w:t>
            </w:r>
          </w:p>
        </w:tc>
        <w:tc>
          <w:tcPr>
            <w:tcW w:w="9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117,345</w:t>
            </w:r>
          </w:p>
        </w:tc>
      </w:tr>
      <w:tr>
        <w:trPr>
          <w:trHeight w:val="23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benefit plans, net</w:t>
            </w:r>
          </w:p>
        </w:tc>
        <w:tc>
          <w:tcPr>
            <w:tcW w:w="9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2,028</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490</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2,028</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117,835</w:t>
            </w:r>
          </w:p>
        </w:tc>
      </w:tr>
      <w:tr>
        <w:trPr>
          <w:trHeight w:val="23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61,263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(1,132 )</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26,655</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36,190</w:t>
            </w:r>
          </w:p>
        </w:tc>
      </w:tr>
      <w:tr>
        <w:trPr>
          <w:trHeight w:val="26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4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87,918</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35,058</w:t>
            </w:r>
          </w:p>
        </w:tc>
      </w:tr>
      <w:tr>
        <w:trPr>
          <w:trHeight w:val="208"/>
        </w:trPr>
        <w:tc>
          <w:tcPr>
            <w:tcW w:w="7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94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1,478</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1,646</w:t>
            </w: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unpaid at end of period</w:t>
            </w:r>
          </w:p>
        </w:tc>
        <w:tc>
          <w:tcPr>
            <w:tcW w:w="94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-1807845</wp:posOffset>
            </wp:positionV>
            <wp:extent cx="102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-1216660</wp:posOffset>
            </wp:positionV>
            <wp:extent cx="102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-607695</wp:posOffset>
            </wp:positionV>
            <wp:extent cx="102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-590550</wp:posOffset>
            </wp:positionV>
            <wp:extent cx="1028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720" w:type="dxa"/>
            <w:vAlign w:val="bottom"/>
          </w:tcPr>
          <w:p>
            <w:pPr>
              <w:spacing w:after="0"/>
              <w:rPr>
                <w:sz w:val="16"/>
                <w:szCs w:val="16"/>
                <w:color w:val="auto"/>
              </w:rPr>
            </w:pPr>
          </w:p>
        </w:tc>
        <w:tc>
          <w:tcPr>
            <w:tcW w:w="10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shd w:val="clear" w:color="auto" w:fill="CFF0FC"/>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86,702</w:t>
            </w:r>
          </w:p>
        </w:tc>
        <w:tc>
          <w:tcPr>
            <w:tcW w:w="4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33,966</w:t>
            </w: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1,216</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rPr>
              <w:t>1,092</w:t>
            </w:r>
          </w:p>
        </w:tc>
      </w:tr>
      <w:tr>
        <w:trPr>
          <w:trHeight w:val="26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080" w:type="dxa"/>
            <w:vAlign w:val="bottom"/>
            <w:tcBorders>
              <w:bottom w:val="single" w:sz="8" w:color="auto"/>
            </w:tcBorders>
            <w:shd w:val="clear" w:color="auto" w:fill="CFF0FC"/>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87,918</w:t>
            </w: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35,058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Fulcrum Therapeutics, Inc. (the “Company” or “Fulcrum”) was incorporated in Delaware on August 18, 2015. The Company is focused on developing small molecules to improve the lives of patients with genetically-defined rare diseases in areas of high unmet medical need.</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6"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June 30, 2024 and the results of its operations and its cash flows for the three and six months ended June 30, 2024 and 2023. The results for the three and six months ended June 30, 2024 are not necessarily indicative of results to be expected for the year ending December 31, 2024, any other interim periods, or any future year or period. These consolidated financial statements should be read in conjunction with the Company’s audited consolidated financial statements and the notes thereto for the year ended December 31, 2023 included in the Company’s Annual Report on Form 10-K filed with the Securities and Exchange Commission (the “SEC”) on February 27, 2024 (the “Annual Report on Form 10-K”).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January 2023, the Company completed a public offering of its common stock and issued and sold 9,615,384 shares of common stock at a public offering price of $13.00 per share, resulting in net proceeds of $117.3 million after deducting underwriting discounts and commissions and offering expenses.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June 30, 2024, the Company had an accumulated deficit of $481.1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2023 included in the Company’s Annual Report on Form 10-K. There have been no material changes in the Company’s significant accounting policies during the six months ended June 30, 2024, except as noted below with respect to the Company's accounting policies related to collaborative arrangements.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At contract inception, the Company analyzes its collaboration arrangements to assess whether such arrangements involve joint operating activities performed by parties that are both active participants in the activities and are exposed to significant risks and rewards dependent on the commercial success of such activities, and therefore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This assessment is performed on an ongoing basis throughout the collaboration based on changes in the responsibilities of the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are therefore within the scope of ASC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(ASC 606).</w:t>
      </w:r>
    </w:p>
    <w:p>
      <w:pPr>
        <w:spacing w:after="0" w:line="18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collaborators associated with multiple activities in a collaboration arrangement based on the nature of each separate activity. The Company made an accounting policy election to account for research and development reimbursements received from its collaboration partner that are outside of the scope of ASC 606 as a reduction of research and development expenses to best reflect the economics and nature of the transaction in the context of the unit-of-account.</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Company’s audited consolidated financial statements for the year ended December 31, 2023 included in the Company’s Annual Report on Form 10-K for the Company's accounting policies for arrangements within the scope of ASC 606.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1" w:name="page12"/>
    <w:bookmarkEnd w:id="11"/>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U.S. Treasury securities, and commercial paper. The Company’s marketable securities consist of U.S. Treasury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the periods presented, the Company was not required to adopt any recently issued accounting standards. The Company does not expect any recently issued accounting standards to have a material impact on its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June 30, 2024 and December 31, 2023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32,041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32,041</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54,661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54,661</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25,235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25,235</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14,903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4,454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4,454</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142,484</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142,484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6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273,778</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32,041</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241,737</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25,563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25,563</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65,107</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65,107</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17,889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5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113,447</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113,447</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236,221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25,563</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210,658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-2682240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-2665095</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-2682240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-2665095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-2682240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-2665095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-1087755</wp:posOffset>
            </wp:positionV>
            <wp:extent cx="857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-1087755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-1087755</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three and six months ended June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as of June 30, 2024 and December 31, 2023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4"/>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32,041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32,041</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54,663</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54,661</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86,704</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86,702</w:t>
            </w: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25,242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25,235</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14,925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14,903</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4,459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4,454</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142,814</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142,484</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187,440</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187,076</w:t>
            </w:r>
          </w:p>
        </w:tc>
        <w:tc>
          <w:tcPr>
            <w:tcW w:w="0" w:type="dxa"/>
            <w:vAlign w:val="bottom"/>
          </w:tcPr>
          <w:p>
            <w:pPr>
              <w:spacing w:after="0"/>
              <w:rPr>
                <w:sz w:val="1"/>
                <w:szCs w:val="1"/>
                <w:color w:val="auto"/>
              </w:rPr>
            </w:pPr>
          </w:p>
        </w:tc>
      </w:tr>
      <w:tr>
        <w:trPr>
          <w:trHeight w:val="276"/>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274,144</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273,778</w:t>
            </w:r>
          </w:p>
        </w:tc>
        <w:tc>
          <w:tcPr>
            <w:tcW w:w="0" w:type="dxa"/>
            <w:vAlign w:val="bottom"/>
          </w:tcPr>
          <w:p>
            <w:pPr>
              <w:spacing w:after="0"/>
              <w:rPr>
                <w:sz w:val="1"/>
                <w:szCs w:val="1"/>
                <w:color w:val="auto"/>
              </w:rPr>
            </w:pPr>
          </w:p>
        </w:tc>
      </w:tr>
      <w:tr>
        <w:trPr>
          <w:trHeight w:val="365"/>
        </w:trPr>
        <w:tc>
          <w:tcPr>
            <w:tcW w:w="5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4"/>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25,563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25,563</w:t>
            </w: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25,563</w:t>
            </w: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25,563</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14,229</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14,215</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8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65,182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65,107</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17,891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17,889</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113,492</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113,447</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210,794</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210,658</w:t>
            </w:r>
          </w:p>
        </w:tc>
        <w:tc>
          <w:tcPr>
            <w:tcW w:w="0" w:type="dxa"/>
            <w:vAlign w:val="bottom"/>
          </w:tcPr>
          <w:p>
            <w:pPr>
              <w:spacing w:after="0"/>
              <w:rPr>
                <w:sz w:val="1"/>
                <w:szCs w:val="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236,357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236,221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-3565525</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-3565525</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-3565525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-2622550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-2622550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-2622550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-2296795</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-2279650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-2296795</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-2279650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-2296795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-2279650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-187960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There were no sales of marketable securities during the three and six months ended June 30, 2024. As of June 30, 2024, the Company held 57 debt securities that were in an unrealized loss position for less than 12 months with an aggregate fair value of $159.0 million. As of June 30, 2024, the Company held 7 debt securities that were in an unrealized loss position for greater than 12 months with an aggregate fair value of $18.9 million. As of June 30, 2024, the aggregate fair value of marketable securities with a remaining contractual maturity of greater than one year was $3.1 million.</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 intent and ability to hold its debt securities until recovery. As a result, the Company did not record any charges for credit-related impairments for its marketable securities for the three and six months ended June 30, 2024</w:t>
      </w:r>
      <w:r>
        <w:rPr>
          <w:rFonts w:ascii="Times New Roman" w:cs="Times New Roman" w:eastAsia="Times New Roman" w:hAnsi="Times New Roman"/>
          <w:sz w:val="18"/>
          <w:szCs w:val="18"/>
          <w:color w:val="212529"/>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9,682</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w:t>
            </w:r>
          </w:p>
        </w:tc>
      </w:tr>
      <w:tr>
        <w:trPr>
          <w:trHeight w:val="2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w:t>
            </w:r>
          </w:p>
        </w:tc>
      </w:tr>
      <w:tr>
        <w:trPr>
          <w:trHeight w:val="24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(13,518 )</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(12,760 )</w:t>
            </w: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r>
      <w:tr>
        <w:trPr>
          <w:trHeight w:val="20"/>
        </w:trPr>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-505460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-187960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2024 and 2023 was $0.4 million and $0.6 million, respectively. Depreciation expense for the six months ended June 30, 2024 and 2023 was $0.9 million and $1.1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Balance Sheet Detail</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4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11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Prepaid sign-on bonuses subject to vesting provisions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5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11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0" w:type="dxa"/>
            <w:vAlign w:val="bottom"/>
          </w:tcPr>
          <w:p>
            <w:pPr>
              <w:spacing w:after="0"/>
              <w:rPr>
                <w:sz w:val="1"/>
                <w:szCs w:val="1"/>
                <w:color w:val="auto"/>
              </w:rPr>
            </w:pPr>
          </w:p>
        </w:tc>
      </w:tr>
      <w:tr>
        <w:trPr>
          <w:trHeight w:val="247"/>
        </w:trPr>
        <w:tc>
          <w:tcPr>
            <w:tcW w:w="118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4"/>
                <w:szCs w:val="24"/>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-1653540</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5,000,000 shares of undesignated preferred stock were authorized. No shares of preferred stock were issued or outstanding as of June 30, 2024 and December 31, 2023.</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and December 31, 2023, 200,000,000 shares of common stock, $0.001 par value per share, were authorized.</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color w:val="auto"/>
        </w:rPr>
        <w:t>As of June 30, 2024 and December 31, 2023, the Company has reserved for future issuance the following number of shares of common stock:</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2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12,547,394</w:t>
            </w:r>
          </w:p>
        </w:tc>
        <w:tc>
          <w:tcPr>
            <w:tcW w:w="13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9,972,217</w:t>
            </w: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115,995</w:t>
            </w:r>
          </w:p>
        </w:tc>
        <w:tc>
          <w:tcPr>
            <w:tcW w:w="1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75,017</w:t>
            </w:r>
          </w:p>
        </w:tc>
        <w:tc>
          <w:tcPr>
            <w:tcW w:w="0" w:type="dxa"/>
            <w:vAlign w:val="bottom"/>
          </w:tcPr>
          <w:p>
            <w:pPr>
              <w:spacing w:after="0"/>
              <w:rPr>
                <w:sz w:val="1"/>
                <w:szCs w:val="1"/>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 Stock Incentive Plan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2,709,603</w:t>
            </w:r>
          </w:p>
        </w:tc>
        <w:tc>
          <w:tcPr>
            <w:tcW w:w="13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3,157,537</w:t>
            </w:r>
          </w:p>
        </w:tc>
        <w:tc>
          <w:tcPr>
            <w:tcW w:w="0" w:type="dxa"/>
            <w:vAlign w:val="bottom"/>
          </w:tcPr>
          <w:p>
            <w:pPr>
              <w:spacing w:after="0"/>
              <w:rPr>
                <w:sz w:val="1"/>
                <w:szCs w:val="1"/>
                <w:color w:val="auto"/>
              </w:rPr>
            </w:pPr>
          </w:p>
        </w:tc>
      </w:tr>
      <w:tr>
        <w:trPr>
          <w:trHeight w:val="21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 Employee Stock</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1,701,485</w:t>
            </w:r>
          </w:p>
        </w:tc>
        <w:tc>
          <w:tcPr>
            <w:tcW w:w="1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1,346,125</w:t>
            </w:r>
          </w:p>
        </w:tc>
        <w:tc>
          <w:tcPr>
            <w:tcW w:w="0" w:type="dxa"/>
            <w:vAlign w:val="bottom"/>
          </w:tcPr>
          <w:p>
            <w:pPr>
              <w:spacing w:after="0"/>
              <w:rPr>
                <w:sz w:val="1"/>
                <w:szCs w:val="1"/>
                <w:color w:val="auto"/>
              </w:rPr>
            </w:pPr>
          </w:p>
        </w:tc>
      </w:tr>
      <w:tr>
        <w:trPr>
          <w:trHeight w:val="218"/>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2022 Inducement Stock</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1,407,603</w:t>
            </w:r>
          </w:p>
        </w:tc>
        <w:tc>
          <w:tcPr>
            <w:tcW w:w="100" w:type="dxa"/>
            <w:vAlign w:val="bottom"/>
            <w:vMerge w:val="restart"/>
            <w:shd w:val="clear" w:color="auto" w:fill="CFF0FC"/>
          </w:tcPr>
          <w:p>
            <w:pPr>
              <w:spacing w:after="0"/>
              <w:rPr>
                <w:sz w:val="18"/>
                <w:szCs w:val="18"/>
                <w:color w:val="auto"/>
              </w:rPr>
            </w:pPr>
          </w:p>
        </w:tc>
        <w:tc>
          <w:tcPr>
            <w:tcW w:w="120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837,877</w:t>
            </w:r>
          </w:p>
        </w:tc>
        <w:tc>
          <w:tcPr>
            <w:tcW w:w="0" w:type="dxa"/>
            <w:vAlign w:val="bottom"/>
          </w:tcPr>
          <w:p>
            <w:pPr>
              <w:spacing w:after="0"/>
              <w:rPr>
                <w:sz w:val="1"/>
                <w:szCs w:val="1"/>
                <w:color w:val="auto"/>
              </w:rPr>
            </w:pPr>
          </w:p>
        </w:tc>
      </w:tr>
      <w:tr>
        <w:trPr>
          <w:trHeight w:val="234"/>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18,482,080</w:t>
            </w:r>
          </w:p>
        </w:tc>
        <w:tc>
          <w:tcPr>
            <w:tcW w:w="1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15,388,773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-187960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June 30, 2024, no shares remained available for future issuance under the 2016 Plan. Any options or other awards outstanding under the 2016 Plan remain outstanding and effective.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annually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2024, the number of shares reserved for issuance under the 2019 Plan was increased by 2,000,000 shares. As of June 30, 2024, there were 2,709,603 shares available for future issuance under the 2019 Plan.</w:t>
      </w:r>
    </w:p>
    <w:p>
      <w:pPr>
        <w:spacing w:after="0" w:line="19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Stock Incentive Plan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Effective June 17, 2024, the Company’s board of directors amended the Inducement Plan to increase the number of shares reserved for issuance by 1,000,000 shares. As of June 30, 2024, there were 1,407,603 shares available for future issuance under the Inducement Plan.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six months ended June 30, 2024:</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3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3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2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9,972,217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8.44</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8.49</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15,114,074</w:t>
            </w:r>
          </w:p>
        </w:tc>
        <w:tc>
          <w:tcPr>
            <w:tcW w:w="0" w:type="dxa"/>
            <w:vAlign w:val="bottom"/>
          </w:tcPr>
          <w:p>
            <w:pPr>
              <w:spacing w:after="0"/>
              <w:rPr>
                <w:sz w:val="1"/>
                <w:szCs w:val="1"/>
                <w:color w:val="auto"/>
              </w:rPr>
            </w:pPr>
          </w:p>
        </w:tc>
      </w:tr>
      <w:tr>
        <w:trPr>
          <w:trHeight w:val="239"/>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2,964,458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(239,727 )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(149,554 )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12,547,394</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8.24</w:t>
            </w:r>
          </w:p>
        </w:tc>
        <w:tc>
          <w:tcPr>
            <w:tcW w:w="144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8.43</w:t>
            </w:r>
          </w:p>
        </w:tc>
        <w:tc>
          <w:tcPr>
            <w:tcW w:w="2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12,343,417</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2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4,705,847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10.54</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7.47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3,434,971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-205105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-187960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ind w:right="40" w:firstLine="509"/>
        <w:spacing w:after="0" w:line="312" w:lineRule="auto"/>
        <w:rPr>
          <w:sz w:val="20"/>
          <w:szCs w:val="20"/>
          <w:color w:val="auto"/>
        </w:rPr>
      </w:pPr>
      <w:r>
        <w:rPr>
          <w:rFonts w:ascii="Times New Roman" w:cs="Times New Roman" w:eastAsia="Times New Roman" w:hAnsi="Times New Roman"/>
          <w:sz w:val="17"/>
          <w:szCs w:val="17"/>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4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in the three and six months ended June 30, 2024 was $5.79 per share and $6.17 per share, respectively. The weighted average grant date fair value of stock options granted in the three and six months ended June 30, 2023 was $2.50 per share and $4.83 per share, respectively. The total intrinsic value of stock options exercised during the three and six months ended June 30, 2024 was $0.1 million and $0.9 million, respectively. The total intrinsic value of stock options exercised during the three and six months ended June 30, 2023 was zero and $0.2 million, respectively.</w:t>
      </w:r>
    </w:p>
    <w:p>
      <w:pPr>
        <w:spacing w:after="0" w:line="183"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three and six months ended June 30, 2024 and 2023 has been calculated on the date of grant using the following weighted average assumptions: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438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87"/>
        </w:trPr>
        <w:tc>
          <w:tcPr>
            <w:tcW w:w="4380" w:type="dxa"/>
            <w:vAlign w:val="bottom"/>
          </w:tcPr>
          <w:p>
            <w:pPr>
              <w:spacing w:after="0"/>
              <w:rPr>
                <w:sz w:val="16"/>
                <w:szCs w:val="16"/>
                <w:color w:val="auto"/>
              </w:rPr>
            </w:pPr>
          </w:p>
        </w:tc>
        <w:tc>
          <w:tcPr>
            <w:tcW w:w="13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60" w:type="dxa"/>
            <w:vAlign w:val="bottom"/>
          </w:tcPr>
          <w:p>
            <w:pPr>
              <w:spacing w:after="0"/>
              <w:rPr>
                <w:sz w:val="16"/>
                <w:szCs w:val="16"/>
                <w:color w:val="auto"/>
              </w:rPr>
            </w:pPr>
          </w:p>
        </w:tc>
      </w:tr>
      <w:tr>
        <w:trPr>
          <w:trHeight w:val="22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4.3 %</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3.5 %</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5"/>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3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21"/>
                <w:szCs w:val="21"/>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102.8 %</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100.2 %</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103.1 %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-610870</wp:posOffset>
            </wp:positionV>
            <wp:extent cx="641223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40" w:firstLine="509"/>
        <w:spacing w:after="0" w:line="313" w:lineRule="auto"/>
        <w:rPr>
          <w:sz w:val="20"/>
          <w:szCs w:val="20"/>
          <w:color w:val="auto"/>
        </w:rPr>
      </w:pPr>
      <w:r>
        <w:rPr>
          <w:rFonts w:ascii="Times New Roman" w:cs="Times New Roman" w:eastAsia="Times New Roman" w:hAnsi="Times New Roman"/>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during the six months ended June 30,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40" w:type="dxa"/>
            <w:vAlign w:val="bottom"/>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5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47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75,017</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10.77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7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70,445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6.95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4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(22,326 )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10.65</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322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(7,141 )</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9.32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June 30, 2024</w:t>
            </w:r>
          </w:p>
        </w:tc>
        <w:tc>
          <w:tcPr>
            <w:tcW w:w="47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115,995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8.56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580" w:type="dxa"/>
            <w:vAlign w:val="bottom"/>
          </w:tcPr>
          <w:p>
            <w:pPr>
              <w:spacing w:after="0"/>
              <w:rPr>
                <w:sz w:val="24"/>
                <w:szCs w:val="24"/>
                <w:color w:val="auto"/>
              </w:rPr>
            </w:pPr>
          </w:p>
        </w:tc>
        <w:tc>
          <w:tcPr>
            <w:tcW w:w="3640" w:type="dxa"/>
            <w:vAlign w:val="bottom"/>
            <w:tcBorders>
              <w:top w:val="single" w:sz="8" w:color="CFF0FC"/>
            </w:tcBorders>
          </w:tcPr>
          <w:p>
            <w:pPr>
              <w:spacing w:after="0"/>
              <w:rPr>
                <w:sz w:val="24"/>
                <w:szCs w:val="24"/>
                <w:color w:val="auto"/>
              </w:rPr>
            </w:pPr>
          </w:p>
        </w:tc>
        <w:tc>
          <w:tcPr>
            <w:tcW w:w="3220" w:type="dxa"/>
            <w:vAlign w:val="bottom"/>
            <w:tcBorders>
              <w:top w:val="single" w:sz="8" w:color="CFF0FC"/>
            </w:tcBorders>
          </w:tcPr>
          <w:p>
            <w:pPr>
              <w:jc w:val="right"/>
              <w:ind w:right="1630"/>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-933450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-916305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500" w:firstLine="509"/>
        <w:spacing w:after="0" w:line="280"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and comprehensive loss associated with all stock-based compensation awards granted by the Company is as follows (in thousands)</w:t>
      </w:r>
      <w:r>
        <w:rPr>
          <w:rFonts w:ascii="Times New Roman" w:cs="Times New Roman" w:eastAsia="Times New Roman" w:hAnsi="Times New Roman"/>
          <w:sz w:val="21"/>
          <w:szCs w:val="21"/>
          <w:color w:val="auto"/>
        </w:rPr>
        <w:t>:</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2,681</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2,391</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5,268</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5,799</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1,663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1,817</w:t>
            </w:r>
          </w:p>
        </w:tc>
      </w:tr>
      <w:tr>
        <w:trPr>
          <w:trHeight w:val="27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4,344</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3,363</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8,260</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7,616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an aggregate of $40.2 million of unrecognized stock-based compensation expense, which is expected to be recognized over a weighted average period of 2.80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2024, the number of shares reserved for issuance under the 2019 ESPP was increased by 428,571 shares. As of June 30, 2024, there were 1,701,485 shares available for future issuance under the ESPP.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entered into a collaboration and license agreement (the “Sanofi Agreement”) with Genzyme Corporation (“Sanofi”) pursuant to which the Company granted Sanofi an exclusive license under certain intellectual property rights to commercialize losmapimod, an oral small molecule for the treatment of facioscapulohumeral muscular dystrophy (“FSHD”), outside of the United States.</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Pursuant to a mutually agreed global development plan, the Company will continue to conduct the ongoing Phase 3 clinical trial for losmapimod for the treatment of FSHD. The Company and Sanofi will equally share global development costs. In addition to activities conducted under a mutually agreed global development plan, Sanofi will also have the right to conduct certain development activities that are solely intended to support obtaining or maintaining regulatory approval outside of the United States. The Company will have the sole right to manufacture for its activities under the global development plan and for commercialization in the United States and, subject to the terms of a supply agreement, the Company will supply Sanofi’s clinical and commercial supply requirements of losmapimod until Sanofi elects to take over such manufacturing responsibilities.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Per the terms of the Sanofi Agreement, Sanofi made an upfront license payment of $80.0 million to the Company during the second quarter of 2024. The Company is also eligible to receive up to an additional $975.0 million in specified regulatory and sales-based milestones, and Sanofi will pay the Company tiered royalties ranging from low-teens to mid-twenties percent of Sanofi’s and any of its affiliates’ and sublicensees’ annual net sales of losmapimod outside the United States. The royalties are payable on a product-by-product basis during a specified royalty term, and may be reduced in specified circumstances.</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During the term of the Sanofi Agreement, the Company may not research, develop, manufacture, commercialize, use, or otherwise exploit any compound or product that binds or otherwise modulates p38a/b MAPK anywhere in the world, other than losmapimod in the United States.</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Sanofi Agreement continues on a country-by-country and product-by-product basis until the last to expire royalty term for a product in a country, at which time the Sanofi Agreement expires with respect to such product in such country. Either party has the right to terminate the Sanofi Agreement if the other party has materially breached its obligations under the Sanofi Agreement and such breach has not been cured within the applicable cure period. Sanofi also has the right to terminate the Sanofi Agreement for convenience in its entirety or on a product-by-product or region-by-region (or country-by-country with respect to certain major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7" w:name="page18"/>
    <w:bookmarkEnd w:id="17"/>
    <w:p>
      <w:pPr>
        <w:ind w:right="940"/>
        <w:spacing w:after="0" w:line="282" w:lineRule="auto"/>
        <w:rPr>
          <w:sz w:val="20"/>
          <w:szCs w:val="20"/>
          <w:color w:val="auto"/>
        </w:rPr>
      </w:pPr>
      <w:r>
        <w:rPr>
          <w:rFonts w:ascii="Times New Roman" w:cs="Times New Roman" w:eastAsia="Times New Roman" w:hAnsi="Times New Roman"/>
          <w:sz w:val="18"/>
          <w:szCs w:val="18"/>
          <w:color w:val="auto"/>
        </w:rPr>
        <w:t>markets) basis. The Company also has the right to terminate the Sanofi Agreement if Sanofi terminates all bona fide material development and commercialization activities for a specified period and such cessation is not the result of certain agreed upon reasons.</w:t>
      </w:r>
    </w:p>
    <w:p>
      <w:pPr>
        <w:spacing w:after="0" w:line="16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that the Sanofi Agreement contained three material promises: (i) the license granted to Sanofi to develop and commercialize losmapimod outside of the United States (the “losmapimod license”); (ii) the parties’ joint global development activities for losmapimod; and (iii) the Sanofi territory-specific manufacturing activities for losmapimod, subject to the terms of a supply agreement. The Company considered the guidance in ASC 606 to determine which, if any, of the components of the losmapimod agreement are performance obligations with a customer and concluded that the losmapimod license and the Sanofi territory-specific manufacturing activities are within the scope of ASC 606 because Sanofi is the Company’s customer in those transactions.</w:t>
      </w:r>
    </w:p>
    <w:p>
      <w:pPr>
        <w:spacing w:after="0" w:line="187"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the losmapimod license under ASC 606 and concluded that the losmapimod license is a functional intellectual property license and is a distinct performance obligation. The Company determined that Sanofi benefited from the losmapimod license at the time of grant, and therefore the related performance obligation is satisfied at a point in time.</w:t>
      </w:r>
    </w:p>
    <w:p>
      <w:pPr>
        <w:spacing w:after="0" w:line="176"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Company evaluated the Sanofi territory-specific manufacturing activities under ASC 606 and identified one material promise associated with manufacturing activities related to development and commercial supply of losmapimod. Given that Sanofi is not obligated to purchase any minimum amount or quantities of the development and commercial supply from the Company, the Company concluded that, for the purpose of ASC 606, the provision of manufacturing activities related to development and commercial supply of losmapimod in the Sanofi territory was an option but not a performance obligation of the Company at the inception of the Sanofi agreement and will be accounted for if and when exercised. The Company also concluded that there is no separate material right in connection with the development and commercial supply of losmapimod, as the expected pricing was not issued at a significant and incremental discount. Therefore, the manufacturing activities were excluded as a performance obligation at the outset of the arrangement. Additionally, the Company is entitled to sales milestones and royalties from Sanofi upon future sales of losmapimod in the Sanofi territory, and revenue will be recognized when the related sales occur. Costs that are incurred associated with the Sanofi territory-specific manufacturing activities are reimbursable from Sanofi and will be recognized as revenue.</w:t>
      </w:r>
    </w:p>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the purposes of ASC 606, the transaction price of the Sanofi Agreement as of the outset of the arrangement consists of the upfront cash payment of $80.0 million, which was allocated to the performance obligation related to the losmapimod license. The other potential milestone payments that the Company is eligible to receive under the Sanofi agreement have been excluded from the transaction price, as all the remaining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 During the three months ended June 30, 2024, the Company recognized $80.0 million of revenue associated with the upfront license payment.</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the parties’ participation in global development for losmapimod, the Company concluded that those activities and cost-sharing payments related to such activities are within the scope of ASC 808, as both parties are active participants in the development activities and are exposed to significant risks and rewards of those activities under the Sanofi agreement. The Company assessed its relationship with Sanofi, the economics and nature of the global development activities, and the contractual terms of the Sanofi Agreement and concluded that, in accordance with its policy, payments to or reimbursements from Sanofi related to the global development activities will be accounted for as an increase to or reduction of research and development expenses. During the three months ended June 30, 2024, the Company recorded a $2.3 million reduction in research and development expenses in connection with global development activities for losmapimod.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GSK Agreement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Under the GSK Agreement, the Company issued 12,500,000 shares of Series B Preferred Stock to GSK (all of which converted to common stock in connection with the Company’s 2019 initial public offering). In addition, the Company may owe GSK up to $37.5 million in certain specified clinical and regulatory milestones, including a $5.0 million milestone that was achieved during 2022 and a $2.5 million milestone that was achieved 2019, and up to $60.0 million in certain specified sales milestones. The Company agreed to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pay tiered royalties on annual net sales of losmapimod that range from mid single-digit percentages to a low double-digit, but less than teens, percentage.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royalties are payable on a product-by-product and country-by-country basis, and may be reduced in specified circumstances.</w:t>
      </w:r>
    </w:p>
    <w:p>
      <w:pPr>
        <w:spacing w:after="0" w:line="20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clinical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MyoKardia Agreement</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July 20, 2020, the Company entered into the MyoKardia Collaboration Agreement, as amended,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88"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8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the MyoKardia Collaboration Agreement, MyoKardia made a $10.0 million upfront payment and a $2.5 million payment as prepaid research funding to the Company in July 2020. MyoKardia agreed to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To date, the Company has achieved a $2.5 million specified preclinical milestone.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ind w:right="20"/>
        <w:spacing w:after="0" w:line="282" w:lineRule="auto"/>
        <w:rPr>
          <w:sz w:val="20"/>
          <w:szCs w:val="20"/>
          <w:color w:val="auto"/>
        </w:rPr>
      </w:pPr>
      <w:r>
        <w:rPr>
          <w:rFonts w:ascii="Times New Roman" w:cs="Times New Roman" w:eastAsia="Times New Roman" w:hAnsi="Times New Roman"/>
          <w:sz w:val="18"/>
          <w:szCs w:val="18"/>
          <w:color w:val="auto"/>
        </w:rPr>
        <w:t>applicable cure period. MyoKardia also has the right to terminate the MyoKardia Collaboration Agreement for convenience in its entirety or on a target-by-target, product-by-product or molecule-by-molecule basis.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July 2024, the Company entered into an amendment to the MyoKardia Collaboration Agreement, pursuant to which the Company and MyoKardia agreed to extend the Research Term.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22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assessed the MyoKardia Collaboration Agreement and concluded that it represents a contract with a customer within the scope of ASC 606.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Promises and Performance Obligations</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22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which the Company included in the transaction price. In December 2021, the Company achieved a $2.5 million specified preclinical milestone associated with the MyoKardia Collaboration Agreement, which was previously constrained due to the significant uncertainty regarding whether such preclinical milestone would be achieved. The Company included this amount in the transaction price as of December 31, 2021. Based on the continued uncertainty associated with the achievement of any of the remaining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19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162" w:lineRule="exact"/>
        <w:rPr>
          <w:sz w:val="20"/>
          <w:szCs w:val="20"/>
          <w:color w:val="auto"/>
        </w:rPr>
      </w:pPr>
    </w:p>
    <w:p>
      <w:pPr>
        <w:jc w:val="both"/>
        <w:ind w:right="840" w:firstLine="509"/>
        <w:spacing w:after="0" w:line="266" w:lineRule="auto"/>
        <w:rPr>
          <w:sz w:val="20"/>
          <w:szCs w:val="20"/>
          <w:color w:val="auto"/>
        </w:rPr>
      </w:pPr>
      <w:r>
        <w:rPr>
          <w:rFonts w:ascii="Times New Roman" w:cs="Times New Roman" w:eastAsia="Times New Roman" w:hAnsi="Times New Roman"/>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and six months ended June 30, 2024.</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Performance Obligations</w:t>
      </w:r>
    </w:p>
    <w:p>
      <w:pPr>
        <w:spacing w:after="0" w:line="22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22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 The Company satisfied its obligation to perform research services as of December 31, 2023.</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recognized no collaboration revenue associated with the MyoKardia Collaboration Agreement. During the three and six months ended June 30, 2023, the Company recognized $0.9 million and $1.2 million, respectively, of collaboration revenue associated with the MyoKardia Collaboration Agreement, which includes $0.2 million and $0.4 million, respectively, of revenue recognized that was in deferred revenue as of December 31, 2022. As of June 30, 2024 and December 31, 2023, the Company recorded no deferred revenue or accounts receivable associated with the MyoKardia Collaboration Agreement. As of June 30, 2024, the Company had received $7.7 million of cost reimbursement payments under the MyoKardia Collaboration Agreement and $2.5 million associated with the achievement of a preclinical milestone. As of December 31, 2023, the Company had received $7.2 million of cost reimbursement payments under the MyoKardia Collaboration Agreement and $2.5 million associated with the achievement of a preclinical milestone. As of June 30, 2024, the Company recorded no unbilled accounts receivable related to reimbursable research and development costs under the MyoKardia Collaboration Agreement for activities performed during the three months ended June 30, 2024. As of December 31, 2023, the Company recorded unbilled accounts receivable of $0.5 million related to reimbursable research and development costs under the MyoKardia Collaboration Agreement for activities performed during the three months ended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CAMP4 Agreement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2023, the Company entered into a license agreement (the “CAMP4 Agreement”) with CAMP4 Therapeutics Corporation (“CAMP4”) pursuant to which the Company received a worldwide exclusive license (including the right to sublicense) from CAMP4 to rights under its Diamond Blackfan Anemia (“DBA”) program, which includes certain small molecule compounds, composition of matter and method of use patent rights, and know-how for the Company to research, develop, manufacture, use, commercialize or otherwise exploit therapeutic products in any indication, including the grant of a sublicense under certain intellectual property rights that CAMP4 has licensed under an agreement with Children’s Medical Center Corporation (“CMCC”).</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made an undisclosed upfront non-refundable, non-creditable payment to CAMP4.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w:t>
      </w:r>
    </w:p>
    <w:p>
      <w:pPr>
        <w:spacing w:after="0" w:line="3"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all valid patent claims covering the compounds in such country, (ii) the expiration of all regulatory exclusivities in such country, and</w:t>
      </w:r>
    </w:p>
    <w:p>
      <w:pPr>
        <w:spacing w:after="0" w:line="9" w:lineRule="exact"/>
        <w:rPr>
          <w:rFonts w:ascii="Times New Roman" w:cs="Times New Roman" w:eastAsia="Times New Roman" w:hAnsi="Times New Roman"/>
          <w:sz w:val="18"/>
          <w:szCs w:val="18"/>
          <w:color w:val="auto"/>
        </w:rPr>
      </w:pPr>
    </w:p>
    <w:p>
      <w:pPr>
        <w:ind w:right="60" w:firstLine="8"/>
        <w:spacing w:after="0" w:line="260"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 following the first commercial sale in such country. The Company is responsible for the costs associated with the development and regulatory approvals of licensed products.</w:t>
      </w:r>
    </w:p>
    <w:p>
      <w:pPr>
        <w:spacing w:after="0" w:line="1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the Company will have a fully-paid up, royalty-free and perpetual license to the licensed patent rights and know-how with respect to such licensed product in such country. 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1" w:name="page22"/>
    <w:bookmarkEnd w:id="21"/>
    <w:p>
      <w:pPr>
        <w:ind w:right="20"/>
        <w:spacing w:after="0" w:line="282" w:lineRule="auto"/>
        <w:rPr>
          <w:sz w:val="20"/>
          <w:szCs w:val="20"/>
          <w:color w:val="auto"/>
        </w:rPr>
      </w:pPr>
      <w:r>
        <w:rPr>
          <w:rFonts w:ascii="Times New Roman" w:cs="Times New Roman" w:eastAsia="Times New Roman" w:hAnsi="Times New Roman"/>
          <w:sz w:val="18"/>
          <w:szCs w:val="18"/>
          <w:color w:val="auto"/>
        </w:rPr>
        <w:t>breach. Either party may also terminate the agreement in its entirety upon certain insolvency events involving the other party. The Company has the right to terminate the license agreement with CAMP4 for any or no reason upon prior written notice to CAMP4.</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development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26 Landsdowne Street</w:t>
      </w:r>
    </w:p>
    <w:p>
      <w:pPr>
        <w:spacing w:after="0" w:line="227"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June 30, 2024 and December 31, 2023. Operating lease expense associated with this lease for the three and six months ended June 30, 2024 was approximately $0.5 million and $1.0 million, respectively. Variable lease expense associated with this lease for the three and six months ended June 30, 2024 was approximately $0.2 million and $0.4 million, respectively.</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future minimum lease payments associated with the 26 Landsdowne Street lease as of June 30, 2024,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2024(1)</w:t>
            </w:r>
          </w:p>
        </w:tc>
        <w:tc>
          <w:tcPr>
            <w:tcW w:w="79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FF0FC"/>
          </w:tcPr>
          <w:p>
            <w:pPr>
              <w:spacing w:after="0"/>
              <w:rPr>
                <w:sz w:val="21"/>
                <w:szCs w:val="21"/>
                <w:color w:val="auto"/>
              </w:rPr>
            </w:pPr>
          </w:p>
        </w:tc>
      </w:tr>
      <w:tr>
        <w:trPr>
          <w:trHeight w:val="23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20"/>
                <w:szCs w:val="20"/>
                <w:color w:val="auto"/>
              </w:rPr>
            </w:pPr>
          </w:p>
        </w:tc>
      </w:tr>
      <w:tr>
        <w:trPr>
          <w:trHeight w:val="247"/>
        </w:trPr>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9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FF0FC"/>
          </w:tcPr>
          <w:p>
            <w:pPr>
              <w:spacing w:after="0"/>
              <w:rPr>
                <w:sz w:val="21"/>
                <w:szCs w:val="21"/>
                <w:color w:val="auto"/>
              </w:rPr>
            </w:pPr>
          </w:p>
        </w:tc>
      </w:tr>
      <w:tr>
        <w:trPr>
          <w:trHeight w:val="23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20"/>
                <w:szCs w:val="20"/>
                <w:color w:val="auto"/>
              </w:rPr>
            </w:pPr>
          </w:p>
        </w:tc>
      </w:tr>
      <w:tr>
        <w:trPr>
          <w:trHeight w:val="243"/>
        </w:trPr>
        <w:tc>
          <w:tcPr>
            <w:tcW w:w="92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100" w:type="dxa"/>
            <w:vAlign w:val="bottom"/>
          </w:tcPr>
          <w:p>
            <w:pPr>
              <w:spacing w:after="0"/>
              <w:rPr>
                <w:sz w:val="20"/>
                <w:szCs w:val="20"/>
                <w:color w:val="auto"/>
              </w:rPr>
            </w:pPr>
          </w:p>
        </w:tc>
      </w:tr>
      <w:tr>
        <w:trPr>
          <w:trHeight w:val="243"/>
        </w:trPr>
        <w:tc>
          <w:tcPr>
            <w:tcW w:w="9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(1,267 )</w:t>
            </w:r>
          </w:p>
        </w:tc>
      </w:tr>
      <w:tr>
        <w:trPr>
          <w:trHeight w:val="236"/>
        </w:trPr>
        <w:tc>
          <w:tcPr>
            <w:tcW w:w="92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00" w:type="dxa"/>
            <w:vAlign w:val="bottom"/>
            <w:tcBorders>
              <w:top w:val="single" w:sz="8" w:color="CFF0FC"/>
            </w:tcBorders>
          </w:tcPr>
          <w:p>
            <w:pPr>
              <w:spacing w:after="0"/>
              <w:rPr>
                <w:sz w:val="20"/>
                <w:szCs w:val="20"/>
                <w:color w:val="auto"/>
              </w:rPr>
            </w:pPr>
          </w:p>
        </w:tc>
      </w:tr>
      <w:tr>
        <w:trPr>
          <w:trHeight w:val="20"/>
        </w:trPr>
        <w:tc>
          <w:tcPr>
            <w:tcW w:w="13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1360" w:type="dxa"/>
            <w:vAlign w:val="bottom"/>
            <w:tcBorders>
              <w:bottom w:val="single" w:sz="8" w:color="auto"/>
            </w:tcBorders>
          </w:tcPr>
          <w:p>
            <w:pPr>
              <w:spacing w:after="0"/>
              <w:rPr>
                <w:sz w:val="10"/>
                <w:szCs w:val="10"/>
                <w:color w:val="auto"/>
              </w:rPr>
            </w:pPr>
          </w:p>
        </w:tc>
        <w:tc>
          <w:tcPr>
            <w:tcW w:w="7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 w:lineRule="exact"/>
        <w:rPr>
          <w:sz w:val="20"/>
          <w:szCs w:val="20"/>
          <w:color w:val="auto"/>
        </w:rPr>
      </w:pPr>
    </w:p>
    <w:p>
      <w:pPr>
        <w:ind w:left="520" w:right="6420" w:hanging="512"/>
        <w:spacing w:after="0" w:line="50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are for the six months ending December 31, 2024. </w:t>
      </w:r>
      <w:r>
        <w:rPr>
          <w:rFonts w:ascii="Times New Roman" w:cs="Times New Roman" w:eastAsia="Times New Roman" w:hAnsi="Times New Roman"/>
          <w:sz w:val="18"/>
          <w:szCs w:val="18"/>
          <w:i w:val="1"/>
          <w:iCs w:val="1"/>
          <w:color w:val="auto"/>
        </w:rPr>
        <w:t>125 Sidney Street</w:t>
      </w:r>
    </w:p>
    <w:p>
      <w:pPr>
        <w:spacing w:after="0" w:line="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November 2021, the Company entered into a lease agreement comprising approximately 12,196 square feet of office space at 125 Sidney Street in Cambridge, Massachusetts, commencing November 2021. The Company began recognizing rent expense associated with this lease during November 2021. The lease ended on March 31, 2024. The Company had the option to extend the term of the lease for two successive one-year periods, at the market rate, by giving the landlord written notice of its election to exercise the extension at least nine months prior to the original expiration of the lease term. The lease had a total commitment of $1.7 million over the initial term, and included escalating rent payments. Operating lease expense associated with this lease for the three and six months ended June 30, 2024 was approximately zero and $0.2 million, respectively. No variable lease expense was recorded associated with this lease for the three and six months ended June 30, 2024.</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future minimum lease payments associated with this lease as of June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line="258" w:lineRule="auto"/>
        <w:rPr>
          <w:sz w:val="20"/>
          <w:szCs w:val="20"/>
          <w:color w:val="auto"/>
        </w:rPr>
      </w:pPr>
      <w:r>
        <w:rPr>
          <w:rFonts w:ascii="Times New Roman" w:cs="Times New Roman" w:eastAsia="Times New Roman" w:hAnsi="Times New Roman"/>
          <w:sz w:val="18"/>
          <w:szCs w:val="18"/>
          <w:color w:val="auto"/>
        </w:rPr>
        <w:t>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June 30, 2024 or December 31,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April 28, 2023, a class action complaint was filed in the United States District Court for the District of New Jersey against the Company and current and former officers (the “Securities Action”). On May 19, 2023, the Securities Action was transferred to the United States District Court for the District of Massachusetts, captioned </w:t>
      </w:r>
      <w:r>
        <w:rPr>
          <w:rFonts w:ascii="Times New Roman" w:cs="Times New Roman" w:eastAsia="Times New Roman" w:hAnsi="Times New Roman"/>
          <w:sz w:val="18"/>
          <w:szCs w:val="18"/>
          <w:i w:val="1"/>
          <w:iCs w:val="1"/>
          <w:color w:val="auto"/>
        </w:rPr>
        <w:t>Celano v. Fulcrum Therapeutics, Inc., et al</w:t>
      </w:r>
      <w:r>
        <w:rPr>
          <w:rFonts w:ascii="Times New Roman" w:cs="Times New Roman" w:eastAsia="Times New Roman" w:hAnsi="Times New Roman"/>
          <w:sz w:val="18"/>
          <w:szCs w:val="18"/>
          <w:color w:val="auto"/>
        </w:rPr>
        <w:t>., Case No. 1:23-cv-11125-IT. On July 31, 2023, the court appointed a lead plaintiff, who filed an amended complaint on September 29, 2023. The Securities Action alleges violations of Section 10(b) of the Securities Exchange Act of 1934, as amended, and Rule 10b-5 promulgated thereunder against all defendants and control person violations of Section 20(a) against the individuals, related to the Company’s February 2023 announcement that the U.S. Food and Drug Administration issued a clinical hold regarding the investigational new drug application for pociredir for the potential treatment of sickle cell disease.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On November 28, 2023, all defendants filed a motion to dismiss the Securities Action. Briefing was completed on the motion in February 2024, and the motion is currently pending. The Company intends to defend vigorously against this litigation.</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Other than attorneys’ fees and costs related to the defense of the Securities Action, no such costs have been incurred during the three and six months ended June 30,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$0.2 million and $0.4 million, respectively, in contributions to the 401(k) Plan for the three and six months ended June 30, 2024 and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(Loss) per Share</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(loss) by the weighted average number of shares of common stock outstanding during the period. Diluted net income per share is calculated by adjusting weighted average shares outstanding for the dilutive effect of common stock equivalents outstanding for the period. For purposes of the diluted net income per share calculation, the effect of stock options and unvested restricted stock units on the weighted average number of shares is calculated using the treasury stock method. In periods with reported net operating losses, all common stock equivalents are deemed anti-dilutive such that basic net loss per share and diluted net loss per share are equal.</w:t>
      </w:r>
    </w:p>
    <w:p>
      <w:pPr>
        <w:spacing w:after="0" w:line="183"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calculation of net income (loss) and the number of shares used to compute basic and diluted net income (loss) per share for the three and six months ended June 30, 2024 and 2023 are as follows (in thousands, except per share data):</w:t>
      </w:r>
    </w:p>
    <w:tbl>
      <w:tblPr>
        <w:tblLayout w:type="fixed"/>
        <w:tblInd w:w="0" w:type="dxa"/>
        <w:tblCellMar>
          <w:top w:w="0" w:type="dxa"/>
          <w:left w:w="0" w:type="dxa"/>
          <w:bottom w:w="0" w:type="dxa"/>
          <w:right w:w="0" w:type="dxa"/>
        </w:tblCellMar>
      </w:tblPr>
      <w:tr>
        <w:trPr>
          <w:trHeight w:val="137"/>
        </w:trPr>
        <w:tc>
          <w:tcPr>
            <w:tcW w:w="4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0" w:type="dxa"/>
            <w:vAlign w:val="bottom"/>
            <w:gridSpan w:val="3"/>
          </w:tcPr>
          <w:p>
            <w:pPr>
              <w:jc w:val="right"/>
              <w:ind w:right="40"/>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20" w:type="dxa"/>
            <w:vAlign w:val="bottom"/>
            <w:gridSpan w:val="3"/>
          </w:tcPr>
          <w:p>
            <w:pPr>
              <w:jc w:val="right"/>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3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basic and diluted</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8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(23,783 )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7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(48,562 )</w:t>
            </w: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62,205</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62,095</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60,764</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diluted securities: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63,587</w:t>
            </w:r>
          </w:p>
        </w:tc>
        <w:tc>
          <w:tcPr>
            <w:tcW w:w="240" w:type="dxa"/>
            <w:vAlign w:val="bottom"/>
            <w:tcBorders>
              <w:top w:val="single" w:sz="8" w:color="CFF0FC"/>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63,684</w:t>
            </w:r>
          </w:p>
        </w:tc>
        <w:tc>
          <w:tcPr>
            <w:tcW w:w="220" w:type="dxa"/>
            <w:vAlign w:val="bottom"/>
            <w:tcBorders>
              <w:top w:val="single" w:sz="8" w:color="CFF0FC"/>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60,764</w:t>
            </w:r>
          </w:p>
        </w:tc>
        <w:tc>
          <w:tcPr>
            <w:tcW w:w="100" w:type="dxa"/>
            <w:vAlign w:val="bottom"/>
            <w:tcBorders>
              <w:top w:val="single" w:sz="8" w:color="CFF0FC"/>
            </w:tcBorders>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(0.38 )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7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(0.80 )</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(0.80 )</w:t>
            </w:r>
          </w:p>
        </w:tc>
      </w:tr>
      <w:tr>
        <w:trPr>
          <w:trHeight w:val="657"/>
        </w:trPr>
        <w:tc>
          <w:tcPr>
            <w:tcW w:w="4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4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-1370965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-1370965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-1370965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income (loss) per share for the periods indicated because including them would have had an anti-dilutive effect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460" w:type="dxa"/>
            <w:vAlign w:val="bottom"/>
            <w:gridSpan w:val="4"/>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0" w:type="dxa"/>
            <w:vAlign w:val="bottom"/>
            <w:gridSpan w:val="4"/>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20" w:type="dxa"/>
            <w:vAlign w:val="bottom"/>
          </w:tcPr>
          <w:p>
            <w:pPr>
              <w:spacing w:after="0"/>
              <w:rPr>
                <w:sz w:val="13"/>
                <w:szCs w:val="13"/>
                <w:color w:val="auto"/>
              </w:rPr>
            </w:pPr>
          </w:p>
        </w:tc>
      </w:tr>
      <w:tr>
        <w:trPr>
          <w:trHeight w:val="187"/>
        </w:trPr>
        <w:tc>
          <w:tcPr>
            <w:tcW w:w="11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left="7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8,028</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10,115</w:t>
            </w:r>
          </w:p>
        </w:tc>
        <w:tc>
          <w:tcPr>
            <w:tcW w:w="12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7,306</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10,115</w:t>
            </w: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8,055</w:t>
            </w: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10,200</w:t>
            </w:r>
          </w:p>
        </w:tc>
        <w:tc>
          <w:tcPr>
            <w:tcW w:w="12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7,324</w:t>
            </w: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10,200</w:t>
            </w:r>
          </w:p>
        </w:tc>
        <w:tc>
          <w:tcPr>
            <w:tcW w:w="1120" w:type="dxa"/>
            <w:vAlign w:val="bottom"/>
          </w:tcPr>
          <w:p>
            <w:pPr>
              <w:spacing w:after="0"/>
              <w:rPr>
                <w:sz w:val="24"/>
                <w:szCs w:val="24"/>
                <w:color w:val="auto"/>
              </w:rPr>
            </w:pPr>
          </w:p>
        </w:tc>
      </w:tr>
      <w:tr>
        <w:trPr>
          <w:trHeight w:val="633"/>
        </w:trPr>
        <w:tc>
          <w:tcPr>
            <w:tcW w:w="1140" w:type="dxa"/>
            <w:vAlign w:val="bottom"/>
          </w:tcPr>
          <w:p>
            <w:pPr>
              <w:spacing w:after="0"/>
              <w:rPr>
                <w:sz w:val="24"/>
                <w:szCs w:val="24"/>
                <w:color w:val="auto"/>
              </w:rPr>
            </w:pPr>
          </w:p>
        </w:tc>
        <w:tc>
          <w:tcPr>
            <w:tcW w:w="400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-934085</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-916305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-934085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-916305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-934085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-916305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Annual Report on Form 10-K filed with the Securities and Exchange Commission, or SEC, on February 27, 2024.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small molecules to improve the lives of patients with genetically defined rare diseases in areas of high unmet medical need. Our most advanced clinical-stage product candidate, losmapimod, is being developed for the potential treatment of facioscapulohumeral muscular dystrophy, or FSHD. Our other clinical product candidate is pociredir, which is being developed for the potential treatment of sickle cell disease, or SCD. We initiated REACH, a randomized, double-blind, placebo-controlled, multi-national Phase 3 clinical trial of losmapimod in the second quarter of 2022 and completed enrollment during September 2023, enrolling 260 patients. We expect to report topline data from REACH by the end of October 2024.</w:t>
      </w:r>
    </w:p>
    <w:p>
      <w:pPr>
        <w:spacing w:after="0" w:line="18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January 2023, we announced interim data from our Phase 1b clinical trial of pociredir in SCD. We completed enrollment in the 6 mg and 2 mg dose cohorts, and do not plan to enroll additional subjects in these cohorts. Although we commenced enrollment in the 12 mg dose cohort, in February 2023 the FDA placed a full clinical hold on the investigational new drug, or IND, application for pociredir for SCD, which was lifted in August 2023. Following the clinical hold, we amended the protocol to revise the inclusion and exclusion criteria for the Phase 1b clinical trial to target subjects with higher disease severity. We reinitiated the Phase 1b clinical trial at the 12 mg once daily dose level in the fourth quarter of 2023, with that cohort expected to enroll approximately 10 subjects, to be followed by an additional cohort of approximately 10 subjects at the 20 mg once daily dose level. We expect to provide clinical data from this trial in 2025.</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May 2024, we entered into a collaboration and license agreement with Genzyme Corporation, a wholly-owned subsidiary of Sanofi, or Sanofi, pursuant to which we granted Sanofi an exclusive license under certain intellectual property rights to commercialize losmapimod outside of the United States. Pursuant to a mutually agreed global development plan, we will continue to conduct the ongoing REACH trial. We and Sanofi will equally share global development costs. In addition to potential future activities conducted under a mutually agreed global development plan, Sanofi will also have the right to conduct certain development activities that are solely intended to support obtaining or maintaining regulatory approval outside of the United States. We will have the sole right to manufacture for our activities under the global development plan and for commercialization in the United States and, subject to the terms of a supply agreement, we will supply Sanofi’s clinical and commercial supply requirements of losmapimod until Sanofi elects to take over such manufacturing responsibilities.</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Per the terms of the agreement, Sanofi made an upfront license payment of $80.0 million to us in the second quarter of 2024. We are also eligible to receive up to an additional $975.0 million in specified regulatory and sales-based milestones, and Sanofi will pay us tiered royalties ranging from low-teens to mid-twenties percent of Sanofi’s and any of its affiliates’ and sublicensees’ annual net sales of losmapimod outside the United States. The royalties are payable on a product-by-product basis during a specified royalty term, and may be reduced in specified circumstances.</w:t>
      </w:r>
    </w:p>
    <w:p>
      <w:pPr>
        <w:spacing w:after="0" w:line="180"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product candidates, we developed a discovery approach that we employ to systematically identify and validate cellular drug targets that can potentially modulate gene expression to treat known root causes of genetically defined rare diseases. Our discovery approach led to the identification of both losmapimod for FSHD and pociredir for SCD, as well as a robust discovery pipeline.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technologies,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capital stock and from upfront payments received under our collaboration and license agreements.</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with the exception of the three and six months ended June 30, 2024,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income was $28.5 million for the six months ended June 30, 2024, primarily due to the $80.0 million of collaboration revenue associated with our collaboration and license agreement with Sanofi that we recognized during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5" w:name="page26"/>
    <w:bookmarkEnd w:id="25"/>
    <w:p>
      <w:pPr>
        <w:ind w:right="240"/>
        <w:spacing w:after="0" w:line="266" w:lineRule="auto"/>
        <w:rPr>
          <w:sz w:val="20"/>
          <w:szCs w:val="20"/>
          <w:color w:val="auto"/>
        </w:rPr>
      </w:pPr>
      <w:r>
        <w:rPr>
          <w:rFonts w:ascii="Times New Roman" w:cs="Times New Roman" w:eastAsia="Times New Roman" w:hAnsi="Times New Roman"/>
          <w:sz w:val="18"/>
          <w:szCs w:val="18"/>
          <w:color w:val="auto"/>
        </w:rPr>
        <w:t>period. Our net loss was $48.6 million for the six months ended June 30, 2023. As of June 30, 2024, we had an accumulated deficit of $481.1 million. Excluding the potential for future milestone payments under our collaboration and license agreement with Sanofi, we expect our expenses and operating losses will increase substantially over the next several years in connection with our ongoing activities, as we:</w:t>
      </w:r>
    </w:p>
    <w:p>
      <w:pPr>
        <w:spacing w:after="0" w:line="68"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and pociredir;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 such as REACH, the Phase 3 clinical trial of losmapimod for the treatment of FSHD;</w:t>
      </w:r>
    </w:p>
    <w:p>
      <w:pPr>
        <w:spacing w:after="0" w:line="53"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Diamond Blackfan Anemia, or DBA, under our license agreement with CAMP4;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GlaxoSmithKline plc, or GSK, under our right of reference and license agreement with GSK upon the achievement of specified clinical or regulatory milestones, or to CAMP4 under our license agreement with CAMP4;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we had $273.8 million in cash, cash equivalents, and marketable securities. We believe that our existing cash, cash equivalents, and marketable securities as of June 30, 2024 will enable us to fund our operating expenses and capital expenditure requirements into 2027. We have based this estimate on assumptions that may prove to be wrong, and we could exhaust our available capital resources sooner than we expect. See “—Liquidity and Capital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 w:name="page27"/>
    <w:bookmarkEnd w:id="26"/>
    <w:p>
      <w:pPr>
        <w:ind w:right="340"/>
        <w:spacing w:after="0" w:line="282" w:lineRule="auto"/>
        <w:rPr>
          <w:sz w:val="20"/>
          <w:szCs w:val="20"/>
          <w:color w:val="auto"/>
        </w:rPr>
      </w:pPr>
      <w:r>
        <w:rPr>
          <w:rFonts w:ascii="Times New Roman" w:cs="Times New Roman" w:eastAsia="Times New Roman" w:hAnsi="Times New Roman"/>
          <w:sz w:val="18"/>
          <w:szCs w:val="18"/>
          <w:color w:val="auto"/>
        </w:rPr>
        <w:t>revenue from the commercialization and sale of our product candidates. We may never succeed in obtaining regulatory approval for any of our product candidates.</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May 2024, we entered into a collaboration and license agreement with Sanofi, pursuant to which we granted Sanofi an exclusive license under certain intellectual property rights to commercialize losmapimod, an oral small molecule for the treatment of FSHD outside of the United States.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2024, we recognized $80.0 million of revenue associated with the upfront license payment. During the three months ended June 30, 2024, we recorded a $2.3 million reduction in research and development expenses in connection with global development activities for losmapimod. During the three months ended June 30, 2024, we recognized no revenue associated with the Sanofi territory-specific manufacturing activities for losmapimod.</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the future, we may generate revenue from services performed related to Sanofi territory-specific manufacturing for losmapimod, as well as from milestones and royalty payments under the Sanofi collaboration agreement. We expect that our revenue may fluctuate from quarter-to-quarter and year-to-year based on our performance of Sanofi territory-specific manufacturing services and as a result of the timing, amount, and achievement of milestones under the Sanofi collaboration agreement.</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July 2020, we entered into a collaboration and license agreement with MyoKardia, which we amended in April 2023 and again in July 2024,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 We satisfied our obligation to perform research services as of December 31, 2023.</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MyoKardia collaboration agreement, we received a $10.0 million upfront payment and a $2.5 million payment as prepaid research funding in July 2020. MyoKardia agreed to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and 2023, we recognized zero and $0.9 million, respectively, of collaboration revenue under the MyoKardia collaboration agreement. As of June 30, 2024 and December 31, 2023, we have recorded no deferred revenue associated with the MyoKardia collaboration agreement. As of June 30, 2024, we had received $7.7 million of cost reimbursement payments and $2.5 million of milestone payments under the MyoKardia collaboration agreement. As of June 30, 2024, we recorded no accounts receivable or unbilled accounts receivable under the MyoKardia collaboration agreement.</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the future, we may generate revenue from milestones and royalty payments under the MyoKardia collaboration agreement. We expect that our revenue may fluctuate from quarter-to-quarter and year-to-year as a result of the timing, amount, and achievement of milestones under the MyoKardia collaboration agreement.</w:t>
      </w:r>
    </w:p>
    <w:p>
      <w:pPr>
        <w:spacing w:after="0" w:line="17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54" w:lineRule="exact"/>
        <w:rPr>
          <w:sz w:val="20"/>
          <w:szCs w:val="20"/>
          <w:color w:val="auto"/>
        </w:rPr>
      </w:pPr>
    </w:p>
    <w:p>
      <w:pPr>
        <w:ind w:left="900" w:right="78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contract manufacturing organizations, and consultants;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payroll taxes, employee benefits and stock-based compensation expenses for individuals involved in research and development efforts;</w:t>
      </w:r>
    </w:p>
    <w:p>
      <w:pPr>
        <w:spacing w:after="0" w:line="12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following nomination as a development candidate for the three and six months ended June 30, 2024 and 2023. Pre-development candidate expenses, unallocated expenses and internal research and development expenses are classified separately. Payments to or reimbursements from Sanofi related to global development activities are accounted for as an increase to or reduction of losmapimod external expenses.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6,181</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7,396</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14,475</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13,725</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24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1,706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4,555</w:t>
            </w: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3,339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3,429</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7,004</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6,440</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6,035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5,037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11,751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9,844</w:t>
            </w:r>
          </w:p>
        </w:tc>
      </w:tr>
      <w:tr>
        <w:trPr>
          <w:trHeight w:val="27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17,261</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17,849</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37,034</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34,564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768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2"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if applicable, commercialize our product candidates if and when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active pharmaceutical ingredient, or API, for use in production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defend and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pociredir for the treatment of SCD,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approval and commercialization. There are numerous factors associated with obtaining regulatory approval and the successful commercialization of any of our product candidates, including future trial design and various regulatory requirements, many of which cannot be determined with accuracy at this time based on our stage of development.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0"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continued research and development activities and planned commercialization activities in the United States, including establishing a sales, marketing and distribution infrastructure to commercialize any medicines for which we may obtain marketing approval. These increases will likely include increased costs related to the hiring of additional personnel, legal, audit, filing fees, and general compliance and consulting expenses, among other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marketable securities.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22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three months ended June 30, 2024 and 2023 along with the changes in those items in dollars:</w:t>
      </w:r>
    </w:p>
    <w:tbl>
      <w:tblPr>
        <w:tblLayout w:type="fixed"/>
        <w:tblInd w:w="860" w:type="dxa"/>
        <w:tblCellMar>
          <w:top w:w="0" w:type="dxa"/>
          <w:left w:w="0" w:type="dxa"/>
          <w:bottom w:w="0" w:type="dxa"/>
          <w:right w:w="0" w:type="dxa"/>
        </w:tblCellMar>
      </w:tblPr>
      <w:tr>
        <w:trPr>
          <w:trHeight w:val="137"/>
        </w:trPr>
        <w:tc>
          <w:tcPr>
            <w:tcW w:w="4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7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17,261</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(588 )</w:t>
            </w:r>
          </w:p>
        </w:tc>
        <w:tc>
          <w:tcPr>
            <w:tcW w:w="0" w:type="dxa"/>
            <w:vAlign w:val="bottom"/>
          </w:tcPr>
          <w:p>
            <w:pPr>
              <w:spacing w:after="0"/>
              <w:rPr>
                <w:sz w:val="1"/>
                <w:szCs w:val="1"/>
                <w:color w:val="auto"/>
              </w:rPr>
            </w:pPr>
          </w:p>
        </w:tc>
      </w:tr>
      <w:tr>
        <w:trPr>
          <w:trHeight w:val="239"/>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27,508</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(664 )</w:t>
            </w:r>
          </w:p>
        </w:tc>
        <w:tc>
          <w:tcPr>
            <w:tcW w:w="0" w:type="dxa"/>
            <w:vAlign w:val="bottom"/>
          </w:tcPr>
          <w:p>
            <w:pPr>
              <w:spacing w:after="0"/>
              <w:rPr>
                <w:sz w:val="1"/>
                <w:szCs w:val="1"/>
                <w:color w:val="auto"/>
              </w:rPr>
            </w:pPr>
          </w:p>
        </w:tc>
      </w:tr>
      <w:tr>
        <w:trPr>
          <w:trHeight w:val="20"/>
        </w:trPr>
        <w:tc>
          <w:tcPr>
            <w:tcW w:w="48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52,492</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(27,292 )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(592 )</w:t>
            </w:r>
          </w:p>
        </w:tc>
        <w:tc>
          <w:tcPr>
            <w:tcW w:w="0" w:type="dxa"/>
            <w:vAlign w:val="bottom"/>
          </w:tcPr>
          <w:p>
            <w:pPr>
              <w:spacing w:after="0"/>
              <w:rPr>
                <w:sz w:val="1"/>
                <w:szCs w:val="1"/>
                <w:color w:val="auto"/>
              </w:rPr>
            </w:pPr>
          </w:p>
        </w:tc>
      </w:tr>
      <w:tr>
        <w:trPr>
          <w:trHeight w:val="20"/>
        </w:trPr>
        <w:tc>
          <w:tcPr>
            <w:tcW w:w="48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(23,783 )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-505460</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-505460</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-505460</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increased by $79.1 million from $0.9 million for the three months ended June 30, 2023 to $80.0 million for the three months ended June 30, 2024. The increase was primarily attributable to the recognition of $80.0 million of revenue associated with the upfront license payment received during the second quarter of 2024 under the Sanofi collaboration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June 30, 2024 and 2023:</w:t>
      </w:r>
    </w:p>
    <w:p>
      <w:pPr>
        <w:spacing w:after="0" w:line="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78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(762 )</w:t>
            </w:r>
          </w:p>
        </w:tc>
        <w:tc>
          <w:tcPr>
            <w:tcW w:w="0" w:type="dxa"/>
            <w:vAlign w:val="bottom"/>
          </w:tcPr>
          <w:p>
            <w:pPr>
              <w:spacing w:after="0"/>
              <w:rPr>
                <w:sz w:val="1"/>
                <w:szCs w:val="1"/>
                <w:color w:val="auto"/>
              </w:rPr>
            </w:pPr>
          </w:p>
        </w:tc>
      </w:tr>
      <w:tr>
        <w:trPr>
          <w:trHeight w:val="23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(572 )</w:t>
            </w:r>
          </w:p>
        </w:tc>
        <w:tc>
          <w:tcPr>
            <w:tcW w:w="0" w:type="dxa"/>
            <w:vAlign w:val="bottom"/>
          </w:tcPr>
          <w:p>
            <w:pPr>
              <w:spacing w:after="0"/>
              <w:rPr>
                <w:sz w:val="1"/>
                <w:szCs w:val="1"/>
                <w:color w:val="auto"/>
              </w:rPr>
            </w:pPr>
          </w:p>
        </w:tc>
      </w:tr>
      <w:tr>
        <w:trPr>
          <w:trHeight w:val="23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0"/>
        </w:trPr>
        <w:tc>
          <w:tcPr>
            <w:tcW w:w="48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17,261</w:t>
            </w:r>
          </w:p>
        </w:tc>
        <w:tc>
          <w:tcPr>
            <w:tcW w:w="24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17,849</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-187960</wp:posOffset>
            </wp:positionV>
            <wp:extent cx="596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$0.5 million from $17.8 million for the three months ended June 30, 2023 to $17.3 million for the three months ended June 30, 2024. The decrease in research and development expense was primarily attributable to the following:</w:t>
      </w:r>
    </w:p>
    <w:p>
      <w:pPr>
        <w:spacing w:after="0" w:line="54" w:lineRule="exact"/>
        <w:rPr>
          <w:sz w:val="20"/>
          <w:szCs w:val="20"/>
          <w:color w:val="auto"/>
        </w:rPr>
      </w:pPr>
    </w:p>
    <w:p>
      <w:pPr>
        <w:ind w:left="90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of decreased external research and development costs, primarily due to $2.3 million of reimbursement from the global development cost sharing under our collaboration with Sanofi for losmapimod, partially offset by increased development costs associated with the advancement of REACH, as we completed enrollment in September 2023;</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of decreased laboratory supplies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of decreased facility costs;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of decreased other costs;</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$1.0 million of increased employee compensation costs, including a $0.7 million increase in stock-based compensation expense.</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June 30, 2024 and 2023:</w:t>
      </w:r>
    </w:p>
    <w:p>
      <w:pPr>
        <w:spacing w:after="0" w:line="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80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26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514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514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$0.1 million from $10.3 million for the three months ended June 30, 2023 to $10.2 million for the three months ended June 30, 2024. The decrease in general and administrative expenses was primarily attributable to the following:</w:t>
      </w:r>
    </w:p>
    <w:p>
      <w:pPr>
        <w:spacing w:after="0" w:line="54"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of decreased facility costs as a result of the expiration of our lease agreement for office space at 125 Sidney Street;</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of decreased employee compensation costs due to decreased headcount, which reflects a partial offset of $0.3 million increase in stock-based compensation expense;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$0.5 million of increased professional services costs, primarily due to increased legal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Other income, net decreased by $0.6 million from $3.5 million for the three months ended June 30, 2023 to $2.9 million for the three months ended June 30, 2024. The decrease was primarily attributable to a decrease in our average cash, cash equivalents, and marketable securities balance.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six months ended June 30, 2024 and 2023 along with the changes in those items in dollars:</w:t>
      </w:r>
    </w:p>
    <w:p>
      <w:pPr>
        <w:spacing w:after="0" w:line="372"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74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37,034</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(1,535 )</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56,407</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(55,232 )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0" w:type="dxa"/>
            <w:vAlign w:val="bottom"/>
          </w:tcPr>
          <w:p>
            <w:pPr>
              <w:spacing w:after="0"/>
              <w:rPr>
                <w:sz w:val="1"/>
                <w:szCs w:val="1"/>
                <w:color w:val="auto"/>
              </w:rPr>
            </w:pPr>
          </w:p>
        </w:tc>
      </w:tr>
      <w:tr>
        <w:trPr>
          <w:trHeight w:val="20"/>
        </w:trPr>
        <w:tc>
          <w:tcPr>
            <w:tcW w:w="45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2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(48,562 )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-505460</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-505460</wp:posOffset>
            </wp:positionV>
            <wp:extent cx="51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-505460</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-187960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-187960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increased by $78.8 million from $1.2 million for the six months ended June 30, 2023 to $80.0 million for the six months ended June 30, 2024. The increase was primarily attributable to the recognition of $80.0 million of revenue associated with the upfront license payment received during the second quarter of 2024 under the Sanofi collaboration agreement.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six months ended June 30, 2024 and 2023:</w:t>
      </w:r>
    </w:p>
    <w:p>
      <w:pPr>
        <w:spacing w:after="0" w:line="200" w:lineRule="exact"/>
        <w:rPr>
          <w:sz w:val="20"/>
          <w:szCs w:val="20"/>
          <w:color w:val="auto"/>
        </w:rPr>
      </w:pP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21,801</w:t>
            </w:r>
          </w:p>
        </w:tc>
        <w:tc>
          <w:tcPr>
            <w:tcW w:w="76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19,903</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(880 )</w:t>
            </w: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37"/>
        </w:trPr>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37,034</w:t>
            </w:r>
          </w:p>
        </w:tc>
        <w:tc>
          <w:tcPr>
            <w:tcW w:w="26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34,564</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-187960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-187960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-187960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by $2.4 million from $34.6 million for the six months ended June 30, 2023 to $37.0 million for the six months ended June 30, 2024. The increase in research and development expense was primarily attributable to the following:</w:t>
      </w:r>
    </w:p>
    <w:p>
      <w:pPr>
        <w:spacing w:after="0" w:line="54"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of increased employee compensation costs, including a $1.2 million increase in stock-based compensation expense;</w:t>
      </w:r>
    </w:p>
    <w:p>
      <w:pPr>
        <w:spacing w:after="0" w:line="117"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of increased external research and development costs, primarily due to the advancement of REACH as we completed enrollment in September 2023, partially offset by $2.3 million reimbursement from the global development cost sharing under our collaboration with Sanofi for losmapimod;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$0.9 million of decreased laboratory supplies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of decreased facility costs;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of decreased other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six months ended June 30, 2024 and 2023:</w:t>
      </w:r>
    </w:p>
    <w:p>
      <w:pPr>
        <w:spacing w:after="0" w:line="200" w:lineRule="exact"/>
        <w:rPr>
          <w:sz w:val="20"/>
          <w:szCs w:val="20"/>
          <w:color w:val="auto"/>
        </w:rPr>
      </w:pPr>
    </w:p>
    <w:p>
      <w:pPr>
        <w:spacing w:after="0" w:line="236"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74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12,977</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(1,833 )</w:t>
            </w: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26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21,843</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(1,535 )</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-25400</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$1.5 million from $21.8 million for the three months ended June 30, 2023 to $20.3 million for the six months ended June 30, 2024. The decrease in general and administrative expenses was primarily attributable to the following:</w:t>
      </w:r>
    </w:p>
    <w:p>
      <w:pPr>
        <w:spacing w:after="0" w:line="54" w:lineRule="exact"/>
        <w:rPr>
          <w:sz w:val="20"/>
          <w:szCs w:val="20"/>
          <w:color w:val="auto"/>
        </w:rPr>
      </w:pPr>
    </w:p>
    <w:p>
      <w:pPr>
        <w:ind w:left="900" w:right="2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of decreased employee compensation costs, which reflects a $0.5 million decrease in stock-based compensation expense, due to decreased headcount;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of decreased facility costs as a result of the expiration of our lease agreement for office space at 125 Sidney Street;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$0.7 million of increased professional services costs, primarily due to increased legal costs.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decreased by $0.8 million from $6.7 million for the six months ended June 30, 2023 to $5.9 million for the six months ended June 30, 2024. The decrease was primarily attributable to a decrease in our average cash, cash equivalents, and marketable securities balance.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June 30, 2024, we have funded our operations primarily with aggregate gross proceeds of $792.5 million from the sale of shares of our capital stock and from upfront payments received under our collaboration and license agreements. As of June 30, 2024, we had cash, cash equivalents, and marketable securities of $273.8 million.</w:t>
      </w:r>
    </w:p>
    <w:p>
      <w:pPr>
        <w:spacing w:after="0" w:line="190"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8"/>
          <w:szCs w:val="18"/>
          <w:color w:val="auto"/>
        </w:rPr>
        <w:t>In February 2024,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agreement with Cantor Fitzgerald &amp; Co. and Stifel, Nicolaus &amp; Company, Incorporated, as agents, with respect to an at-the-market offering program pursuant to which we may offer and sell, from time to time in our sole discretion, shares of our common stock, par value $0.001 per share, having an aggregate offering price of up to $100.0 million through the agents. As of June 30, 2024, we have not issued or sold any shares of common stock under the at-the-market offering program.</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six months ended June 30, 2024:</w:t>
      </w:r>
    </w:p>
    <w:p>
      <w:pPr>
        <w:spacing w:after="0" w:line="2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6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69"/>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33,615</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(44,901 )</w:t>
            </w: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25,620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(74,066 )</w:t>
            </w: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117,835</w:t>
            </w:r>
          </w:p>
        </w:tc>
      </w:tr>
      <w:tr>
        <w:trPr>
          <w:trHeight w:val="23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61,263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(1,132 )</w:t>
            </w:r>
          </w:p>
        </w:tc>
      </w:tr>
      <w:tr>
        <w:trPr>
          <w:trHeight w:val="20"/>
        </w:trPr>
        <w:tc>
          <w:tcPr>
            <w:tcW w:w="6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-187960</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22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$33.6 million during the six months ended June 30, 2024 compared to net cash used in operating activities of $44.9 million during the six months ended June 30, 2023. The increase in net cash provided by operating activities of $78.5 million was primarily due to the receipt of the $80.0 million upfront license payment during the second quarter of 2024 under the Sanofi collaboration agreement, partially offset by an increase in our net loss, including as a result of increased external research and development costs as we continued the advancement of REACH.</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2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$25.6 million during the six months ended June 30, 2024 compared to net cash used in investing activities of $74.1 million during the six months ended June 30, 2023. The increase in net cash provided by investing activities of $99.7 million was primarily due to net maturities of marketable securities during the six months ended June 30, 2024, as compared to net purchases of marketable securities during the six months ended June 30,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$2.0 million during the six months ended June 30, 2024 compared to net cash provided by financing activities of $117.8 million during the six months ended June 30, 2023. Net cash provided by financing activities during the six months ended June 30,</w:t>
      </w:r>
    </w:p>
    <w:p>
      <w:pPr>
        <w:spacing w:after="0" w:line="260" w:lineRule="auto"/>
        <w:rPr>
          <w:sz w:val="20"/>
          <w:szCs w:val="20"/>
          <w:color w:val="auto"/>
        </w:rPr>
      </w:pPr>
      <w:r>
        <w:rPr>
          <w:rFonts w:ascii="Times New Roman" w:cs="Times New Roman" w:eastAsia="Times New Roman" w:hAnsi="Times New Roman"/>
          <w:sz w:val="18"/>
          <w:szCs w:val="18"/>
          <w:color w:val="auto"/>
        </w:rPr>
        <w:t>2024 consisted of net proceeds of $1.8 million from the issuance of common stock under our benefit plans. Net cash provided by financing activities during the six months ended June 30, 2023 primarily consisted of net proceeds of $117.3 million from the January 2023 public offering of our common stock.</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to support the growth of our organization. As a result, we expect to incur substantial operating losses and negative operating cash flows for the foreseeable future, excluding the potential for future milestone payments under our collaboration and license agreement with Sanofi.</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June 30, 2024 will enable us to fund our operating expenses and capital expenditure requirements into 2027. However, we have based this estimate on assumptions that may prove to be wrong and we could exhaust our capital resources sooner than we expect.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trials of losmapimod and pociredir;</w:t>
      </w:r>
    </w:p>
    <w:p>
      <w:pPr>
        <w:spacing w:after="0" w:line="117" w:lineRule="exact"/>
        <w:rPr>
          <w:rFonts w:ascii="Times New Roman" w:cs="Times New Roman" w:eastAsia="Times New Roman" w:hAnsi="Times New Roman"/>
          <w:sz w:val="18"/>
          <w:szCs w:val="18"/>
          <w:color w:val="auto"/>
        </w:rPr>
      </w:pPr>
    </w:p>
    <w:p>
      <w:pPr>
        <w:ind w:left="900" w:right="28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 including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recent collaboration and license agreement with Sanofi and our collaboration with MyoKardia;</w:t>
      </w:r>
    </w:p>
    <w:p>
      <w:pPr>
        <w:spacing w:after="0" w:line="11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to a third party;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June 30, 2024, there were no material changes to our critical accounting policies from those described in our Annual Report on Form 10-K filed with the SEC on February 27, 2024, except as noted below with respect to our accounting policies related to collaboration revenue.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At contract inception, we analyze our collaboration arrangements to assess whether such arrangements involve joint operating activities performed by parties that are both active participants in the activities and are exposed to significant risks and rewards dependent on the commercial success of such activities, and therefore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This assessment is performed on an ongoing basis throughout the collaboration based on changes in the responsibilities of the parties in the arrangement. For collaboration arrangements within the scope of ASC 808 that contain multiple elements, we first determine which elements of the collaboration are deemed to be within the scope of ASC 808 and which elements of the collaboration are more reflective of a vendor-customer relationship and are therefore within the scope of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(ASC 606).</w:t>
      </w:r>
    </w:p>
    <w:p>
      <w:pPr>
        <w:spacing w:after="0" w:line="18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We evaluate the income statement classification for presentation of amounts due from or owed to collaborators associated with multiple activities in a collaboration arrangement based on the nature of each separate activity. We have made an accounting policy election to account for research and development reimbursements received from our collaboration partner that are outside of the scope of ASC 606 as a reduction of research and development expenses to best reflect the economics and nature of the transaction in the context of the unit-of-account.</w:t>
      </w:r>
    </w:p>
    <w:p>
      <w:pPr>
        <w:spacing w:after="0" w:line="18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in our audited consolidated financial statements for the year ended December 31, 2023 included in our Annual Report on Form 10-K for our accounting policies for arrangements within the scope of ASC 606.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(our principal executive officer) and our Chief Financial Officer (our principal financial officer), evaluated the effectiveness of our disclosure controls and procedures as of June 30, 2024.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June 30, 2024, our Chief Executive Officer and our Chief Financial Officer concluded that, as of such date,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April 28, 2023, a class action complaint was filed in the United States District Court for the District of New Jersey against our company and current and former officers, or the Securities Action. On May 19, 2023, the Securities Action was transferred to the United States District Court for the District of Massachusetts, captioned </w:t>
      </w:r>
      <w:r>
        <w:rPr>
          <w:rFonts w:ascii="Times New Roman" w:cs="Times New Roman" w:eastAsia="Times New Roman" w:hAnsi="Times New Roman"/>
          <w:sz w:val="18"/>
          <w:szCs w:val="18"/>
          <w:i w:val="1"/>
          <w:iCs w:val="1"/>
          <w:color w:val="auto"/>
        </w:rPr>
        <w:t>Celano v. Fulcrum Therapeutics, Inc</w:t>
      </w:r>
      <w:r>
        <w:rPr>
          <w:rFonts w:ascii="Times New Roman" w:cs="Times New Roman" w:eastAsia="Times New Roman" w:hAnsi="Times New Roman"/>
          <w:sz w:val="18"/>
          <w:szCs w:val="18"/>
          <w:color w:val="auto"/>
        </w:rPr>
        <w:t>., et al., Case No. 1:23-cv-11125-IT. On July 31, 2023, the court appointed a lead plaintiff, who filed an amended complaint on September 29, 2023. The Securities Action alleges violations of Section 10(b) of the Exchange Act and Rule 10b-5 promulgated thereunder against all defendants and control person violations of Section 20(a) against the individuals, related to our February 2023 announcement that the FDA issued a clinical hold regarding the IND application for pociredir for the potential treatment of SCD.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On November 28, 2023, all defendants filed a motion to dismiss the Securities Action. Briefing was completed on the motion in February 2024, and the motion is currently pending. We intend to defend vigorously against this litigation.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Excluding the potential for future milestone payments under our collaboration and license agreement with Sanofi, we expect to incur losses over the next several years and may never achieve or maintain profitability.</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$97.3 million for the year ended December 31, 2023. Our net income was $28.5 million for the six months ended June 30, 2024 primarily due to the recognition of $80.0 million of collaboration revenue associated with our collaboration and license agreement with Sanofi. As of June 30, 2024, we had an accumulated deficit of $481.1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4"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and pociredir;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through later stage trials, such as REACH, the Phase 3 clinical trial of losmapimod for the treatment of FSHD;</w:t>
      </w:r>
    </w:p>
    <w:p>
      <w:pPr>
        <w:spacing w:after="0" w:line="53"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DBA under our license agreement with CAMP4;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7" w:name="page38"/>
    <w:bookmarkEnd w:id="37"/>
    <w:p>
      <w:pPr>
        <w:ind w:left="900" w:right="30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GSK under our right of reference and license agreement with GSK upon the achievement of specified clinical or regulatory milestones, or to CAMP4 under our license agreement with CAMP4;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1" w:lineRule="exact"/>
        <w:rPr>
          <w:sz w:val="20"/>
          <w:szCs w:val="20"/>
          <w:color w:val="auto"/>
        </w:rPr>
      </w:pPr>
    </w:p>
    <w:p>
      <w:pPr>
        <w:ind w:left="900" w:right="6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FDA, the EMA, or other regulatory authorities to perform trials or studies in addition to, or different than, those expected;</w:t>
      </w:r>
    </w:p>
    <w:p>
      <w:pPr>
        <w:spacing w:after="0" w:line="53" w:lineRule="exact"/>
        <w:rPr>
          <w:rFonts w:ascii="Times New Roman" w:cs="Times New Roman" w:eastAsia="Times New Roman" w:hAnsi="Times New Roman"/>
          <w:sz w:val="18"/>
          <w:szCs w:val="18"/>
          <w:color w:val="auto"/>
        </w:rPr>
      </w:pPr>
    </w:p>
    <w:p>
      <w:pPr>
        <w:ind w:left="900" w:right="100" w:hanging="383"/>
        <w:spacing w:after="0" w:line="261"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further delays in completing our ongoing clinical trials or otherwise in the development of any of our current or future product candidates, such as due to any further clinical holds imposed by the FDA (similar to the hold on the IND application for pociredir in SCD that was lifted in August 2023), or due to enrollment challenges (such as for our ongoing clinical trial of pociredir in light of the more stringent inclusion and exclusion criteria); or</w:t>
      </w:r>
    </w:p>
    <w:p>
      <w:pPr>
        <w:spacing w:after="0" w:line="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activities, particularly as we continue our ongoing and planned clinical trials of losmapimod and pociredir,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particularly if we do not out-license our product candidate.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right="6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clinical trials of losmapimod, including REACH, the Phase 3 clinical trial of losmapimod for the treatment of FSHD, which completed enrollment in September 2023, and our Phase 1b clinical trial of pociredir in SCD;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planned clinical trials;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Sanofi and MyoKardia or under our license agreement with CAMP4;</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for commercialization;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we had cash, cash equivalents, and marketable securities of approximately $273.8 million. We believe that our cash, cash equivalents, and marketable securities as of June 30, 2024 will enable us to fund our operating expenses and capital expenditure requirements into 2027.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several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recent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bring our product candidates to market. We may also choose to further realign our operations to achieve additional operational efficiencies beyond the strategic realignment effected in 2022.</w:t>
      </w:r>
    </w:p>
    <w:p>
      <w:pPr>
        <w:spacing w:after="0" w:line="29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and in the future anticipate we will rely, in part on sales of our common stock through an at-the-market, or ATM, offering program. Increased volatility and decreases in market prices of equity securities generally and of our</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9" w:name="page40"/>
    <w:bookmarkEnd w:id="39"/>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1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February 2024, we established a new ATM offering program to sell shares of our common stock having an aggregate offering price of up to $100.0 million from time to time. Given the overall volatility in the capital markets, we may not be willing or able to continue to raise equity capital through our ATM offering program. We may, therefore, need to turn to other sources of funding that may have terms that are not favorable to us, or reduce our business operations given capital constraints.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have been focused on research and development and conducting clinical trials, which may make it difficult for stockholders to evaluate the success of our business to date and to assess our future viability.</w:t>
      </w:r>
    </w:p>
    <w:p>
      <w:pPr>
        <w:spacing w:after="0" w:line="15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commenced activities in 2015 and are a clinical-stage biotechnology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or arrange for a third party to do so on our behalf. Consequently, any predictions stockholders make about our future success or viability may not be as accurate as they could be if we had a history of successfully developing and commercializing products.</w:t>
      </w:r>
    </w:p>
    <w:p>
      <w:pPr>
        <w:spacing w:after="0" w:line="18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was negatively impacted by the COVID-19 pandemic and may in the future be impacted by any future pandemics. In addition, the effects of any future pandemics may adversely impact economies worldwide, which could result in adverse effects on our business and operations.</w:t>
      </w:r>
    </w:p>
    <w:p>
      <w:pPr>
        <w:spacing w:after="0" w:line="15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experienced enrollment delays in our ReDUX4 clinical trial due to the COVID-19 pandemic as the clinical trial sites for our ReDUX4 clinical trial temporarily postponed trial-related activities. We also saw temporary disruptions in other business activities due to a temporary reduction in workforce presence at our Cambridge research facility, and COVID-19 had a significant impact on economies worldwide. Future pandemics may arise, and they, like COVID-19, could impact our company, our CMOs and contract research organizations, or CROs, creating disruptions that affect our ability to initiate and complete preclinical studies or clinical trials, disrupt our supply chain for our research and development activities, and disrupt any then planned or ongoing clinical trials for any number of reasons. Any future pandemics could similarly impact patient recruitment or retention for clinical trials, or result in resources being redirected in a way that adversely impacts our ability to progress regulatory approvals and protect our intellectual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ind w:right="120"/>
        <w:spacing w:after="0" w:line="282" w:lineRule="auto"/>
        <w:rPr>
          <w:sz w:val="20"/>
          <w:szCs w:val="20"/>
          <w:color w:val="auto"/>
        </w:rPr>
      </w:pPr>
      <w:r>
        <w:rPr>
          <w:rFonts w:ascii="Times New Roman" w:cs="Times New Roman" w:eastAsia="Times New Roman" w:hAnsi="Times New Roman"/>
          <w:sz w:val="18"/>
          <w:szCs w:val="18"/>
          <w:color w:val="auto"/>
        </w:rPr>
        <w:t>property. In addition, as with COVID-19 pandemic, we may face impediments to regulatory meetings and approvals due to recommended safety measures intended to limit in-person interactions in any future pandemic.</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COVID-19 pandemic caused significant disruptions in the financial markets and any future pandemic could similarly cause such disruptions, which could impact our ability to raise additional funds through public offerings and may also impact the volatility of our stock price and trading in our stock. We cannot be certain what the overall impact of any future pandemic will be on our business. The extent of the impact of any future pandemic on our business, financial condition, results of operations and prospects will depend on future developments that are uncertain.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For example, under Section 174 of the U.S. Internal Revenue Code of 1986, as amended, or the Code, in taxable years beginning after December 31, 2021, expenses that are incurred for research and development in the United States will be capitalized and amortized, which may have an adverse effect on our cash flow.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of $312.3 million and $317.1 million, respectively, which begin to expire in 2036. Approximately $288.7 million of the federal net operating losses can be carried forward indefinitely. As of December 31, 2023, we also had federal orphan drug credits of $23.8 million, which begin to expire in 2040. As of December 31, 2023, we also had federal and state research and development tax credit carryforwards of $7.6 million and $4.9 million, respectively, which begin to expire in 2035 and 2030, respectively. These net operating loss and tax credit carryforwards could expire unused and be unavailable to offset future income tax liabilities.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of the Code to determine if historical changes in ownership through December 31, 2021 would limit or otherwise restrict our ability to utilize our pre-change net operating losses and research and development tax credit carryforwards to offset future taxable income. As a result of the analysis, we do not believe that there are any significant limitations on our ability to utilize our net operating losses and research and development tax credit carryforwards to offset future taxable income. However, we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6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March 2023, a number of banks (e.g., Silicon Valley Bank, Signature Bank and Silvergate Capital Corp.) were placed into receivership, followed by First Republic Bank in May 2023. Although the Federal Deposit Insurance Corporation, or FDIC, and others have taken steps to reduce risk to uninsured depositors, borrowers under credit agreements, letters of credit and certain other financial instruments with such banks or any other financial institution that is placed into receivership by the FDIC may be unable to access undrawn amounts thereunder. Even though we assess our banking relationships as we believe necessary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right="20"/>
        <w:spacing w:after="0" w:line="253" w:lineRule="auto"/>
        <w:rPr>
          <w:sz w:val="20"/>
          <w:szCs w:val="20"/>
          <w:color w:val="auto"/>
        </w:rPr>
      </w:pPr>
      <w:r>
        <w:rPr>
          <w:rFonts w:ascii="Times New Roman" w:cs="Times New Roman" w:eastAsia="Times New Roman" w:hAnsi="Times New Roman"/>
          <w:sz w:val="18"/>
          <w:szCs w:val="18"/>
          <w:color w:val="auto"/>
        </w:rPr>
        <w:t>appropriate, our access to funding sources and other credit arrangements in amounts adequate to finance or capitalize our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which could have material adverse effect on our liquidity and on our business, financial condition or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only have two clinical-stage product candidates. If we are unable to commercialize directly or out-license to a third party our product candidates or experience significant delays in doing so, our business will be materially harmed.</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are early in our development efforts, and we have advanced only two product candidates into clinical trials, losmapimod for the treatment of FSHD, and pociredir for the treatment of SCD (which was on clinical hold between February and August 2023). We have invested substantially all of our efforts and financial resources in identifying and validating and conducting clinical trials on cellular drug targets that can potentially modulate gene expression to address the root cause of genetically-defined rare diseases. Our ability to generate product revenues, which we do not expect will occur for several years, if ever, will depend heavily on the successful development, regulatory approval and eventual commercialization of our product candidates. The success of our product candidates will depend on several factors, including the following:</w:t>
      </w:r>
    </w:p>
    <w:p>
      <w:pPr>
        <w:spacing w:after="0" w:line="79" w:lineRule="exact"/>
        <w:rPr>
          <w:sz w:val="20"/>
          <w:szCs w:val="20"/>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by the FDA or other regulatory agencies of the INDs, clinical trial applications, or CTAs, or other regulatory filings for losmapimod, pociredir and future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to develop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of the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product candidates.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current strategy is focused on developing small molecules to improve the lives of patients with genetically defined rare diseases.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including as a result of our collaboration with MyoKardia, advance any additional product candidates through the development process or successfully commercialize any such additional product candidates.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ind w:right="20"/>
        <w:spacing w:after="0" w:line="258"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discovery technologies or any of our research or development programs will not cause significant delays or unanticipated costs, or that such development problems can be solved. If we do not successfully identify, develop, obtain regulatory approval for and commercialize product candidates, we will not be able to generate product revenues.</w:t>
      </w:r>
    </w:p>
    <w:p>
      <w:pPr>
        <w:spacing w:after="0" w:line="28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jc w:val="both"/>
        <w:ind w:right="200" w:firstLine="509"/>
        <w:spacing w:after="0" w:line="255" w:lineRule="auto"/>
        <w:rPr>
          <w:sz w:val="20"/>
          <w:szCs w:val="20"/>
          <w:color w:val="auto"/>
        </w:rPr>
      </w:pPr>
      <w:r>
        <w:rPr>
          <w:rFonts w:ascii="Times New Roman" w:cs="Times New Roman" w:eastAsia="Times New Roman" w:hAnsi="Times New Roman"/>
          <w:sz w:val="18"/>
          <w:szCs w:val="18"/>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Clinical trials may fail to demonstrate that our product candidates are safe for humans and effective for indicated uses. For example, pociredir, our clinical trial stage candidate to treat SCD, is an embryonic ectoderm development, or EED, inhibitor. EED is a member of the PRC2 complex, which also includes EZH2. There are approved products in the EZH2 class of medications and their approved labeling outlines safety risks, including an increased risk of malignancies. In the event that pociredir has similar safety risks as other PRC2 medications, this could impact its acceptance.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For example, in February 2023, the FDA imposed a clinical hold on our IND for pociredir in SCD. We worked diligently to resolve the hold as soon as possible, and in August 2023, the FDA lifted the clinical hold.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outcome. We cannot guarantee that any clinical trials will be conducted as planned or completed on schedule, or at all. For example, we revised the inclusion and exclusion criteria of our clinical trial of pociredir in SCD to address the clinical hold imposed by the FDA, and are experiencing some difficulty enrolling patients who meet the updated more stringent criteria. While we are expanding our clinical trial sites, including outside the United States, to identify suitable patients that meet the new criteria, there can be no certainty as to whether we will be successful in completing the clinical trial with its revised design.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8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described in Item 1 “Business—Licenses and Collaboration--Right of Reference and License Agreement with GlaxoSmithKline” in our Annual Report on Form 10-K for the year ended December 31, 2023, or the 2023 Annual Report, we have entered into a right of reference and license agreement, as amended, with affiliates of GSK. Although losmapimod was originally evaluated by GSK in nearly 3,600 subjects, GSK did not evaluate losmapimod in FSHD or in any other muscular dystrophy, and most of the subjects in these trials were given a dose that was lower than our planned dosage of 15 mg of losmapimod twice per day.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3" w:name="page44"/>
    <w:bookmarkEnd w:id="43"/>
    <w:p>
      <w:pPr>
        <w:ind w:right="260"/>
        <w:spacing w:after="0" w:line="266" w:lineRule="auto"/>
        <w:rPr>
          <w:sz w:val="20"/>
          <w:szCs w:val="20"/>
          <w:color w:val="auto"/>
        </w:rPr>
      </w:pPr>
      <w:r>
        <w:rPr>
          <w:rFonts w:ascii="Times New Roman" w:cs="Times New Roman" w:eastAsia="Times New Roman" w:hAnsi="Times New Roman"/>
          <w:sz w:val="18"/>
          <w:szCs w:val="18"/>
          <w:color w:val="auto"/>
        </w:rPr>
        <w:t>Accordingly, the safety data generated from GSK’s clinical trials of losmapimod may not be predictive or indicative of the results of our clinical trials. Similarly, while we believe the safety data from GSK’s clinical trials may, in part, support the safety database for losmapimod, GSK evaluated a limited number of subjects at a dose of 15 mg twice daily.</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900" w:right="18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right="76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900" w:right="360" w:hanging="383"/>
        <w:spacing w:after="0" w:line="312"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31" w:lineRule="exact"/>
        <w:rPr>
          <w:rFonts w:ascii="Times New Roman" w:cs="Times New Roman" w:eastAsia="Times New Roman" w:hAnsi="Times New Roman"/>
          <w:sz w:val="17"/>
          <w:szCs w:val="17"/>
          <w:color w:val="auto"/>
        </w:rPr>
      </w:pPr>
    </w:p>
    <w:p>
      <w:pPr>
        <w:ind w:left="900" w:right="10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(for example, we are experiencing difficulty enrolling patients who meet the updated inclusion and exclusion criteria for our trial of pociredir in SCD) or participants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00" w:right="400" w:hanging="383"/>
        <w:spacing w:after="0" w:line="312"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900" w:right="22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53" w:lineRule="exact"/>
        <w:rPr>
          <w:rFonts w:ascii="Times New Roman" w:cs="Times New Roman" w:eastAsia="Times New Roman" w:hAnsi="Times New Roman"/>
          <w:sz w:val="18"/>
          <w:szCs w:val="18"/>
          <w:color w:val="auto"/>
        </w:rPr>
      </w:pPr>
    </w:p>
    <w:p>
      <w:pPr>
        <w:ind w:left="900" w:right="32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global instability, including political instability, such as the Russian invasion of Ukraine or recent hostilities in Israel and Gaza Strip, or instability from an outbreak of pandemic or contagious disease in or around the countries in which we conduct our clinical trials, could delay the commencement or rate of completion of our clinical trials; and</w:t>
      </w:r>
    </w:p>
    <w:p>
      <w:pPr>
        <w:spacing w:after="0" w:line="6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4" w:name="page45"/>
    <w:bookmarkEnd w:id="44"/>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For example, in response to the COVID-19 pandemic, the clinical trial sites for our ReDUX4 trial temporarily postponed trial-related activities, impacting our clinical trial execution plans, and we cannot be certain that we will not face other postponements or similar difficulties in the future. Further, in February 2023, the FDA imposed a clinical hold on our IND for pociredir in SCD, which halted our clinical trial until the FDA lifted the clinical hold in August 2023.</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are currently no therapies approved to treat FSHD, and there may be no therapies approved to treat the underlying causes of diseases that we attempt to address or may address in the future. As a result, the design and conduct of a clinical trial or trials of the product candidates for the treatment of these diseases may take longer, be more costly or be less effective as part of the novelty of development in these diseases. In some cases, we may use new or novel endpoints or methodologies, such as RWS, which has not been proven for registration to our knowledge. The FDA and other regulatory authorities have indicated support for RWS as a primary endpoint with additional and appropriate supportive data from secondary endpoints. However, such regulatory authorities may not consider the endpoints of our clinical trial(s) to provide clinically meaningful results, even where we believe such results are clinically meaningful. For example, while we have met with regulators to discuss the REACH trial design and registration strategy for losmapimod for FSHD, including our proposed endpoints for REACH, regulators may require additional data to support the RWS functional primary endpoint for approval of losmapimod for FSHD.</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the FDA does find our primary endpoint to be sufficiently validated and clinically meaningful, we may not achieve the pre-specified endpoint to a magnitude, duration or degree of statistical significance in any pivotal or other clinical trials we may conduct for our product candidates. Even if we do meet the primary endpoint, our trials may produce results that are unpredictable or inconsistent with the results of the other, more traditional efficacy endpoints in the trials. The FDA also could ascribe substantial weight to other efficacy endpoints when interpreting the clinical trial data, such that even if we achieve statistically significant results on our primary endpoint, the FDA may regard the failure to show a statistically significant effect on our secondary efficacy endpoints as raising questions about the efficacy of the drug.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and complete clinical trials for our product candidates is critical to our success. Successful and timely completion of clinical trials requires that we enroll a sufficient number of patients that meet both the enrollment criteria, and who remain in the trial until its conclusion. For example, in our Phase 1b trial of pociredir, although we enrolled six subjects in the initial cohort, only three subjects remained evaluable as of the initial data cutoff date. Subsequently, we modified the study protocol to monitor subject adherence. However, if such protocols do not improve adherence and improve compliance,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We revised the design of our clinical trial of pociredir in SCD to address the clinical hold imposed by the FDA, and there can be no certainty as to whether we will be successful in completing the clinical trial with its revised design, which include updated inclusion and exclusion criteria and thus a narrower set of eligible patients, which is making enrollment difficult despite opening a number of sites for such trial. Because of our primary focus on genetically-defined rare diseases, we may have difficulty enrolling a sufficient number of eligible patients.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17"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 (such as with our trial of pociredir for SCD);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 such as muscle biopsies or medical resonance imaging, or MRI, which requires the use of specialized equipment;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72"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For example, in February 2023, the FDA placed our IND for pociredir on clinical hold based on hematological malignancies observed in nonclinical toxicology studies. We addressed the FDA’s concern as diligently as possible, including FDA’s request for information about an SCD patient population with an appropriate benefit-risk profile for further clinical development of pociredir, and FDA's request for information to define the potential risk in any further studies that may be conducted in healthy volunteers. Although the FDA lifted the clinical hold in August 2023, we cannot make assurances that patients treated with pociredir will not develop hematological malignancies or other adverse events in the future. We also cannot make assurances that additional observations in preclinical studies of hematological malignancies or other adverse events will not occur. If such additional adverse events were to</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emerge, further advancement of our clinical studies could be halted or delayed and we may not receive regulatory approval for pociredir. Even if we receive regulatory approval for pociredir, our labeling may be restricted and/or market acceptance for our product may be diminished, and the commercial potential of our pociredir program may be materially and negatively impacted.</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pharmaceutical development, many compounds that initially show promise in early-stage or clinical testing are later found to cause side effects that delay or prevent further development of the compound.</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51"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75" w:lineRule="exact"/>
        <w:rPr>
          <w:sz w:val="20"/>
          <w:szCs w:val="20"/>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limitation by regulatory authorities of approvals of such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22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of losmapimod in patients with FSHD in Europe, the United Kingdom, and Canada and currently plan to conduct additional clinical trials for our product candidates at sites outside the United States, and the FDA may not accept data from trials conducted in such locations.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currently conducting a Phase 3 clinical trial, an open label extension of our Phase 2b clinical trial, and an open label extension of our Phase 2 open label clinical trial of losmapimod in patients with FSHD in Europe, the United Kingdom,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6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5"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2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8" w:name="page49"/>
    <w:bookmarkEnd w:id="48"/>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5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Although we recently entered into the Sanofi Agreement for the potential commercialization of losmapimod outside the United States, we retained rights to our product candidate in the United States. Accordingly, 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00" w:right="12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although we reached agreement with Sanofi for losmapimod outside the United States, we may not be successful in entering into additional arrangements with third parties to sell, market and distribute our other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See Item 1 “Business — Competition” in the 2023 Annual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For example, in December 2023, the FDA approved CASGEVY (exagamglogene autotemcel) and LYFGENIA (lovotibeglogene autotemcel), the first ex vivo cell-based gene therapies for the treatment of SCD. CASGEVY has also been FDA-approved for the treatment of transfusion-dependent beta-thalassemia.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84"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8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84"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2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7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0" w:name="page51"/>
    <w:bookmarkEnd w:id="50"/>
    <w:p>
      <w:pPr>
        <w:jc w:val="both"/>
        <w:ind w:right="380"/>
        <w:spacing w:after="0" w:line="312" w:lineRule="auto"/>
        <w:rPr>
          <w:sz w:val="20"/>
          <w:szCs w:val="20"/>
          <w:color w:val="auto"/>
        </w:rPr>
      </w:pPr>
      <w:r>
        <w:rPr>
          <w:rFonts w:ascii="Times New Roman" w:cs="Times New Roman" w:eastAsia="Times New Roman" w:hAnsi="Times New Roman"/>
          <w:sz w:val="17"/>
          <w:szCs w:val="17"/>
          <w:color w:val="auto"/>
        </w:rPr>
        <w:t>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3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8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manufacturing facilities. Although we believe we have obtained sufficient losmapimod tablets from GSK to complete our ongoing clinical trials of losmapimod for the treatment of FSHD, we cannot be sure we have correctly estimated our drug product and API requirements or that such drug product or API will not expire before we want to use it. We have also engaged CMOs to prepare our own API and to manufacture losmapimod tablets. Although we believe we have produced sufficient losmapimod tablets to complete our Phase 3 registrational trial, we cannot be sure we have correctly estimated our drug product and API requirements or that such drug product or API will not expire before we want to use it, or that we will be able to meet our commitments to supply losmapimod under the Sanofi Agreement. In addition, although we believe we have obtained sufficient quantities of pociredir from a CMO for the completion of our Phase 1b clinical trial for SCD, we cannot be sure we have correctly estimated our drug product requirements, which could delay, prevent or impair our development efforts.</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expect to rely on third parties for the manufacture of pociredir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5"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 Pharmaceutical Insurance Coverage and Health Care Reform” in the 2023 Annual Report.</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2" w:name="page53"/>
    <w:bookmarkEnd w:id="52"/>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99" w:lineRule="exact"/>
        <w:rPr>
          <w:sz w:val="20"/>
          <w:szCs w:val="20"/>
          <w:color w:val="auto"/>
        </w:rPr>
      </w:pPr>
    </w:p>
    <w:p>
      <w:pPr>
        <w:ind w:left="900" w:right="320" w:hanging="383"/>
        <w:spacing w:after="0" w:line="312"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weakness, including inflation, or political instability in particular economies and markets, which could include localized disputes that have a broader regional or global impact (such as the Russian invasion of Ukraine or recent hostilities in Israel and Gaza Strip);</w:t>
      </w:r>
    </w:p>
    <w:p>
      <w:pPr>
        <w:spacing w:after="0" w:line="31" w:lineRule="exact"/>
        <w:rPr>
          <w:rFonts w:ascii="Times New Roman" w:cs="Times New Roman" w:eastAsia="Times New Roman" w:hAnsi="Times New Roman"/>
          <w:sz w:val="17"/>
          <w:szCs w:val="17"/>
          <w:color w:val="auto"/>
        </w:rPr>
      </w:pPr>
    </w:p>
    <w:p>
      <w:pPr>
        <w:ind w:left="900" w:right="14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32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9"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3" w:name="page54"/>
    <w:bookmarkEnd w:id="53"/>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currently rely on third-party contract CROs to conduct our clinical trials.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a collaboration and license agreement with Sanofi (relating to the commercialization of losmapimod outside of the United States) and with MyoKardia (for certain genetically defined cardiomyopathies). We may in the future enter into additional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These third party arrangements, including our recent agreement with Sanofi, generally do not provide us with the ability to control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8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Collaborations that we enter into, including our collaborations with MyoKardia and Sanofi, may not be successful, and any success will depend heavily on the efforts and activities of such collaborators. Collaborations pose a number of risks, including the following:</w:t>
      </w:r>
    </w:p>
    <w:p>
      <w:pPr>
        <w:spacing w:after="0" w:line="54" w:lineRule="exact"/>
        <w:rPr>
          <w:sz w:val="20"/>
          <w:szCs w:val="20"/>
          <w:color w:val="auto"/>
        </w:rPr>
      </w:pPr>
    </w:p>
    <w:p>
      <w:pPr>
        <w:ind w:left="900" w:right="88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4" w:name="page55"/>
    <w:bookmarkEnd w:id="54"/>
    <w:p>
      <w:pPr>
        <w:ind w:left="900" w:right="60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67" w:lineRule="exact"/>
        <w:rPr>
          <w:rFonts w:ascii="Times New Roman" w:cs="Times New Roman" w:eastAsia="Times New Roman" w:hAnsi="Times New Roman"/>
          <w:sz w:val="18"/>
          <w:szCs w:val="18"/>
          <w:color w:val="auto"/>
        </w:rPr>
      </w:pPr>
    </w:p>
    <w:p>
      <w:pPr>
        <w:ind w:left="900" w:right="56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60" w:hanging="383"/>
        <w:spacing w:after="0" w:line="261"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(e.g., our former collaboration with Acceleron Pharma, Inc.), and, if terminated, we could be required to raise additional capital to pursue further development or commercialization of the applicable product candidates.</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our collaborator terminates its agreement with us, we may find it more difficult to attract new collaborators and our perception in the business and financial communities could be adversely affected.</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For example, we recently entered into a collaboration and license agreement with Sanofi, granting Sanofi an exclusive license under certain intellectual property rights to commercialize losmapimod outside of the United States. In addition, in July 2020, we entered into a collaboration and license agreement with MyoKardia to identify and validate potential biological targets for the potential treatment of certain genetically defined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right="20"/>
        <w:spacing w:after="0" w:line="253" w:lineRule="auto"/>
        <w:rPr>
          <w:sz w:val="20"/>
          <w:szCs w:val="20"/>
          <w:color w:val="auto"/>
        </w:rPr>
      </w:pPr>
      <w:r>
        <w:rPr>
          <w:rFonts w:ascii="Times New Roman" w:cs="Times New Roman" w:eastAsia="Times New Roman" w:hAnsi="Times New Roman"/>
          <w:sz w:val="18"/>
          <w:szCs w:val="18"/>
          <w:color w:val="auto"/>
        </w:rPr>
        <w:t>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also be restricted under existing or future license agreements from entering into agreements on certain terms with potential collaborators.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each case, while we are performing the research activities pursuant to the research plan and for a specified period thereafter. Further, our agreement with Sanofi restricts our ability to research, develop, manufacture, commercialize, use, or otherwise exploit any compound or product that binds or otherwise modulates p38a/b MAPK anywhere in the world, except losmapimod in the United States.</w:t>
      </w:r>
    </w:p>
    <w:p>
      <w:pPr>
        <w:spacing w:after="0" w:line="84"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3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spacing w:after="0" w:line="252" w:lineRule="auto"/>
        <w:rPr>
          <w:sz w:val="20"/>
          <w:szCs w:val="20"/>
          <w:color w:val="auto"/>
        </w:rPr>
      </w:pPr>
      <w:r>
        <w:rPr>
          <w:rFonts w:ascii="Times New Roman" w:cs="Times New Roman" w:eastAsia="Times New Roman" w:hAnsi="Times New Roman"/>
          <w:sz w:val="18"/>
          <w:szCs w:val="18"/>
          <w:color w:val="auto"/>
        </w:rPr>
        <w:t>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the 2023 Annual Report.</w:t>
      </w:r>
    </w:p>
    <w:p>
      <w:pPr>
        <w:spacing w:after="0" w:line="196"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 believe that the specific and generic claims contained in our issued and pending U.S. non-provisional and provisional applications provide protection for the pharmaceutical compositions and methods of use for pociredir,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8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have expired and are no longer a barrier to entry for any new uses not covered by our other patents and patent applications.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3"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Under our current license agreements, we may not have the final or sole decision on whether we are able to opt out certain of our in-licensed European patents and patent applications from the recently created Unified Patent Court, or the UPC, for the European Union. While our licensors have decided to opt out of the UPC, we cannot guarantee that our in-licensed European patents and patent applications will be challenged for non-compliance during the opt-out procedure and if successful, brought under the jurisdiction of the UPC, nor can we guarantee that our licensors will decide to opt back into the UPC at a later time.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2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candidates receive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9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8" w:name="page59"/>
    <w:bookmarkEnd w:id="58"/>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“Business—Intellectual Property” in the 2023 Annual Report for additional information regarding patent laws and patent protection.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issued European patents could be subject to the jurisdiction of the UPC.</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UPC. We decided to remove, i.e., opt out, our European patents and patent applications from the jurisdiction of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to protect or enforce our patent or other intellectual property rights, we may become involved in such lawsuits, which could be expensive, time-consuming and unsuccessful.</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The outcome following legal assertions of invalidity and unenforceability is unpredictable.</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0" w:name="page61"/>
    <w:bookmarkEnd w:id="60"/>
    <w:p>
      <w:pPr>
        <w:ind w:right="480"/>
        <w:spacing w:after="0" w:line="312" w:lineRule="auto"/>
        <w:rPr>
          <w:sz w:val="20"/>
          <w:szCs w:val="20"/>
          <w:color w:val="auto"/>
        </w:rPr>
      </w:pPr>
      <w:r>
        <w:rPr>
          <w:rFonts w:ascii="Times New Roman" w:cs="Times New Roman" w:eastAsia="Times New Roman" w:hAnsi="Times New Roman"/>
          <w:sz w:val="17"/>
          <w:szCs w:val="17"/>
          <w:color w:val="auto"/>
        </w:rPr>
        <w:t>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4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9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9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are party to license and funding agreements, such as our agreement with GSK and our license agreement with CAMP4,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that we use in our discovery efforts, all of which are non-exclusive. While we still face all of the risks described herein with respect to those agreements, we cannot prevent third parties from also accessing those technologies. In addition, our licenses may place restrictions on our future business opportunities.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2" w:name="page63"/>
    <w:bookmarkEnd w:id="62"/>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3"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discovery technology.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4" w:name="page65"/>
    <w:bookmarkEnd w:id="64"/>
    <w:p>
      <w:pPr>
        <w:ind w:left="900" w:right="10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discovery technology are protected by trade secrets, but much is not protected by intellectual property, including patents, trade secrets and know-how, and we may not be able to develop, acquire or in-license any patentable technologies or other intellectual property related to the unprotected portions of our discovery portfolio;</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5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European Union, may designate drugs for relatively small patient populations as orphan drugs. The FDA and EMA have granted orphan drug designation to losmapimod for the treatment of FSHD. We may seek orphan drug designation for our other current and future product candidates.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product no longer meets the criteria for orphan designation, including if the product is sufficiently profitable so that market exclusivity is no longer justified. Proposed amendments to European Union regulations regarding orphan medicines are under consideration which, if approved, could reduce the ten-year marketing exclusivity period.</w:t>
      </w:r>
    </w:p>
    <w:p>
      <w:pPr>
        <w:spacing w:after="0" w:line="8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5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the FDA can subsequently approve the same drug for the same condition if the FDA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granted fast track designation to losmapimod for the treatment of FSHD and to pociredir for the treatment of SCD, and we may seek fast track designation for some of our other product candidates as well as breakthrough therapy designation, including for losmapimod.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8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6" w:name="page67"/>
    <w:bookmarkEnd w:id="66"/>
    <w:p>
      <w:pPr>
        <w:ind w:right="640"/>
        <w:spacing w:after="0" w:line="282" w:lineRule="auto"/>
        <w:rPr>
          <w:sz w:val="20"/>
          <w:szCs w:val="20"/>
          <w:color w:val="auto"/>
        </w:rPr>
      </w:pPr>
      <w:r>
        <w:rPr>
          <w:rFonts w:ascii="Times New Roman" w:cs="Times New Roman" w:eastAsia="Times New Roman" w:hAnsi="Times New Roman"/>
          <w:sz w:val="18"/>
          <w:szCs w:val="18"/>
          <w:color w:val="auto"/>
        </w:rPr>
        <w:t>improvement over existing therapies on one or more clinically significant endpoints, such as substantial treatment effects observed early in clinical development.</w:t>
      </w:r>
    </w:p>
    <w:p>
      <w:pPr>
        <w:spacing w:after="0" w:line="5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intermediate clinical endpoint).</w:t>
      </w:r>
    </w:p>
    <w:p>
      <w:pPr>
        <w:spacing w:after="0" w:line="7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the necessary approvals to commercialize our products in any market.</w:t>
      </w:r>
    </w:p>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w:t>
      </w:r>
    </w:p>
    <w:p>
      <w:pPr>
        <w:spacing w:after="0" w:line="28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8" w:name="page69"/>
    <w:bookmarkEnd w:id="68"/>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jc w:val="both"/>
        <w:ind w:right="520" w:firstLine="509"/>
        <w:spacing w:after="0" w:line="289" w:lineRule="auto"/>
        <w:rPr>
          <w:sz w:val="20"/>
          <w:szCs w:val="20"/>
          <w:color w:val="auto"/>
        </w:rPr>
      </w:pPr>
      <w:r>
        <w:rPr>
          <w:rFonts w:ascii="Times New Roman" w:cs="Times New Roman" w:eastAsia="Times New Roman" w:hAnsi="Times New Roman"/>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91"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“Business—Government Regulation and Product Approvals—Health Care Law and Regulation” in the 2023 Annual Report.</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92"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European Union’s General Data Protection Regulation, or EU GDPR. Following the withdrawal of the United Kingdom from the European Union, or Brexit, the EU GDPR has been incorporated into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United Kingdom’s laws, or UK GDPR, alongside the UK Data Protection Act 2018, and together with the EU GDPR, is referred to as GDPR.</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our overall risk exposure, and may result in us needing to make strategic considerations around where EEA and UK personal data is stored and which service providers we can utilize for the processing of EEA and UK personal data.</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may be further divergence in the future, including with regard to administrative burdens. The UK Government has also now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This may lead to additional compliance costs and could increase our overall risk exposure as we may no longer be able to take a unified approach across the European Union and the United Kingdom, and we will need to amend our processes and procedures to align with the new framework.</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Similar data protection laws are either in place or under way in the United States. There are a broad variety of privacy and data security laws and regulations that may be applicable to our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or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selling or sharing such data. Several other states have implemented privacy legislation similar to the CCPA or are preparing to implement their own regulatory frameworks. For example, Washington state’s My Health My Data Act, which took effect in March 2024, expands the definition of consumer health data, affords consumers with privacy rights and creates a private right of action, which could generate litigation. A wide range of enforcement agencies at both the state and federal levels, such as the Federal Trade Commission and state Attorneys General have been increasingly aggressive in reviewing and enforcing privacy and data security-related consumer protection laws. See Item 1 “Business –Government Regulation and Product Approvals” in the 2023 Annual Report.</w:t>
      </w:r>
    </w:p>
    <w:p>
      <w:pPr>
        <w:spacing w:after="0" w:line="8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Given the breadth and depth of changes in privacy, data protection and consumer protection obligations, preparing for and complying with these requirements is rigorous and time intensive and requires significant resources and ongoing review of our technologies, systems and practices, as well as those of any third-party collaborators, service providers, contractors or consultants that store, process or transfer personal data on our behalf.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9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the 2023 Annual Report.</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of 2022 was passed, which among other things, allows for Centers for Medicare &amp; Medicaid Services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0" w:name="page71"/>
    <w:bookmarkEnd w:id="70"/>
    <w:p>
      <w:pPr>
        <w:ind w:right="120"/>
        <w:spacing w:after="0" w:line="261" w:lineRule="auto"/>
        <w:rPr>
          <w:sz w:val="20"/>
          <w:szCs w:val="20"/>
          <w:color w:val="auto"/>
        </w:rPr>
      </w:pPr>
      <w:r>
        <w:rPr>
          <w:rFonts w:ascii="Times New Roman" w:cs="Times New Roman" w:eastAsia="Times New Roman" w:hAnsi="Times New Roman"/>
          <w:sz w:val="18"/>
          <w:szCs w:val="18"/>
          <w:color w:val="auto"/>
        </w:rPr>
        <w:t>exceed inflation. The legislation also requires manufacturers to pay rebates for drugs in Medicare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Inflation Reduction Act of 2022 on our business and the healthcare industry in general is not yet known.</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6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71" w:name="page72"/>
    <w:bookmarkEnd w:id="71"/>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2" w:name="page73"/>
    <w:bookmarkEnd w:id="72"/>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technology systems and infrastructure, or those of our collaborators or other contractors or consultants, may fail or suffer security compromises or breaches, which could result in a material disruption of our product development programs.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We have experienced cyber incidents in the past, and we cannot guarantee that the measure we take to prevent, detect and respond to cyber-attacks will be effective to prevent or remediate future incidents.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w:t>
      </w:r>
    </w:p>
    <w:p>
      <w:pPr>
        <w:spacing w:after="0" w:line="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3" w:name="page74"/>
    <w:bookmarkEnd w:id="73"/>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have had recent executive transitions, including of our chief executive officer, chief financial officer,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Even if we are successful in our efforts to replace our executive leadership, we cannot guarantee that we will not face similar turnover in the future. In addition, we rely on consultants and advisors, including scientific and clinical advisors, to assist us in formulating our research and development and commercialization strategy. In August 2022, we announced a workforce reduction in our research and development function, which may make us a less attractive employer to future candidates.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30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July 24, 2024, our executive officers and directors and our stockholders who owned more than 5% of our outstanding common stock in the aggregate beneficially owned shares representing approximately 47.4%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17"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jc w:val="both"/>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2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5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2" w:lineRule="exact"/>
        <w:rPr>
          <w:sz w:val="20"/>
          <w:szCs w:val="20"/>
          <w:color w:val="auto"/>
        </w:rPr>
      </w:pPr>
    </w:p>
    <w:p>
      <w:pPr>
        <w:ind w:left="900" w:right="88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 candidates, if and when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5" w:name="page76"/>
    <w:bookmarkEnd w:id="75"/>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8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$1.235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79" w:lineRule="exact"/>
        <w:rPr>
          <w:sz w:val="20"/>
          <w:szCs w:val="20"/>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00" w:right="540" w:hanging="383"/>
        <w:spacing w:after="0" w:line="266"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6" w:name="page77"/>
    <w:bookmarkEnd w:id="76"/>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9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2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780" w:hanging="263"/>
        <w:spacing w:after="0"/>
        <w:tabs>
          <w:tab w:leader="none" w:pos="7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Director and Officer Trading Plans and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100" w:type="dxa"/>
            <w:vAlign w:val="bottom"/>
            <w:gridSpan w:val="18"/>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100" w:type="dxa"/>
            <w:vAlign w:val="bottom"/>
            <w:tcBorders>
              <w:bottom w:val="single" w:sz="8" w:color="auto"/>
            </w:tcBorders>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8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06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Restated Certificate of Incorporation of the Registrant (incorporated by reference to Exhibit 3.1 to the Registrant’s Current Report on Form</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8-K 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97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Certificate of Amendment of the Restated Certificate of Incorporation of the Registrant (incorporated by reference to Exhibit 3.1 to the</w:t>
              </w:r>
            </w:hyperlink>
          </w:p>
        </w:tc>
        <w:tc>
          <w:tcPr>
            <w:tcW w:w="3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Registrant’s Current Report on Form 8-K filed with the Securities and Exchange Commission on June 9, 2023).</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00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Amended and Restated Bylaws of the Registrant (incorporated by reference to Exhibit 3.2 to the Registrant’s Current Report on Form 8-K</w:t>
              </w:r>
            </w:hyperlink>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filed with the Securities and Exchange Commission on July 22, 2019).</w:t>
              </w:r>
            </w:hyperlink>
          </w:p>
        </w:tc>
        <w:tc>
          <w:tcPr>
            <w:tcW w:w="50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99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Collaboration and License Agreement, dated as of May 11, 2024, by and between the Registrant and Genzyme Corporation, Inc, a wholly-</w:t>
            </w:r>
          </w:p>
        </w:tc>
        <w:tc>
          <w:tcPr>
            <w:tcW w:w="1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owned subsidiary of Sanofi.</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65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Third Amendment to 2022 Inducement Stock Incentive Plan, effective as of June 17, 2024.</w:t>
            </w:r>
          </w:p>
        </w:tc>
        <w:tc>
          <w:tcPr>
            <w:tcW w:w="20" w:type="dxa"/>
            <w:vAlign w:val="bottom"/>
            <w:tcBorders>
              <w:bottom w:val="single" w:sz="8" w:color="0000EE"/>
            </w:tcBorders>
          </w:tcPr>
          <w:p>
            <w:pPr>
              <w:spacing w:after="0"/>
              <w:rPr>
                <w:sz w:val="18"/>
                <w:szCs w:val="18"/>
                <w:color w:val="auto"/>
              </w:rPr>
            </w:pPr>
          </w:p>
        </w:tc>
        <w:tc>
          <w:tcPr>
            <w:tcW w:w="35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01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Second Amendment to Collaboration and License Agreement, effective as of July 24, 2024, by and between the Registrant and MyoKardia,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Inc, a wholly-owned subsidiary of Bristol Myers Squibb Company.</w:t>
            </w:r>
          </w:p>
        </w:tc>
        <w:tc>
          <w:tcPr>
            <w:tcW w:w="53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9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9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506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10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100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2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1"/>
                <w:szCs w:val="21"/>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3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0"/>
                <w:szCs w:val="20"/>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260" w:firstLine="21"/>
        <w:spacing w:after="0" w:line="430" w:lineRule="auto"/>
        <w:tabs>
          <w:tab w:leader="none" w:pos="1094"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Filed herewith.</w:t>
      </w:r>
    </w:p>
    <w:p>
      <w:pPr>
        <w:ind w:left="140" w:hanging="132"/>
        <w:spacing w:after="0"/>
        <w:tabs>
          <w:tab w:leader="none" w:pos="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9512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ind w:right="80" w:firstLine="8"/>
        <w:spacing w:after="0" w:line="250" w:lineRule="auto"/>
        <w:tabs>
          <w:tab w:leader="none" w:pos="1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 registrant has determined that they are both not material and is the type of information that the registrant treats as private or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6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47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July 31, 2024</w:t>
            </w:r>
          </w:p>
        </w:tc>
        <w:tc>
          <w:tcPr>
            <w:tcW w:w="24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 Alex C. Sapir</w:t>
            </w:r>
          </w:p>
        </w:tc>
      </w:tr>
      <w:tr>
        <w:trPr>
          <w:trHeight w:val="205"/>
        </w:trPr>
        <w:tc>
          <w:tcPr>
            <w:tcW w:w="3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380" w:type="dxa"/>
            <w:vAlign w:val="bottom"/>
            <w:tcBorders>
              <w:top w:val="single" w:sz="8" w:color="auto"/>
            </w:tcBorders>
          </w:tcPr>
          <w:p>
            <w:pPr>
              <w:jc w:val="center"/>
              <w:ind w:right="150"/>
              <w:spacing w:after="0" w:line="205" w:lineRule="exact"/>
              <w:rPr>
                <w:sz w:val="20"/>
                <w:szCs w:val="20"/>
                <w:color w:val="auto"/>
              </w:rPr>
            </w:pPr>
            <w:r>
              <w:rPr>
                <w:rFonts w:ascii="Times New Roman" w:cs="Times New Roman" w:eastAsia="Times New Roman" w:hAnsi="Times New Roman"/>
                <w:sz w:val="18"/>
                <w:szCs w:val="18"/>
                <w:color w:val="auto"/>
                <w:w w:val="99"/>
              </w:rPr>
              <w:t>Alex C. Sapir</w:t>
            </w:r>
          </w:p>
        </w:tc>
      </w:tr>
      <w:tr>
        <w:trPr>
          <w:trHeight w:val="234"/>
        </w:trPr>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President and Chief Executive Officer (Principal Executive Officer)</w:t>
            </w:r>
          </w:p>
        </w:tc>
      </w:tr>
      <w:tr>
        <w:trPr>
          <w:trHeight w:val="47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July 31, 2024</w:t>
            </w:r>
          </w:p>
        </w:tc>
        <w:tc>
          <w:tcPr>
            <w:tcW w:w="24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 Alan Musso</w:t>
            </w:r>
          </w:p>
        </w:tc>
      </w:tr>
      <w:tr>
        <w:trPr>
          <w:trHeight w:val="205"/>
        </w:trPr>
        <w:tc>
          <w:tcPr>
            <w:tcW w:w="3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380" w:type="dxa"/>
            <w:vAlign w:val="bottom"/>
            <w:tcBorders>
              <w:top w:val="single" w:sz="8" w:color="auto"/>
            </w:tcBorders>
          </w:tcPr>
          <w:p>
            <w:pPr>
              <w:jc w:val="center"/>
              <w:ind w:right="150"/>
              <w:spacing w:after="0" w:line="205" w:lineRule="exact"/>
              <w:rPr>
                <w:sz w:val="20"/>
                <w:szCs w:val="20"/>
                <w:color w:val="auto"/>
              </w:rPr>
            </w:pPr>
            <w:r>
              <w:rPr>
                <w:rFonts w:ascii="Times New Roman" w:cs="Times New Roman" w:eastAsia="Times New Roman" w:hAnsi="Times New Roman"/>
                <w:sz w:val="18"/>
                <w:szCs w:val="18"/>
                <w:color w:val="auto"/>
                <w:w w:val="98"/>
              </w:rPr>
              <w:t>Alan Musso</w:t>
            </w:r>
          </w:p>
        </w:tc>
      </w:tr>
      <w:tr>
        <w:trPr>
          <w:trHeight w:val="234"/>
        </w:trPr>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891"/>
        </w:trPr>
        <w:tc>
          <w:tcPr>
            <w:tcW w:w="3380" w:type="dxa"/>
            <w:vAlign w:val="bottom"/>
          </w:tcPr>
          <w:p>
            <w:pPr>
              <w:spacing w:after="0"/>
              <w:rPr>
                <w:sz w:val="24"/>
                <w:szCs w:val="24"/>
                <w:color w:val="auto"/>
              </w:rPr>
            </w:pPr>
          </w:p>
        </w:tc>
        <w:tc>
          <w:tcPr>
            <w:tcW w:w="2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5380" w:type="dxa"/>
            <w:vAlign w:val="bottom"/>
          </w:tcPr>
          <w:p>
            <w:pPr>
              <w:spacing w:after="0"/>
              <w:rPr>
                <w:sz w:val="24"/>
                <w:szCs w:val="24"/>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16" w:lineRule="exact"/>
        <w:rPr>
          <w:sz w:val="20"/>
          <w:szCs w:val="20"/>
          <w:color w:val="auto"/>
        </w:rPr>
      </w:pPr>
    </w:p>
    <w:p>
      <w:pPr>
        <w:jc w:val="center"/>
        <w:ind w:left="880" w:right="2000"/>
        <w:spacing w:after="0" w:line="266" w:lineRule="auto"/>
        <w:rPr>
          <w:sz w:val="20"/>
          <w:szCs w:val="20"/>
          <w:color w:val="auto"/>
        </w:rPr>
      </w:pPr>
      <w:r>
        <w:rPr>
          <w:rFonts w:ascii="Times New Roman" w:cs="Times New Roman" w:eastAsia="Times New Roman" w:hAnsi="Times New Roman"/>
          <w:sz w:val="18"/>
          <w:szCs w:val="18"/>
          <w:color w:val="auto"/>
        </w:rPr>
        <w:t>CERTAIN INFORMATION CONTAINED IN THIS DOCUMENT, 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4"/>
          <w:szCs w:val="14"/>
          <w:b w:val="1"/>
          <w:bCs w:val="1"/>
          <w:color w:val="auto"/>
        </w:rPr>
        <w:t>ollaboration and</w:t>
      </w:r>
      <w:r>
        <w:rPr>
          <w:rFonts w:ascii="Times New Roman" w:cs="Times New Roman" w:eastAsia="Times New Roman" w:hAnsi="Times New Roman"/>
          <w:sz w:val="21"/>
          <w:szCs w:val="21"/>
          <w:b w:val="1"/>
          <w:bCs w:val="1"/>
          <w:color w:val="auto"/>
        </w:rPr>
        <w:t xml:space="preserve"> 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B</w:t>
      </w:r>
      <w:r>
        <w:rPr>
          <w:rFonts w:ascii="Times New Roman" w:cs="Times New Roman" w:eastAsia="Times New Roman" w:hAnsi="Times New Roman"/>
          <w:sz w:val="14"/>
          <w:szCs w:val="14"/>
          <w:b w:val="1"/>
          <w:bCs w:val="1"/>
          <w:color w:val="auto"/>
        </w:rPr>
        <w:t>y and</w:t>
      </w:r>
      <w:r>
        <w:rPr>
          <w:rFonts w:ascii="Times New Roman" w:cs="Times New Roman" w:eastAsia="Times New Roman" w:hAnsi="Times New Roman"/>
          <w:sz w:val="21"/>
          <w:szCs w:val="21"/>
          <w:b w:val="1"/>
          <w:bCs w:val="1"/>
          <w:color w:val="auto"/>
        </w:rPr>
        <w:t xml:space="preserve"> B</w:t>
      </w:r>
      <w:r>
        <w:rPr>
          <w:rFonts w:ascii="Times New Roman" w:cs="Times New Roman" w:eastAsia="Times New Roman" w:hAnsi="Times New Roman"/>
          <w:sz w:val="14"/>
          <w:szCs w:val="14"/>
          <w:b w:val="1"/>
          <w:bCs w:val="1"/>
          <w:color w:val="auto"/>
        </w:rPr>
        <w:t>etween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b w:val="1"/>
          <w:bCs w:val="1"/>
          <w:color w:val="auto"/>
        </w:rPr>
        <w:t>F</w:t>
      </w:r>
      <w:r>
        <w:rPr>
          <w:rFonts w:ascii="Times New Roman" w:cs="Times New Roman" w:eastAsia="Times New Roman" w:hAnsi="Times New Roman"/>
          <w:sz w:val="14"/>
          <w:szCs w:val="14"/>
          <w:b w:val="1"/>
          <w:bCs w:val="1"/>
          <w:color w:val="auto"/>
        </w:rPr>
        <w:t>ulcrum</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1"/>
          <w:szCs w:val="21"/>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200" w:lineRule="exact"/>
        <w:rPr>
          <w:sz w:val="20"/>
          <w:szCs w:val="20"/>
          <w:color w:val="auto"/>
        </w:rPr>
      </w:pPr>
    </w:p>
    <w:p>
      <w:pPr>
        <w:spacing w:after="0" w:line="2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b w:val="1"/>
          <w:bCs w:val="1"/>
          <w:color w:val="auto"/>
        </w:rPr>
        <w:t>G</w:t>
      </w:r>
      <w:r>
        <w:rPr>
          <w:rFonts w:ascii="Times New Roman" w:cs="Times New Roman" w:eastAsia="Times New Roman" w:hAnsi="Times New Roman"/>
          <w:sz w:val="14"/>
          <w:szCs w:val="14"/>
          <w:b w:val="1"/>
          <w:bCs w:val="1"/>
          <w:color w:val="auto"/>
        </w:rPr>
        <w:t>enzyme</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1"/>
          <w:szCs w:val="21"/>
          <w:b w:val="1"/>
          <w:bCs w:val="1"/>
          <w:color w:val="auto"/>
        </w:rPr>
        <w:t>Dated May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1304925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95" w:right="339" w:bottom="1440" w:gutter="0" w:footer="0" w:header="0"/>
        </w:sectPr>
      </w:pPr>
    </w:p>
    <w:bookmarkStart w:id="81" w:name="page82"/>
    <w:bookmarkEnd w:id="81"/>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6860" w:type="dxa"/>
            <w:vAlign w:val="bottom"/>
          </w:tcPr>
          <w:p>
            <w:pPr>
              <w:jc w:val="right"/>
              <w:ind w:right="4461"/>
              <w:spacing w:after="0"/>
              <w:rPr>
                <w:sz w:val="20"/>
                <w:szCs w:val="20"/>
                <w:color w:val="auto"/>
              </w:rPr>
            </w:pPr>
            <w:r>
              <w:rPr>
                <w:rFonts w:ascii="Times New Roman" w:cs="Times New Roman" w:eastAsia="Times New Roman" w:hAnsi="Times New Roman"/>
                <w:sz w:val="20"/>
                <w:szCs w:val="20"/>
                <w:b w:val="1"/>
                <w:bCs w:val="1"/>
                <w:color w:val="auto"/>
              </w:rPr>
              <w:t>TABLE OF CONTENTS</w:t>
            </w:r>
          </w:p>
        </w:tc>
      </w:tr>
      <w:tr>
        <w:trPr>
          <w:trHeight w:val="446"/>
        </w:trPr>
        <w:tc>
          <w:tcPr>
            <w:tcW w:w="10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59"/>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 DEFINITIONS</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w:t>
            </w:r>
          </w:p>
        </w:tc>
      </w:tr>
      <w:tr>
        <w:trPr>
          <w:trHeight w:val="365"/>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 LICENSES</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26</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2.1</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License Grant to Sanofi</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26</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2.2</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License Grants to Fulcrum</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27</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2.3</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Sublicensing and Subcontracting Terms</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2.4</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 Other Rights and Retained Rights</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2.5</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Existing Third Party IP Agreements</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29</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2.6</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New Third Party IP Agreements</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30</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2.7</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Exclusivity</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32</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2.8</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Right of First Negotiation</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34</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2.9</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Change of Control of Fulcrum</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35</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2.10</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Residual Knowledge</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35</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2.11</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Licensed Sanofi Technology</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35</w:t>
            </w:r>
          </w:p>
        </w:tc>
      </w:tr>
      <w:tr>
        <w:trPr>
          <w:trHeight w:val="365"/>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3 GOVERNANCE</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37</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3.1</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Joint Steering Committee</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37</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3.2</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Joint Development Committee</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38</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3.3</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Joint Manufacturing Committee</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39</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3.4</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Joint Commercialization Committee</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40</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3.5</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Additional Committees</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41</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3.6</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Additional Participants</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42</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3.7</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Decision-Making</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42</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3.8</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Resolution of Committee Disputes</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43</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3.9</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Alliance Managers</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45</w:t>
            </w:r>
          </w:p>
        </w:tc>
      </w:tr>
      <w:tr>
        <w:trPr>
          <w:trHeight w:val="365"/>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4 TECHNOLOGY TRANSFER</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46</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4.1</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Initial Technology Transfer</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46</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4.2</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Continuing Technology Transfer</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46</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4.3</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Assistance</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46</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4.4</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Technology Transfer Costs</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46</w:t>
            </w:r>
          </w:p>
        </w:tc>
      </w:tr>
      <w:tr>
        <w:trPr>
          <w:trHeight w:val="364"/>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5 DEVELOPMENT</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47</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5.1</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Development Obligations</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47</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5.2</w:t>
            </w:r>
          </w:p>
        </w:tc>
        <w:tc>
          <w:tcPr>
            <w:tcW w:w="3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Initial Global Development Plan</w:t>
            </w:r>
          </w:p>
        </w:tc>
        <w:tc>
          <w:tcPr>
            <w:tcW w:w="68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47</w:t>
            </w: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765175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82" w:name="page83"/>
    <w:bookmarkEnd w:id="82"/>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5.3</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Changes to the Global Development Plan</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5.4</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Sanofi Step-In Right under Global Development Plan</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5.5</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Sanofi Independent Development Plan</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5.6</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Fulcrum Independent Development Plan</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5.7</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Development Cost Sharing</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5.8</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Development Reports</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5.9</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Development Records</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65"/>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6 REGULATORY AFFAIRS</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6.1</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Regulatory Responsible Party</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6.2</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Collaboration With Respect to Regulatory Interactions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6.3</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Regulatory Meetings</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6.4</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Regulatory Submissions</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6.5</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Inspections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6.6</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Cooperation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6.7</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Cost of Regulatory Activities</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6.8</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Right of Reference</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6.9</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Pharmacovigilance and Adverse Event Reporting</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6.10</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Global Safety Database</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6.11</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Recall, Withdrawal, or Field Alerts</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6.12</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Additional Activities</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65"/>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7 COMMERCIALIZATION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7.1</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Commercialization Responsibilities for Licensed Product</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7.2</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Pricing</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7.3</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Sanofi Commercialization Diligence Obligations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7.4</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Standards of Conduct; Compliance</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7.5</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Diversion</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65"/>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8 MANUFACTURING</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8.1</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Responsibility</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8.2</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Supply Agreement</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8.3</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Manufacturing Technology Transfer</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8.4</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Manufacturing Audit Right by Sanofi</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8.5</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Observation by Sanofi</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365"/>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9 PAYMENTS</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9.1</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Upfront Payment</w:t>
            </w: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bl>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671195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83" w:name="page84"/>
    <w:bookmarkEnd w:id="83"/>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9.2</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Milestone Payments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9.3</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Royalties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9.4</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Other Amounts Payable</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9.5</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Invoices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9.6</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General Right to Reconcile Payments.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9.7</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Financial Records and Audits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9.8</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Accounting Standards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9.9</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Method of Payment; Exchange Rate</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9.10</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Blocked Payments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9.11</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Taxes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9.12</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Late Payments; Disputed Payments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64"/>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10 INTELLECTUAL PROPERTY</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65"/>
        </w:trPr>
        <w:tc>
          <w:tcPr>
            <w:tcW w:w="86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10.1 Inventions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64"/>
        </w:trPr>
        <w:tc>
          <w:tcPr>
            <w:tcW w:w="86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10.2 Patent Prosecution</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65"/>
        </w:trPr>
        <w:tc>
          <w:tcPr>
            <w:tcW w:w="86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10.3 Enforcement Against Third Party Infringement or Misappropriation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65"/>
        </w:trPr>
        <w:tc>
          <w:tcPr>
            <w:tcW w:w="86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10.4 Defense of Third Party Patent Challenges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64"/>
        </w:trPr>
        <w:tc>
          <w:tcPr>
            <w:tcW w:w="86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10.5 Third Party Infringement Claims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365"/>
        </w:trPr>
        <w:tc>
          <w:tcPr>
            <w:tcW w:w="86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10.6 Patent Challenges of Third Party Patent Rights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65"/>
        </w:trPr>
        <w:tc>
          <w:tcPr>
            <w:tcW w:w="86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10.7 Restrictions on Settlement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64"/>
        </w:trPr>
        <w:tc>
          <w:tcPr>
            <w:tcW w:w="86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10.8 Patent Term Extensions; Patent Listings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65"/>
        </w:trPr>
        <w:tc>
          <w:tcPr>
            <w:tcW w:w="86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10.9 Unified Patent Court</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65"/>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10.10</w:t>
            </w:r>
          </w:p>
        </w:tc>
        <w:tc>
          <w:tcPr>
            <w:tcW w:w="7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Common Interest</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65"/>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10.11</w:t>
            </w:r>
          </w:p>
        </w:tc>
        <w:tc>
          <w:tcPr>
            <w:tcW w:w="7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Product Trademarks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64"/>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10.12</w:t>
            </w:r>
          </w:p>
        </w:tc>
        <w:tc>
          <w:tcPr>
            <w:tcW w:w="7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Falsified Medicines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65"/>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11 REPRESENTATIONS, WARRANTIES, AND COVENANTS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11.1</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Mutual Representations and Warranties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11.2</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Additional Fulcrum Representations and Warranties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11.3</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Additional Covenants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11.4</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Additional Fulcrum Covenants</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65"/>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11.5</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Disclaimer</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64"/>
        </w:trPr>
        <w:tc>
          <w:tcPr>
            <w:tcW w:w="10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11.6</w:t>
            </w:r>
          </w:p>
        </w:tc>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Limitation of Liability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65"/>
        </w:trPr>
        <w:tc>
          <w:tcPr>
            <w:tcW w:w="8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12 CONFIDENTIALITY</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64"/>
        </w:trPr>
        <w:tc>
          <w:tcPr>
            <w:tcW w:w="86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12.1 Duty of Confidence</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65"/>
        </w:trPr>
        <w:tc>
          <w:tcPr>
            <w:tcW w:w="86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12.2 Confidential Information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bl>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671195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84" w:name="page85"/>
    <w:bookmarkEnd w:id="84"/>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Exemptions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Authorized Disclosures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36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Joint Publication Strategy</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36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Publication and Listing of Clinical Trials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Publicity; Use of Names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364"/>
        </w:trPr>
        <w:tc>
          <w:tcPr>
            <w:tcW w:w="9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13 INDEMNIFICATION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Indemnification by Fulcrum</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6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Indemnification by Sanofi</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6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Indemnification Procedure</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Insurance</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364"/>
        </w:trPr>
        <w:tc>
          <w:tcPr>
            <w:tcW w:w="9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14 TERM AND TERMINATION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6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Term</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Termination for Material Breach</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6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Termination by Sanofi for Convenience</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Termination by Sanofi for Safety</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Termination by Fulcrum for Sanofi’s Cessation of Development and Commercialization.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6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Termination for Insolvency</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Full Force and Effect During Notice Period</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Effects of Termination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Survival; Accrued Rights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364"/>
        </w:trPr>
        <w:tc>
          <w:tcPr>
            <w:tcW w:w="9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15 DISPUTE RESOLUTION; GOVERNING LAW</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Dispute Resolution</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Intellectual Property Disputes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6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Equitable Remedies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Governing Law; English Language</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Waiver of Jury Trial</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65"/>
        </w:trPr>
        <w:tc>
          <w:tcPr>
            <w:tcW w:w="9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16 MISCELLANEOUS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6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Assignment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Entire Agreement; Amendment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 Strict Construction; Interpretation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6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Severability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65"/>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Notices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364"/>
        </w:trPr>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8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Force Majeure</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bl>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671195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85" w:name="page86"/>
    <w:bookmarkEnd w:id="85"/>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16.7</w:t>
            </w:r>
          </w:p>
        </w:tc>
        <w:tc>
          <w:tcPr>
            <w:tcW w:w="73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Further Assurances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365"/>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16.8</w:t>
            </w:r>
          </w:p>
        </w:tc>
        <w:tc>
          <w:tcPr>
            <w:tcW w:w="73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Performance by Affiliates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364"/>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16.9</w:t>
            </w:r>
          </w:p>
        </w:tc>
        <w:tc>
          <w:tcPr>
            <w:tcW w:w="73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Agency</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364"/>
        </w:trPr>
        <w:tc>
          <w:tcPr>
            <w:tcW w:w="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16.10</w:t>
            </w:r>
          </w:p>
        </w:tc>
        <w:tc>
          <w:tcPr>
            <w:tcW w:w="7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Binding Effect; No Third Party Beneficiaries or Obligors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365"/>
        </w:trPr>
        <w:tc>
          <w:tcPr>
            <w:tcW w:w="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16.11</w:t>
            </w:r>
          </w:p>
        </w:tc>
        <w:tc>
          <w:tcPr>
            <w:tcW w:w="7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Waiver</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364"/>
        </w:trPr>
        <w:tc>
          <w:tcPr>
            <w:tcW w:w="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16.12</w:t>
            </w:r>
          </w:p>
        </w:tc>
        <w:tc>
          <w:tcPr>
            <w:tcW w:w="7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Cumulative Remedies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365"/>
        </w:trPr>
        <w:tc>
          <w:tcPr>
            <w:tcW w:w="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16.13</w:t>
            </w:r>
          </w:p>
        </w:tc>
        <w:tc>
          <w:tcPr>
            <w:tcW w:w="7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Counterparts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bl>
    <w:p>
      <w:pPr>
        <w:spacing w:after="0" w:line="28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671195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980" w:top="1440" w:right="47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62"/>
        </w:trPr>
        <w:tc>
          <w:tcPr>
            <w:tcW w:w="1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SCHEDULES</w:t>
            </w:r>
          </w:p>
        </w:tc>
        <w:tc>
          <w:tcPr>
            <w:tcW w:w="9340" w:type="dxa"/>
            <w:vAlign w:val="bottom"/>
          </w:tcPr>
          <w:p>
            <w:pPr>
              <w:spacing w:after="0"/>
              <w:rPr>
                <w:sz w:val="22"/>
                <w:szCs w:val="22"/>
                <w:color w:val="auto"/>
              </w:rPr>
            </w:pPr>
          </w:p>
        </w:tc>
      </w:tr>
      <w:tr>
        <w:trPr>
          <w:trHeight w:val="459"/>
        </w:trPr>
        <w:tc>
          <w:tcPr>
            <w:tcW w:w="1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1.61</w:t>
            </w:r>
          </w:p>
        </w:tc>
        <w:tc>
          <w:tcPr>
            <w:tcW w:w="93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Existing Third Party IP Agreements</w:t>
            </w:r>
          </w:p>
        </w:tc>
      </w:tr>
      <w:tr>
        <w:trPr>
          <w:trHeight w:val="473"/>
        </w:trPr>
        <w:tc>
          <w:tcPr>
            <w:tcW w:w="1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1.83</w:t>
            </w:r>
          </w:p>
        </w:tc>
        <w:tc>
          <w:tcPr>
            <w:tcW w:w="93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Fulcrum Patent Rights</w:t>
            </w:r>
          </w:p>
        </w:tc>
      </w:tr>
      <w:tr>
        <w:trPr>
          <w:trHeight w:val="473"/>
        </w:trPr>
        <w:tc>
          <w:tcPr>
            <w:tcW w:w="1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1.132</w:t>
            </w:r>
          </w:p>
        </w:tc>
        <w:tc>
          <w:tcPr>
            <w:tcW w:w="93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Losmapimod</w:t>
            </w:r>
          </w:p>
        </w:tc>
      </w:tr>
      <w:tr>
        <w:trPr>
          <w:trHeight w:val="459"/>
        </w:trPr>
        <w:tc>
          <w:tcPr>
            <w:tcW w:w="1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1.168</w:t>
            </w:r>
          </w:p>
        </w:tc>
        <w:tc>
          <w:tcPr>
            <w:tcW w:w="93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Statistical Analysis Plan</w:t>
            </w:r>
          </w:p>
        </w:tc>
      </w:tr>
      <w:tr>
        <w:trPr>
          <w:trHeight w:val="459"/>
        </w:trPr>
        <w:tc>
          <w:tcPr>
            <w:tcW w:w="1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4.1</w:t>
            </w:r>
          </w:p>
        </w:tc>
        <w:tc>
          <w:tcPr>
            <w:tcW w:w="93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Initial Technology Transfer</w:t>
            </w:r>
          </w:p>
        </w:tc>
      </w:tr>
      <w:tr>
        <w:trPr>
          <w:trHeight w:val="473"/>
        </w:trPr>
        <w:tc>
          <w:tcPr>
            <w:tcW w:w="1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5.2</w:t>
            </w:r>
          </w:p>
        </w:tc>
        <w:tc>
          <w:tcPr>
            <w:tcW w:w="93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Initial Global Development Plan and Budget</w:t>
            </w:r>
          </w:p>
        </w:tc>
      </w:tr>
      <w:tr>
        <w:trPr>
          <w:trHeight w:val="473"/>
        </w:trPr>
        <w:tc>
          <w:tcPr>
            <w:tcW w:w="1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8.2</w:t>
            </w:r>
          </w:p>
        </w:tc>
        <w:tc>
          <w:tcPr>
            <w:tcW w:w="93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Supply Agreement Term Sheet</w:t>
            </w:r>
          </w:p>
        </w:tc>
      </w:tr>
      <w:tr>
        <w:trPr>
          <w:trHeight w:val="472"/>
        </w:trPr>
        <w:tc>
          <w:tcPr>
            <w:tcW w:w="1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12.7.1</w:t>
            </w:r>
          </w:p>
        </w:tc>
        <w:tc>
          <w:tcPr>
            <w:tcW w:w="93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Press Release</w:t>
            </w:r>
          </w:p>
        </w:tc>
      </w:tr>
      <w:tr>
        <w:trPr>
          <w:trHeight w:val="473"/>
        </w:trPr>
        <w:tc>
          <w:tcPr>
            <w:tcW w:w="1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Schedule 14.8.1(a)</w:t>
            </w:r>
          </w:p>
        </w:tc>
        <w:tc>
          <w:tcPr>
            <w:tcW w:w="93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Baseball Arbitration Terms</w:t>
            </w:r>
          </w:p>
        </w:tc>
      </w:tr>
      <w:tr>
        <w:trPr>
          <w:trHeight w:val="646"/>
        </w:trPr>
        <w:tc>
          <w:tcPr>
            <w:tcW w:w="1900" w:type="dxa"/>
            <w:vAlign w:val="bottom"/>
          </w:tcPr>
          <w:p>
            <w:pPr>
              <w:spacing w:after="0"/>
              <w:rPr>
                <w:sz w:val="24"/>
                <w:szCs w:val="24"/>
                <w:color w:val="auto"/>
              </w:rPr>
            </w:pPr>
          </w:p>
        </w:tc>
        <w:tc>
          <w:tcPr>
            <w:tcW w:w="9340" w:type="dxa"/>
            <w:vAlign w:val="bottom"/>
          </w:tcPr>
          <w:p>
            <w:pPr>
              <w:ind w:left="3620"/>
              <w:spacing w:after="0"/>
              <w:rPr>
                <w:sz w:val="20"/>
                <w:szCs w:val="20"/>
                <w:color w:val="auto"/>
              </w:rPr>
            </w:pPr>
            <w:r>
              <w:rPr>
                <w:rFonts w:ascii="Times New Roman" w:cs="Times New Roman" w:eastAsia="Times New Roman" w:hAnsi="Times New Roman"/>
                <w:sz w:val="14"/>
                <w:szCs w:val="14"/>
                <w:color w:val="auto"/>
              </w:rPr>
              <w:t>-vi-</w:t>
            </w:r>
          </w:p>
        </w:tc>
      </w:tr>
      <w:tr>
        <w:trPr>
          <w:trHeight w:val="1205"/>
        </w:trPr>
        <w:tc>
          <w:tcPr>
            <w:tcW w:w="190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ollaboration and</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icense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ollaboration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w:t>
      </w:r>
      <w:r>
        <w:rPr>
          <w:rFonts w:ascii="Times New Roman" w:cs="Times New Roman" w:eastAsia="Times New Roman" w:hAnsi="Times New Roman"/>
          <w:sz w:val="13"/>
          <w:szCs w:val="13"/>
          <w:b w:val="1"/>
          <w:bCs w:val="1"/>
          <w:color w:val="auto"/>
        </w:rPr>
        <w:t>icense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as of May 11, 2024 (the “</w:t>
      </w:r>
      <w:r>
        <w:rPr>
          <w:rFonts w:ascii="Times New Roman" w:cs="Times New Roman" w:eastAsia="Times New Roman" w:hAnsi="Times New Roman"/>
          <w:sz w:val="20"/>
          <w:szCs w:val="20"/>
          <w:b w:val="1"/>
          <w:bCs w:val="1"/>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between Fulcrum Therapeutics Inc., a Delaware corporation (“</w:t>
      </w:r>
      <w:r>
        <w:rPr>
          <w:rFonts w:ascii="Times New Roman" w:cs="Times New Roman" w:eastAsia="Times New Roman" w:hAnsi="Times New Roman"/>
          <w:sz w:val="20"/>
          <w:szCs w:val="20"/>
          <w:b w:val="1"/>
          <w:bCs w:val="1"/>
          <w:color w:val="auto"/>
        </w:rPr>
        <w:t>Fulcrum</w:t>
      </w:r>
      <w:r>
        <w:rPr>
          <w:rFonts w:ascii="Times New Roman" w:cs="Times New Roman" w:eastAsia="Times New Roman" w:hAnsi="Times New Roman"/>
          <w:sz w:val="20"/>
          <w:szCs w:val="20"/>
          <w:color w:val="auto"/>
        </w:rPr>
        <w:t>”), having a place of business at 26 Landsdowne Street,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Cambridge, Massachusetts 02139, and Genzyme Corporation, a company organized and existing under the laws of the state of Massachusetts, having a place of business at 450 Water Street, Cambridge, MA 02411 (“</w:t>
      </w:r>
      <w:r>
        <w:rPr>
          <w:rFonts w:ascii="Times New Roman" w:cs="Times New Roman" w:eastAsia="Times New Roman" w:hAnsi="Times New Roman"/>
          <w:sz w:val="20"/>
          <w:szCs w:val="20"/>
          <w:b w:val="1"/>
          <w:bCs w:val="1"/>
          <w:color w:val="auto"/>
        </w:rPr>
        <w:t>Sanofi</w:t>
      </w:r>
      <w:r>
        <w:rPr>
          <w:rFonts w:ascii="Times New Roman" w:cs="Times New Roman" w:eastAsia="Times New Roman" w:hAnsi="Times New Roman"/>
          <w:sz w:val="20"/>
          <w:szCs w:val="20"/>
          <w:color w:val="auto"/>
        </w:rPr>
        <w:t>”). Fulcrum and Sanofi may be referred to in this Agreement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Fulcrum is a clinical-stage biopharmaceutical company engaged in the research and development of medicines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treatment of genetically defined rare diseases, including selective p38α/β mitogen activated protein kinase (“</w:t>
      </w:r>
      <w:r>
        <w:rPr>
          <w:rFonts w:ascii="Times New Roman" w:cs="Times New Roman" w:eastAsia="Times New Roman" w:hAnsi="Times New Roman"/>
          <w:sz w:val="20"/>
          <w:szCs w:val="20"/>
          <w:b w:val="1"/>
          <w:bCs w:val="1"/>
          <w:color w:val="auto"/>
        </w:rPr>
        <w:t>MAPK</w:t>
      </w:r>
      <w:r>
        <w:rPr>
          <w:rFonts w:ascii="Times New Roman" w:cs="Times New Roman" w:eastAsia="Times New Roman" w:hAnsi="Times New Roman"/>
          <w:sz w:val="20"/>
          <w:szCs w:val="20"/>
          <w:color w:val="auto"/>
        </w:rPr>
        <w:t>”) inhibitors for the treatment of facioscapulohumeral muscular dystrophy (“</w:t>
      </w:r>
      <w:r>
        <w:rPr>
          <w:rFonts w:ascii="Times New Roman" w:cs="Times New Roman" w:eastAsia="Times New Roman" w:hAnsi="Times New Roman"/>
          <w:sz w:val="20"/>
          <w:szCs w:val="20"/>
          <w:b w:val="1"/>
          <w:bCs w:val="1"/>
          <w:color w:val="auto"/>
        </w:rPr>
        <w:t>FSHD</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Fulcrum Controls certain Know-How and Patent Rights relating to such proprietary compounds;</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Sanofi (itself and through its Affiliates) has expertise in the development of biopharmaceutical products and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regulatory, development, and commercial capabilities in the Sanofi Territory; and</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desire to collaborate to Exploit the Licensed Products, and Fulcrum wishes to grant Sanofi and Sanofi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wishes to receive an exclusive license to Exploit the Licensed Products in the Sanofi Territory, in each case, as set forth in, and subject to the terms of, this Agreement.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agree as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0" w:lineRule="exact"/>
        <w:rPr>
          <w:sz w:val="20"/>
          <w:szCs w:val="20"/>
          <w:color w:val="auto"/>
        </w:rPr>
      </w:pPr>
    </w:p>
    <w:p>
      <w:pPr>
        <w:jc w:val="both"/>
        <w:ind w:left="440" w:hanging="748"/>
        <w:spacing w:after="0" w:line="273" w:lineRule="auto"/>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Standards</w:t>
      </w:r>
      <w:r>
        <w:rPr>
          <w:rFonts w:ascii="Times New Roman" w:cs="Times New Roman" w:eastAsia="Times New Roman" w:hAnsi="Times New Roman"/>
          <w:sz w:val="20"/>
          <w:szCs w:val="20"/>
          <w:color w:val="auto"/>
        </w:rPr>
        <w:t>” means with respect to a Party or its Affiliate or Sublicensee, GAAP or IFRS, as such Party, Affiliate or Sublicensee uses for its financial reporting obligations, in each case, consistently applied.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 Transaction</w:t>
      </w:r>
      <w:r>
        <w:rPr>
          <w:rFonts w:ascii="Times New Roman" w:cs="Times New Roman" w:eastAsia="Times New Roman" w:hAnsi="Times New Roman"/>
          <w:sz w:val="20"/>
          <w:szCs w:val="20"/>
          <w:color w:val="auto"/>
        </w:rPr>
        <w:t>” has the meaning set forth in Section 2.7.2 (</w:t>
      </w:r>
      <w:r>
        <w:rPr>
          <w:rFonts w:ascii="Times New Roman" w:cs="Times New Roman" w:eastAsia="Times New Roman" w:hAnsi="Times New Roman"/>
          <w:sz w:val="20"/>
          <w:szCs w:val="20"/>
          <w:i w:val="1"/>
          <w:iCs w:val="1"/>
          <w:color w:val="auto"/>
        </w:rPr>
        <w:t>Acquisition of a Competitive Product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Activity</w:t>
      </w:r>
      <w:r>
        <w:rPr>
          <w:rFonts w:ascii="Times New Roman" w:cs="Times New Roman" w:eastAsia="Times New Roman" w:hAnsi="Times New Roman"/>
          <w:sz w:val="20"/>
          <w:szCs w:val="20"/>
          <w:color w:val="auto"/>
        </w:rPr>
        <w:t>” has the meaning set forth in Section 5.3.1(a) (</w:t>
      </w:r>
      <w:r>
        <w:rPr>
          <w:rFonts w:ascii="Times New Roman" w:cs="Times New Roman" w:eastAsia="Times New Roman" w:hAnsi="Times New Roman"/>
          <w:sz w:val="20"/>
          <w:szCs w:val="20"/>
          <w:i w:val="1"/>
          <w:iCs w:val="1"/>
          <w:color w:val="auto"/>
        </w:rPr>
        <w:t>Additional Activities under Global Development Plan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Compound</w:t>
      </w:r>
      <w:r>
        <w:rPr>
          <w:rFonts w:ascii="Times New Roman" w:cs="Times New Roman" w:eastAsia="Times New Roman" w:hAnsi="Times New Roman"/>
          <w:sz w:val="20"/>
          <w:szCs w:val="20"/>
          <w:color w:val="auto"/>
        </w:rPr>
        <w:t>” has the meaning set forth in Section 5.3.2 (</w:t>
      </w:r>
      <w:r>
        <w:rPr>
          <w:rFonts w:ascii="Times New Roman" w:cs="Times New Roman" w:eastAsia="Times New Roman" w:hAnsi="Times New Roman"/>
          <w:sz w:val="20"/>
          <w:szCs w:val="20"/>
          <w:i w:val="1"/>
          <w:iCs w:val="1"/>
          <w:color w:val="auto"/>
        </w:rPr>
        <w:t>Development of Additional Licensed Compounds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LC Activities</w:t>
      </w:r>
      <w:r>
        <w:rPr>
          <w:rFonts w:ascii="Times New Roman" w:cs="Times New Roman" w:eastAsia="Times New Roman" w:hAnsi="Times New Roman"/>
          <w:sz w:val="20"/>
          <w:szCs w:val="20"/>
          <w:color w:val="auto"/>
        </w:rPr>
        <w:t>” has the meaning set forth in Section 5.3.2 (</w:t>
      </w:r>
      <w:r>
        <w:rPr>
          <w:rFonts w:ascii="Times New Roman" w:cs="Times New Roman" w:eastAsia="Times New Roman" w:hAnsi="Times New Roman"/>
          <w:sz w:val="20"/>
          <w:szCs w:val="20"/>
          <w:i w:val="1"/>
          <w:iCs w:val="1"/>
          <w:color w:val="auto"/>
        </w:rPr>
        <w:t>Development of Additional Licensed Compounds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7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 Person, any other Person controlled by, controlling, or under common control with such Person,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 long as such Person is controlled by, is controlling, or is under common control with such other Person. The term “control” (including, with correlative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88" w:name="page89"/>
    <w:bookmarkEnd w:id="88"/>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meanings, the terms “controlled by” and “under common control with”) as used with respect to a Person means (a) direct or indirect beneficial ownership of [***] of the voting stock or other ownership interest of such Person, or (b) the possession, directly or indirectly, of the power to direct the management or policies of such Person, whether through the ownership of voting securities or other equity rights, by contract relating to voting rights or corporate governance,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Alliance Manager</w:t>
      </w:r>
      <w:r>
        <w:rPr>
          <w:rFonts w:ascii="Times New Roman" w:cs="Times New Roman" w:eastAsia="Times New Roman" w:hAnsi="Times New Roman"/>
          <w:sz w:val="20"/>
          <w:szCs w:val="20"/>
          <w:color w:val="auto"/>
        </w:rPr>
        <w:t>” has the meaning set forth in Section 3.9 (</w:t>
      </w:r>
      <w:r>
        <w:rPr>
          <w:rFonts w:ascii="Times New Roman" w:cs="Times New Roman" w:eastAsia="Times New Roman" w:hAnsi="Times New Roman"/>
          <w:sz w:val="20"/>
          <w:szCs w:val="20"/>
          <w:i w:val="1"/>
          <w:iCs w:val="1"/>
          <w:color w:val="auto"/>
        </w:rPr>
        <w:t>Alliance Managers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7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Allowable Overruns</w:t>
      </w:r>
      <w:r>
        <w:rPr>
          <w:rFonts w:ascii="Times New Roman" w:cs="Times New Roman" w:eastAsia="Times New Roman" w:hAnsi="Times New Roman"/>
          <w:sz w:val="20"/>
          <w:szCs w:val="20"/>
          <w:color w:val="auto"/>
        </w:rPr>
        <w:t>” means any Global Development Costs incurred by or on behalf of a Party or its Affiliates in any Calendar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are above the then-current Global Development Budget for such Calendar Year by [***] or less.</w:t>
      </w:r>
    </w:p>
    <w:p>
      <w:pPr>
        <w:spacing w:after="0" w:line="152" w:lineRule="exact"/>
        <w:rPr>
          <w:sz w:val="20"/>
          <w:szCs w:val="20"/>
          <w:color w:val="auto"/>
        </w:rPr>
      </w:pPr>
    </w:p>
    <w:p>
      <w:pPr>
        <w:jc w:val="both"/>
        <w:ind w:left="760" w:hanging="7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1.10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means collectively all laws, statues, rules, regulations, ordinances, decrees, judicial and administrative orders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license, franchise, permit, or similar right granted under any of the foregoing), and any policies and other requirements of any applicable Governmental Authority that govern or otherwise apply to a Party or the activities contemplated herein, including: (a) to the extent applicable, GCP, GLP and GMP; (b) all applicable data protection and privacy laws, rules and regulations, including, to the extent applicable, the United States Department of Health and Human Services privacy rules under the Health Insurance Portability and Accountability Act and the Health Information Technology for Economic and Clinical Health Act and the EU Data Protection Directive (Council Directive 95/46/EC) and applicable laws implementing the EU Data Protection Directive and the General Data Protection Regulation (2016/679); and (c) written governmental interpretations, the guidance related to or the application of, any of the foregoing.</w:t>
      </w:r>
    </w:p>
    <w:p>
      <w:pPr>
        <w:spacing w:after="0" w:line="186"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1.11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Labeling</w:t>
      </w:r>
      <w:r>
        <w:rPr>
          <w:rFonts w:ascii="Times New Roman" w:cs="Times New Roman" w:eastAsia="Times New Roman" w:hAnsi="Times New Roman"/>
          <w:sz w:val="20"/>
          <w:szCs w:val="20"/>
          <w:color w:val="auto"/>
        </w:rPr>
        <w:t>” means, with respect to a Licensed Product and a jurisdiction: (a) the applicable Regulatory Authority-approved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 prescribing information for such Licensed Product in such jurisdiction; and (b) the applicable Regulatory Authority-approved labels and other written, printed, or graphic materials on any container, wrapper, or any package insert that is used with or for such Licensed Product in such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Arbitrator</w:t>
      </w:r>
      <w:r>
        <w:rPr>
          <w:rFonts w:ascii="Times New Roman" w:cs="Times New Roman" w:eastAsia="Times New Roman" w:hAnsi="Times New Roman"/>
          <w:sz w:val="20"/>
          <w:szCs w:val="20"/>
          <w:color w:val="auto"/>
        </w:rPr>
        <w:t>” has the meaning set forth in Section 15.1.3 (</w:t>
      </w:r>
      <w:r>
        <w:rPr>
          <w:rFonts w:ascii="Times New Roman" w:cs="Times New Roman" w:eastAsia="Times New Roman" w:hAnsi="Times New Roman"/>
          <w:sz w:val="20"/>
          <w:szCs w:val="20"/>
          <w:i w:val="1"/>
          <w:iCs w:val="1"/>
          <w:color w:val="auto"/>
        </w:rPr>
        <w:t>Dispute Resolution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right="20" w:hanging="7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1.13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Asian Region</w:t>
      </w:r>
      <w:r>
        <w:rPr>
          <w:rFonts w:ascii="Times New Roman" w:cs="Times New Roman" w:eastAsia="Times New Roman" w:hAnsi="Times New Roman"/>
          <w:sz w:val="20"/>
          <w:szCs w:val="20"/>
          <w:color w:val="auto"/>
        </w:rPr>
        <w:t>” means all countries and territories of Asia other than (a) Japan, (b) the Russian Federation, and (c) the Middle Eastern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Countries.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Auditor</w:t>
      </w:r>
      <w:r>
        <w:rPr>
          <w:rFonts w:ascii="Times New Roman" w:cs="Times New Roman" w:eastAsia="Times New Roman" w:hAnsi="Times New Roman"/>
          <w:sz w:val="20"/>
          <w:szCs w:val="20"/>
          <w:color w:val="auto"/>
        </w:rPr>
        <w:t>” has the meaning set forth in Section 9.7.2 (</w:t>
      </w:r>
      <w:r>
        <w:rPr>
          <w:rFonts w:ascii="Times New Roman" w:cs="Times New Roman" w:eastAsia="Times New Roman" w:hAnsi="Times New Roman"/>
          <w:sz w:val="20"/>
          <w:szCs w:val="20"/>
          <w:i w:val="1"/>
          <w:iCs w:val="1"/>
          <w:color w:val="auto"/>
        </w:rPr>
        <w:t>Audit Rights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Background Know-How</w:t>
      </w:r>
      <w:r>
        <w:rPr>
          <w:rFonts w:ascii="Times New Roman" w:cs="Times New Roman" w:eastAsia="Times New Roman" w:hAnsi="Times New Roman"/>
          <w:sz w:val="20"/>
          <w:szCs w:val="20"/>
          <w:color w:val="auto"/>
        </w:rPr>
        <w:t>” has the meaning set forth in Section 10.1.1 (</w:t>
      </w:r>
      <w:r>
        <w:rPr>
          <w:rFonts w:ascii="Times New Roman" w:cs="Times New Roman" w:eastAsia="Times New Roman" w:hAnsi="Times New Roman"/>
          <w:sz w:val="20"/>
          <w:szCs w:val="20"/>
          <w:i w:val="1"/>
          <w:iCs w:val="1"/>
          <w:color w:val="auto"/>
        </w:rPr>
        <w:t>Ownership of Background Technology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Background Patents</w:t>
      </w:r>
      <w:r>
        <w:rPr>
          <w:rFonts w:ascii="Times New Roman" w:cs="Times New Roman" w:eastAsia="Times New Roman" w:hAnsi="Times New Roman"/>
          <w:sz w:val="20"/>
          <w:szCs w:val="20"/>
          <w:color w:val="auto"/>
        </w:rPr>
        <w:t>” has the meaning set forth in Section 10.1.1 (</w:t>
      </w:r>
      <w:r>
        <w:rPr>
          <w:rFonts w:ascii="Times New Roman" w:cs="Times New Roman" w:eastAsia="Times New Roman" w:hAnsi="Times New Roman"/>
          <w:sz w:val="20"/>
          <w:szCs w:val="20"/>
          <w:i w:val="1"/>
          <w:iCs w:val="1"/>
          <w:color w:val="auto"/>
        </w:rPr>
        <w:t>Ownership of Background Technology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Background Technology</w:t>
      </w:r>
      <w:r>
        <w:rPr>
          <w:rFonts w:ascii="Times New Roman" w:cs="Times New Roman" w:eastAsia="Times New Roman" w:hAnsi="Times New Roman"/>
          <w:sz w:val="20"/>
          <w:szCs w:val="20"/>
          <w:color w:val="auto"/>
        </w:rPr>
        <w:t>” has the meaning set forth in Section 10.1.1 (</w:t>
      </w:r>
      <w:r>
        <w:rPr>
          <w:rFonts w:ascii="Times New Roman" w:cs="Times New Roman" w:eastAsia="Times New Roman" w:hAnsi="Times New Roman"/>
          <w:sz w:val="20"/>
          <w:szCs w:val="20"/>
          <w:i w:val="1"/>
          <w:iCs w:val="1"/>
          <w:color w:val="auto"/>
        </w:rPr>
        <w:t>Ownership of Background Technology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Budget Overrun</w:t>
      </w:r>
      <w:r>
        <w:rPr>
          <w:rFonts w:ascii="Times New Roman" w:cs="Times New Roman" w:eastAsia="Times New Roman" w:hAnsi="Times New Roman"/>
          <w:sz w:val="20"/>
          <w:szCs w:val="20"/>
          <w:color w:val="auto"/>
        </w:rPr>
        <w:t>” has the meaning set forth in Section 5.7.1 (</w:t>
      </w:r>
      <w:r>
        <w:rPr>
          <w:rFonts w:ascii="Times New Roman" w:cs="Times New Roman" w:eastAsia="Times New Roman" w:hAnsi="Times New Roman"/>
          <w:sz w:val="20"/>
          <w:szCs w:val="20"/>
          <w:i w:val="1"/>
          <w:iCs w:val="1"/>
          <w:color w:val="auto"/>
        </w:rPr>
        <w:t>Eligible Global Development Costs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p>
      <w:pPr>
        <w:jc w:val="both"/>
        <w:ind w:left="760" w:hanging="7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1.19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 day other than a Saturday, Sunday, or a day on which banking institutions in Boston, Massachusetts;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Bridgewater, New Jersey; or Paris, France are authorized or required by Applicable Law to remain closed. In addition, none of December 26 through December 31 (inclusive) shall constitute a Business Day.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1.20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Calendar Quarter</w:t>
      </w:r>
      <w:r>
        <w:rPr>
          <w:rFonts w:ascii="Times New Roman" w:cs="Times New Roman" w:eastAsia="Times New Roman" w:hAnsi="Times New Roman"/>
          <w:sz w:val="19"/>
          <w:szCs w:val="19"/>
          <w:color w:val="auto"/>
        </w:rPr>
        <w:t>” means each of the three (3)-month periods ending March 31, June 30, September 30 and December 31;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except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w:t>
      </w:r>
    </w:p>
    <w:p>
      <w:pPr>
        <w:spacing w:after="0" w:line="37" w:lineRule="exact"/>
        <w:rPr>
          <w:sz w:val="20"/>
          <w:szCs w:val="20"/>
          <w:color w:val="auto"/>
        </w:rPr>
      </w:pPr>
    </w:p>
    <w:p>
      <w:pPr>
        <w:ind w:left="760" w:hanging="3"/>
        <w:spacing w:after="0" w:line="246" w:lineRule="auto"/>
        <w:tabs>
          <w:tab w:leader="none" w:pos="105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Calendar Quarter during the Term will begin on the Effective Date and end on the last day of the Calendar Quarter within which the Effective Date falls, and (b) the last Calendar Quarter during the Term will end upon the expiration of the Term.</w:t>
      </w:r>
    </w:p>
    <w:p>
      <w:pPr>
        <w:spacing w:after="0" w:line="178" w:lineRule="exact"/>
        <w:rPr>
          <w:sz w:val="20"/>
          <w:szCs w:val="20"/>
          <w:color w:val="auto"/>
        </w:rPr>
      </w:pPr>
    </w:p>
    <w:p>
      <w:pPr>
        <w:jc w:val="both"/>
        <w:ind w:left="760" w:hanging="7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1.21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Calendar Year</w:t>
      </w:r>
      <w:r>
        <w:rPr>
          <w:rFonts w:ascii="Times New Roman" w:cs="Times New Roman" w:eastAsia="Times New Roman" w:hAnsi="Times New Roman"/>
          <w:sz w:val="20"/>
          <w:szCs w:val="20"/>
          <w:color w:val="auto"/>
        </w:rPr>
        <w:t>” means the period of twelve (12) consecutive calendar months beginning on January 1 and ending on December 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 xml:space="preserve">except </w:t>
      </w:r>
      <w:r>
        <w:rPr>
          <w:rFonts w:ascii="Times New Roman" w:cs="Times New Roman" w:eastAsia="Times New Roman" w:hAnsi="Times New Roman"/>
          <w:sz w:val="20"/>
          <w:szCs w:val="20"/>
          <w:color w:val="auto"/>
        </w:rPr>
        <w:t>that (a) the first Calendar Year during the Term will begin on the Effective Date and end on December 31 of the Calendar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Year within which the Effective Date falls, and (b) the last Calendar Year during the Term will end upon expiration of the Term.</w:t>
      </w:r>
    </w:p>
    <w:p>
      <w:pPr>
        <w:spacing w:after="0" w:line="169" w:lineRule="exact"/>
        <w:rPr>
          <w:sz w:val="20"/>
          <w:szCs w:val="20"/>
          <w:color w:val="auto"/>
        </w:rPr>
      </w:pPr>
    </w:p>
    <w:p>
      <w:pPr>
        <w:jc w:val="both"/>
        <w:ind w:left="760" w:hanging="7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1.22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 with respect to a Party, that: (a) any Third Party acquires, in one or more related transactions, directly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indirectly the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 of the total voting power of all of the then outstanding voting securities of such Party; (b) a merger, consolidation, recapitalization, or reorganization of such Party is consummated that would result in shareholders or equity holders of such Party immediately prior to such transaction owning [***] or less of the outstanding voting securities of the surviving entity (or its parent entity) immediately following such transaction; or (c) the sale or transfer to a Third Party, in one or more related transactions, of all or substantially all of such Party’s assets relating to the subject matter of this Agreement.</w:t>
      </w:r>
    </w:p>
    <w:p>
      <w:pPr>
        <w:spacing w:after="0" w:line="186" w:lineRule="exact"/>
        <w:rPr>
          <w:sz w:val="20"/>
          <w:szCs w:val="20"/>
          <w:color w:val="auto"/>
        </w:rPr>
      </w:pPr>
    </w:p>
    <w:p>
      <w:pPr>
        <w:jc w:val="both"/>
        <w:ind w:left="760" w:hanging="7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1.23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Clinical Trial</w:t>
      </w:r>
      <w:r>
        <w:rPr>
          <w:rFonts w:ascii="Times New Roman" w:cs="Times New Roman" w:eastAsia="Times New Roman" w:hAnsi="Times New Roman"/>
          <w:sz w:val="20"/>
          <w:szCs w:val="20"/>
          <w:color w:val="auto"/>
        </w:rPr>
        <w:t>” means any clinical trial in humans, as that term is defined in FDA regulations at 21 C.F.R. § 312.3, or a similar clinical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investigation conducted on human subjects, as defined under Applicable Law outside the United States. Without limiting the foregoing, “Clinical Trial” includes any Phase 3 Clinical Trial.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1.24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CMO</w:t>
      </w:r>
      <w:r>
        <w:rPr>
          <w:rFonts w:ascii="Times New Roman" w:cs="Times New Roman" w:eastAsia="Times New Roman" w:hAnsi="Times New Roman"/>
          <w:sz w:val="20"/>
          <w:szCs w:val="20"/>
          <w:color w:val="auto"/>
        </w:rPr>
        <w:t>” means a Third Party contract manufacturing organization.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1.25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Co-Defending Party</w:t>
      </w:r>
      <w:r>
        <w:rPr>
          <w:rFonts w:ascii="Times New Roman" w:cs="Times New Roman" w:eastAsia="Times New Roman" w:hAnsi="Times New Roman"/>
          <w:sz w:val="20"/>
          <w:szCs w:val="20"/>
          <w:color w:val="auto"/>
        </w:rPr>
        <w:t>” has the meaning set forth in Section 10.5.4 (</w:t>
      </w:r>
      <w:r>
        <w:rPr>
          <w:rFonts w:ascii="Times New Roman" w:cs="Times New Roman" w:eastAsia="Times New Roman" w:hAnsi="Times New Roman"/>
          <w:sz w:val="20"/>
          <w:szCs w:val="20"/>
          <w:i w:val="1"/>
          <w:iCs w:val="1"/>
          <w:color w:val="auto"/>
        </w:rPr>
        <w:t>Cooperation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1.26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has the meaning set forth in Section 14.6.1 (</w:t>
      </w:r>
      <w:r>
        <w:rPr>
          <w:rFonts w:ascii="Times New Roman" w:cs="Times New Roman" w:eastAsia="Times New Roman" w:hAnsi="Times New Roman"/>
          <w:sz w:val="20"/>
          <w:szCs w:val="20"/>
          <w:i w:val="1"/>
          <w:iCs w:val="1"/>
          <w:color w:val="auto"/>
        </w:rPr>
        <w:t>Termination Right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7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Collaboration In-License</w:t>
      </w:r>
      <w:r>
        <w:rPr>
          <w:rFonts w:ascii="Times New Roman" w:cs="Times New Roman" w:eastAsia="Times New Roman" w:hAnsi="Times New Roman"/>
          <w:sz w:val="20"/>
          <w:szCs w:val="20"/>
          <w:color w:val="auto"/>
        </w:rPr>
        <w:t>” means (a) any license deemed a “Collaboration In-License” under Section 2.6.2 (</w:t>
      </w:r>
      <w:r>
        <w:rPr>
          <w:rFonts w:ascii="Times New Roman" w:cs="Times New Roman" w:eastAsia="Times New Roman" w:hAnsi="Times New Roman"/>
          <w:sz w:val="20"/>
          <w:szCs w:val="20"/>
          <w:i w:val="1"/>
          <w:iCs w:val="1"/>
          <w:color w:val="auto"/>
        </w:rPr>
        <w:t>New Collaboration In-Licenses</w:t>
      </w:r>
      <w:r>
        <w:rPr>
          <w:rFonts w:ascii="Times New Roman" w:cs="Times New Roman" w:eastAsia="Times New Roman" w:hAnsi="Times New Roman"/>
          <w:sz w:val="20"/>
          <w:szCs w:val="20"/>
          <w:color w:val="auto"/>
        </w:rPr>
        <w:t>) and (b) any Existing Third Party IP Agreement.</w:t>
      </w:r>
    </w:p>
    <w:p>
      <w:pPr>
        <w:spacing w:after="0" w:line="152" w:lineRule="exact"/>
        <w:rPr>
          <w:sz w:val="20"/>
          <w:szCs w:val="20"/>
          <w:color w:val="auto"/>
        </w:rPr>
      </w:pPr>
    </w:p>
    <w:p>
      <w:pPr>
        <w:jc w:val="both"/>
        <w:ind w:left="760" w:hanging="7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1.28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Collaboration Know-How</w:t>
      </w:r>
      <w:r>
        <w:rPr>
          <w:rFonts w:ascii="Times New Roman" w:cs="Times New Roman" w:eastAsia="Times New Roman" w:hAnsi="Times New Roman"/>
          <w:sz w:val="20"/>
          <w:szCs w:val="20"/>
          <w:color w:val="auto"/>
        </w:rPr>
        <w:t>” means all Know-How conceived, discovered, developed, invented or otherwise made by a Party’s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Affiliates’, licensees’, Sublicensees’, or subcontractors’ employees, agents, or independent contractors, or any Persons contractually required to assign or license such Know-How to such Party or any Affiliate of such Party, either alone or jointly with the other Party’s or its Affiliates’, licensees’, Sublicensees’, or subcontractors’ employees, agents, or independent contractors, or any Persons contractually required to assign or license such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0" w:name="page91"/>
    <w:bookmarkEnd w:id="90"/>
    <w:p>
      <w:pPr>
        <w:ind w:left="760"/>
        <w:spacing w:after="0" w:line="269" w:lineRule="auto"/>
        <w:rPr>
          <w:sz w:val="20"/>
          <w:szCs w:val="20"/>
          <w:color w:val="auto"/>
        </w:rPr>
      </w:pPr>
      <w:r>
        <w:rPr>
          <w:rFonts w:ascii="Times New Roman" w:cs="Times New Roman" w:eastAsia="Times New Roman" w:hAnsi="Times New Roman"/>
          <w:sz w:val="20"/>
          <w:szCs w:val="20"/>
          <w:color w:val="auto"/>
        </w:rPr>
        <w:t>Know-How to such other Party or any Affiliate of such other Party, in each case, in the performance of activities under this Agreement during the Term.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1.29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Collaboration Patent Rights</w:t>
      </w:r>
      <w:r>
        <w:rPr>
          <w:rFonts w:ascii="Times New Roman" w:cs="Times New Roman" w:eastAsia="Times New Roman" w:hAnsi="Times New Roman"/>
          <w:sz w:val="20"/>
          <w:szCs w:val="20"/>
          <w:color w:val="auto"/>
        </w:rPr>
        <w:t>” means any Patent Right that Covers any Invention included in the Collaboration Know-How.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1.30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Collaboration Technology</w:t>
      </w:r>
      <w:r>
        <w:rPr>
          <w:rFonts w:ascii="Times New Roman" w:cs="Times New Roman" w:eastAsia="Times New Roman" w:hAnsi="Times New Roman"/>
          <w:sz w:val="20"/>
          <w:szCs w:val="20"/>
          <w:color w:val="auto"/>
        </w:rPr>
        <w:t>” means the Collaboration Know-How and the Collaboration Patent Rights.</w:t>
      </w:r>
    </w:p>
    <w:p>
      <w:pPr>
        <w:spacing w:after="0" w:line="216"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1.31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Combination Product</w:t>
      </w:r>
      <w:r>
        <w:rPr>
          <w:rFonts w:ascii="Times New Roman" w:cs="Times New Roman" w:eastAsia="Times New Roman" w:hAnsi="Times New Roman"/>
          <w:sz w:val="20"/>
          <w:szCs w:val="20"/>
          <w:color w:val="auto"/>
        </w:rPr>
        <w:t>” means a Licensed Product that: (a) contains one or more Licensed Compounds and one or more Other Active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Ingredients, sold as a fixed dose/unit, for which no royalty would be due hereunder if such Other Active Ingredient were sold separately; (b) consists of one or more Licensed Compounds and sold as separate doses/units in a single package, or otherwise co-packaged or combined, with one or more Other Components for which no royalty would be due hereunder if such Other Components were sold separately, and such Licensed Compounds and Other Components are sold for a single price; or (c) is defined as a “combination product” by the FDA pursuant to 21 C.F.R. 3.2(e) or its foreign equivalent.</w:t>
      </w:r>
    </w:p>
    <w:p>
      <w:pPr>
        <w:spacing w:after="0" w:line="179"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1.32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Commercialization</w:t>
      </w:r>
      <w:r>
        <w:rPr>
          <w:rFonts w:ascii="Times New Roman" w:cs="Times New Roman" w:eastAsia="Times New Roman" w:hAnsi="Times New Roman"/>
          <w:sz w:val="20"/>
          <w:szCs w:val="20"/>
          <w:color w:val="auto"/>
        </w:rPr>
        <w:t>” means any and all activities directed to the commercialization of a product, including: marketing; detailing;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promotion; market research; distributing; order processing; handling returns and recalls; booking sales; customer service; administering and commercially selling such product; importing, exporting and transporting such product for commercial sale; and seeking Reimbursement Approval of a product (if applicable), in each case, whether before or after Regulatory Approval has been obtained for such product, as well all regulatory compliance with respect to the foregoing. “</w:t>
      </w:r>
      <w:r>
        <w:rPr>
          <w:rFonts w:ascii="Times New Roman" w:cs="Times New Roman" w:eastAsia="Times New Roman" w:hAnsi="Times New Roman"/>
          <w:sz w:val="20"/>
          <w:szCs w:val="20"/>
          <w:b w:val="1"/>
          <w:bCs w:val="1"/>
          <w:color w:val="auto"/>
        </w:rPr>
        <w:t>Commercializing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Commercialize,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Commercialized</w:t>
      </w:r>
      <w:r>
        <w:rPr>
          <w:rFonts w:ascii="Times New Roman" w:cs="Times New Roman" w:eastAsia="Times New Roman" w:hAnsi="Times New Roman"/>
          <w:sz w:val="20"/>
          <w:szCs w:val="20"/>
          <w:color w:val="auto"/>
        </w:rPr>
        <w:t>” will be construed accordingly.</w:t>
      </w:r>
    </w:p>
    <w:p>
      <w:pPr>
        <w:spacing w:after="0" w:line="179" w:lineRule="exact"/>
        <w:rPr>
          <w:sz w:val="20"/>
          <w:szCs w:val="20"/>
          <w:color w:val="auto"/>
        </w:rPr>
      </w:pPr>
    </w:p>
    <w:p>
      <w:pPr>
        <w:jc w:val="both"/>
        <w:ind w:left="760" w:hanging="74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1.33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Commercially Reasonable Efforts</w:t>
      </w:r>
      <w:r>
        <w:rPr>
          <w:rFonts w:ascii="Times New Roman" w:cs="Times New Roman" w:eastAsia="Times New Roman" w:hAnsi="Times New Roman"/>
          <w:sz w:val="20"/>
          <w:szCs w:val="20"/>
          <w:color w:val="auto"/>
        </w:rPr>
        <w:t>” means, (a) with respect to Sanofi’s or its Affiliates’ obligations under this Agreement, on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country-by-country basis, the carrying out of such obligations or tasks with a level of efforts and resources (including departmental budget resources) consistent with the efforts and resources that [***]; or (b) with respect to Fulcrum’s or its Affiliates’ obligations under this Agreement, the carrying out of such obligations or tasks with a level of efforts and resources (including departmental budget resources) consistent with the efforts and resources that [***]. Commercially Reasonable Efforts requires [***]. To the extent that the performance of a Party’s obligations hereunder is adversely affected by the other Party’s failure to perform its obligations hereunder, the impact of such performance failure will be taken into account in determining whether such Party has used its Commercially Reasonable Efforts to perform any such affected obligations.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1.34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Competitive Infringement</w:t>
      </w:r>
      <w:r>
        <w:rPr>
          <w:rFonts w:ascii="Times New Roman" w:cs="Times New Roman" w:eastAsia="Times New Roman" w:hAnsi="Times New Roman"/>
          <w:sz w:val="20"/>
          <w:szCs w:val="20"/>
          <w:color w:val="auto"/>
        </w:rPr>
        <w:t>” has the meaning set forth Section 10.3.1 (</w:t>
      </w:r>
      <w:r>
        <w:rPr>
          <w:rFonts w:ascii="Times New Roman" w:cs="Times New Roman" w:eastAsia="Times New Roman" w:hAnsi="Times New Roman"/>
          <w:sz w:val="20"/>
          <w:szCs w:val="20"/>
          <w:i w:val="1"/>
          <w:iCs w:val="1"/>
          <w:color w:val="auto"/>
        </w:rPr>
        <w:t>Notice of Infringement or Misappropriation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1.35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Competitive Product</w:t>
      </w:r>
      <w:r>
        <w:rPr>
          <w:rFonts w:ascii="Times New Roman" w:cs="Times New Roman" w:eastAsia="Times New Roman" w:hAnsi="Times New Roman"/>
          <w:sz w:val="20"/>
          <w:szCs w:val="20"/>
          <w:color w:val="auto"/>
        </w:rPr>
        <w:t>” has the meaning set forth in Section 2.7.1 (</w:t>
      </w:r>
      <w:r>
        <w:rPr>
          <w:rFonts w:ascii="Times New Roman" w:cs="Times New Roman" w:eastAsia="Times New Roman" w:hAnsi="Times New Roman"/>
          <w:sz w:val="20"/>
          <w:szCs w:val="20"/>
          <w:i w:val="1"/>
          <w:iCs w:val="1"/>
          <w:color w:val="auto"/>
        </w:rPr>
        <w:t>Exclusivity Obligations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1.36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Disclosure Agreement</w:t>
      </w:r>
      <w:r>
        <w:rPr>
          <w:rFonts w:ascii="Times New Roman" w:cs="Times New Roman" w:eastAsia="Times New Roman" w:hAnsi="Times New Roman"/>
          <w:sz w:val="20"/>
          <w:szCs w:val="20"/>
          <w:color w:val="auto"/>
        </w:rPr>
        <w:t>” has the meaning set forth in Section 16.2 (</w:t>
      </w:r>
      <w:r>
        <w:rPr>
          <w:rFonts w:ascii="Times New Roman" w:cs="Times New Roman" w:eastAsia="Times New Roman" w:hAnsi="Times New Roman"/>
          <w:sz w:val="20"/>
          <w:szCs w:val="20"/>
          <w:i w:val="1"/>
          <w:iCs w:val="1"/>
          <w:color w:val="auto"/>
        </w:rPr>
        <w:t>Entire Agreement; Amendment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1.37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(a) Know-How and any non-public or proprietary technical, scientific, trade, research,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manufacturing, business, financial, marketing, product, supplier, intellectual property, and other data or information (including unpublished patent applications) that may be disclosed by one Party or its Affiliates to the other Party or its Affiliates pursuant to this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p>
      <w:pPr>
        <w:jc w:val="both"/>
        <w:ind w:left="760" w:right="20"/>
        <w:spacing w:after="0" w:line="254" w:lineRule="auto"/>
        <w:rPr>
          <w:sz w:val="20"/>
          <w:szCs w:val="20"/>
          <w:color w:val="auto"/>
        </w:rPr>
      </w:pPr>
      <w:r>
        <w:rPr>
          <w:rFonts w:ascii="Times New Roman" w:cs="Times New Roman" w:eastAsia="Times New Roman" w:hAnsi="Times New Roman"/>
          <w:sz w:val="20"/>
          <w:szCs w:val="20"/>
          <w:color w:val="auto"/>
        </w:rPr>
        <w:t>Agreement (including information disclosed prior to the Effective Date pursuant to the Confidential Disclosure Agreement), regardless of whether such information is specifically marked or designated as confidential and regardless of whether such information is in written, oral, electronic, or other form, and (b) the terms of this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1.38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Continuing Technology Transfer</w:t>
      </w:r>
      <w:r>
        <w:rPr>
          <w:rFonts w:ascii="Times New Roman" w:cs="Times New Roman" w:eastAsia="Times New Roman" w:hAnsi="Times New Roman"/>
          <w:sz w:val="20"/>
          <w:szCs w:val="20"/>
          <w:color w:val="auto"/>
        </w:rPr>
        <w:t>” has the meaning set forth in Section 4.2 (</w:t>
      </w:r>
      <w:r>
        <w:rPr>
          <w:rFonts w:ascii="Times New Roman" w:cs="Times New Roman" w:eastAsia="Times New Roman" w:hAnsi="Times New Roman"/>
          <w:sz w:val="20"/>
          <w:szCs w:val="20"/>
          <w:i w:val="1"/>
          <w:iCs w:val="1"/>
          <w:color w:val="auto"/>
        </w:rPr>
        <w:t>Continuing Technology Transfer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1.39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Controlled</w:t>
      </w:r>
      <w:r>
        <w:rPr>
          <w:rFonts w:ascii="Times New Roman" w:cs="Times New Roman" w:eastAsia="Times New Roman" w:hAnsi="Times New Roman"/>
          <w:sz w:val="20"/>
          <w:szCs w:val="20"/>
          <w:color w:val="auto"/>
        </w:rPr>
        <w:t>” means the possession by a Party (whether by ownership, license, or otherwise other than pursuant to this Agreement) of,</w:t>
      </w:r>
    </w:p>
    <w:p>
      <w:pPr>
        <w:spacing w:after="0" w:line="26" w:lineRule="exact"/>
        <w:rPr>
          <w:sz w:val="20"/>
          <w:szCs w:val="20"/>
          <w:color w:val="auto"/>
        </w:rPr>
      </w:pPr>
    </w:p>
    <w:p>
      <w:pPr>
        <w:jc w:val="both"/>
        <w:ind w:left="760" w:hanging="3"/>
        <w:spacing w:after="0" w:line="254" w:lineRule="auto"/>
        <w:tabs>
          <w:tab w:leader="none" w:pos="1029"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materials or other tangible Know-How, the legal authority or right to physical possession of such materials or tangible Know-How, with the right to provide such materials or tangible Know-How to the other Party on the terms set forth herein, and (b) with respect to Patent Rights, Regulatory Approvals, Regulatory Submissions, intangible Know-How, or other intellectual property, the legal authority or right to grant a license, sublicense, access, or right to use (as applicable) to the other Party under such Patent Rights, Regulatory Approvals, Regulatory Submissions, intangible Know-How, or other intellectual property on the terms set forth herein, in each case ((a) and (b)), without breaching or otherwise violating the terms of any arrangement or agreement with a Third Party in existence as of the time such Party or its Affiliates would first be required hereunder to grant the other Party such access, right to use, licenses, or sublicense or incurring any additional payment obligations to a Third Party as a result of such access, right to use, licenses, or sublicense, other than payment obligations incurred under a Collaboration In-License.</w:t>
      </w:r>
    </w:p>
    <w:p>
      <w:pPr>
        <w:spacing w:after="0" w:line="17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Notwithstanding the foregoing, and subject to the following paragraph, in the event a Party undergoes a Change of Control (where such Party is the acquired entity), then such Party or its Affiliates will not be deemed to “Control” any of the foregoing (a) or (b) that:</w:t>
      </w:r>
    </w:p>
    <w:p>
      <w:pPr>
        <w:spacing w:after="0" w:line="174" w:lineRule="exact"/>
        <w:rPr>
          <w:sz w:val="20"/>
          <w:szCs w:val="20"/>
          <w:color w:val="auto"/>
        </w:rPr>
      </w:pPr>
    </w:p>
    <w:p>
      <w:pPr>
        <w:jc w:val="both"/>
        <w:ind w:left="760" w:firstLine="745"/>
        <w:spacing w:after="0" w:line="254" w:lineRule="auto"/>
        <w:tabs>
          <w:tab w:leader="none" w:pos="177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consummation of such Change of Control, is owned or in-licensed by a Third Party that becomes an Affiliate of such acquired Party or any of such Third Party’s Affiliates existing immediately prior to such Change of Control (or that merges or consolidates with such Party) after the Effective Date as a result of such Change of Control, or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80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consummation of such Change of Control, is developed or in-licensed by such Third Party or its pre-existing Affiliates without use of or access to any Patent Rights, Know-How or Confidential Information of either Party (including any Patent Rights, Know-How, or Confidential Information licensed or acquired from the other Party under this Agreement).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However, a Party or its Affiliates </w:t>
      </w:r>
      <w:r>
        <w:rPr>
          <w:rFonts w:ascii="Times New Roman" w:cs="Times New Roman" w:eastAsia="Times New Roman" w:hAnsi="Times New Roman"/>
          <w:sz w:val="20"/>
          <w:szCs w:val="20"/>
          <w:i w:val="1"/>
          <w:iCs w:val="1"/>
          <w:color w:val="auto"/>
        </w:rPr>
        <w:t>will</w:t>
      </w:r>
      <w:r>
        <w:rPr>
          <w:rFonts w:ascii="Times New Roman" w:cs="Times New Roman" w:eastAsia="Times New Roman" w:hAnsi="Times New Roman"/>
          <w:sz w:val="20"/>
          <w:szCs w:val="20"/>
          <w:color w:val="auto"/>
        </w:rPr>
        <w:t xml:space="preserve"> be deemed to “Control” any of the foregoing ((a) and (b)), if:</w:t>
      </w:r>
    </w:p>
    <w:p>
      <w:pPr>
        <w:spacing w:after="0" w:line="220" w:lineRule="exact"/>
        <w:rPr>
          <w:sz w:val="20"/>
          <w:szCs w:val="20"/>
          <w:color w:val="auto"/>
        </w:rPr>
      </w:pPr>
    </w:p>
    <w:p>
      <w:pPr>
        <w:ind w:left="760" w:firstLine="745"/>
        <w:spacing w:after="0" w:line="269" w:lineRule="auto"/>
        <w:tabs>
          <w:tab w:leader="none" w:pos="183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effective date of such Change of Control, such Party or its Affiliate also Controlled such subject matter of such Third Party;</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83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subject matter was conceived, developed or otherwise arises from participation by employees or consultants of such Third Party, such Party or its Affiliates in the performance of activities under this Agreement or otherwise in relation to Licensed Compounds or Licensed Products after such Change of Control; or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1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subject matter was not used in the performance of activities under this Agreement or otherwise in relation to Licensed Compounds or Licensed Products prior to the effective date of such Change of Control but after the effective date of such Change of Control, such Party or its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ind w:left="760"/>
        <w:spacing w:after="0" w:line="269" w:lineRule="auto"/>
        <w:rPr>
          <w:sz w:val="20"/>
          <w:szCs w:val="20"/>
          <w:color w:val="auto"/>
        </w:rPr>
      </w:pPr>
      <w:r>
        <w:rPr>
          <w:rFonts w:ascii="Times New Roman" w:cs="Times New Roman" w:eastAsia="Times New Roman" w:hAnsi="Times New Roman"/>
          <w:sz w:val="20"/>
          <w:szCs w:val="20"/>
          <w:color w:val="auto"/>
        </w:rPr>
        <w:t>Affiliate uses such subject matter in the performance of its obligations or exercise of its rights under this Agreement or otherwise in relation to Licensed Compounds or Licensed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1.40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Core Third Party IP</w:t>
      </w:r>
      <w:r>
        <w:rPr>
          <w:rFonts w:ascii="Times New Roman" w:cs="Times New Roman" w:eastAsia="Times New Roman" w:hAnsi="Times New Roman"/>
          <w:sz w:val="20"/>
          <w:szCs w:val="20"/>
          <w:color w:val="auto"/>
        </w:rPr>
        <w:t>” means any Patent Right, Know-How or other intellectual property right of a Third Party that [***].</w:t>
      </w:r>
    </w:p>
    <w:p>
      <w:pPr>
        <w:spacing w:after="0" w:line="216"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1.41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w:t>
      </w:r>
      <w:r>
        <w:rPr>
          <w:rFonts w:ascii="Times New Roman" w:cs="Times New Roman" w:eastAsia="Times New Roman" w:hAnsi="Times New Roman"/>
          <w:sz w:val="20"/>
          <w:szCs w:val="20"/>
          <w:color w:val="auto"/>
        </w:rPr>
        <w:t>” means, with respect to a particular subject matter at issue and a relevant Patent Right or individual claim in such Patent Right,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applicable, that the Exploitation of such subject matter, without taking into account any exemption under Applicable Law, would infringe such Patent Right or individual claim in such Patent Right in the country in which such activity occurs without a license thereto or ownership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1.42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CREATE Act</w:t>
      </w:r>
      <w:r>
        <w:rPr>
          <w:rFonts w:ascii="Times New Roman" w:cs="Times New Roman" w:eastAsia="Times New Roman" w:hAnsi="Times New Roman"/>
          <w:sz w:val="20"/>
          <w:szCs w:val="20"/>
          <w:color w:val="auto"/>
        </w:rPr>
        <w:t>” has the meaning set forth in Section 10.1.3(c) (</w:t>
      </w:r>
      <w:r>
        <w:rPr>
          <w:rFonts w:ascii="Times New Roman" w:cs="Times New Roman" w:eastAsia="Times New Roman" w:hAnsi="Times New Roman"/>
          <w:sz w:val="20"/>
          <w:szCs w:val="20"/>
          <w:i w:val="1"/>
          <w:iCs w:val="1"/>
          <w:color w:val="auto"/>
        </w:rPr>
        <w:t>CREATE Act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1.43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Debarred/Excluded</w:t>
      </w:r>
      <w:r>
        <w:rPr>
          <w:rFonts w:ascii="Times New Roman" w:cs="Times New Roman" w:eastAsia="Times New Roman" w:hAnsi="Times New Roman"/>
          <w:sz w:val="20"/>
          <w:szCs w:val="20"/>
          <w:color w:val="auto"/>
        </w:rPr>
        <w:t>” has the meaning set forth in Section 11.1.8 (</w:t>
      </w:r>
      <w:r>
        <w:rPr>
          <w:rFonts w:ascii="Times New Roman" w:cs="Times New Roman" w:eastAsia="Times New Roman" w:hAnsi="Times New Roman"/>
          <w:sz w:val="20"/>
          <w:szCs w:val="20"/>
          <w:i w:val="1"/>
          <w:iCs w:val="1"/>
          <w:color w:val="auto"/>
        </w:rPr>
        <w:t>Mutual Representations and Warranties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1.44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Defending Party</w:t>
      </w:r>
      <w:r>
        <w:rPr>
          <w:rFonts w:ascii="Times New Roman" w:cs="Times New Roman" w:eastAsia="Times New Roman" w:hAnsi="Times New Roman"/>
          <w:sz w:val="20"/>
          <w:szCs w:val="20"/>
          <w:color w:val="auto"/>
        </w:rPr>
        <w:t>” has the meaning set forth in Section 10.5.4 (</w:t>
      </w:r>
      <w:r>
        <w:rPr>
          <w:rFonts w:ascii="Times New Roman" w:cs="Times New Roman" w:eastAsia="Times New Roman" w:hAnsi="Times New Roman"/>
          <w:sz w:val="20"/>
          <w:szCs w:val="20"/>
          <w:i w:val="1"/>
          <w:iCs w:val="1"/>
          <w:color w:val="auto"/>
        </w:rPr>
        <w:t>Cooperation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7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1.45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Derivative</w:t>
      </w:r>
      <w:r>
        <w:rPr>
          <w:rFonts w:ascii="Times New Roman" w:cs="Times New Roman" w:eastAsia="Times New Roman" w:hAnsi="Times New Roman"/>
          <w:sz w:val="20"/>
          <w:szCs w:val="20"/>
          <w:color w:val="auto"/>
        </w:rPr>
        <w:t>” means, with respect to a compound, any ester, salt, free acid form, free base form, amorphous, crystalline, solvate, hydrate,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co-crystal, chelate, deuterated, racemate, stereoisomer, tautomer, prodrug variation of such compound.</w:t>
      </w:r>
    </w:p>
    <w:p>
      <w:pPr>
        <w:spacing w:after="0" w:line="152" w:lineRule="exact"/>
        <w:rPr>
          <w:sz w:val="20"/>
          <w:szCs w:val="20"/>
          <w:color w:val="auto"/>
        </w:rPr>
      </w:pPr>
    </w:p>
    <w:p>
      <w:pPr>
        <w:jc w:val="both"/>
        <w:ind w:left="760" w:hanging="7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1.46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Development</w:t>
      </w:r>
      <w:r>
        <w:rPr>
          <w:rFonts w:ascii="Times New Roman" w:cs="Times New Roman" w:eastAsia="Times New Roman" w:hAnsi="Times New Roman"/>
          <w:sz w:val="20"/>
          <w:szCs w:val="20"/>
          <w:color w:val="auto"/>
        </w:rPr>
        <w:t>” means all clinical drug development activities and other development activities with respect to a product,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Clinical Trials (and other trials commenced after Regulatory Approval); test method development and stability testing; toxicology; formulation; process development; qualification; validation; quality assurance and quality control; statistical analysis and report writing; the preparation and submission of INDs and MAAs; medical and regulatory affairs with respect to the foregoing; and all other activities requested or required by a Regulatory Authority or as a condition or in support of obtaining or maintaining a Regulatory Approval for a product. For clarity, “Development” does not include Research, Manufacturing or Commercialization. “</w:t>
      </w:r>
      <w:r>
        <w:rPr>
          <w:rFonts w:ascii="Times New Roman" w:cs="Times New Roman" w:eastAsia="Times New Roman" w:hAnsi="Times New Roman"/>
          <w:sz w:val="20"/>
          <w:szCs w:val="20"/>
          <w:b w:val="1"/>
          <w:bCs w:val="1"/>
          <w:color w:val="auto"/>
        </w:rPr>
        <w:t>Developing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Developed</w:t>
      </w:r>
      <w:r>
        <w:rPr>
          <w:rFonts w:ascii="Times New Roman" w:cs="Times New Roman" w:eastAsia="Times New Roman" w:hAnsi="Times New Roman"/>
          <w:sz w:val="20"/>
          <w:szCs w:val="20"/>
          <w:color w:val="auto"/>
        </w:rPr>
        <w:t>” will be construed accordingly.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1.47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Disclosing Party</w:t>
      </w:r>
      <w:r>
        <w:rPr>
          <w:rFonts w:ascii="Times New Roman" w:cs="Times New Roman" w:eastAsia="Times New Roman" w:hAnsi="Times New Roman"/>
          <w:sz w:val="20"/>
          <w:szCs w:val="20"/>
          <w:color w:val="auto"/>
        </w:rPr>
        <w:t>” has the meaning set forth in Section 12.1.1 (</w:t>
      </w:r>
      <w:r>
        <w:rPr>
          <w:rFonts w:ascii="Times New Roman" w:cs="Times New Roman" w:eastAsia="Times New Roman" w:hAnsi="Times New Roman"/>
          <w:sz w:val="20"/>
          <w:szCs w:val="20"/>
          <w:i w:val="1"/>
          <w:iCs w:val="1"/>
          <w:color w:val="auto"/>
        </w:rPr>
        <w:t>Duty of Confidence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748"/>
        <w:spacing w:after="0" w:line="256" w:lineRule="auto"/>
        <w:rPr>
          <w:sz w:val="20"/>
          <w:szCs w:val="20"/>
          <w:color w:val="auto"/>
        </w:rPr>
      </w:pPr>
      <w:r>
        <w:rPr>
          <w:rFonts w:ascii="Times New Roman" w:cs="Times New Roman" w:eastAsia="Times New Roman" w:hAnsi="Times New Roman"/>
          <w:sz w:val="20"/>
          <w:szCs w:val="20"/>
          <w:b w:val="1"/>
          <w:bCs w:val="1"/>
          <w:color w:val="auto"/>
        </w:rPr>
        <w:t>1.48 “Distributor</w:t>
      </w:r>
      <w:r>
        <w:rPr>
          <w:rFonts w:ascii="Times New Roman" w:cs="Times New Roman" w:eastAsia="Times New Roman" w:hAnsi="Times New Roman"/>
          <w:sz w:val="20"/>
          <w:szCs w:val="20"/>
          <w:color w:val="auto"/>
        </w:rPr>
        <w:t>” means any Third Party (a) to which Sanofi, its Affiliates or Sublicensees has granted a right to market, resell or distribute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Licensed Product, and (b) that does not make payments to Sanofi, its Affiliates or Sublicensees that are calculated on the basis of a percentage of, or profit share on, such Third Party’s sales of Licensed Product.</w:t>
      </w:r>
    </w:p>
    <w:p>
      <w:pPr>
        <w:spacing w:after="0" w:line="169" w:lineRule="exact"/>
        <w:rPr>
          <w:sz w:val="20"/>
          <w:szCs w:val="20"/>
          <w:color w:val="auto"/>
        </w:rPr>
      </w:pPr>
    </w:p>
    <w:p>
      <w:pPr>
        <w:jc w:val="both"/>
        <w:ind w:left="760" w:hanging="7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1.49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Divestiture</w:t>
      </w:r>
      <w:r>
        <w:rPr>
          <w:rFonts w:ascii="Times New Roman" w:cs="Times New Roman" w:eastAsia="Times New Roman" w:hAnsi="Times New Roman"/>
          <w:sz w:val="20"/>
          <w:szCs w:val="20"/>
          <w:color w:val="auto"/>
        </w:rPr>
        <w:t>” means, with respect to a Competitive Product, the sale, exclusive license, or other transfer by Fulcrum and its Affiliates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of its and their Research, Development, Manufacturing, and Commercialization rights with respect to such Competitive Product to a Third Party without the retention or reservation of any Research, Development, Manufacturing, or Commercialization interest or participation rights (other than as permitted under Applicable Law, solely an economic interest or the right to enforce customary terms and conditions contained in the relevant agreements effectuating such divestiture).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1.50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Divest</w:t>
      </w:r>
      <w:r>
        <w:rPr>
          <w:rFonts w:ascii="Times New Roman" w:cs="Times New Roman" w:eastAsia="Times New Roman" w:hAnsi="Times New Roman"/>
          <w:sz w:val="20"/>
          <w:szCs w:val="20"/>
          <w:color w:val="auto"/>
        </w:rPr>
        <w:t>” means to effect a Divestiture.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1.51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has the meaning set forth in the Preamble.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1.52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Global Development Costs</w:t>
      </w:r>
      <w:r>
        <w:rPr>
          <w:rFonts w:ascii="Times New Roman" w:cs="Times New Roman" w:eastAsia="Times New Roman" w:hAnsi="Times New Roman"/>
          <w:sz w:val="20"/>
          <w:szCs w:val="20"/>
          <w:color w:val="auto"/>
        </w:rPr>
        <w:t>” means (a) the Global Development Costs incurred by or on behalf of a Party or its Affiliates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accordance with the Global Development Plan and the amount budgeted therefor in the Global Development Budget,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applicable Allowable Overruns or other expenses approved by the JSC and (b) the Manufacturing Costs for all Licensed Compounds and Licensed Products required for either Party’s activities under the Global Development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1.53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EMA</w:t>
      </w:r>
      <w:r>
        <w:rPr>
          <w:rFonts w:ascii="Times New Roman" w:cs="Times New Roman" w:eastAsia="Times New Roman" w:hAnsi="Times New Roman"/>
          <w:sz w:val="20"/>
          <w:szCs w:val="20"/>
          <w:color w:val="auto"/>
        </w:rPr>
        <w:t>” means the European Medicines Agency or any successor agency thereto.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1.54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Enforcing Party</w:t>
      </w:r>
      <w:r>
        <w:rPr>
          <w:rFonts w:ascii="Times New Roman" w:cs="Times New Roman" w:eastAsia="Times New Roman" w:hAnsi="Times New Roman"/>
          <w:sz w:val="20"/>
          <w:szCs w:val="20"/>
          <w:color w:val="auto"/>
        </w:rPr>
        <w:t>” has the meaning set forth in Section 10.3.4 (</w:t>
      </w:r>
      <w:r>
        <w:rPr>
          <w:rFonts w:ascii="Times New Roman" w:cs="Times New Roman" w:eastAsia="Times New Roman" w:hAnsi="Times New Roman"/>
          <w:sz w:val="20"/>
          <w:szCs w:val="20"/>
          <w:i w:val="1"/>
          <w:iCs w:val="1"/>
          <w:color w:val="auto"/>
        </w:rPr>
        <w:t>Cooperation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1.55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EO Dispute Resolution Period</w:t>
      </w:r>
      <w:r>
        <w:rPr>
          <w:rFonts w:ascii="Times New Roman" w:cs="Times New Roman" w:eastAsia="Times New Roman" w:hAnsi="Times New Roman"/>
          <w:sz w:val="20"/>
          <w:szCs w:val="20"/>
          <w:color w:val="auto"/>
        </w:rPr>
        <w:t>” has the meaning set forth in Section 15.1.1 (</w:t>
      </w:r>
      <w:r>
        <w:rPr>
          <w:rFonts w:ascii="Times New Roman" w:cs="Times New Roman" w:eastAsia="Times New Roman" w:hAnsi="Times New Roman"/>
          <w:sz w:val="20"/>
          <w:szCs w:val="20"/>
          <w:i w:val="1"/>
          <w:iCs w:val="1"/>
          <w:color w:val="auto"/>
        </w:rPr>
        <w:t>Dispute Resolution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1.56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EPO</w:t>
      </w:r>
      <w:r>
        <w:rPr>
          <w:rFonts w:ascii="Times New Roman" w:cs="Times New Roman" w:eastAsia="Times New Roman" w:hAnsi="Times New Roman"/>
          <w:sz w:val="20"/>
          <w:szCs w:val="20"/>
          <w:color w:val="auto"/>
        </w:rPr>
        <w:t>” has the meaning set forth in Section 10.2.2(b) (</w:t>
      </w:r>
      <w:r>
        <w:rPr>
          <w:rFonts w:ascii="Times New Roman" w:cs="Times New Roman" w:eastAsia="Times New Roman" w:hAnsi="Times New Roman"/>
          <w:sz w:val="20"/>
          <w:szCs w:val="20"/>
          <w:i w:val="1"/>
          <w:iCs w:val="1"/>
          <w:color w:val="auto"/>
        </w:rPr>
        <w:t>Review and Consult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1.57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Establishing Committee</w:t>
      </w:r>
      <w:r>
        <w:rPr>
          <w:rFonts w:ascii="Times New Roman" w:cs="Times New Roman" w:eastAsia="Times New Roman" w:hAnsi="Times New Roman"/>
          <w:sz w:val="20"/>
          <w:szCs w:val="20"/>
          <w:color w:val="auto"/>
        </w:rPr>
        <w:t>” has the meaning set forth in Section 3.5.3 (</w:t>
      </w:r>
      <w:r>
        <w:rPr>
          <w:rFonts w:ascii="Times New Roman" w:cs="Times New Roman" w:eastAsia="Times New Roman" w:hAnsi="Times New Roman"/>
          <w:sz w:val="20"/>
          <w:szCs w:val="20"/>
          <w:i w:val="1"/>
          <w:iCs w:val="1"/>
          <w:color w:val="auto"/>
        </w:rPr>
        <w:t>Operational Teams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7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1.58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European Region</w:t>
      </w:r>
      <w:r>
        <w:rPr>
          <w:rFonts w:ascii="Times New Roman" w:cs="Times New Roman" w:eastAsia="Times New Roman" w:hAnsi="Times New Roman"/>
          <w:sz w:val="20"/>
          <w:szCs w:val="20"/>
          <w:color w:val="auto"/>
        </w:rPr>
        <w:t>” means all members of the European Union or the European Economic Area (EEA) as of the Effective Date,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(a) France, (b) Germany, (c) Italy, (d) Spain, and (e) the Netherlands.</w:t>
      </w:r>
    </w:p>
    <w:p>
      <w:pPr>
        <w:spacing w:after="0" w:line="152" w:lineRule="exact"/>
        <w:rPr>
          <w:sz w:val="20"/>
          <w:szCs w:val="20"/>
          <w:color w:val="auto"/>
        </w:rPr>
      </w:pPr>
    </w:p>
    <w:p>
      <w:pPr>
        <w:jc w:val="both"/>
        <w:ind w:left="760" w:hanging="7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1.59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European Union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E.U.</w:t>
      </w:r>
      <w:r>
        <w:rPr>
          <w:rFonts w:ascii="Times New Roman" w:cs="Times New Roman" w:eastAsia="Times New Roman" w:hAnsi="Times New Roman"/>
          <w:sz w:val="20"/>
          <w:szCs w:val="20"/>
          <w:color w:val="auto"/>
        </w:rPr>
        <w:t>” means the economic, scientific, and political organization of member states of the European Union as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be constituted from time to time.</w:t>
      </w:r>
    </w:p>
    <w:p>
      <w:pPr>
        <w:spacing w:after="0" w:line="152" w:lineRule="exact"/>
        <w:rPr>
          <w:sz w:val="20"/>
          <w:szCs w:val="20"/>
          <w:color w:val="auto"/>
        </w:rPr>
      </w:pPr>
    </w:p>
    <w:p>
      <w:pPr>
        <w:jc w:val="both"/>
        <w:ind w:left="760" w:hanging="7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1.60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Executive Officer</w:t>
      </w:r>
      <w:r>
        <w:rPr>
          <w:rFonts w:ascii="Times New Roman" w:cs="Times New Roman" w:eastAsia="Times New Roman" w:hAnsi="Times New Roman"/>
          <w:sz w:val="20"/>
          <w:szCs w:val="20"/>
          <w:color w:val="auto"/>
        </w:rPr>
        <w:t>” means (a) with respect to Fulcrum, the Chief Executive Officer of Fulcrum or his/her designee or successor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appropriate decision-making authority (as of the Effective Date such individual is [***]); and (b) with respect to Sanofi, (i) in the case of any disputes relating to the Development of Licensed Compounds or Licensed Products (including the Manufacture of Licensed Compounds and Licensed Products in support of Development activities hereunder), the Head of Rare Disease Development or his/her designee or successor with appropriate decision-making authority (as of the Effective Date such individual is [***]), and (ii) in the case of any disputes relating to the Commercialization of Licensed Compounds or Licensed Products (including the Manufacture of Licensed Compounds and Licensed Products in support of Commercialization activities hereunder), the Global Head of Rare Disease or his/her designee or successor with appropriate decision-making authority (as of the Effective Date such individual is [***]).</w:t>
      </w:r>
    </w:p>
    <w:p>
      <w:pPr>
        <w:spacing w:after="0" w:line="186" w:lineRule="exact"/>
        <w:rPr>
          <w:sz w:val="20"/>
          <w:szCs w:val="20"/>
          <w:color w:val="auto"/>
        </w:rPr>
      </w:pPr>
    </w:p>
    <w:p>
      <w:pPr>
        <w:jc w:val="both"/>
        <w:ind w:left="760" w:right="2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1.61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Third Party IP Agreement</w:t>
      </w:r>
      <w:r>
        <w:rPr>
          <w:rFonts w:ascii="Times New Roman" w:cs="Times New Roman" w:eastAsia="Times New Roman" w:hAnsi="Times New Roman"/>
          <w:sz w:val="20"/>
          <w:szCs w:val="20"/>
          <w:color w:val="auto"/>
        </w:rPr>
        <w:t>” means any agreement identified in</w:t>
      </w:r>
      <w:r>
        <w:rPr>
          <w:rFonts w:ascii="Times New Roman" w:cs="Times New Roman" w:eastAsia="Times New Roman" w:hAnsi="Times New Roman"/>
          <w:sz w:val="20"/>
          <w:szCs w:val="20"/>
          <w:b w:val="1"/>
          <w:bCs w:val="1"/>
          <w:color w:val="auto"/>
        </w:rPr>
        <w:t xml:space="preserve"> Schedule 1.61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Existing Third Party IP Agreement</w:t>
      </w:r>
      <w:r>
        <w:rPr>
          <w:rFonts w:ascii="Times New Roman" w:cs="Times New Roman" w:eastAsia="Times New Roman" w:hAnsi="Times New Roman"/>
          <w:sz w:val="20"/>
          <w:szCs w:val="20"/>
          <w:color w:val="auto"/>
        </w:rPr>
        <w:t>) between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Fulcrum (or any of its Affiliates) and any Third Party entered into prior to the Effective Date under which such Third Party grants Fulcrum (or any of its Affiliates) a license to any of the Fulcrum Technology that is sublicensed to Sanofi hereunder as of the Effective Date.</w:t>
      </w:r>
    </w:p>
    <w:p>
      <w:pPr>
        <w:spacing w:after="0" w:line="176"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1.62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Exploit</w:t>
      </w:r>
      <w:r>
        <w:rPr>
          <w:rFonts w:ascii="Times New Roman" w:cs="Times New Roman" w:eastAsia="Times New Roman" w:hAnsi="Times New Roman"/>
          <w:sz w:val="20"/>
          <w:szCs w:val="20"/>
          <w:color w:val="auto"/>
        </w:rPr>
        <w:t>” means to make, have made, use, have used, import, have imported, export, have exported, offer to sell, have offered to sell,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sell, have sold, Research, have Researched, Develop, have Developed, Manufacture, have Manufactured, perform medical affairs activities for, have performed medical affairs activities for, Commercialize, have Commercialized or otherwise exploit or have exploited. “</w:t>
      </w:r>
      <w:r>
        <w:rPr>
          <w:rFonts w:ascii="Times New Roman" w:cs="Times New Roman" w:eastAsia="Times New Roman" w:hAnsi="Times New Roman"/>
          <w:sz w:val="20"/>
          <w:szCs w:val="20"/>
          <w:b w:val="1"/>
          <w:bCs w:val="1"/>
          <w:color w:val="auto"/>
        </w:rPr>
        <w:t>Exploitation</w:t>
      </w:r>
      <w:r>
        <w:rPr>
          <w:rFonts w:ascii="Times New Roman" w:cs="Times New Roman" w:eastAsia="Times New Roman" w:hAnsi="Times New Roman"/>
          <w:sz w:val="20"/>
          <w:szCs w:val="20"/>
          <w:color w:val="auto"/>
        </w:rPr>
        <w:t>” will be construed accordingly.</w:t>
      </w:r>
    </w:p>
    <w:p>
      <w:pPr>
        <w:spacing w:after="0" w:line="176" w:lineRule="exact"/>
        <w:rPr>
          <w:sz w:val="20"/>
          <w:szCs w:val="20"/>
          <w:color w:val="auto"/>
        </w:rPr>
      </w:pPr>
    </w:p>
    <w:p>
      <w:pPr>
        <w:jc w:val="both"/>
        <w:ind w:left="760" w:right="20" w:hanging="7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1.63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External Costs</w:t>
      </w:r>
      <w:r>
        <w:rPr>
          <w:rFonts w:ascii="Times New Roman" w:cs="Times New Roman" w:eastAsia="Times New Roman" w:hAnsi="Times New Roman"/>
          <w:sz w:val="20"/>
          <w:szCs w:val="20"/>
          <w:color w:val="auto"/>
        </w:rPr>
        <w:t>” mean reasonable, out-of-pocket costs and expenses actually paid to Third Parties and accrued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Standards by a Party (or its Affiliate) in consideration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4" w:name="page95"/>
    <w:bookmarkEnd w:id="94"/>
    <w:p>
      <w:pPr>
        <w:ind w:left="760"/>
        <w:spacing w:after="0"/>
        <w:rPr>
          <w:sz w:val="20"/>
          <w:szCs w:val="20"/>
          <w:color w:val="auto"/>
        </w:rPr>
      </w:pPr>
      <w:r>
        <w:rPr>
          <w:rFonts w:ascii="Times New Roman" w:cs="Times New Roman" w:eastAsia="Times New Roman" w:hAnsi="Times New Roman"/>
          <w:sz w:val="20"/>
          <w:szCs w:val="20"/>
          <w:color w:val="auto"/>
        </w:rPr>
        <w:t>of the performance of activities under this Agreement, and excluding any costs or expenses included under the FTE Rate.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1.64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Falsified Medicine</w:t>
      </w:r>
      <w:r>
        <w:rPr>
          <w:rFonts w:ascii="Times New Roman" w:cs="Times New Roman" w:eastAsia="Times New Roman" w:hAnsi="Times New Roman"/>
          <w:sz w:val="20"/>
          <w:szCs w:val="20"/>
          <w:color w:val="auto"/>
        </w:rPr>
        <w:t>” has the meaning set forth in Section 10.12.1 (</w:t>
      </w:r>
      <w:r>
        <w:rPr>
          <w:rFonts w:ascii="Times New Roman" w:cs="Times New Roman" w:eastAsia="Times New Roman" w:hAnsi="Times New Roman"/>
          <w:sz w:val="20"/>
          <w:szCs w:val="20"/>
          <w:i w:val="1"/>
          <w:iCs w:val="1"/>
          <w:color w:val="auto"/>
        </w:rPr>
        <w:t>Notification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748"/>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1.65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FD&amp;C Act</w:t>
      </w:r>
      <w:r>
        <w:rPr>
          <w:rFonts w:ascii="Times New Roman" w:cs="Times New Roman" w:eastAsia="Times New Roman" w:hAnsi="Times New Roman"/>
          <w:sz w:val="19"/>
          <w:szCs w:val="19"/>
          <w:color w:val="auto"/>
        </w:rPr>
        <w:t>” means the United States Federal Food, Drug and Cosmetic Act, as amended from time-to-time, together with any rules,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regulations, and requirements promulgated thereunder (including all additions, supplements, extensions, and modifications thereto).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1.66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means the U.S. Food and Drug Administration or any successor agency thereto.</w:t>
      </w:r>
    </w:p>
    <w:p>
      <w:pPr>
        <w:spacing w:after="0" w:line="216" w:lineRule="exact"/>
        <w:rPr>
          <w:sz w:val="20"/>
          <w:szCs w:val="20"/>
          <w:color w:val="auto"/>
        </w:rPr>
      </w:pPr>
    </w:p>
    <w:p>
      <w:pPr>
        <w:jc w:val="both"/>
        <w:ind w:left="760" w:hanging="7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1.67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Field</w:t>
      </w:r>
      <w:r>
        <w:rPr>
          <w:rFonts w:ascii="Times New Roman" w:cs="Times New Roman" w:eastAsia="Times New Roman" w:hAnsi="Times New Roman"/>
          <w:sz w:val="20"/>
          <w:szCs w:val="20"/>
          <w:color w:val="auto"/>
        </w:rPr>
        <w:t>” means any and all uses in all indications,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u w:val="single" w:color="auto"/>
          <w:color w:val="auto"/>
        </w:rPr>
        <w:t>except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context of the GSK Patent Rights with respect to which any reference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Field shall mean all therapeutic uses in humans.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1.68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Firewall Procedures</w:t>
      </w:r>
      <w:r>
        <w:rPr>
          <w:rFonts w:ascii="Times New Roman" w:cs="Times New Roman" w:eastAsia="Times New Roman" w:hAnsi="Times New Roman"/>
          <w:sz w:val="20"/>
          <w:szCs w:val="20"/>
          <w:color w:val="auto"/>
        </w:rPr>
        <w:t>” has the meaning set forth in Section 2.7.2 (</w:t>
      </w:r>
      <w:r>
        <w:rPr>
          <w:rFonts w:ascii="Times New Roman" w:cs="Times New Roman" w:eastAsia="Times New Roman" w:hAnsi="Times New Roman"/>
          <w:sz w:val="20"/>
          <w:szCs w:val="20"/>
          <w:i w:val="1"/>
          <w:iCs w:val="1"/>
          <w:color w:val="auto"/>
        </w:rPr>
        <w:t>Acquisition of a Competitive Product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748"/>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1.69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First Commercial Sale</w:t>
      </w:r>
      <w:r>
        <w:rPr>
          <w:rFonts w:ascii="Times New Roman" w:cs="Times New Roman" w:eastAsia="Times New Roman" w:hAnsi="Times New Roman"/>
          <w:sz w:val="19"/>
          <w:szCs w:val="19"/>
          <w:color w:val="auto"/>
        </w:rPr>
        <w:t>” means, on a Licensed Product-by-Licensed Product and country-by-country basis, the first sale of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Licensed Product for monetary value in such country to a Third Party for use or consumption by an end user following receipt of all Regulatory Approvals that are required in order to sell such Licensed Product in such country;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the following will not constitute a First Commercial Sale: (a) any sale to any of Sanofi’s Affiliates or Sublicensees, unless such Affiliate or Sublicensee is the last Person in the distribution chain of the Licensed Product; (b) any use by or on behalf of Sanofi or its Affiliates or Sublicensees of such Licensed Product in Clinical Trials or non-clinical development activities; or (c) any disposal or transfer of such Licensed Product for a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charitable purpose, compassionate use or as sample;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consideration received by Sanofi, its Affiliates or Sublicensees for such disposal or transfer is no more than the cost of goods for such Licensed Product plus a reasonable margin to compensate Sanofi for overhead costs related to the Manufacture of such Licensed Product.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1.70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Force Majeure Event</w:t>
      </w:r>
      <w:r>
        <w:rPr>
          <w:rFonts w:ascii="Times New Roman" w:cs="Times New Roman" w:eastAsia="Times New Roman" w:hAnsi="Times New Roman"/>
          <w:sz w:val="20"/>
          <w:szCs w:val="20"/>
          <w:color w:val="auto"/>
        </w:rPr>
        <w:t>” has the meaning set forth in Section 16.6 (</w:t>
      </w:r>
      <w:r>
        <w:rPr>
          <w:rFonts w:ascii="Times New Roman" w:cs="Times New Roman" w:eastAsia="Times New Roman" w:hAnsi="Times New Roman"/>
          <w:sz w:val="20"/>
          <w:szCs w:val="20"/>
          <w:i w:val="1"/>
          <w:iCs w:val="1"/>
          <w:color w:val="auto"/>
        </w:rPr>
        <w:t>Force Majeure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1.71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FSHD</w:t>
      </w:r>
      <w:r>
        <w:rPr>
          <w:rFonts w:ascii="Times New Roman" w:cs="Times New Roman" w:eastAsia="Times New Roman" w:hAnsi="Times New Roman"/>
          <w:sz w:val="20"/>
          <w:szCs w:val="20"/>
          <w:color w:val="auto"/>
        </w:rPr>
        <w:t>” has the meaning set forth in the Recitals.</w:t>
      </w:r>
    </w:p>
    <w:p>
      <w:pPr>
        <w:spacing w:after="0" w:line="216" w:lineRule="exact"/>
        <w:rPr>
          <w:sz w:val="20"/>
          <w:szCs w:val="20"/>
          <w:color w:val="auto"/>
        </w:rPr>
      </w:pPr>
    </w:p>
    <w:p>
      <w:pPr>
        <w:jc w:val="both"/>
        <w:ind w:left="760" w:hanging="74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1.72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FTE</w:t>
      </w:r>
      <w:r>
        <w:rPr>
          <w:rFonts w:ascii="Times New Roman" w:cs="Times New Roman" w:eastAsia="Times New Roman" w:hAnsi="Times New Roman"/>
          <w:sz w:val="20"/>
          <w:szCs w:val="20"/>
          <w:color w:val="auto"/>
        </w:rPr>
        <w:t>” means the equivalent of the work of one duly qualified employee of a Party full time for one year (consisting of a total of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working hours per year) carrying out Development activities under this Agreement. Overtime, and work on weekends, holidays and the like will not be counted with any multiplier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time-and-a-half or double time) toward the number of hours that are used to calculate the FTE contribution, and no individual may be charged at greater than one FTE, regardless of that individual’s hours worked during that year. The portion of an FTE billable by a Party for one employee during a given accounting period will be determined by dividing the number of hours worked directly by such employee on the work to be conducted under this Agreement during such accounting period by the number of FTE hours applicable for such accounting period based on [***] working hours per Calendar Year.</w:t>
      </w:r>
    </w:p>
    <w:p>
      <w:pPr>
        <w:spacing w:after="0" w:line="182" w:lineRule="exact"/>
        <w:rPr>
          <w:sz w:val="20"/>
          <w:szCs w:val="20"/>
          <w:color w:val="auto"/>
        </w:rPr>
      </w:pPr>
    </w:p>
    <w:p>
      <w:pPr>
        <w:jc w:val="both"/>
        <w:ind w:left="760" w:right="2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1.73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FTE Rate</w:t>
      </w:r>
      <w:r>
        <w:rPr>
          <w:rFonts w:ascii="Times New Roman" w:cs="Times New Roman" w:eastAsia="Times New Roman" w:hAnsi="Times New Roman"/>
          <w:sz w:val="20"/>
          <w:szCs w:val="20"/>
          <w:color w:val="auto"/>
        </w:rPr>
        <w:t>” means the rate of [***] per FTE per Calendar Year. Each FTE Rate will be prorated for the period beginning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Date and ending on December 31, 2024, and is subject to annual adjustment in each Calendar Year during the Term by the percentage increase or decrease in the Consumer Price Index published by the U.S. Bureau of Labor Statistics as of December 31 of each Calendar Year, over the level of such Consumer Price Index as of December 31 of the prior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Calendar Year, with the first such increase or decrease to be effective on January 1, 2025, or any other index as agreed upon by the Parties through the JSC. For the avoidance of doubt, such FTE Rate will be the fully-burdened rate and is intended to cover the cost of salaries, employee benefits, infrastructure costs, travel, general laboratory or office supplies, postage, insurance, training, and all other general expenses and overhead items, in each case, expended in connection with relevant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1.74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w:t>
      </w:r>
      <w:r>
        <w:rPr>
          <w:rFonts w:ascii="Times New Roman" w:cs="Times New Roman" w:eastAsia="Times New Roman" w:hAnsi="Times New Roman"/>
          <w:sz w:val="20"/>
          <w:szCs w:val="20"/>
          <w:color w:val="auto"/>
        </w:rPr>
        <w:t>” has the meaning set forth in the Preamble.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1.75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 Development Cost Share Notice</w:t>
      </w:r>
      <w:r>
        <w:rPr>
          <w:rFonts w:ascii="Times New Roman" w:cs="Times New Roman" w:eastAsia="Times New Roman" w:hAnsi="Times New Roman"/>
          <w:sz w:val="20"/>
          <w:szCs w:val="20"/>
          <w:color w:val="auto"/>
        </w:rPr>
        <w:t>” has the meaning set forth in Section 5.7.1 (</w:t>
      </w:r>
      <w:r>
        <w:rPr>
          <w:rFonts w:ascii="Times New Roman" w:cs="Times New Roman" w:eastAsia="Times New Roman" w:hAnsi="Times New Roman"/>
          <w:sz w:val="20"/>
          <w:szCs w:val="20"/>
          <w:i w:val="1"/>
          <w:iCs w:val="1"/>
          <w:color w:val="auto"/>
        </w:rPr>
        <w:t>Eligible Global Development Costs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1.76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 Indemnitees</w:t>
      </w:r>
      <w:r>
        <w:rPr>
          <w:rFonts w:ascii="Times New Roman" w:cs="Times New Roman" w:eastAsia="Times New Roman" w:hAnsi="Times New Roman"/>
          <w:sz w:val="20"/>
          <w:szCs w:val="20"/>
          <w:color w:val="auto"/>
        </w:rPr>
        <w:t>” has the meaning set forth in Section 13.2 (</w:t>
      </w:r>
      <w:r>
        <w:rPr>
          <w:rFonts w:ascii="Times New Roman" w:cs="Times New Roman" w:eastAsia="Times New Roman" w:hAnsi="Times New Roman"/>
          <w:sz w:val="20"/>
          <w:szCs w:val="20"/>
          <w:i w:val="1"/>
          <w:iCs w:val="1"/>
          <w:color w:val="auto"/>
        </w:rPr>
        <w:t>Indemnification by Sanofi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1.77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 Independent Development Activities</w:t>
      </w:r>
      <w:r>
        <w:rPr>
          <w:rFonts w:ascii="Times New Roman" w:cs="Times New Roman" w:eastAsia="Times New Roman" w:hAnsi="Times New Roman"/>
          <w:sz w:val="20"/>
          <w:szCs w:val="20"/>
          <w:color w:val="auto"/>
        </w:rPr>
        <w:t>” has the meaning set forth in Section 5.2 (</w:t>
      </w:r>
      <w:r>
        <w:rPr>
          <w:rFonts w:ascii="Times New Roman" w:cs="Times New Roman" w:eastAsia="Times New Roman" w:hAnsi="Times New Roman"/>
          <w:sz w:val="20"/>
          <w:szCs w:val="20"/>
          <w:i w:val="1"/>
          <w:iCs w:val="1"/>
          <w:color w:val="auto"/>
        </w:rPr>
        <w:t>Initial Global Development Plan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1.78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 Independent Development Plan</w:t>
      </w:r>
      <w:r>
        <w:rPr>
          <w:rFonts w:ascii="Times New Roman" w:cs="Times New Roman" w:eastAsia="Times New Roman" w:hAnsi="Times New Roman"/>
          <w:sz w:val="20"/>
          <w:szCs w:val="20"/>
          <w:color w:val="auto"/>
        </w:rPr>
        <w:t>” has the meaning set forth in Section 5.6 (</w:t>
      </w:r>
      <w:r>
        <w:rPr>
          <w:rFonts w:ascii="Times New Roman" w:cs="Times New Roman" w:eastAsia="Times New Roman" w:hAnsi="Times New Roman"/>
          <w:sz w:val="20"/>
          <w:szCs w:val="20"/>
          <w:i w:val="1"/>
          <w:iCs w:val="1"/>
          <w:color w:val="auto"/>
        </w:rPr>
        <w:t>Fulcrum Independent Development Plan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7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1.79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 Independent Development Program</w:t>
      </w:r>
      <w:r>
        <w:rPr>
          <w:rFonts w:ascii="Times New Roman" w:cs="Times New Roman" w:eastAsia="Times New Roman" w:hAnsi="Times New Roman"/>
          <w:sz w:val="20"/>
          <w:szCs w:val="20"/>
          <w:color w:val="auto"/>
        </w:rPr>
        <w:t>” means the program of Development activities conducted under the Fulcrum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Independent Development Plan, which, for clarity, will exclude any Development activities conducted under the Global Development Program or the Sanofi Independent Development Program.</w:t>
      </w:r>
    </w:p>
    <w:p>
      <w:pPr>
        <w:spacing w:after="0" w:line="169"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1.80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 Know-How</w:t>
      </w:r>
      <w:r>
        <w:rPr>
          <w:rFonts w:ascii="Times New Roman" w:cs="Times New Roman" w:eastAsia="Times New Roman" w:hAnsi="Times New Roman"/>
          <w:sz w:val="20"/>
          <w:szCs w:val="20"/>
          <w:color w:val="auto"/>
        </w:rPr>
        <w:t>” means, subject to Section 5.3.1(c)(iii) (</w:t>
      </w:r>
      <w:r>
        <w:rPr>
          <w:rFonts w:ascii="Times New Roman" w:cs="Times New Roman" w:eastAsia="Times New Roman" w:hAnsi="Times New Roman"/>
          <w:sz w:val="20"/>
          <w:szCs w:val="20"/>
          <w:i w:val="1"/>
          <w:iCs w:val="1"/>
          <w:color w:val="auto"/>
        </w:rPr>
        <w:t>Additional Activities under Global Development Plan</w:t>
      </w:r>
      <w:r>
        <w:rPr>
          <w:rFonts w:ascii="Times New Roman" w:cs="Times New Roman" w:eastAsia="Times New Roman" w:hAnsi="Times New Roman"/>
          <w:sz w:val="20"/>
          <w:szCs w:val="20"/>
          <w:color w:val="auto"/>
        </w:rPr>
        <w:t>), all Know-How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(excluding Fulcrum’s interest in Joint Collaboration Know-How) that is (a) Controlled by Fulcrum or any of its Affiliates as of the Effective Date or during the Term and (b) necessary or reasonably useful to Exploit a Licensed Compound or Licensed Product in the Field.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1.81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 Manufacturing Technology</w:t>
      </w:r>
      <w:r>
        <w:rPr>
          <w:rFonts w:ascii="Times New Roman" w:cs="Times New Roman" w:eastAsia="Times New Roman" w:hAnsi="Times New Roman"/>
          <w:sz w:val="20"/>
          <w:szCs w:val="20"/>
          <w:color w:val="auto"/>
        </w:rPr>
        <w:t>” has the meaning set forth in Section 8.3 (</w:t>
      </w:r>
      <w:r>
        <w:rPr>
          <w:rFonts w:ascii="Times New Roman" w:cs="Times New Roman" w:eastAsia="Times New Roman" w:hAnsi="Times New Roman"/>
          <w:sz w:val="20"/>
          <w:szCs w:val="20"/>
          <w:i w:val="1"/>
          <w:iCs w:val="1"/>
          <w:color w:val="auto"/>
        </w:rPr>
        <w:t>Manufacturing Technology Transfer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1.82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 Materials</w:t>
      </w:r>
      <w:r>
        <w:rPr>
          <w:rFonts w:ascii="Times New Roman" w:cs="Times New Roman" w:eastAsia="Times New Roman" w:hAnsi="Times New Roman"/>
          <w:sz w:val="20"/>
          <w:szCs w:val="20"/>
          <w:color w:val="auto"/>
        </w:rPr>
        <w:t>” means any assays, biological substances (and any constituents, progeny, mutants, derivatives, or replications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thereof or therefrom), chemical compounds, or other tangible materials (a) Controlled by Fulcrum or any of its Affiliates, (b) in the possession of Fulcrum, any of its Affiliates, or any of its subcontractors acting on behalf of Fulcrum under this Agreement as of the Effective Date or during the Term, and (c) (i) related to any Licensed Compound or Licensed Product or (ii) otherwise necessary or reasonably useful for the Research, Development, Manufacture, Commercialization or other Exploitation of any Licensed Compound or Licensed Product.</w:t>
      </w:r>
    </w:p>
    <w:p>
      <w:pPr>
        <w:spacing w:after="0" w:line="179"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1.83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 Patent Rights</w:t>
      </w:r>
      <w:r>
        <w:rPr>
          <w:rFonts w:ascii="Times New Roman" w:cs="Times New Roman" w:eastAsia="Times New Roman" w:hAnsi="Times New Roman"/>
          <w:sz w:val="20"/>
          <w:szCs w:val="20"/>
          <w:color w:val="auto"/>
        </w:rPr>
        <w:t>” means all Patent Rights (excluding Fulcrum’s interest in Joint Collaboration Patent Rights) that are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Controlled by Fulcrum or any of its Affiliates as of the Effective Date or during the Term and (b) necessary or reasonably useful (or, with respect to patent applications, would be necessary or reasonably useful if such patent applications were to issue as patents) to Exploit a Licensed Compound or Licensed Product in the Field. All Fulcrum Patent Rights as of the Effective Date are set forth on </w:t>
      </w:r>
      <w:r>
        <w:rPr>
          <w:rFonts w:ascii="Times New Roman" w:cs="Times New Roman" w:eastAsia="Times New Roman" w:hAnsi="Times New Roman"/>
          <w:sz w:val="20"/>
          <w:szCs w:val="20"/>
          <w:b w:val="1"/>
          <w:bCs w:val="1"/>
          <w:color w:val="auto"/>
        </w:rPr>
        <w:t xml:space="preserve">Schedule 1.83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Fulcrum Patent Rights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any Patent Right existing as of the Effective Date that otherwise would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included in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ind w:left="760"/>
        <w:spacing w:after="0" w:line="273" w:lineRule="auto"/>
        <w:rPr>
          <w:sz w:val="20"/>
          <w:szCs w:val="20"/>
          <w:color w:val="auto"/>
        </w:rPr>
      </w:pPr>
      <w:r>
        <w:rPr>
          <w:rFonts w:ascii="Times New Roman" w:cs="Times New Roman" w:eastAsia="Times New Roman" w:hAnsi="Times New Roman"/>
          <w:sz w:val="20"/>
          <w:szCs w:val="20"/>
          <w:color w:val="auto"/>
        </w:rPr>
        <w:t xml:space="preserve">definition of Fulcrum Patent Rights but is not included on </w:t>
      </w:r>
      <w:r>
        <w:rPr>
          <w:rFonts w:ascii="Times New Roman" w:cs="Times New Roman" w:eastAsia="Times New Roman" w:hAnsi="Times New Roman"/>
          <w:sz w:val="20"/>
          <w:szCs w:val="20"/>
          <w:b w:val="1"/>
          <w:bCs w:val="1"/>
          <w:color w:val="auto"/>
        </w:rPr>
        <w:t>Schedule 1.83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Fulcrum Patent Rights</w:t>
      </w:r>
      <w:r>
        <w:rPr>
          <w:rFonts w:ascii="Times New Roman" w:cs="Times New Roman" w:eastAsia="Times New Roman" w:hAnsi="Times New Roman"/>
          <w:sz w:val="20"/>
          <w:szCs w:val="20"/>
          <w:color w:val="auto"/>
        </w:rPr>
        <w:t>) will still be considered a Fulcrum Patent Right.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1.84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 Product Trademarks</w:t>
      </w:r>
      <w:r>
        <w:rPr>
          <w:rFonts w:ascii="Times New Roman" w:cs="Times New Roman" w:eastAsia="Times New Roman" w:hAnsi="Times New Roman"/>
          <w:sz w:val="20"/>
          <w:szCs w:val="20"/>
          <w:color w:val="auto"/>
        </w:rPr>
        <w:t>” has the meaning set forth in Section 10.11.1(b) (</w:t>
      </w:r>
      <w:r>
        <w:rPr>
          <w:rFonts w:ascii="Times New Roman" w:cs="Times New Roman" w:eastAsia="Times New Roman" w:hAnsi="Times New Roman"/>
          <w:sz w:val="20"/>
          <w:szCs w:val="20"/>
          <w:i w:val="1"/>
          <w:iCs w:val="1"/>
          <w:color w:val="auto"/>
        </w:rPr>
        <w:t>Ownership of Fulcrum Product Trademarks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1.85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 Prosecuted Patent Rights</w:t>
      </w:r>
      <w:r>
        <w:rPr>
          <w:rFonts w:ascii="Times New Roman" w:cs="Times New Roman" w:eastAsia="Times New Roman" w:hAnsi="Times New Roman"/>
          <w:sz w:val="20"/>
          <w:szCs w:val="20"/>
          <w:color w:val="auto"/>
        </w:rPr>
        <w:t>” has the meaning set forth in Section 10.2.1(a) (</w:t>
      </w:r>
      <w:r>
        <w:rPr>
          <w:rFonts w:ascii="Times New Roman" w:cs="Times New Roman" w:eastAsia="Times New Roman" w:hAnsi="Times New Roman"/>
          <w:sz w:val="20"/>
          <w:szCs w:val="20"/>
          <w:i w:val="1"/>
          <w:iCs w:val="1"/>
          <w:color w:val="auto"/>
        </w:rPr>
        <w:t>Right to Prosecute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right="20" w:hanging="7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1.86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 Sponsored Clinical Trial</w:t>
      </w:r>
      <w:r>
        <w:rPr>
          <w:rFonts w:ascii="Times New Roman" w:cs="Times New Roman" w:eastAsia="Times New Roman" w:hAnsi="Times New Roman"/>
          <w:sz w:val="20"/>
          <w:szCs w:val="20"/>
          <w:color w:val="auto"/>
        </w:rPr>
        <w:t>” means any Clinical Trial under the Global Development Plan for which Fulcrum is the sponsor,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the Global Phase 3 REACH Study.</w:t>
      </w:r>
    </w:p>
    <w:p>
      <w:pPr>
        <w:spacing w:after="0" w:line="152" w:lineRule="exact"/>
        <w:rPr>
          <w:sz w:val="20"/>
          <w:szCs w:val="20"/>
          <w:color w:val="auto"/>
        </w:rPr>
      </w:pPr>
    </w:p>
    <w:p>
      <w:pPr>
        <w:jc w:val="both"/>
        <w:ind w:left="760" w:hanging="7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1.87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 Technology</w:t>
      </w:r>
      <w:r>
        <w:rPr>
          <w:rFonts w:ascii="Times New Roman" w:cs="Times New Roman" w:eastAsia="Times New Roman" w:hAnsi="Times New Roman"/>
          <w:sz w:val="20"/>
          <w:szCs w:val="20"/>
          <w:color w:val="auto"/>
        </w:rPr>
        <w:t>” means the Fulcrum Know-How, the Fulcrum Patent Rights, the Fulcrum Materials and Fulcrum’s interest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Joint Collaboration Technology.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1.88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Fulcrum Territory</w:t>
      </w:r>
      <w:r>
        <w:rPr>
          <w:rFonts w:ascii="Times New Roman" w:cs="Times New Roman" w:eastAsia="Times New Roman" w:hAnsi="Times New Roman"/>
          <w:sz w:val="20"/>
          <w:szCs w:val="20"/>
          <w:color w:val="auto"/>
        </w:rPr>
        <w:t>” means the United States of America, including all territories and possessions thereof.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1.89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the generally accepted accounting principles in the United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1.90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Generic Competition</w:t>
      </w:r>
      <w:r>
        <w:rPr>
          <w:rFonts w:ascii="Times New Roman" w:cs="Times New Roman" w:eastAsia="Times New Roman" w:hAnsi="Times New Roman"/>
          <w:sz w:val="20"/>
          <w:szCs w:val="20"/>
          <w:color w:val="auto"/>
        </w:rPr>
        <w:t>” means, with respect to a Licensed Product in a country in the Sanofi Territory, [***].</w:t>
      </w:r>
    </w:p>
    <w:p>
      <w:pPr>
        <w:spacing w:after="0" w:line="216" w:lineRule="exact"/>
        <w:rPr>
          <w:sz w:val="20"/>
          <w:szCs w:val="20"/>
          <w:color w:val="auto"/>
        </w:rPr>
      </w:pPr>
    </w:p>
    <w:p>
      <w:pPr>
        <w:jc w:val="both"/>
        <w:ind w:left="760" w:hanging="748"/>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1.91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Generic Product</w:t>
      </w:r>
      <w:r>
        <w:rPr>
          <w:rFonts w:ascii="Times New Roman" w:cs="Times New Roman" w:eastAsia="Times New Roman" w:hAnsi="Times New Roman"/>
          <w:sz w:val="19"/>
          <w:szCs w:val="19"/>
          <w:color w:val="auto"/>
        </w:rPr>
        <w:t>” means, with respect to a Licensed Product in a country in the Sanofi Territory, a pharmaceutical product that: (a)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approved for use in such country pursuant to a regulatory approval process governing approval of a generic or biosimilar product of such Licensed Product based on the then-current standards for Regulatory Approval in such country, based upon all or part of the clinical data generated by the Parties pursuant to this Agreement or obtained using an abbreviated, expedited or other process; and</w:t>
      </w:r>
    </w:p>
    <w:p>
      <w:pPr>
        <w:spacing w:after="0" w:line="1" w:lineRule="exact"/>
        <w:rPr>
          <w:sz w:val="20"/>
          <w:szCs w:val="20"/>
          <w:color w:val="auto"/>
        </w:rPr>
      </w:pPr>
    </w:p>
    <w:p>
      <w:pPr>
        <w:jc w:val="both"/>
        <w:ind w:left="760" w:firstLine="46"/>
        <w:spacing w:after="0" w:line="242" w:lineRule="auto"/>
        <w:tabs>
          <w:tab w:leader="none" w:pos="109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sold in the same country as such Licensed Product by any Third Party that (i) is not a Sublicensee (other than a Sublicensee that has been granted a sublicense to any Licensed Product by Sanofi solely in connection with any settlement) and (ii) did not purchase such pharmaceutical product in a chain of distribution that included any of Sanofi, its Affiliates or its Sublicensees.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1.92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Global Development Budget</w:t>
      </w:r>
      <w:r>
        <w:rPr>
          <w:rFonts w:ascii="Times New Roman" w:cs="Times New Roman" w:eastAsia="Times New Roman" w:hAnsi="Times New Roman"/>
          <w:sz w:val="20"/>
          <w:szCs w:val="20"/>
          <w:color w:val="auto"/>
        </w:rPr>
        <w:t>” has the meaning set forth in Section 5.2 (</w:t>
      </w:r>
      <w:r>
        <w:rPr>
          <w:rFonts w:ascii="Times New Roman" w:cs="Times New Roman" w:eastAsia="Times New Roman" w:hAnsi="Times New Roman"/>
          <w:sz w:val="20"/>
          <w:szCs w:val="20"/>
          <w:i w:val="1"/>
          <w:iCs w:val="1"/>
          <w:color w:val="auto"/>
        </w:rPr>
        <w:t>Initial Global Development Plan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1.93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Global Development Costs</w:t>
      </w:r>
      <w:r>
        <w:rPr>
          <w:rFonts w:ascii="Times New Roman" w:cs="Times New Roman" w:eastAsia="Times New Roman" w:hAnsi="Times New Roman"/>
          <w:sz w:val="20"/>
          <w:szCs w:val="20"/>
          <w:color w:val="auto"/>
        </w:rPr>
        <w:t>” means those External Costs incurred directly by or on behalf of a Party or its Affiliates in connection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performance of any Research and Development activities for the Licensed Compounds and Licensed Products assigned to such Party under the Global Development Plan. In addition, Global Development Costs will include all Third Party payments made by a contracting Party or its Affiliate under a Collaboration In-License, to the extent allocable to or otherwise arising out of activities conducted under the Global Development Program. Global Development Costs will be recognized in accordance with the Accounting Standards.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1.94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Global Development Plan</w:t>
      </w:r>
      <w:r>
        <w:rPr>
          <w:rFonts w:ascii="Times New Roman" w:cs="Times New Roman" w:eastAsia="Times New Roman" w:hAnsi="Times New Roman"/>
          <w:sz w:val="20"/>
          <w:szCs w:val="20"/>
          <w:color w:val="auto"/>
        </w:rPr>
        <w:t>” has the meaning set forth in Section 5.2 (</w:t>
      </w:r>
      <w:r>
        <w:rPr>
          <w:rFonts w:ascii="Times New Roman" w:cs="Times New Roman" w:eastAsia="Times New Roman" w:hAnsi="Times New Roman"/>
          <w:sz w:val="20"/>
          <w:szCs w:val="20"/>
          <w:i w:val="1"/>
          <w:iCs w:val="1"/>
          <w:color w:val="auto"/>
        </w:rPr>
        <w:t>Initial Global Development Plan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7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1.95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Global Development Program</w:t>
      </w:r>
      <w:r>
        <w:rPr>
          <w:rFonts w:ascii="Times New Roman" w:cs="Times New Roman" w:eastAsia="Times New Roman" w:hAnsi="Times New Roman"/>
          <w:sz w:val="20"/>
          <w:szCs w:val="20"/>
          <w:color w:val="auto"/>
        </w:rPr>
        <w:t>” means the program of Research and Development activities conducted under the Global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 Plan.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7" w:name="page98"/>
    <w:bookmarkEnd w:id="97"/>
    <w:p>
      <w:pPr>
        <w:jc w:val="both"/>
        <w:ind w:left="760" w:hanging="7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1.96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Global Phase 3 REACH Study</w:t>
      </w:r>
      <w:r>
        <w:rPr>
          <w:rFonts w:ascii="Times New Roman" w:cs="Times New Roman" w:eastAsia="Times New Roman" w:hAnsi="Times New Roman"/>
          <w:sz w:val="20"/>
          <w:szCs w:val="20"/>
          <w:color w:val="auto"/>
        </w:rPr>
        <w:t>” means the ongoing Phase 3 Clinical Trial for a Licensed Product, with the clinical trial.gov identifier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NCT05397470.</w:t>
      </w:r>
    </w:p>
    <w:p>
      <w:pPr>
        <w:spacing w:after="0" w:line="152" w:lineRule="exact"/>
        <w:rPr>
          <w:sz w:val="20"/>
          <w:szCs w:val="20"/>
          <w:color w:val="auto"/>
        </w:rPr>
      </w:pPr>
    </w:p>
    <w:p>
      <w:pPr>
        <w:jc w:val="both"/>
        <w:ind w:left="760" w:hanging="748"/>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1.97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Global Trade Control Laws</w:t>
      </w:r>
      <w:r>
        <w:rPr>
          <w:rFonts w:ascii="Times New Roman" w:cs="Times New Roman" w:eastAsia="Times New Roman" w:hAnsi="Times New Roman"/>
          <w:sz w:val="19"/>
          <w:szCs w:val="19"/>
          <w:color w:val="auto"/>
        </w:rPr>
        <w:t>” means the U.S. Export Administration Regulations, the U.S. International Traffic in Arms Regulations,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economic sanctions regulations administered by the U.S. Treasury Department’s Office of Foreign Assets Control, E.U. Council Regulations on export controls, including Nos. 428/2009, 267/2012, other E.U. Council sanctions regulations, as implemented in the E.U. member states, United Nations sanctions policies, and all relevant regulations made under any of the foregoing.</w:t>
      </w:r>
    </w:p>
    <w:p>
      <w:pPr>
        <w:spacing w:after="0" w:line="158" w:lineRule="exact"/>
        <w:rPr>
          <w:sz w:val="20"/>
          <w:szCs w:val="20"/>
          <w:color w:val="auto"/>
        </w:rPr>
      </w:pPr>
    </w:p>
    <w:p>
      <w:pPr>
        <w:jc w:val="both"/>
        <w:ind w:left="760" w:hanging="748"/>
        <w:spacing w:after="0" w:line="237" w:lineRule="auto"/>
        <w:rPr>
          <w:sz w:val="20"/>
          <w:szCs w:val="20"/>
          <w:color w:val="auto"/>
        </w:rPr>
      </w:pPr>
      <w:r>
        <w:rPr>
          <w:rFonts w:ascii="Times New Roman" w:cs="Times New Roman" w:eastAsia="Times New Roman" w:hAnsi="Times New Roman"/>
          <w:sz w:val="20"/>
          <w:szCs w:val="20"/>
          <w:b w:val="1"/>
          <w:bCs w:val="1"/>
          <w:color w:val="auto"/>
        </w:rPr>
        <w:t xml:space="preserve">1.98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Clinical Practices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GCP</w:t>
      </w:r>
      <w:r>
        <w:rPr>
          <w:rFonts w:ascii="Times New Roman" w:cs="Times New Roman" w:eastAsia="Times New Roman" w:hAnsi="Times New Roman"/>
          <w:sz w:val="20"/>
          <w:szCs w:val="20"/>
          <w:color w:val="auto"/>
        </w:rPr>
        <w:t>” means the then-current good clinical practice standards, practices, and procedures promulgated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endorsed by the applicable Regulatory Authority as set forth in the guidelines imposed by such Regulatory Authority, as may be updated from time-to-time, that provide for, among other things, assurance that the clinical data and reported results are credible and accurate and protect the rights, integrity and confidentiality of trial subjects, including, as applicable: (a) as set forth in the International Conference on Harmonization of Technical Requirements for Registration of Pharmaceuticals for Human Use Harmonized Tripartite Guideline for Good Clinical Practice (CPMP/ICH/135/95), as may be applicable from time to time; (b) as set forth in the Declaration of Helsinki (2004), as last amended at the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0"/>
          <w:szCs w:val="20"/>
          <w:color w:val="auto"/>
        </w:rPr>
        <w:t xml:space="preserve"> World Medical Association in October 2000, as may be applicable from time to time; (c) as set forth in the U.S. Code of Federal Regulations Title 21, Parts 50 (Protection of Human Subjects), 56 (Institutional Review Boards) and 312 (Investigational New Drug Application), as may be applicable from time to time; and (d) the equivalent practices, standards and regulations promulgated or endorsed by the applicable Regulatory Authorities elsewhere in the Territory, as may be applicable from time to time, to the extent such standards are not less stringent than United States GCP.</w:t>
      </w:r>
    </w:p>
    <w:p>
      <w:pPr>
        <w:spacing w:after="0" w:line="190"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1.99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Laboratory Practices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GLP</w:t>
      </w:r>
      <w:r>
        <w:rPr>
          <w:rFonts w:ascii="Times New Roman" w:cs="Times New Roman" w:eastAsia="Times New Roman" w:hAnsi="Times New Roman"/>
          <w:sz w:val="20"/>
          <w:szCs w:val="20"/>
          <w:color w:val="auto"/>
        </w:rPr>
        <w:t>” means the then-current good laboratory practice standards, practices, and procedures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promulgated or endorsed by the applicable Regulatory Authority as set forth in the guidelines imposed by such Regulatory Authority, as may be updated from time-to-time, including: (a) in the United States, those promulgated or endorsed by the FDA in U.S. 21 C.F.R. Part 58, as may be applicable from time to time; and (b) the equivalent practices, standards and regulations promulgated or endorsed by the applicable Regulatory Authorities outside the United States, as may be applicable from time to time, to the extent such practices, standards and regulations are not less stringent than United States GLP.</w:t>
      </w:r>
    </w:p>
    <w:p>
      <w:pPr>
        <w:spacing w:after="0" w:line="179" w:lineRule="exact"/>
        <w:rPr>
          <w:sz w:val="20"/>
          <w:szCs w:val="20"/>
          <w:color w:val="auto"/>
        </w:rPr>
      </w:pPr>
    </w:p>
    <w:p>
      <w:pPr>
        <w:jc w:val="both"/>
        <w:ind w:left="760" w:hanging="748"/>
        <w:spacing w:after="0" w:line="261"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1.100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Good Manufacturing Practices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GMP</w:t>
      </w:r>
      <w:r>
        <w:rPr>
          <w:rFonts w:ascii="Times New Roman" w:cs="Times New Roman" w:eastAsia="Times New Roman" w:hAnsi="Times New Roman"/>
          <w:sz w:val="19"/>
          <w:szCs w:val="19"/>
          <w:color w:val="auto"/>
        </w:rPr>
        <w:t>” means the then-current good manufacturing practice standards, practices, and procedures promulgated or endorsed by the applicable Regulatory Authority as set forth in the guidelines imposed by such Regulatory Authority, as may be updated from time-to-time, including, as applicable, as promulgated under and in accordance with:</w:t>
      </w:r>
    </w:p>
    <w:p>
      <w:pPr>
        <w:spacing w:after="0" w:line="2" w:lineRule="exact"/>
        <w:rPr>
          <w:sz w:val="20"/>
          <w:szCs w:val="20"/>
          <w:color w:val="auto"/>
        </w:rPr>
      </w:pPr>
    </w:p>
    <w:p>
      <w:pPr>
        <w:jc w:val="both"/>
        <w:ind w:left="760" w:hanging="3"/>
        <w:spacing w:after="0"/>
        <w:tabs>
          <w:tab w:leader="none" w:pos="103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principles detailed in the U.S. Current Good Manufacturing Practices, 21 C.F.R. Parts 4, 210, 211, 601, 610 and 820, as may be applicable from time to time; (b) European Directive 2003/94/EC and EudraLex 4, as may be applicable from time to time; (c) the principles detailed in the International Conference on Harmonization’s Q7 Guideline, as may be applicable from time to time; and (d) the equivalent practices, standards and regulations promulgated or endorsed by the applicable Regulatory Authorities elsewhere in the Territory, as may be applicable from time to time, to the extent such practices, standards and regulations are not less stringent than United States GMP.</w:t>
      </w:r>
    </w:p>
    <w:p>
      <w:pPr>
        <w:spacing w:after="0" w:line="187"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1.101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 Official</w:t>
      </w:r>
      <w:r>
        <w:rPr>
          <w:rFonts w:ascii="Times New Roman" w:cs="Times New Roman" w:eastAsia="Times New Roman" w:hAnsi="Times New Roman"/>
          <w:sz w:val="20"/>
          <w:szCs w:val="20"/>
          <w:color w:val="auto"/>
        </w:rPr>
        <w:t>” means any official, officer, employee, or representative of: (a) any federal, state, provincial, administrative division, county, or municipal government or any department or agency thereof; (b) any public international organization or any department or agency thereof; 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8" w:name="page99"/>
    <w:bookmarkEnd w:id="98"/>
    <w:p>
      <w:pPr>
        <w:ind w:left="760"/>
        <w:spacing w:after="0"/>
        <w:rPr>
          <w:sz w:val="20"/>
          <w:szCs w:val="20"/>
          <w:color w:val="auto"/>
        </w:rPr>
      </w:pPr>
      <w:r>
        <w:rPr>
          <w:rFonts w:ascii="Times New Roman" w:cs="Times New Roman" w:eastAsia="Times New Roman" w:hAnsi="Times New Roman"/>
          <w:sz w:val="20"/>
          <w:szCs w:val="20"/>
          <w:color w:val="auto"/>
        </w:rPr>
        <w:t>(c) any company or other entity owned or controlled by any government or Governmental Authority.</w:t>
      </w:r>
    </w:p>
    <w:p>
      <w:pPr>
        <w:spacing w:after="0" w:line="212"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1.102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court, agency, department, authority, tribunal, or other instrumentality of any supra-national, national, state, provincial, county, city, or other political subdivision. For clarity, Governmental Authorities include all Regulatory Authorities.</w:t>
      </w:r>
    </w:p>
    <w:p>
      <w:pPr>
        <w:spacing w:after="0" w:line="169"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1.103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GSK</w:t>
      </w:r>
      <w:r>
        <w:rPr>
          <w:rFonts w:ascii="Times New Roman" w:cs="Times New Roman" w:eastAsia="Times New Roman" w:hAnsi="Times New Roman"/>
          <w:sz w:val="20"/>
          <w:szCs w:val="20"/>
          <w:color w:val="auto"/>
        </w:rPr>
        <w:t>” means collectively, (a) GlaxoSmithKline Intellectual Property (No. 2) Limited, a company organized under the laws of England and Wales and having a place of business at 980 Great West Road, Brentford, Middlesex TW8 9GS England, (b) GlaxoSmithKline LLC, a Delaware limited liability company having a place of business at 1250 S. Collegeville Road, Collegeville, PA 19426-0989, and (c) Glaxo Group Limited, a company organized under the laws of England and Wales and having a place of business at 980 Great West Road, Brentford, Middlesex TW8 9GS England.</w:t>
      </w:r>
    </w:p>
    <w:p>
      <w:pPr>
        <w:spacing w:after="0" w:line="180"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1.104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GSK License Agreement</w:t>
      </w:r>
      <w:r>
        <w:rPr>
          <w:rFonts w:ascii="Times New Roman" w:cs="Times New Roman" w:eastAsia="Times New Roman" w:hAnsi="Times New Roman"/>
          <w:sz w:val="20"/>
          <w:szCs w:val="20"/>
          <w:color w:val="auto"/>
        </w:rPr>
        <w:t>” means that certain Right of Reference and License Agreement by and between GSK and Fulcrum, effective as of February 8, 2019 and as amended by that First Amendment dated September 2020, and as may be further amended from time to time.</w:t>
      </w:r>
    </w:p>
    <w:p>
      <w:pPr>
        <w:spacing w:after="0" w:line="16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1.105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GSK Patent Rights</w:t>
      </w:r>
      <w:r>
        <w:rPr>
          <w:rFonts w:ascii="Times New Roman" w:cs="Times New Roman" w:eastAsia="Times New Roman" w:hAnsi="Times New Roman"/>
          <w:sz w:val="19"/>
          <w:szCs w:val="19"/>
          <w:color w:val="auto"/>
        </w:rPr>
        <w:t>” means those Patent Rights licensed to Fulcrum under the GSK License Agreement.</w:t>
      </w:r>
    </w:p>
    <w:p>
      <w:pPr>
        <w:spacing w:after="0" w:line="216"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1.106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GSK Side Letter</w:t>
      </w:r>
      <w:r>
        <w:rPr>
          <w:rFonts w:ascii="Times New Roman" w:cs="Times New Roman" w:eastAsia="Times New Roman" w:hAnsi="Times New Roman"/>
          <w:sz w:val="20"/>
          <w:szCs w:val="20"/>
          <w:color w:val="auto"/>
        </w:rPr>
        <w:t>” means that certain letter agreement titled “Re: Collaboration and License Agreement with Genzyme Corporation”, by and among GSK, Fulcrum and Sanofi, dated May 11, 2024.</w:t>
      </w:r>
    </w:p>
    <w:p>
      <w:pPr>
        <w:spacing w:after="0" w:line="1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1.107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IFRS</w:t>
      </w:r>
      <w:r>
        <w:rPr>
          <w:rFonts w:ascii="Times New Roman" w:cs="Times New Roman" w:eastAsia="Times New Roman" w:hAnsi="Times New Roman"/>
          <w:sz w:val="19"/>
          <w:szCs w:val="19"/>
          <w:color w:val="auto"/>
        </w:rPr>
        <w:t>” means International Financial Reporting Standards, consistently applied.</w:t>
      </w:r>
    </w:p>
    <w:p>
      <w:pPr>
        <w:spacing w:after="0" w:line="216"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1.108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w:t>
      </w:r>
      <w:r>
        <w:rPr>
          <w:rFonts w:ascii="Times New Roman" w:cs="Times New Roman" w:eastAsia="Times New Roman" w:hAnsi="Times New Roman"/>
          <w:sz w:val="20"/>
          <w:szCs w:val="20"/>
          <w:color w:val="auto"/>
        </w:rPr>
        <w:t>” means an Investigational New Drug application required pursuant to 21 C.F.R. Part 312 or any comparable filings outside of the U.S. required to commence human clinical trials in such country or region (such as an application for a Clinical Trial Authorization in the E.U.), and all supplements or amendments that may be filed with respect to the foregoing.</w:t>
      </w:r>
    </w:p>
    <w:p>
      <w:pPr>
        <w:spacing w:after="0" w:line="16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1.109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Indemnified Party</w:t>
      </w:r>
      <w:r>
        <w:rPr>
          <w:rFonts w:ascii="Times New Roman" w:cs="Times New Roman" w:eastAsia="Times New Roman" w:hAnsi="Times New Roman"/>
          <w:sz w:val="19"/>
          <w:szCs w:val="19"/>
          <w:color w:val="auto"/>
        </w:rPr>
        <w:t>” has the meaning set forth in Section 13.3 (</w:t>
      </w:r>
      <w:r>
        <w:rPr>
          <w:rFonts w:ascii="Times New Roman" w:cs="Times New Roman" w:eastAsia="Times New Roman" w:hAnsi="Times New Roman"/>
          <w:sz w:val="19"/>
          <w:szCs w:val="19"/>
          <w:i w:val="1"/>
          <w:iCs w:val="1"/>
          <w:color w:val="auto"/>
        </w:rPr>
        <w:t>Indemnification Procedure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Indemnifying Party</w:t>
      </w:r>
      <w:r>
        <w:rPr>
          <w:rFonts w:ascii="Times New Roman" w:cs="Times New Roman" w:eastAsia="Times New Roman" w:hAnsi="Times New Roman"/>
          <w:sz w:val="19"/>
          <w:szCs w:val="19"/>
          <w:color w:val="auto"/>
        </w:rPr>
        <w:t>” has the meaning set forth in Section 13.3 (</w:t>
      </w:r>
      <w:r>
        <w:rPr>
          <w:rFonts w:ascii="Times New Roman" w:cs="Times New Roman" w:eastAsia="Times New Roman" w:hAnsi="Times New Roman"/>
          <w:sz w:val="19"/>
          <w:szCs w:val="19"/>
          <w:i w:val="1"/>
          <w:iCs w:val="1"/>
          <w:color w:val="auto"/>
        </w:rPr>
        <w:t>Indemnification Procedure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Initial Global Development Plan</w:t>
      </w:r>
      <w:r>
        <w:rPr>
          <w:rFonts w:ascii="Times New Roman" w:cs="Times New Roman" w:eastAsia="Times New Roman" w:hAnsi="Times New Roman"/>
          <w:sz w:val="19"/>
          <w:szCs w:val="19"/>
          <w:color w:val="auto"/>
        </w:rPr>
        <w:t>” has the meaning set forth in Section 5.2 (</w:t>
      </w:r>
      <w:r>
        <w:rPr>
          <w:rFonts w:ascii="Times New Roman" w:cs="Times New Roman" w:eastAsia="Times New Roman" w:hAnsi="Times New Roman"/>
          <w:sz w:val="19"/>
          <w:szCs w:val="19"/>
          <w:i w:val="1"/>
          <w:iCs w:val="1"/>
          <w:color w:val="auto"/>
        </w:rPr>
        <w:t>Initial Global Development Plan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Initial Technology Transfer</w:t>
      </w:r>
      <w:r>
        <w:rPr>
          <w:rFonts w:ascii="Times New Roman" w:cs="Times New Roman" w:eastAsia="Times New Roman" w:hAnsi="Times New Roman"/>
          <w:sz w:val="19"/>
          <w:szCs w:val="19"/>
          <w:color w:val="auto"/>
        </w:rPr>
        <w:t>” has the meaning set forth in Section 4.1 (</w:t>
      </w:r>
      <w:r>
        <w:rPr>
          <w:rFonts w:ascii="Times New Roman" w:cs="Times New Roman" w:eastAsia="Times New Roman" w:hAnsi="Times New Roman"/>
          <w:sz w:val="19"/>
          <w:szCs w:val="19"/>
          <w:i w:val="1"/>
          <w:iCs w:val="1"/>
          <w:color w:val="auto"/>
        </w:rPr>
        <w:t>Initial Technology Transfer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Internal Costs</w:t>
      </w:r>
      <w:r>
        <w:rPr>
          <w:rFonts w:ascii="Times New Roman" w:cs="Times New Roman" w:eastAsia="Times New Roman" w:hAnsi="Times New Roman"/>
          <w:sz w:val="20"/>
          <w:szCs w:val="20"/>
          <w:color w:val="auto"/>
        </w:rPr>
        <w:t xml:space="preserve">” means, for any period of time, the product obtained by </w:t>
      </w:r>
      <w:r>
        <w:rPr>
          <w:rFonts w:ascii="Times New Roman" w:cs="Times New Roman" w:eastAsia="Times New Roman" w:hAnsi="Times New Roman"/>
          <w:sz w:val="20"/>
          <w:szCs w:val="20"/>
          <w:i w:val="1"/>
          <w:iCs w:val="1"/>
          <w:color w:val="auto"/>
        </w:rPr>
        <w:t>multiplying</w:t>
      </w:r>
      <w:r>
        <w:rPr>
          <w:rFonts w:ascii="Times New Roman" w:cs="Times New Roman" w:eastAsia="Times New Roman" w:hAnsi="Times New Roman"/>
          <w:sz w:val="20"/>
          <w:szCs w:val="20"/>
          <w:color w:val="auto"/>
        </w:rPr>
        <w:t xml:space="preserve"> (a) the actual total FTEs (or portion thereof) devoted to the performance of a required or permitted activity under this Agreement during such period </w:t>
      </w:r>
      <w:r>
        <w:rPr>
          <w:rFonts w:ascii="Times New Roman" w:cs="Times New Roman" w:eastAsia="Times New Roman" w:hAnsi="Times New Roman"/>
          <w:sz w:val="20"/>
          <w:szCs w:val="20"/>
          <w:i w:val="1"/>
          <w:iCs w:val="1"/>
          <w:color w:val="auto"/>
        </w:rPr>
        <w:t>by</w:t>
      </w:r>
      <w:r>
        <w:rPr>
          <w:rFonts w:ascii="Times New Roman" w:cs="Times New Roman" w:eastAsia="Times New Roman" w:hAnsi="Times New Roman"/>
          <w:sz w:val="20"/>
          <w:szCs w:val="20"/>
          <w:color w:val="auto"/>
        </w:rPr>
        <w:t xml:space="preserve"> (b) the applicable FTE Rate for such period.</w:t>
      </w:r>
    </w:p>
    <w:p>
      <w:pPr>
        <w:spacing w:after="0" w:line="169"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Invention</w:t>
      </w:r>
      <w:r>
        <w:rPr>
          <w:rFonts w:ascii="Times New Roman" w:cs="Times New Roman" w:eastAsia="Times New Roman" w:hAnsi="Times New Roman"/>
          <w:sz w:val="20"/>
          <w:szCs w:val="20"/>
          <w:color w:val="auto"/>
        </w:rPr>
        <w:t>” means any process, method, composition of matter, article of manufacture, discovery, or finding that is conceived or reduced to practice (whether or not patentable).</w:t>
      </w:r>
    </w:p>
    <w:p>
      <w:pPr>
        <w:spacing w:after="0" w:line="1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IRS</w:t>
      </w:r>
      <w:r>
        <w:rPr>
          <w:rFonts w:ascii="Times New Roman" w:cs="Times New Roman" w:eastAsia="Times New Roman" w:hAnsi="Times New Roman"/>
          <w:sz w:val="19"/>
          <w:szCs w:val="19"/>
          <w:color w:val="auto"/>
        </w:rPr>
        <w:t>” has the meaning set forth in Section 9.11.3 (</w:t>
      </w:r>
      <w:r>
        <w:rPr>
          <w:rFonts w:ascii="Times New Roman" w:cs="Times New Roman" w:eastAsia="Times New Roman" w:hAnsi="Times New Roman"/>
          <w:sz w:val="19"/>
          <w:szCs w:val="19"/>
          <w:i w:val="1"/>
          <w:iCs w:val="1"/>
          <w:color w:val="auto"/>
        </w:rPr>
        <w:t>Tax Cooperation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JAMS</w:t>
      </w:r>
      <w:r>
        <w:rPr>
          <w:rFonts w:ascii="Times New Roman" w:cs="Times New Roman" w:eastAsia="Times New Roman" w:hAnsi="Times New Roman"/>
          <w:sz w:val="19"/>
          <w:szCs w:val="19"/>
          <w:color w:val="auto"/>
        </w:rPr>
        <w:t>” has the meaning set forth in Section 15.1.2 (</w:t>
      </w:r>
      <w:r>
        <w:rPr>
          <w:rFonts w:ascii="Times New Roman" w:cs="Times New Roman" w:eastAsia="Times New Roman" w:hAnsi="Times New Roman"/>
          <w:sz w:val="19"/>
          <w:szCs w:val="19"/>
          <w:i w:val="1"/>
          <w:iCs w:val="1"/>
          <w:color w:val="auto"/>
        </w:rPr>
        <w:t>Dispute Resolution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JAMS Rules</w:t>
      </w:r>
      <w:r>
        <w:rPr>
          <w:rFonts w:ascii="Times New Roman" w:cs="Times New Roman" w:eastAsia="Times New Roman" w:hAnsi="Times New Roman"/>
          <w:sz w:val="19"/>
          <w:szCs w:val="19"/>
          <w:color w:val="auto"/>
        </w:rPr>
        <w:t>” has the meaning set forth in Section 15.1.2 (</w:t>
      </w:r>
      <w:r>
        <w:rPr>
          <w:rFonts w:ascii="Times New Roman" w:cs="Times New Roman" w:eastAsia="Times New Roman" w:hAnsi="Times New Roman"/>
          <w:sz w:val="19"/>
          <w:szCs w:val="19"/>
          <w:i w:val="1"/>
          <w:iCs w:val="1"/>
          <w:color w:val="auto"/>
        </w:rPr>
        <w:t>Dispute Resolution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JCC</w:t>
      </w:r>
      <w:r>
        <w:rPr>
          <w:rFonts w:ascii="Times New Roman" w:cs="Times New Roman" w:eastAsia="Times New Roman" w:hAnsi="Times New Roman"/>
          <w:sz w:val="19"/>
          <w:szCs w:val="19"/>
          <w:color w:val="auto"/>
        </w:rPr>
        <w:t>” has the meaning set forth in Section 3.4.1 (</w:t>
      </w:r>
      <w:r>
        <w:rPr>
          <w:rFonts w:ascii="Times New Roman" w:cs="Times New Roman" w:eastAsia="Times New Roman" w:hAnsi="Times New Roman"/>
          <w:sz w:val="19"/>
          <w:szCs w:val="19"/>
          <w:i w:val="1"/>
          <w:iCs w:val="1"/>
          <w:color w:val="auto"/>
        </w:rPr>
        <w:t>Formation and Purpose of the JCC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JDC</w:t>
      </w:r>
      <w:r>
        <w:rPr>
          <w:rFonts w:ascii="Times New Roman" w:cs="Times New Roman" w:eastAsia="Times New Roman" w:hAnsi="Times New Roman"/>
          <w:sz w:val="19"/>
          <w:szCs w:val="19"/>
          <w:color w:val="auto"/>
        </w:rPr>
        <w:t>” has the meaning set forth in Section 3.2.1 (</w:t>
      </w:r>
      <w:r>
        <w:rPr>
          <w:rFonts w:ascii="Times New Roman" w:cs="Times New Roman" w:eastAsia="Times New Roman" w:hAnsi="Times New Roman"/>
          <w:sz w:val="19"/>
          <w:szCs w:val="19"/>
          <w:i w:val="1"/>
          <w:iCs w:val="1"/>
          <w:color w:val="auto"/>
        </w:rPr>
        <w:t>Formation and Purpose of the JDC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JMC</w:t>
      </w:r>
      <w:r>
        <w:rPr>
          <w:rFonts w:ascii="Times New Roman" w:cs="Times New Roman" w:eastAsia="Times New Roman" w:hAnsi="Times New Roman"/>
          <w:sz w:val="19"/>
          <w:szCs w:val="19"/>
          <w:color w:val="auto"/>
        </w:rPr>
        <w:t>” has the meaning set forth in Section 3.3.1 (</w:t>
      </w:r>
      <w:r>
        <w:rPr>
          <w:rFonts w:ascii="Times New Roman" w:cs="Times New Roman" w:eastAsia="Times New Roman" w:hAnsi="Times New Roman"/>
          <w:sz w:val="19"/>
          <w:szCs w:val="19"/>
          <w:i w:val="1"/>
          <w:iCs w:val="1"/>
          <w:color w:val="auto"/>
        </w:rPr>
        <w:t>Formation and Purpose of the JMC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1.121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Joint Collaboration Know-How</w:t>
      </w:r>
      <w:r>
        <w:rPr>
          <w:rFonts w:ascii="Times New Roman" w:cs="Times New Roman" w:eastAsia="Times New Roman" w:hAnsi="Times New Roman"/>
          <w:sz w:val="20"/>
          <w:szCs w:val="20"/>
          <w:color w:val="auto"/>
        </w:rPr>
        <w:t>” means all Collaboration Know-How that is conceived, discovered, developed, invented or otherwise made jointly by a Party’s or its Affiliates’, licensees’, Sublicensees’, or subcontractors’ employees, agents, or independent contractors, or any Persons contractually required to assign or license such Collaboration Know-How to such Party or any Affiliate of such Party, on the one hand, and the other Party’s or its Affiliates’, licensees’, Sublicensees’, or subcontractors’ employees, agents, or independent contractors, or any Persons contractually required to assign or license such Collaboration Know-How to such Party or any Affiliate of such Party, on the other hand.</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Joint Collaboration Patent Rights</w:t>
      </w:r>
      <w:r>
        <w:rPr>
          <w:rFonts w:ascii="Times New Roman" w:cs="Times New Roman" w:eastAsia="Times New Roman" w:hAnsi="Times New Roman"/>
          <w:sz w:val="19"/>
          <w:szCs w:val="19"/>
          <w:color w:val="auto"/>
        </w:rPr>
        <w:t>” means all Collaboration Patent Rights that Cover Joint Collaboration Know-How.</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Joint Collaboration Technology</w:t>
      </w:r>
      <w:r>
        <w:rPr>
          <w:rFonts w:ascii="Times New Roman" w:cs="Times New Roman" w:eastAsia="Times New Roman" w:hAnsi="Times New Roman"/>
          <w:sz w:val="19"/>
          <w:szCs w:val="19"/>
          <w:color w:val="auto"/>
        </w:rPr>
        <w:t>” means the Joint Collaboration Know-How and the Joint Collaboration Patent Rights.</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JSC</w:t>
      </w:r>
      <w:r>
        <w:rPr>
          <w:rFonts w:ascii="Times New Roman" w:cs="Times New Roman" w:eastAsia="Times New Roman" w:hAnsi="Times New Roman"/>
          <w:sz w:val="19"/>
          <w:szCs w:val="19"/>
          <w:color w:val="auto"/>
        </w:rPr>
        <w:t>” has the meaning set forth in Section 3.1.1 (</w:t>
      </w:r>
      <w:r>
        <w:rPr>
          <w:rFonts w:ascii="Times New Roman" w:cs="Times New Roman" w:eastAsia="Times New Roman" w:hAnsi="Times New Roman"/>
          <w:sz w:val="19"/>
          <w:szCs w:val="19"/>
          <w:i w:val="1"/>
          <w:iCs w:val="1"/>
          <w:color w:val="auto"/>
        </w:rPr>
        <w:t>Formation and Purpose of the JSC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1.125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Know-How</w:t>
      </w:r>
      <w:r>
        <w:rPr>
          <w:rFonts w:ascii="Times New Roman" w:cs="Times New Roman" w:eastAsia="Times New Roman" w:hAnsi="Times New Roman"/>
          <w:sz w:val="20"/>
          <w:szCs w:val="20"/>
          <w:color w:val="auto"/>
        </w:rPr>
        <w:t>” means proprietary Inventions, discoveries, trade secrets, materials, information, experience, data, formulas, procedures, technology, and results (whether or not patentable), including practices, knowledge, know-how, experience and test data (including physical, chemical, biological, toxicological, pharmacological, clinical and veterinary data), dosage regimens, assays, diagnostics, product specifications, manufacturing techniques and costs, analytical and quality control data and marketing, pricing and distribution costs, and sales practices, methods, data, and descriptions, in each case, whether patentable or not, and, in each case, tangible manifestations thereof.</w:t>
      </w:r>
    </w:p>
    <w:p>
      <w:pPr>
        <w:spacing w:after="0" w:line="179"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1.126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Knowledge</w:t>
      </w:r>
      <w:r>
        <w:rPr>
          <w:rFonts w:ascii="Times New Roman" w:cs="Times New Roman" w:eastAsia="Times New Roman" w:hAnsi="Times New Roman"/>
          <w:sz w:val="20"/>
          <w:szCs w:val="20"/>
          <w:color w:val="auto"/>
        </w:rPr>
        <w:t>” means (a) with respect to Fulcrum, the actual knowledge of [***]; and (b) with respect to Sanofi, the actual knowledge of [***].</w:t>
      </w:r>
    </w:p>
    <w:p>
      <w:pPr>
        <w:spacing w:after="0" w:line="152"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1.127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Latin American Region</w:t>
      </w:r>
      <w:r>
        <w:rPr>
          <w:rFonts w:ascii="Times New Roman" w:cs="Times New Roman" w:eastAsia="Times New Roman" w:hAnsi="Times New Roman"/>
          <w:sz w:val="20"/>
          <w:szCs w:val="20"/>
          <w:color w:val="auto"/>
        </w:rPr>
        <w:t>” means the following countries and territories: all countries and territories of South America (excluding French Guiana), Mexico, Belize, Costa Rica, El Salvador, Guatemala, Honduras, Nicaragua, Panama, Cuba, Dominican Republic, and Haiti.</w:t>
      </w:r>
    </w:p>
    <w:p>
      <w:pPr>
        <w:spacing w:after="0" w:line="16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Launch Quarter</w:t>
      </w:r>
      <w:r>
        <w:rPr>
          <w:rFonts w:ascii="Times New Roman" w:cs="Times New Roman" w:eastAsia="Times New Roman" w:hAnsi="Times New Roman"/>
          <w:sz w:val="19"/>
          <w:szCs w:val="19"/>
          <w:color w:val="auto"/>
        </w:rPr>
        <w:t>” has the meaning set forth in Section 9.3.2(b) (</w:t>
      </w:r>
      <w:r>
        <w:rPr>
          <w:rFonts w:ascii="Times New Roman" w:cs="Times New Roman" w:eastAsia="Times New Roman" w:hAnsi="Times New Roman"/>
          <w:sz w:val="19"/>
          <w:szCs w:val="19"/>
          <w:i w:val="1"/>
          <w:iCs w:val="1"/>
          <w:color w:val="auto"/>
        </w:rPr>
        <w:t>Generic Competition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1.129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Compound</w:t>
      </w:r>
      <w:r>
        <w:rPr>
          <w:rFonts w:ascii="Times New Roman" w:cs="Times New Roman" w:eastAsia="Times New Roman" w:hAnsi="Times New Roman"/>
          <w:sz w:val="20"/>
          <w:szCs w:val="20"/>
          <w:color w:val="auto"/>
        </w:rPr>
        <w:t>” means (a) Losmapimod or (b) any molecule that is Controlled by Fulcrum or its Affiliates as of the Effective Date or at any time during the Term, including any back-up compounds of Losmapimod, that binds or otherwise modulates p38a/b MAPK with a measured IC50 of &lt;50 nM in an established FSHD cell model-based assay that measures the reduction in MBD3L2 gene expression (normalized to POLR2A gene expression), as demonstrated in the Rojas, LA, et al. (2020). p38 α Regulates Expression of DUX4 in a Model of Facioscapulohumeral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0" w:name="page101"/>
    <w:bookmarkEnd w:id="100"/>
    <w:p>
      <w:pPr>
        <w:ind w:left="760"/>
        <w:spacing w:after="0" w:line="269" w:lineRule="auto"/>
        <w:rPr>
          <w:sz w:val="20"/>
          <w:szCs w:val="20"/>
          <w:color w:val="auto"/>
        </w:rPr>
      </w:pPr>
      <w:r>
        <w:rPr>
          <w:rFonts w:ascii="Times New Roman" w:cs="Times New Roman" w:eastAsia="Times New Roman" w:hAnsi="Times New Roman"/>
          <w:sz w:val="20"/>
          <w:szCs w:val="20"/>
          <w:color w:val="auto"/>
        </w:rPr>
        <w:t>Muscular Dystrophy. J Pharmacol Exp Ther. Sep;374(3):489-498. doi:10.1124/jpet.119.264689 publication; and (c) any Derivatives of such compounds described in the foregoing clauses (a) or (b).</w:t>
      </w:r>
    </w:p>
    <w:p>
      <w:pPr>
        <w:spacing w:after="0" w:line="155"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1.130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Product</w:t>
      </w:r>
      <w:r>
        <w:rPr>
          <w:rFonts w:ascii="Times New Roman" w:cs="Times New Roman" w:eastAsia="Times New Roman" w:hAnsi="Times New Roman"/>
          <w:sz w:val="20"/>
          <w:szCs w:val="20"/>
          <w:color w:val="auto"/>
        </w:rPr>
        <w:t>” means any product containing a Licensed Compound as an active pharmaceutical ingredient, in any and all forms, presentations, delivery systems, dosages and formulations, alone or in combination with one or more Other Active Ingredients.</w:t>
      </w:r>
    </w:p>
    <w:p>
      <w:pPr>
        <w:spacing w:after="0" w:line="169"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1.131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Sanofi Technology</w:t>
      </w:r>
      <w:r>
        <w:rPr>
          <w:rFonts w:ascii="Times New Roman" w:cs="Times New Roman" w:eastAsia="Times New Roman" w:hAnsi="Times New Roman"/>
          <w:sz w:val="20"/>
          <w:szCs w:val="20"/>
          <w:color w:val="auto"/>
        </w:rPr>
        <w:t>” has the meaning set forth in Section 2.6.2(b)(ii) (</w:t>
      </w:r>
      <w:r>
        <w:rPr>
          <w:rFonts w:ascii="Times New Roman" w:cs="Times New Roman" w:eastAsia="Times New Roman" w:hAnsi="Times New Roman"/>
          <w:sz w:val="20"/>
          <w:szCs w:val="20"/>
          <w:i w:val="1"/>
          <w:iCs w:val="1"/>
          <w:color w:val="auto"/>
        </w:rPr>
        <w:t>New Collaboration In-Licenses</w:t>
      </w:r>
      <w:r>
        <w:rPr>
          <w:rFonts w:ascii="Times New Roman" w:cs="Times New Roman" w:eastAsia="Times New Roman" w:hAnsi="Times New Roman"/>
          <w:sz w:val="20"/>
          <w:szCs w:val="20"/>
          <w:color w:val="auto"/>
        </w:rPr>
        <w:t>) and Section 2.11 (</w:t>
      </w:r>
      <w:r>
        <w:rPr>
          <w:rFonts w:ascii="Times New Roman" w:cs="Times New Roman" w:eastAsia="Times New Roman" w:hAnsi="Times New Roman"/>
          <w:sz w:val="20"/>
          <w:szCs w:val="20"/>
          <w:i w:val="1"/>
          <w:iCs w:val="1"/>
          <w:color w:val="auto"/>
        </w:rPr>
        <w:t>Licensed Sanofi Technology</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left="760" w:right="2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1.132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Losmapimod</w:t>
      </w:r>
      <w:r>
        <w:rPr>
          <w:rFonts w:ascii="Times New Roman" w:cs="Times New Roman" w:eastAsia="Times New Roman" w:hAnsi="Times New Roman"/>
          <w:sz w:val="20"/>
          <w:szCs w:val="20"/>
          <w:color w:val="auto"/>
        </w:rPr>
        <w:t xml:space="preserve">” means that certain product candidate designated by Fulcrum as of the Effective Date as “Losmapimod”, as further described on </w:t>
      </w:r>
      <w:r>
        <w:rPr>
          <w:rFonts w:ascii="Times New Roman" w:cs="Times New Roman" w:eastAsia="Times New Roman" w:hAnsi="Times New Roman"/>
          <w:sz w:val="20"/>
          <w:szCs w:val="20"/>
          <w:b w:val="1"/>
          <w:bCs w:val="1"/>
          <w:color w:val="auto"/>
        </w:rPr>
        <w:t>Schedule 1.132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Losmapimod</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1.133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has the meaning set forth in Section 13.1 (</w:t>
      </w:r>
      <w:r>
        <w:rPr>
          <w:rFonts w:ascii="Times New Roman" w:cs="Times New Roman" w:eastAsia="Times New Roman" w:hAnsi="Times New Roman"/>
          <w:sz w:val="19"/>
          <w:szCs w:val="19"/>
          <w:i w:val="1"/>
          <w:iCs w:val="1"/>
          <w:color w:val="auto"/>
        </w:rPr>
        <w:t>Indemnification by Fulcrum</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1.134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Marketing Authorization Application</w:t>
      </w:r>
      <w:r>
        <w:rPr>
          <w:rFonts w:ascii="Times New Roman" w:cs="Times New Roman" w:eastAsia="Times New Roman" w:hAnsi="Times New Roman"/>
          <w:sz w:val="20"/>
          <w:szCs w:val="20"/>
          <w:color w:val="auto"/>
        </w:rPr>
        <w:t>” means any (a) Biologics License Application submitted under Section 351(a) of the PHSA, (b) New Drug Application as defined in the FD&amp;C Act, or (c) substantially similar application or submission to those set forth in clause (a) or clause (b) filed with a Regulatory Authority in a country or group of countries to obtain Regulatory Approval to Commercialize a biopharmaceutical or diagnostic product in that country or in that group of countries, including, with respect to the E.U., a Marketing Authorization Application filed with the EMA pursuant to the centralized approval procedure or with the applicable Regulatory Authority of a country in the E.U. with respect to the mutual recognition or any other national approval, in each case ((a) through (c)), including any amendments thereto, and supplemental applications, but excluding Reimbursement Approval applications.</w:t>
      </w:r>
    </w:p>
    <w:p>
      <w:pPr>
        <w:spacing w:after="0" w:line="182"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1.135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Manufacture</w:t>
      </w:r>
      <w:r>
        <w:rPr>
          <w:rFonts w:ascii="Times New Roman" w:cs="Times New Roman" w:eastAsia="Times New Roman" w:hAnsi="Times New Roman"/>
          <w:sz w:val="20"/>
          <w:szCs w:val="20"/>
          <w:color w:val="auto"/>
        </w:rPr>
        <w:t>” means all activities related to the manufacturing of a compound or product or any component or ingredient thereof, including: (a) the production, manufacture, having manufactured, processing, filling, finishing, packaging, labeling, shipping and holding of product or any intermediate thereof; and (b) process development; process qualification and validation; scale-up; commercial manufacture; analytic development; product characterization; stability testing; and quality assurance and quality control. “</w:t>
      </w:r>
      <w:r>
        <w:rPr>
          <w:rFonts w:ascii="Times New Roman" w:cs="Times New Roman" w:eastAsia="Times New Roman" w:hAnsi="Times New Roman"/>
          <w:sz w:val="20"/>
          <w:szCs w:val="20"/>
          <w:b w:val="1"/>
          <w:bCs w:val="1"/>
          <w:color w:val="auto"/>
        </w:rPr>
        <w:t>Manufacturing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Manufactured</w:t>
      </w:r>
      <w:r>
        <w:rPr>
          <w:rFonts w:ascii="Times New Roman" w:cs="Times New Roman" w:eastAsia="Times New Roman" w:hAnsi="Times New Roman"/>
          <w:sz w:val="20"/>
          <w:szCs w:val="20"/>
          <w:color w:val="auto"/>
        </w:rPr>
        <w:t>” will be construed accordingly.</w:t>
      </w:r>
    </w:p>
    <w:p>
      <w:pPr>
        <w:spacing w:after="0" w:line="180"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1.136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Manufacturing Costs</w:t>
      </w:r>
      <w:r>
        <w:rPr>
          <w:rFonts w:ascii="Times New Roman" w:cs="Times New Roman" w:eastAsia="Times New Roman" w:hAnsi="Times New Roman"/>
          <w:sz w:val="20"/>
          <w:szCs w:val="20"/>
          <w:color w:val="auto"/>
        </w:rPr>
        <w:t>” means, with respect to a Licensed Compound or Licensed Product, the direct costs incurred by a Party or its Affiliates in Manufacturing such Licensed Compound or Licensed Product, which shall equal the sum of the following as incurred for such Licensed Compound or Licensed Product: [***].</w:t>
      </w:r>
    </w:p>
    <w:p>
      <w:pPr>
        <w:spacing w:after="0" w:line="16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Manufacturing Technology Transfer</w:t>
      </w:r>
      <w:r>
        <w:rPr>
          <w:rFonts w:ascii="Times New Roman" w:cs="Times New Roman" w:eastAsia="Times New Roman" w:hAnsi="Times New Roman"/>
          <w:sz w:val="19"/>
          <w:szCs w:val="19"/>
          <w:color w:val="auto"/>
        </w:rPr>
        <w:t>” has the meaning set forth in Section 8.3 (</w:t>
      </w:r>
      <w:r>
        <w:rPr>
          <w:rFonts w:ascii="Times New Roman" w:cs="Times New Roman" w:eastAsia="Times New Roman" w:hAnsi="Times New Roman"/>
          <w:sz w:val="19"/>
          <w:szCs w:val="19"/>
          <w:i w:val="1"/>
          <w:iCs w:val="1"/>
          <w:color w:val="auto"/>
        </w:rPr>
        <w:t>Manufacturing Technology Transfer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right="2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1.138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Manufacturing Technology Transfer Agreement</w:t>
      </w:r>
      <w:r>
        <w:rPr>
          <w:rFonts w:ascii="Times New Roman" w:cs="Times New Roman" w:eastAsia="Times New Roman" w:hAnsi="Times New Roman"/>
          <w:sz w:val="20"/>
          <w:szCs w:val="20"/>
          <w:color w:val="auto"/>
        </w:rPr>
        <w:t>” has the meaning set forth in Section 8.3 (</w:t>
      </w:r>
      <w:r>
        <w:rPr>
          <w:rFonts w:ascii="Times New Roman" w:cs="Times New Roman" w:eastAsia="Times New Roman" w:hAnsi="Times New Roman"/>
          <w:sz w:val="20"/>
          <w:szCs w:val="20"/>
          <w:i w:val="1"/>
          <w:iCs w:val="1"/>
          <w:color w:val="auto"/>
        </w:rPr>
        <w:t>Manufacturing Technology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Transfer</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1.139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MAPK</w:t>
      </w:r>
      <w:r>
        <w:rPr>
          <w:rFonts w:ascii="Times New Roman" w:cs="Times New Roman" w:eastAsia="Times New Roman" w:hAnsi="Times New Roman"/>
          <w:sz w:val="19"/>
          <w:szCs w:val="19"/>
          <w:color w:val="auto"/>
        </w:rPr>
        <w:t>” has the meaning set forth in the Recitals.</w:t>
      </w:r>
    </w:p>
    <w:p>
      <w:pPr>
        <w:spacing w:after="0" w:line="216" w:lineRule="exact"/>
        <w:rPr>
          <w:sz w:val="20"/>
          <w:szCs w:val="20"/>
          <w:color w:val="auto"/>
        </w:rPr>
      </w:pPr>
    </w:p>
    <w:p>
      <w:pPr>
        <w:jc w:val="both"/>
        <w:ind w:left="760" w:right="2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1.140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with respect to a Party, any event, occurrence, condition, change, circumstance, development, effect or state of facts that has or will have, individually or in the aggregate, a material adverse effect with respect to the Research, Development, Manufacture,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jc w:val="both"/>
        <w:ind w:left="760"/>
        <w:spacing w:after="0" w:line="295" w:lineRule="auto"/>
        <w:rPr>
          <w:sz w:val="20"/>
          <w:szCs w:val="20"/>
          <w:color w:val="auto"/>
        </w:rPr>
      </w:pPr>
      <w:r>
        <w:rPr>
          <w:rFonts w:ascii="Times New Roman" w:cs="Times New Roman" w:eastAsia="Times New Roman" w:hAnsi="Times New Roman"/>
          <w:sz w:val="19"/>
          <w:szCs w:val="19"/>
          <w:color w:val="auto"/>
        </w:rPr>
        <w:t>Commercialization or other Exploitation of a Licensed Compound or Licensed Product in such Party’s Territory or (b) the ability of such Party to obtain or maintain Regulatory Approval or Reimbursement Approval for a Licensed Product in such Party’s Territory.</w:t>
      </w:r>
    </w:p>
    <w:p>
      <w:pPr>
        <w:spacing w:after="0" w:line="134"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1.141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Delay</w:t>
      </w:r>
      <w:r>
        <w:rPr>
          <w:rFonts w:ascii="Times New Roman" w:cs="Times New Roman" w:eastAsia="Times New Roman" w:hAnsi="Times New Roman"/>
          <w:sz w:val="20"/>
          <w:szCs w:val="20"/>
          <w:color w:val="auto"/>
        </w:rPr>
        <w:t>” means any event or condition (or related series of events or conditions) that causes or otherwise results in a delay (or total stoppage) in the progress of the Global Development Plan of more than [***] except (a) for any event or condition outside the reasonable control of Fulcrum that is not directly related to a breach by Fulcrum of this Agreement; (b) if such event or condition is substantially a result of any inaction or action by Sanofi, its Affiliates or Sublicensees; (c) if such event or condition is a result of Fulcrum’s reasonable response to guidance from or action or inaction by a Regulatory Authority or Governmental Authority (such as a clinical hold, recall or withdrawal); (d) for a Force Majeure Event; or (e) for any delay or stoppage mutually agreed upon by the Parties.</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1.142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MHLW</w:t>
      </w:r>
      <w:r>
        <w:rPr>
          <w:rFonts w:ascii="Times New Roman" w:cs="Times New Roman" w:eastAsia="Times New Roman" w:hAnsi="Times New Roman"/>
          <w:sz w:val="19"/>
          <w:szCs w:val="19"/>
          <w:color w:val="auto"/>
        </w:rPr>
        <w:t>” has the meaning set forth in Section 1.175 (</w:t>
      </w:r>
      <w:r>
        <w:rPr>
          <w:rFonts w:ascii="Times New Roman" w:cs="Times New Roman" w:eastAsia="Times New Roman" w:hAnsi="Times New Roman"/>
          <w:sz w:val="19"/>
          <w:szCs w:val="19"/>
          <w:i w:val="1"/>
          <w:iCs w:val="1"/>
          <w:color w:val="auto"/>
        </w:rPr>
        <w:t>Definition of Regulatory Authority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right="2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1.143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MHRA</w:t>
      </w:r>
      <w:r>
        <w:rPr>
          <w:rFonts w:ascii="Times New Roman" w:cs="Times New Roman" w:eastAsia="Times New Roman" w:hAnsi="Times New Roman"/>
          <w:sz w:val="20"/>
          <w:szCs w:val="20"/>
          <w:color w:val="auto"/>
        </w:rPr>
        <w:t>” means the Medicines and Healthcare products Regulatory Agency in the United Kingdom, or any successor agency thereto.</w:t>
      </w:r>
    </w:p>
    <w:p>
      <w:pPr>
        <w:spacing w:after="0" w:line="152"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1.144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Middle Eastern Countries</w:t>
      </w:r>
      <w:r>
        <w:rPr>
          <w:rFonts w:ascii="Times New Roman" w:cs="Times New Roman" w:eastAsia="Times New Roman" w:hAnsi="Times New Roman"/>
          <w:sz w:val="20"/>
          <w:szCs w:val="20"/>
          <w:color w:val="auto"/>
        </w:rPr>
        <w:t>” means the following countries and territories: Bahrain, Egypt, Iran, Iraq, Israel, Jordan, Kuwait, Lebanon, Oman, the Palestinian territories, Qatar, Saudi Arabia, Syria, Turkey, United Arab Emirates, and Yemen.</w:t>
      </w:r>
    </w:p>
    <w:p>
      <w:pPr>
        <w:spacing w:after="0" w:line="1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1.145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Milestone Events</w:t>
      </w:r>
      <w:r>
        <w:rPr>
          <w:rFonts w:ascii="Times New Roman" w:cs="Times New Roman" w:eastAsia="Times New Roman" w:hAnsi="Times New Roman"/>
          <w:sz w:val="19"/>
          <w:szCs w:val="19"/>
          <w:color w:val="auto"/>
        </w:rPr>
        <w:t>” means the Regulatory Milestone Events and Sales Milestone Events.</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1.146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Milestone Payments</w:t>
      </w:r>
      <w:r>
        <w:rPr>
          <w:rFonts w:ascii="Times New Roman" w:cs="Times New Roman" w:eastAsia="Times New Roman" w:hAnsi="Times New Roman"/>
          <w:sz w:val="19"/>
          <w:szCs w:val="19"/>
          <w:color w:val="auto"/>
        </w:rPr>
        <w:t>” means the Regulatory Milestone Payments and Sales Milestone Payments.</w:t>
      </w:r>
    </w:p>
    <w:p>
      <w:pPr>
        <w:spacing w:after="0" w:line="216"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1.147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Sales</w:t>
      </w:r>
      <w:r>
        <w:rPr>
          <w:rFonts w:ascii="Times New Roman" w:cs="Times New Roman" w:eastAsia="Times New Roman" w:hAnsi="Times New Roman"/>
          <w:sz w:val="20"/>
          <w:szCs w:val="20"/>
          <w:color w:val="auto"/>
        </w:rPr>
        <w:t>” means, with respect to a Licensed Product for any period, the gross amount invoiced by Sanofi or any of its Affiliates or Sublicensees for the sale of such Licensed Product in arm’s length transactions to a Third Party commencing with the First Commercial Sale on a country-by-country basis of such Licensed Product, less the following deductions determined in accordance with the Accounting Standards of Sanofi, its Affiliate or Sublicensee, as applicable, from such gross amounts which are actually incurred, allowed, paid, accrued or specifically allocated, with respect to such Licensed Product over such period:</w:t>
      </w:r>
    </w:p>
    <w:p>
      <w:pPr>
        <w:spacing w:after="0" w:line="18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1.147.1</w:t>
      </w:r>
      <w:r>
        <w:rPr>
          <w:sz w:val="20"/>
          <w:szCs w:val="20"/>
          <w:color w:val="auto"/>
        </w:rPr>
        <w:tab/>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1.147.2</w:t>
      </w:r>
      <w:r>
        <w:rPr>
          <w:sz w:val="20"/>
          <w:szCs w:val="20"/>
          <w:color w:val="auto"/>
        </w:rPr>
        <w:tab/>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1.147.3</w:t>
      </w:r>
      <w:r>
        <w:rPr>
          <w:sz w:val="20"/>
          <w:szCs w:val="20"/>
          <w:color w:val="auto"/>
        </w:rPr>
        <w:tab/>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1.147.4</w:t>
      </w:r>
      <w:r>
        <w:rPr>
          <w:sz w:val="20"/>
          <w:szCs w:val="20"/>
          <w:color w:val="auto"/>
        </w:rPr>
        <w:tab/>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1.147.5</w:t>
      </w:r>
      <w:r>
        <w:rPr>
          <w:sz w:val="20"/>
          <w:szCs w:val="20"/>
          <w:color w:val="auto"/>
        </w:rPr>
        <w:tab/>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1.147.6</w:t>
      </w:r>
      <w:r>
        <w:rPr>
          <w:sz w:val="20"/>
          <w:szCs w:val="20"/>
          <w:color w:val="auto"/>
        </w:rPr>
        <w:tab/>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1.147.7</w:t>
      </w:r>
      <w:r>
        <w:rPr>
          <w:sz w:val="20"/>
          <w:szCs w:val="20"/>
          <w:color w:val="auto"/>
        </w:rPr>
        <w:tab/>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1.147.8</w:t>
      </w:r>
      <w:r>
        <w:rPr>
          <w:sz w:val="20"/>
          <w:szCs w:val="20"/>
          <w:color w:val="auto"/>
        </w:rPr>
        <w:tab/>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1.147.9</w:t>
      </w:r>
      <w:r>
        <w:rPr>
          <w:sz w:val="20"/>
          <w:szCs w:val="20"/>
          <w:color w:val="auto"/>
        </w:rPr>
        <w:tab/>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1.147.10 </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For the avoidance of doubt, if a single item falls into more than one of the categories set forth in Section 1.147.1 through Section 1.147.10 above, such item may not be deducted more than once. Any of the deductions listed above that involves a payment by Sanofi, its Affiliates or its Sublicensees will be taken as a deduction in the Calendar Quarter in which the payment is accrued by such entity. For purposes of determining Net Sales, a Licensed Product will be deemed to be sold when it has met the applicable Accounting Standard’s revenue recognition criteria. Net Sales will not include transfers or dispositions of such Licensed Product for pre-clinical or clinical purposes, compassionate use, special access programs or named patient programs, donations or as samples. Such Party’s, its Affiliates’ or its Sublicensees’ transfer of any Licensed Product to an Affiliate or Sublicensee will not result in any Net Sales unless the transferee is the last Person in the distribution chain of the Licensed Product.</w:t>
      </w:r>
    </w:p>
    <w:p>
      <w:pPr>
        <w:spacing w:after="0" w:line="18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In the event that a Licensed Product is sold in any country in the form of a Combination Product, Net Sales of such Combination Product will be adjusted by multiplying actual Net Sales of such Combination Product in such country calculated pursuant to the foregoing definition of “Net Sales” by the fraction A/(A+B), where A is the average net invoice price in such country of any Licensed Product that contains the same Licensed Compound(s) as such Combination Product as its sole active ingredient(s), if sold separately in such country, and B is the average net invoice prices in such country of, as applicable, each product that contains the Other Component(s) as its sole component, if sold separately in such country;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invoice price in a country for (i) each Licensed Product that contains solely the Licensed Compound(s) and (ii) in the case of a product that contains solely the Other Component(s), in each case, will to the extent feasible be for a quantity comparable to that used in such Combination Product and of substantially the same class, purity and potency or functionality, as applicable. If either such Licensed Product that contains the Licensed Compound(s) as its sole active ingredient or any such product that contains the Other Component(s) as its sole component is not sold separately (including in the case of the sale of a combination therapy that contains the Licensed Compound but is not sold separately) in a particular country, then the adjustment to Net Sales will be determined by [***] in good faith to reasonably reflect the fair market value of the contribution of such Licensed Compound or Other Component(s) in such Combination Product to the total fair market value of such Combination Product.</w:t>
      </w:r>
    </w:p>
    <w:p>
      <w:pPr>
        <w:spacing w:after="0" w:line="19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In the case of pharmacy incentive programs, hospital performance incentive programs, chargebacks, disease management programs, and similar programs or discounts on portfolio product offerings, all rebates, discounts and other forms of reimbursements will be allocated among products on the basis on which such rebates, discounts and other forms of reimbursements were actually granted or, if such basis cannot be determined, in accordance with Sanofi’s, its Affiliates’ or its Sublicensees’ existing allocation method; provided that any such allocation will be done in accordance with Applicable Law, including any price reporting laws, rules and regulations.</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Subject to the above, Net Sales will be calculated in accordance with the standard internal policies and procedures of Sanofi, its Affiliates or Sublicensees, which must be in accordance with applicable Accounting Standards.</w:t>
      </w:r>
    </w:p>
    <w:p>
      <w:pPr>
        <w:spacing w:after="0" w:line="15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1.148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New Third Party IP Agreement</w:t>
      </w:r>
      <w:r>
        <w:rPr>
          <w:rFonts w:ascii="Times New Roman" w:cs="Times New Roman" w:eastAsia="Times New Roman" w:hAnsi="Times New Roman"/>
          <w:sz w:val="19"/>
          <w:szCs w:val="19"/>
          <w:color w:val="auto"/>
        </w:rPr>
        <w:t>” has the meaning set forth in Section 2.6.2 (</w:t>
      </w:r>
      <w:r>
        <w:rPr>
          <w:rFonts w:ascii="Times New Roman" w:cs="Times New Roman" w:eastAsia="Times New Roman" w:hAnsi="Times New Roman"/>
          <w:sz w:val="19"/>
          <w:szCs w:val="19"/>
          <w:i w:val="1"/>
          <w:iCs w:val="1"/>
          <w:color w:val="auto"/>
        </w:rPr>
        <w:t>New Collaboration In-Licenses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1.149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New Third Party IP Rights</w:t>
      </w:r>
      <w:r>
        <w:rPr>
          <w:rFonts w:ascii="Times New Roman" w:cs="Times New Roman" w:eastAsia="Times New Roman" w:hAnsi="Times New Roman"/>
          <w:sz w:val="19"/>
          <w:szCs w:val="19"/>
          <w:color w:val="auto"/>
        </w:rPr>
        <w:t>” has the meaning set forth in Section 2.6.2 (</w:t>
      </w:r>
      <w:r>
        <w:rPr>
          <w:rFonts w:ascii="Times New Roman" w:cs="Times New Roman" w:eastAsia="Times New Roman" w:hAnsi="Times New Roman"/>
          <w:sz w:val="19"/>
          <w:szCs w:val="19"/>
          <w:i w:val="1"/>
          <w:iCs w:val="1"/>
          <w:color w:val="auto"/>
        </w:rPr>
        <w:t>New Collaboration In-Licenses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3" w:name="page104"/>
    <w:bookmarkEnd w:id="103"/>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1.150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Non-Enforcing Party</w:t>
      </w:r>
      <w:r>
        <w:rPr>
          <w:rFonts w:ascii="Times New Roman" w:cs="Times New Roman" w:eastAsia="Times New Roman" w:hAnsi="Times New Roman"/>
          <w:sz w:val="19"/>
          <w:szCs w:val="19"/>
          <w:color w:val="auto"/>
        </w:rPr>
        <w:t>” has the meaning set forth in Section 10.3.4 (</w:t>
      </w:r>
      <w:r>
        <w:rPr>
          <w:rFonts w:ascii="Times New Roman" w:cs="Times New Roman" w:eastAsia="Times New Roman" w:hAnsi="Times New Roman"/>
          <w:sz w:val="19"/>
          <w:szCs w:val="19"/>
          <w:i w:val="1"/>
          <w:iCs w:val="1"/>
          <w:color w:val="auto"/>
        </w:rPr>
        <w:t>Cooperation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1.151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Notice of Arbitration</w:t>
      </w:r>
      <w:r>
        <w:rPr>
          <w:rFonts w:ascii="Times New Roman" w:cs="Times New Roman" w:eastAsia="Times New Roman" w:hAnsi="Times New Roman"/>
          <w:sz w:val="19"/>
          <w:szCs w:val="19"/>
          <w:color w:val="auto"/>
        </w:rPr>
        <w:t>” has the meaning set forth in Section 15.1.1 (</w:t>
      </w:r>
      <w:r>
        <w:rPr>
          <w:rFonts w:ascii="Times New Roman" w:cs="Times New Roman" w:eastAsia="Times New Roman" w:hAnsi="Times New Roman"/>
          <w:sz w:val="19"/>
          <w:szCs w:val="19"/>
          <w:i w:val="1"/>
          <w:iCs w:val="1"/>
          <w:color w:val="auto"/>
        </w:rPr>
        <w:t>Dispute Resolution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1.152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Notice of Dispute</w:t>
      </w:r>
      <w:r>
        <w:rPr>
          <w:rFonts w:ascii="Times New Roman" w:cs="Times New Roman" w:eastAsia="Times New Roman" w:hAnsi="Times New Roman"/>
          <w:sz w:val="19"/>
          <w:szCs w:val="19"/>
          <w:color w:val="auto"/>
        </w:rPr>
        <w:t>” has the meaning set forth in Section 15.1.1 (</w:t>
      </w:r>
      <w:r>
        <w:rPr>
          <w:rFonts w:ascii="Times New Roman" w:cs="Times New Roman" w:eastAsia="Times New Roman" w:hAnsi="Times New Roman"/>
          <w:sz w:val="19"/>
          <w:szCs w:val="19"/>
          <w:i w:val="1"/>
          <w:iCs w:val="1"/>
          <w:color w:val="auto"/>
        </w:rPr>
        <w:t>Dispute Resolution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1.153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means the Office of Foreign Assets Control of the United States Department of the Treasury or any successor agency thereto.</w:t>
      </w:r>
    </w:p>
    <w:p>
      <w:pPr>
        <w:spacing w:after="0" w:line="1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1.154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Open Budget Study</w:t>
      </w:r>
      <w:r>
        <w:rPr>
          <w:rFonts w:ascii="Times New Roman" w:cs="Times New Roman" w:eastAsia="Times New Roman" w:hAnsi="Times New Roman"/>
          <w:sz w:val="19"/>
          <w:szCs w:val="19"/>
          <w:color w:val="auto"/>
        </w:rPr>
        <w:t>” has the meaning set forth in Section 5.2 (</w:t>
      </w:r>
      <w:r>
        <w:rPr>
          <w:rFonts w:ascii="Times New Roman" w:cs="Times New Roman" w:eastAsia="Times New Roman" w:hAnsi="Times New Roman"/>
          <w:sz w:val="19"/>
          <w:szCs w:val="19"/>
          <w:i w:val="1"/>
          <w:iCs w:val="1"/>
          <w:color w:val="auto"/>
        </w:rPr>
        <w:t>Initial Global Development Plan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1.155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Operational Team</w:t>
      </w:r>
      <w:r>
        <w:rPr>
          <w:rFonts w:ascii="Times New Roman" w:cs="Times New Roman" w:eastAsia="Times New Roman" w:hAnsi="Times New Roman"/>
          <w:sz w:val="19"/>
          <w:szCs w:val="19"/>
          <w:color w:val="auto"/>
        </w:rPr>
        <w:t>” has the meaning set forth in Section 3.5.3 (</w:t>
      </w:r>
      <w:r>
        <w:rPr>
          <w:rFonts w:ascii="Times New Roman" w:cs="Times New Roman" w:eastAsia="Times New Roman" w:hAnsi="Times New Roman"/>
          <w:sz w:val="19"/>
          <w:szCs w:val="19"/>
          <w:i w:val="1"/>
          <w:iCs w:val="1"/>
          <w:color w:val="auto"/>
        </w:rPr>
        <w:t>Operational Teams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1.156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Other Active Ingredient</w:t>
      </w:r>
      <w:r>
        <w:rPr>
          <w:rFonts w:ascii="Times New Roman" w:cs="Times New Roman" w:eastAsia="Times New Roman" w:hAnsi="Times New Roman"/>
          <w:sz w:val="19"/>
          <w:szCs w:val="19"/>
          <w:color w:val="auto"/>
        </w:rPr>
        <w:t>” means any active pharmaceutical or biological ingredient that is not a Licensed Compound.</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1.157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Other Components</w:t>
      </w:r>
      <w:r>
        <w:rPr>
          <w:rFonts w:ascii="Times New Roman" w:cs="Times New Roman" w:eastAsia="Times New Roman" w:hAnsi="Times New Roman"/>
          <w:sz w:val="19"/>
          <w:szCs w:val="19"/>
          <w:color w:val="auto"/>
        </w:rPr>
        <w:t>” means any Other Active Ingredients, diagnostic tools, biomarkers or devices.</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1.158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Other Covered Party</w:t>
      </w:r>
      <w:r>
        <w:rPr>
          <w:rFonts w:ascii="Times New Roman" w:cs="Times New Roman" w:eastAsia="Times New Roman" w:hAnsi="Times New Roman"/>
          <w:sz w:val="19"/>
          <w:szCs w:val="19"/>
          <w:color w:val="auto"/>
        </w:rPr>
        <w:t>” means any political party or party official, or any candidate for political office.</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1.159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has the meaning set forth in the Preamble.</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1.160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Party Vote</w:t>
      </w:r>
      <w:r>
        <w:rPr>
          <w:rFonts w:ascii="Times New Roman" w:cs="Times New Roman" w:eastAsia="Times New Roman" w:hAnsi="Times New Roman"/>
          <w:sz w:val="19"/>
          <w:szCs w:val="19"/>
          <w:color w:val="auto"/>
        </w:rPr>
        <w:t>” has the meaning set forth in Section 3.7.1 (</w:t>
      </w:r>
      <w:r>
        <w:rPr>
          <w:rFonts w:ascii="Times New Roman" w:cs="Times New Roman" w:eastAsia="Times New Roman" w:hAnsi="Times New Roman"/>
          <w:sz w:val="19"/>
          <w:szCs w:val="19"/>
          <w:i w:val="1"/>
          <w:iCs w:val="1"/>
          <w:color w:val="auto"/>
        </w:rPr>
        <w:t>General Decision-Making Process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1.161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 Challenge</w:t>
      </w:r>
      <w:r>
        <w:rPr>
          <w:rFonts w:ascii="Times New Roman" w:cs="Times New Roman" w:eastAsia="Times New Roman" w:hAnsi="Times New Roman"/>
          <w:sz w:val="20"/>
          <w:szCs w:val="20"/>
          <w:color w:val="auto"/>
        </w:rPr>
        <w:t>” means an official action, suit, or proceeding challenging the validity, patentability, scope, priority, construction, inventorship, enforceability of an issued Patent Right, in an administrative or judicial forum independent of a claim of infringement. For clarity, a Patent Challenge shall not include (a) any claims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counterclaim in an invalidity proceeding) associated with an infringement action under Section 10.3 (</w:t>
      </w:r>
      <w:r>
        <w:rPr>
          <w:rFonts w:ascii="Times New Roman" w:cs="Times New Roman" w:eastAsia="Times New Roman" w:hAnsi="Times New Roman"/>
          <w:sz w:val="20"/>
          <w:szCs w:val="20"/>
          <w:i w:val="1"/>
          <w:iCs w:val="1"/>
          <w:color w:val="auto"/>
        </w:rPr>
        <w:t>Enforcement Against Third Party Infringement or Misappropriation</w:t>
      </w:r>
      <w:r>
        <w:rPr>
          <w:rFonts w:ascii="Times New Roman" w:cs="Times New Roman" w:eastAsia="Times New Roman" w:hAnsi="Times New Roman"/>
          <w:sz w:val="20"/>
          <w:szCs w:val="20"/>
          <w:color w:val="auto"/>
        </w:rPr>
        <w:t>) or Section 10.5 (</w:t>
      </w:r>
      <w:r>
        <w:rPr>
          <w:rFonts w:ascii="Times New Roman" w:cs="Times New Roman" w:eastAsia="Times New Roman" w:hAnsi="Times New Roman"/>
          <w:sz w:val="20"/>
          <w:szCs w:val="20"/>
          <w:i w:val="1"/>
          <w:iCs w:val="1"/>
          <w:color w:val="auto"/>
        </w:rPr>
        <w:t>Third Party Infringement Claims</w:t>
      </w:r>
      <w:r>
        <w:rPr>
          <w:rFonts w:ascii="Times New Roman" w:cs="Times New Roman" w:eastAsia="Times New Roman" w:hAnsi="Times New Roman"/>
          <w:sz w:val="20"/>
          <w:szCs w:val="20"/>
          <w:color w:val="auto"/>
        </w:rPr>
        <w:t>), or (b) any action filed in a good-faith effort to (i) reinforce the patentability, validity or enforceability of such Patent Right; or (ii) expand the claim scope of such Patent Right with respect to Licensed Compounds or Licensed Products.</w:t>
      </w:r>
    </w:p>
    <w:p>
      <w:pPr>
        <w:spacing w:after="0" w:line="179"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1.162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 Prosecution</w:t>
      </w:r>
      <w:r>
        <w:rPr>
          <w:rFonts w:ascii="Times New Roman" w:cs="Times New Roman" w:eastAsia="Times New Roman" w:hAnsi="Times New Roman"/>
          <w:sz w:val="20"/>
          <w:szCs w:val="20"/>
          <w:color w:val="auto"/>
        </w:rPr>
        <w:t>” means, with respect to a Patent Right, all activities directed to (a) preparing, filing, and prosecuting applications (of all types) for such Patent Right through issuance, as well as all post-issuance activities not involving a Third Party challenger, including for example ex parte re-examinations, reissues and appeals and other similar proceedings with respect to such Patent Right (but excluding the defense of challenges to such Patent Right as a counterclaim in an infringement proceeding) with respect to the particular Patent Right, and any appeals therefrom, and actions to obtain patent term extensions and supplementary protection certificates with respect to such Patent Right and the like, (b) maintaining any Patent Right, and (c) deciding whether to abandon or maintain any Patent Right. For clarification, “Patent Prosecution” will not include any other enforcement actions taken with respect to a Patent Right.</w:t>
      </w:r>
    </w:p>
    <w:p>
      <w:pPr>
        <w:spacing w:after="0" w:line="182"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1.163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 Rights</w:t>
      </w:r>
      <w:r>
        <w:rPr>
          <w:rFonts w:ascii="Times New Roman" w:cs="Times New Roman" w:eastAsia="Times New Roman" w:hAnsi="Times New Roman"/>
          <w:sz w:val="20"/>
          <w:szCs w:val="20"/>
          <w:color w:val="auto"/>
        </w:rPr>
        <w:t>” means (a) all patents and patent applications in any country or jurisdiction, including provisional applications, (b) all patent applications filed either from such patents or patent applications or from an application claiming priority from any of these or any substitution, divisional, continuation, continuation-in-part, reissue, renewal, registration, confirmation or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4" w:name="page105"/>
    <w:bookmarkEnd w:id="104"/>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like of any such patent or patent application, and (c) any extensions and restorations by any existing or future extension or restoration mechanism, including revalidations, reissues, re-examinations or extensions, including any supplemental protection certificates of the foregoing patents or patent applications.</w:t>
      </w:r>
    </w:p>
    <w:p>
      <w:pPr>
        <w:spacing w:after="0" w:line="170"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1.164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corporation, limited or general partnership, limited liability company, joint venture, trust, unincorporated association, governmental body, authority, bureau, or agency, or any other entity or body, or an individual.</w:t>
      </w:r>
    </w:p>
    <w:p>
      <w:pPr>
        <w:spacing w:after="0" w:line="152" w:lineRule="exact"/>
        <w:rPr>
          <w:sz w:val="20"/>
          <w:szCs w:val="20"/>
          <w:color w:val="auto"/>
        </w:rPr>
      </w:pPr>
    </w:p>
    <w:p>
      <w:pPr>
        <w:jc w:val="both"/>
        <w:ind w:left="760" w:right="2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1.165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Pharmacovigilance Agreement</w:t>
      </w:r>
      <w:r>
        <w:rPr>
          <w:rFonts w:ascii="Times New Roman" w:cs="Times New Roman" w:eastAsia="Times New Roman" w:hAnsi="Times New Roman"/>
          <w:sz w:val="20"/>
          <w:szCs w:val="20"/>
          <w:color w:val="auto"/>
        </w:rPr>
        <w:t>” means an agreement regarding receipt, investigation, and reporting of adverse events, and any other information related to the safety of the Licensed Products in the Territory.</w:t>
      </w:r>
    </w:p>
    <w:p>
      <w:pPr>
        <w:spacing w:after="0" w:line="152"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1.166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Phase 3 Clinical Trial</w:t>
      </w:r>
      <w:r>
        <w:rPr>
          <w:rFonts w:ascii="Times New Roman" w:cs="Times New Roman" w:eastAsia="Times New Roman" w:hAnsi="Times New Roman"/>
          <w:sz w:val="20"/>
          <w:szCs w:val="20"/>
          <w:color w:val="auto"/>
        </w:rPr>
        <w:t>” means, as to a pharmaceutical or biologic product, a clinical trial in humans performed to gain evidence with statistical significance of the efficacy of such product in a target population, and to obtain expanded evidence of safety for such product that is needed to evaluate the overall benefit-risk relationship of such product, to form the basis for approval of a MAA by a Regulatory Authority and to provide an adequate basis for physician labeling, in a manner that is generally consistent with 21 C.F.R. § 312.21(c), as amended (or its successor regulation), or, with respect to any other country or jurisdiction, the equivalent of such a clinical trial in such other country or jurisdiction.</w:t>
      </w:r>
    </w:p>
    <w:p>
      <w:pPr>
        <w:spacing w:after="0" w:line="179"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1.167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PHSA</w:t>
      </w:r>
      <w:r>
        <w:rPr>
          <w:rFonts w:ascii="Times New Roman" w:cs="Times New Roman" w:eastAsia="Times New Roman" w:hAnsi="Times New Roman"/>
          <w:sz w:val="20"/>
          <w:szCs w:val="20"/>
          <w:color w:val="auto"/>
        </w:rPr>
        <w:t>” means the United States Public Health Service Act, as amended from time-to-time, together with any rules, regulations, and requirements promulgated thereunder (including all additions, supplements, extensions, and modifications thereto).</w:t>
      </w:r>
    </w:p>
    <w:p>
      <w:pPr>
        <w:spacing w:after="0" w:line="1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1.168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Positive Data Readout</w:t>
      </w:r>
      <w:r>
        <w:rPr>
          <w:rFonts w:ascii="Times New Roman" w:cs="Times New Roman" w:eastAsia="Times New Roman" w:hAnsi="Times New Roman"/>
          <w:sz w:val="19"/>
          <w:szCs w:val="19"/>
          <w:color w:val="auto"/>
        </w:rPr>
        <w:t>” means, with respect to the Global Phase 3 REACH Study, [***].</w:t>
      </w:r>
    </w:p>
    <w:p>
      <w:pPr>
        <w:spacing w:after="0" w:line="216"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1.169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Professional Requirements</w:t>
      </w:r>
      <w:r>
        <w:rPr>
          <w:rFonts w:ascii="Times New Roman" w:cs="Times New Roman" w:eastAsia="Times New Roman" w:hAnsi="Times New Roman"/>
          <w:sz w:val="19"/>
          <w:szCs w:val="19"/>
          <w:color w:val="auto"/>
        </w:rPr>
        <w:t>” means (a) the codes and standards of the European Accreditation Council for Continuing Medical Education (EACCME) and the European Federation of Pharmaceutical Industries and Associations (EFPIA), (b) the codes of the Prescription Medicines Code of Practice Authority (PMCPA) and the Association of the British Pharmaceutical Industry (ABPI), (c) FDA’s regulations, guidance, and enforcement letters concerning the advertising of prescription drug products, (d) the American Medical Association’s Guidelines on Gifts to Physicians from Industry, (e) the Accreditation Council for Continuing Medical Education (ACCME) Standards for Commercial Support of Continuing Medical Education, (f) the Pharmaceutical Supply Chain Initiative (PSCI) and Pharmaceutical Industry Principles for Responsible Supply Chain Management, (g) the Code on Interactions with Healthcare Professionals promulgated by the Pharmaceutical Research and Manufacturers of America (PhRMA Code), (h) the Department of Health and Human Services Office of Inspector General Compliance Program Guidance for Pharmaceutical Manufacturers (OIG Compliance Guidance), and (i) all other accepted national and international pharmaceutical industry codes of practice in and for the relevant countries in the Territory, as any of the foregoing may be amended from time-to-time.</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1.170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Publication</w:t>
      </w:r>
      <w:r>
        <w:rPr>
          <w:rFonts w:ascii="Times New Roman" w:cs="Times New Roman" w:eastAsia="Times New Roman" w:hAnsi="Times New Roman"/>
          <w:sz w:val="19"/>
          <w:szCs w:val="19"/>
          <w:color w:val="auto"/>
        </w:rPr>
        <w:t>” has the meaning set forth in Section 12.5.1(a) (</w:t>
      </w:r>
      <w:r>
        <w:rPr>
          <w:rFonts w:ascii="Times New Roman" w:cs="Times New Roman" w:eastAsia="Times New Roman" w:hAnsi="Times New Roman"/>
          <w:sz w:val="19"/>
          <w:szCs w:val="19"/>
          <w:i w:val="1"/>
          <w:iCs w:val="1"/>
          <w:color w:val="auto"/>
        </w:rPr>
        <w:t>Publications under the Global Development Plan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1.171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Publishing Party</w:t>
      </w:r>
      <w:r>
        <w:rPr>
          <w:rFonts w:ascii="Times New Roman" w:cs="Times New Roman" w:eastAsia="Times New Roman" w:hAnsi="Times New Roman"/>
          <w:sz w:val="19"/>
          <w:szCs w:val="19"/>
          <w:color w:val="auto"/>
        </w:rPr>
        <w:t>” has the meaning set forth in Section 12.5.1(c) (</w:t>
      </w:r>
      <w:r>
        <w:rPr>
          <w:rFonts w:ascii="Times New Roman" w:cs="Times New Roman" w:eastAsia="Times New Roman" w:hAnsi="Times New Roman"/>
          <w:sz w:val="19"/>
          <w:szCs w:val="19"/>
          <w:i w:val="1"/>
          <w:iCs w:val="1"/>
          <w:color w:val="auto"/>
        </w:rPr>
        <w:t>Review Process and Other Limitations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1.172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Receiving Party</w:t>
      </w:r>
      <w:r>
        <w:rPr>
          <w:rFonts w:ascii="Times New Roman" w:cs="Times New Roman" w:eastAsia="Times New Roman" w:hAnsi="Times New Roman"/>
          <w:sz w:val="19"/>
          <w:szCs w:val="19"/>
          <w:color w:val="auto"/>
        </w:rPr>
        <w:t>” has the meaning set forth in Section 12.1.1 (</w:t>
      </w:r>
      <w:r>
        <w:rPr>
          <w:rFonts w:ascii="Times New Roman" w:cs="Times New Roman" w:eastAsia="Times New Roman" w:hAnsi="Times New Roman"/>
          <w:sz w:val="19"/>
          <w:szCs w:val="19"/>
          <w:i w:val="1"/>
          <w:iCs w:val="1"/>
          <w:color w:val="auto"/>
        </w:rPr>
        <w:t>Duty of Confidence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1.173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Region</w:t>
      </w:r>
      <w:r>
        <w:rPr>
          <w:rFonts w:ascii="Times New Roman" w:cs="Times New Roman" w:eastAsia="Times New Roman" w:hAnsi="Times New Roman"/>
          <w:sz w:val="19"/>
          <w:szCs w:val="19"/>
          <w:color w:val="auto"/>
        </w:rPr>
        <w:t>” means any of the Asian Region, the European Region, the Latin American Region, or the ROW Region.</w:t>
      </w:r>
    </w:p>
    <w:p>
      <w:pPr>
        <w:spacing w:after="0" w:line="216"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1.174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Approval</w:t>
      </w:r>
      <w:r>
        <w:rPr>
          <w:rFonts w:ascii="Times New Roman" w:cs="Times New Roman" w:eastAsia="Times New Roman" w:hAnsi="Times New Roman"/>
          <w:sz w:val="20"/>
          <w:szCs w:val="20"/>
          <w:color w:val="auto"/>
        </w:rPr>
        <w:t>” means, with respect to a particular country or other regulatory jurisdiction, any approval of an MAA or other approval, product, or establishment license, registration, or authorization of any Regulatory Authority necessary for the marketing and sale of a pharmaceutical, diagnostic, or biologic product in such country or other regulatory jurisdiction, including, as applicable, the approvals by the applicable Regulatory Authority of any expansion or modification of the label, and excluding, in each case, Reimbursement Approval.</w:t>
      </w:r>
    </w:p>
    <w:p>
      <w:pPr>
        <w:spacing w:after="0" w:line="180"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1.175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Authority</w:t>
      </w:r>
      <w:r>
        <w:rPr>
          <w:rFonts w:ascii="Times New Roman" w:cs="Times New Roman" w:eastAsia="Times New Roman" w:hAnsi="Times New Roman"/>
          <w:sz w:val="20"/>
          <w:szCs w:val="20"/>
          <w:color w:val="auto"/>
        </w:rPr>
        <w:t>” means, in a particular country or jurisdiction, any applicable Governmental Authority involved in granting Regulatory Approval in such country or jurisdiction, including (a) in the U.S., the FDA and any other applicable Governmental Authority in the U.S. having jurisdiction over any pharmaceutical, diagnostic, or biologic product, (b) in the E.U., the EMA and any other applicable Governmental Authority in the E.U. having jurisdiction over any pharmaceutical, diagnostic, or biologic product, (c) in Japan, the Ministry of Health, Labor and Welfare of Japan (“</w:t>
      </w:r>
      <w:r>
        <w:rPr>
          <w:rFonts w:ascii="Times New Roman" w:cs="Times New Roman" w:eastAsia="Times New Roman" w:hAnsi="Times New Roman"/>
          <w:sz w:val="20"/>
          <w:szCs w:val="20"/>
          <w:b w:val="1"/>
          <w:bCs w:val="1"/>
          <w:color w:val="auto"/>
        </w:rPr>
        <w:t>MHLW</w:t>
      </w:r>
      <w:r>
        <w:rPr>
          <w:rFonts w:ascii="Times New Roman" w:cs="Times New Roman" w:eastAsia="Times New Roman" w:hAnsi="Times New Roman"/>
          <w:sz w:val="20"/>
          <w:szCs w:val="20"/>
          <w:color w:val="auto"/>
        </w:rPr>
        <w:t>”) or any successor agency thereto having jurisdiction over any pharmaceutical, diagnostic, or biologic product and (d) in other countries, other analogous Governmental Authorities having jurisdiction over any pharmaceutical, diagnostic, or biologic product.</w:t>
      </w:r>
    </w:p>
    <w:p>
      <w:pPr>
        <w:spacing w:after="0" w:line="179" w:lineRule="exact"/>
        <w:rPr>
          <w:sz w:val="20"/>
          <w:szCs w:val="20"/>
          <w:color w:val="auto"/>
        </w:rPr>
      </w:pPr>
    </w:p>
    <w:p>
      <w:pPr>
        <w:jc w:val="both"/>
        <w:ind w:left="760" w:hanging="748"/>
        <w:spacing w:after="0" w:line="242"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1.176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Exclusivity</w:t>
      </w:r>
      <w:r>
        <w:rPr>
          <w:rFonts w:ascii="Times New Roman" w:cs="Times New Roman" w:eastAsia="Times New Roman" w:hAnsi="Times New Roman"/>
          <w:sz w:val="20"/>
          <w:szCs w:val="20"/>
          <w:color w:val="auto"/>
        </w:rPr>
        <w:t>” means, with respect to a Licensed Product in a country in the Sanofi Territory, the period of time during which any data exclusivity rights, market exclusivity rights, or other exclusive right, other than a Patent Right, granted, conferred or afforded by any Regulatory Authority or otherwise under Applicable Law with respect to such Licensed Product, which either: (a) confers the exclusive legal right by a Regulatory Authority (or a Party or its Affiliate or Sublicensee is otherwise entitled to the exclusive legal right by operation of Applicable Law) in such country to market and sell such Licensed Product, and such right precludes a Third Party from making such Licensed Product available for purchase for any indication; or (b) prevents a Third Party from referencing or relying upon in any way the data and information submitted by a Party or its Affiliate or Sublicensee to the relevant Regulatory Authority in such country for purposes of obtaining Regulatory Approval, to support the Regulatory Approval or marketing of any product by such Third Party in such country, or if such data and information is referenced, or relied upon to support a Regulatory Approval granted to a Third Party in such country, prevents the product from being placed on the market for any indication.</w:t>
      </w:r>
    </w:p>
    <w:p>
      <w:pPr>
        <w:spacing w:after="0" w:line="19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1.177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Milestone Event</w:t>
      </w:r>
      <w:r>
        <w:rPr>
          <w:rFonts w:ascii="Times New Roman" w:cs="Times New Roman" w:eastAsia="Times New Roman" w:hAnsi="Times New Roman"/>
          <w:sz w:val="19"/>
          <w:szCs w:val="19"/>
          <w:color w:val="auto"/>
        </w:rPr>
        <w:t>” has the meaning set forth in Section 9.2.1 (</w:t>
      </w:r>
      <w:r>
        <w:rPr>
          <w:rFonts w:ascii="Times New Roman" w:cs="Times New Roman" w:eastAsia="Times New Roman" w:hAnsi="Times New Roman"/>
          <w:sz w:val="19"/>
          <w:szCs w:val="19"/>
          <w:i w:val="1"/>
          <w:iCs w:val="1"/>
          <w:color w:val="auto"/>
        </w:rPr>
        <w:t>Regulatory Milestones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1.178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Milestone Payment</w:t>
      </w:r>
      <w:r>
        <w:rPr>
          <w:rFonts w:ascii="Times New Roman" w:cs="Times New Roman" w:eastAsia="Times New Roman" w:hAnsi="Times New Roman"/>
          <w:sz w:val="19"/>
          <w:szCs w:val="19"/>
          <w:color w:val="auto"/>
        </w:rPr>
        <w:t>” has the meaning set forth in Section 9.2.1 (</w:t>
      </w:r>
      <w:r>
        <w:rPr>
          <w:rFonts w:ascii="Times New Roman" w:cs="Times New Roman" w:eastAsia="Times New Roman" w:hAnsi="Times New Roman"/>
          <w:sz w:val="19"/>
          <w:szCs w:val="19"/>
          <w:i w:val="1"/>
          <w:iCs w:val="1"/>
          <w:color w:val="auto"/>
        </w:rPr>
        <w:t>Regulatory Milestones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1.179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Responsibility Transfer Date</w:t>
      </w:r>
      <w:r>
        <w:rPr>
          <w:rFonts w:ascii="Times New Roman" w:cs="Times New Roman" w:eastAsia="Times New Roman" w:hAnsi="Times New Roman"/>
          <w:sz w:val="19"/>
          <w:szCs w:val="19"/>
          <w:color w:val="auto"/>
        </w:rPr>
        <w:t>” has the meaning set forth in Section 6.1 (</w:t>
      </w:r>
      <w:r>
        <w:rPr>
          <w:rFonts w:ascii="Times New Roman" w:cs="Times New Roman" w:eastAsia="Times New Roman" w:hAnsi="Times New Roman"/>
          <w:sz w:val="19"/>
          <w:szCs w:val="19"/>
          <w:i w:val="1"/>
          <w:iCs w:val="1"/>
          <w:color w:val="auto"/>
        </w:rPr>
        <w:t>Regulatory Responsible Party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1.180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Responsible Party</w:t>
      </w:r>
      <w:r>
        <w:rPr>
          <w:rFonts w:ascii="Times New Roman" w:cs="Times New Roman" w:eastAsia="Times New Roman" w:hAnsi="Times New Roman"/>
          <w:sz w:val="19"/>
          <w:szCs w:val="19"/>
          <w:color w:val="auto"/>
        </w:rPr>
        <w:t>” means the Party designated under Section 6.1 (</w:t>
      </w:r>
      <w:r>
        <w:rPr>
          <w:rFonts w:ascii="Times New Roman" w:cs="Times New Roman" w:eastAsia="Times New Roman" w:hAnsi="Times New Roman"/>
          <w:sz w:val="19"/>
          <w:szCs w:val="19"/>
          <w:i w:val="1"/>
          <w:iCs w:val="1"/>
          <w:color w:val="auto"/>
        </w:rPr>
        <w:t>Regulatory Responsible Party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right="2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1.181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Submission</w:t>
      </w:r>
      <w:r>
        <w:rPr>
          <w:rFonts w:ascii="Times New Roman" w:cs="Times New Roman" w:eastAsia="Times New Roman" w:hAnsi="Times New Roman"/>
          <w:sz w:val="20"/>
          <w:szCs w:val="20"/>
          <w:color w:val="auto"/>
        </w:rPr>
        <w:t>” means any regulatory registration, application, authorization and approval and any other submission with any Regulatory Authority (including drug master files) in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6" w:name="page107"/>
    <w:bookmarkEnd w:id="106"/>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support of the Research, Development, Manufacture, Commercialization, or other Exploitation of a pharmaceutical, diagnostic, or biologic product (including to obtain, support, or maintain Regulatory Approval from that Regulatory Authority), and all written or electronic correspondence or communications with or from the relevant Regulatory Authority, as well as minutes of any material meetings, telephone conferences, or discussions with the relevant Regulatory Authority. Regulatory Submissions include all INDs, MAAs, and other applications for Regulatory Approval and their equivalents and all documents referenced in the complete regulatory chronology for each of the foregoing.</w:t>
      </w:r>
    </w:p>
    <w:p>
      <w:pPr>
        <w:spacing w:after="0" w:line="180" w:lineRule="exact"/>
        <w:rPr>
          <w:sz w:val="20"/>
          <w:szCs w:val="20"/>
          <w:color w:val="auto"/>
        </w:rPr>
      </w:pPr>
    </w:p>
    <w:p>
      <w:pPr>
        <w:jc w:val="both"/>
        <w:ind w:left="760" w:hanging="748"/>
        <w:spacing w:after="0" w:line="250"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1.182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Reimbursement Approval</w:t>
      </w:r>
      <w:r>
        <w:rPr>
          <w:rFonts w:ascii="Times New Roman" w:cs="Times New Roman" w:eastAsia="Times New Roman" w:hAnsi="Times New Roman"/>
          <w:sz w:val="20"/>
          <w:szCs w:val="20"/>
          <w:color w:val="auto"/>
        </w:rPr>
        <w:t>” means any approval, agreement, determination, or other decision by the applicable Governmental Authority in a given country that establishes prices charged to end-users for pharmaceutical, diagnostic, or biologic products at which such pharmaceutical, diagnostic, or biologic products will be reimbursed by the Regulatory Authorities or other applicable Governmental Authorities in such country.</w:t>
      </w:r>
    </w:p>
    <w:p>
      <w:pPr>
        <w:spacing w:after="0" w:line="176"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1.183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Research</w:t>
      </w:r>
      <w:r>
        <w:rPr>
          <w:rFonts w:ascii="Times New Roman" w:cs="Times New Roman" w:eastAsia="Times New Roman" w:hAnsi="Times New Roman"/>
          <w:sz w:val="20"/>
          <w:szCs w:val="20"/>
          <w:color w:val="auto"/>
        </w:rPr>
        <w:t>” means any pre-clinical research activities (including target validation, drug discovery, identification or synthesis) with respect to a given target, pharmaceutical product, biological product, or active pharmaceutical or biological ingredient with respect to the foregoing. “</w:t>
      </w:r>
      <w:r>
        <w:rPr>
          <w:rFonts w:ascii="Times New Roman" w:cs="Times New Roman" w:eastAsia="Times New Roman" w:hAnsi="Times New Roman"/>
          <w:sz w:val="20"/>
          <w:szCs w:val="20"/>
          <w:b w:val="1"/>
          <w:bCs w:val="1"/>
          <w:color w:val="auto"/>
        </w:rPr>
        <w:t>Researching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Researched</w:t>
      </w:r>
      <w:r>
        <w:rPr>
          <w:rFonts w:ascii="Times New Roman" w:cs="Times New Roman" w:eastAsia="Times New Roman" w:hAnsi="Times New Roman"/>
          <w:sz w:val="20"/>
          <w:szCs w:val="20"/>
          <w:color w:val="auto"/>
        </w:rPr>
        <w:t>” will be construed accordingly.</w:t>
      </w:r>
    </w:p>
    <w:p>
      <w:pPr>
        <w:spacing w:after="0" w:line="169"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1.184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Residual Knowledge</w:t>
      </w:r>
      <w:r>
        <w:rPr>
          <w:rFonts w:ascii="Times New Roman" w:cs="Times New Roman" w:eastAsia="Times New Roman" w:hAnsi="Times New Roman"/>
          <w:sz w:val="20"/>
          <w:szCs w:val="20"/>
          <w:color w:val="auto"/>
        </w:rPr>
        <w:t>” means intangible Know-How relating to the activities of the Parties with respect to the Research, Development, Manufacture, Commercialization or other Exploitation of Licensed Compounds or Licensed Products in the Field in the Territory as and to the extent set forth in this Agreement that is retained in the unaided memories of any employees or contractors of a Party or any of its Affiliates or Sublicensees who had access to such Know-How under this Agreement. For the purposes of this definition, any information intentionally memorized is not deemed to be retained in the unaided memory of a Person.</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1.185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Restricted Party</w:t>
      </w:r>
      <w:r>
        <w:rPr>
          <w:rFonts w:ascii="Times New Roman" w:cs="Times New Roman" w:eastAsia="Times New Roman" w:hAnsi="Times New Roman"/>
          <w:sz w:val="19"/>
          <w:szCs w:val="19"/>
          <w:color w:val="auto"/>
        </w:rPr>
        <w:t>” means any individual or entity on one or more of the Restricted Party Lists.</w:t>
      </w:r>
    </w:p>
    <w:p>
      <w:pPr>
        <w:spacing w:after="0" w:line="216"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1.186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Party List</w:t>
      </w:r>
      <w:r>
        <w:rPr>
          <w:rFonts w:ascii="Times New Roman" w:cs="Times New Roman" w:eastAsia="Times New Roman" w:hAnsi="Times New Roman"/>
          <w:sz w:val="20"/>
          <w:szCs w:val="20"/>
          <w:color w:val="auto"/>
        </w:rPr>
        <w:t>” means the list of sanctioned entities maintained by the United Nations; the Specially Designated Nationals and Blocked Persons List, the Foreign Sanctions Evaders List and the Sectoral Sanctions Identifications List, all administered by OFAC; the U.S. Denied Persons List, the U.S. Entity List, and the U.S. Unverified List, all administered by the U.S. Department of Commerce; and the entities subject to restrictive measures and the consolidated list of Persons, Groups, and Entities Subject to E.U. Financial Sanctions, as implemented by the E.U. Common Foreign &amp; Security Policy.</w:t>
      </w:r>
    </w:p>
    <w:p>
      <w:pPr>
        <w:spacing w:after="0" w:line="1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1.187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Reversion Notice</w:t>
      </w:r>
      <w:r>
        <w:rPr>
          <w:rFonts w:ascii="Times New Roman" w:cs="Times New Roman" w:eastAsia="Times New Roman" w:hAnsi="Times New Roman"/>
          <w:sz w:val="19"/>
          <w:szCs w:val="19"/>
          <w:color w:val="auto"/>
        </w:rPr>
        <w:t>” has the meaning set forth in Section 14.8.1 (</w:t>
      </w:r>
      <w:r>
        <w:rPr>
          <w:rFonts w:ascii="Times New Roman" w:cs="Times New Roman" w:eastAsia="Times New Roman" w:hAnsi="Times New Roman"/>
          <w:sz w:val="19"/>
          <w:szCs w:val="19"/>
          <w:i w:val="1"/>
          <w:iCs w:val="1"/>
          <w:color w:val="auto"/>
        </w:rPr>
        <w:t>Reversion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1.188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Reversion Product</w:t>
      </w:r>
      <w:r>
        <w:rPr>
          <w:rFonts w:ascii="Times New Roman" w:cs="Times New Roman" w:eastAsia="Times New Roman" w:hAnsi="Times New Roman"/>
          <w:sz w:val="19"/>
          <w:szCs w:val="19"/>
          <w:color w:val="auto"/>
        </w:rPr>
        <w:t>” has the meaning set forth in Section 14.8.1 (</w:t>
      </w:r>
      <w:r>
        <w:rPr>
          <w:rFonts w:ascii="Times New Roman" w:cs="Times New Roman" w:eastAsia="Times New Roman" w:hAnsi="Times New Roman"/>
          <w:sz w:val="19"/>
          <w:szCs w:val="19"/>
          <w:i w:val="1"/>
          <w:iCs w:val="1"/>
          <w:color w:val="auto"/>
        </w:rPr>
        <w:t>Reversion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1.189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Review Period</w:t>
      </w:r>
      <w:r>
        <w:rPr>
          <w:rFonts w:ascii="Times New Roman" w:cs="Times New Roman" w:eastAsia="Times New Roman" w:hAnsi="Times New Roman"/>
          <w:sz w:val="19"/>
          <w:szCs w:val="19"/>
          <w:color w:val="auto"/>
        </w:rPr>
        <w:t>” has the meaning set forth in Section 12.5.1(c) (</w:t>
      </w:r>
      <w:r>
        <w:rPr>
          <w:rFonts w:ascii="Times New Roman" w:cs="Times New Roman" w:eastAsia="Times New Roman" w:hAnsi="Times New Roman"/>
          <w:sz w:val="19"/>
          <w:szCs w:val="19"/>
          <w:i w:val="1"/>
          <w:iCs w:val="1"/>
          <w:color w:val="auto"/>
        </w:rPr>
        <w:t>Review Process and Other Limitations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1.190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ROFN Exercise Notice</w:t>
      </w:r>
      <w:r>
        <w:rPr>
          <w:rFonts w:ascii="Times New Roman" w:cs="Times New Roman" w:eastAsia="Times New Roman" w:hAnsi="Times New Roman"/>
          <w:sz w:val="19"/>
          <w:szCs w:val="19"/>
          <w:color w:val="auto"/>
        </w:rPr>
        <w:t>” has the meaning set forth in Section 2.8 (</w:t>
      </w:r>
      <w:r>
        <w:rPr>
          <w:rFonts w:ascii="Times New Roman" w:cs="Times New Roman" w:eastAsia="Times New Roman" w:hAnsi="Times New Roman"/>
          <w:sz w:val="19"/>
          <w:szCs w:val="19"/>
          <w:i w:val="1"/>
          <w:iCs w:val="1"/>
          <w:color w:val="auto"/>
        </w:rPr>
        <w:t>Right of First Negotiation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1.191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ROFN Negotiation Period</w:t>
      </w:r>
      <w:r>
        <w:rPr>
          <w:rFonts w:ascii="Times New Roman" w:cs="Times New Roman" w:eastAsia="Times New Roman" w:hAnsi="Times New Roman"/>
          <w:sz w:val="19"/>
          <w:szCs w:val="19"/>
          <w:color w:val="auto"/>
        </w:rPr>
        <w:t>” has the meaning set forth in Section 2.8 (</w:t>
      </w:r>
      <w:r>
        <w:rPr>
          <w:rFonts w:ascii="Times New Roman" w:cs="Times New Roman" w:eastAsia="Times New Roman" w:hAnsi="Times New Roman"/>
          <w:sz w:val="19"/>
          <w:szCs w:val="19"/>
          <w:i w:val="1"/>
          <w:iCs w:val="1"/>
          <w:color w:val="auto"/>
        </w:rPr>
        <w:t>Right of First Negotiation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1.192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ROFN Notice</w:t>
      </w:r>
      <w:r>
        <w:rPr>
          <w:rFonts w:ascii="Times New Roman" w:cs="Times New Roman" w:eastAsia="Times New Roman" w:hAnsi="Times New Roman"/>
          <w:sz w:val="19"/>
          <w:szCs w:val="19"/>
          <w:color w:val="auto"/>
        </w:rPr>
        <w:t>” has the meaning set forth in Section 2.8 (</w:t>
      </w:r>
      <w:r>
        <w:rPr>
          <w:rFonts w:ascii="Times New Roman" w:cs="Times New Roman" w:eastAsia="Times New Roman" w:hAnsi="Times New Roman"/>
          <w:sz w:val="19"/>
          <w:szCs w:val="19"/>
          <w:i w:val="1"/>
          <w:iCs w:val="1"/>
          <w:color w:val="auto"/>
        </w:rPr>
        <w:t>Right of First Negotiation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1.193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ROW Region</w:t>
      </w:r>
      <w:r>
        <w:rPr>
          <w:rFonts w:ascii="Times New Roman" w:cs="Times New Roman" w:eastAsia="Times New Roman" w:hAnsi="Times New Roman"/>
          <w:sz w:val="20"/>
          <w:szCs w:val="20"/>
          <w:color w:val="auto"/>
        </w:rPr>
        <w:t>” means all countries and territories within the Sanofi Territory that are not included in the Sanofi Major Countries, Asian Region, Latin American Region, or European Region.</w:t>
      </w:r>
    </w:p>
    <w:p>
      <w:pPr>
        <w:spacing w:after="0" w:line="1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1.194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Royalties</w:t>
      </w:r>
      <w:r>
        <w:rPr>
          <w:rFonts w:ascii="Times New Roman" w:cs="Times New Roman" w:eastAsia="Times New Roman" w:hAnsi="Times New Roman"/>
          <w:sz w:val="19"/>
          <w:szCs w:val="19"/>
          <w:color w:val="auto"/>
        </w:rPr>
        <w:t>” has the meaning set forth in Section 9.3.1 (</w:t>
      </w:r>
      <w:r>
        <w:rPr>
          <w:rFonts w:ascii="Times New Roman" w:cs="Times New Roman" w:eastAsia="Times New Roman" w:hAnsi="Times New Roman"/>
          <w:sz w:val="19"/>
          <w:szCs w:val="19"/>
          <w:i w:val="1"/>
          <w:iCs w:val="1"/>
          <w:color w:val="auto"/>
        </w:rPr>
        <w:t>Royalty 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1.195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Royalty Bearing Patent</w:t>
      </w:r>
      <w:r>
        <w:rPr>
          <w:rFonts w:ascii="Times New Roman" w:cs="Times New Roman" w:eastAsia="Times New Roman" w:hAnsi="Times New Roman"/>
          <w:sz w:val="19"/>
          <w:szCs w:val="19"/>
          <w:color w:val="auto"/>
        </w:rPr>
        <w:t>” means, on a Licensed Product-by-Licensed Product and country-by-country basis, [***].</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1.196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Royalty Payment</w:t>
      </w:r>
      <w:r>
        <w:rPr>
          <w:rFonts w:ascii="Times New Roman" w:cs="Times New Roman" w:eastAsia="Times New Roman" w:hAnsi="Times New Roman"/>
          <w:sz w:val="19"/>
          <w:szCs w:val="19"/>
          <w:color w:val="auto"/>
        </w:rPr>
        <w:t>” has the meaning set forth in Section 9.3.1 (</w:t>
      </w:r>
      <w:r>
        <w:rPr>
          <w:rFonts w:ascii="Times New Roman" w:cs="Times New Roman" w:eastAsia="Times New Roman" w:hAnsi="Times New Roman"/>
          <w:sz w:val="19"/>
          <w:szCs w:val="19"/>
          <w:i w:val="1"/>
          <w:iCs w:val="1"/>
          <w:color w:val="auto"/>
        </w:rPr>
        <w:t>Royalty 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1.197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Royalty Rates</w:t>
      </w:r>
      <w:r>
        <w:rPr>
          <w:rFonts w:ascii="Times New Roman" w:cs="Times New Roman" w:eastAsia="Times New Roman" w:hAnsi="Times New Roman"/>
          <w:sz w:val="19"/>
          <w:szCs w:val="19"/>
          <w:color w:val="auto"/>
        </w:rPr>
        <w:t>” has the meaning set forth in Section 9.3.1 (</w:t>
      </w:r>
      <w:r>
        <w:rPr>
          <w:rFonts w:ascii="Times New Roman" w:cs="Times New Roman" w:eastAsia="Times New Roman" w:hAnsi="Times New Roman"/>
          <w:sz w:val="19"/>
          <w:szCs w:val="19"/>
          <w:i w:val="1"/>
          <w:iCs w:val="1"/>
          <w:color w:val="auto"/>
        </w:rPr>
        <w:t>Royalty 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1.198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Royalty Report</w:t>
      </w:r>
      <w:r>
        <w:rPr>
          <w:rFonts w:ascii="Times New Roman" w:cs="Times New Roman" w:eastAsia="Times New Roman" w:hAnsi="Times New Roman"/>
          <w:sz w:val="19"/>
          <w:szCs w:val="19"/>
          <w:color w:val="auto"/>
        </w:rPr>
        <w:t>” has the meaning set forth in Section 9.3.3(a) (</w:t>
      </w:r>
      <w:r>
        <w:rPr>
          <w:rFonts w:ascii="Times New Roman" w:cs="Times New Roman" w:eastAsia="Times New Roman" w:hAnsi="Times New Roman"/>
          <w:sz w:val="19"/>
          <w:szCs w:val="19"/>
          <w:i w:val="1"/>
          <w:iCs w:val="1"/>
          <w:color w:val="auto"/>
        </w:rPr>
        <w:t>Royalty Report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1.199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Royalty Term</w:t>
      </w:r>
      <w:r>
        <w:rPr>
          <w:rFonts w:ascii="Times New Roman" w:cs="Times New Roman" w:eastAsia="Times New Roman" w:hAnsi="Times New Roman"/>
          <w:sz w:val="20"/>
          <w:szCs w:val="20"/>
          <w:color w:val="auto"/>
        </w:rPr>
        <w:t>” means, on a Licensed Product-by-Licensed Product and country-by-country basis, the period of time commencing upon First Commercial Sale of such Licensed Product in such country and ending on the latest to occur of: (a) [***] after First Commercial Sale of such Licensed Product in such country, (b) the date on which the sale of such Licensed Product even without the licenses granted hereunder would no longer infringe a Royalty Bearing Patent, and (c) loss of Regulatory Exclusivity of such Licensed Product in such country.</w:t>
      </w:r>
    </w:p>
    <w:p>
      <w:pPr>
        <w:spacing w:after="0" w:line="1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1.200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Sales Milestone Event</w:t>
      </w:r>
      <w:r>
        <w:rPr>
          <w:rFonts w:ascii="Times New Roman" w:cs="Times New Roman" w:eastAsia="Times New Roman" w:hAnsi="Times New Roman"/>
          <w:sz w:val="19"/>
          <w:szCs w:val="19"/>
          <w:color w:val="auto"/>
        </w:rPr>
        <w:t>” has the meaning set forth in Section 9.2.2 (</w:t>
      </w:r>
      <w:r>
        <w:rPr>
          <w:rFonts w:ascii="Times New Roman" w:cs="Times New Roman" w:eastAsia="Times New Roman" w:hAnsi="Times New Roman"/>
          <w:sz w:val="19"/>
          <w:szCs w:val="19"/>
          <w:i w:val="1"/>
          <w:iCs w:val="1"/>
          <w:color w:val="auto"/>
        </w:rPr>
        <w:t>Sales Milestones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1.201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Sales Milestone Payment</w:t>
      </w:r>
      <w:r>
        <w:rPr>
          <w:rFonts w:ascii="Times New Roman" w:cs="Times New Roman" w:eastAsia="Times New Roman" w:hAnsi="Times New Roman"/>
          <w:sz w:val="19"/>
          <w:szCs w:val="19"/>
          <w:color w:val="auto"/>
        </w:rPr>
        <w:t>” has the meaning set forth in Section 9.2.2 (</w:t>
      </w:r>
      <w:r>
        <w:rPr>
          <w:rFonts w:ascii="Times New Roman" w:cs="Times New Roman" w:eastAsia="Times New Roman" w:hAnsi="Times New Roman"/>
          <w:sz w:val="19"/>
          <w:szCs w:val="19"/>
          <w:i w:val="1"/>
          <w:iCs w:val="1"/>
          <w:color w:val="auto"/>
        </w:rPr>
        <w:t>Sales Milestones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1.202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Sanofi</w:t>
      </w:r>
      <w:r>
        <w:rPr>
          <w:rFonts w:ascii="Times New Roman" w:cs="Times New Roman" w:eastAsia="Times New Roman" w:hAnsi="Times New Roman"/>
          <w:sz w:val="19"/>
          <w:szCs w:val="19"/>
          <w:color w:val="auto"/>
        </w:rPr>
        <w:t>” has the meaning set forth in the Preamble.</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1.203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Sanofi Background Technology</w:t>
      </w:r>
      <w:r>
        <w:rPr>
          <w:rFonts w:ascii="Times New Roman" w:cs="Times New Roman" w:eastAsia="Times New Roman" w:hAnsi="Times New Roman"/>
          <w:sz w:val="19"/>
          <w:szCs w:val="19"/>
          <w:color w:val="auto"/>
        </w:rPr>
        <w:t>” has the meaning set forth in Section 1.217 (</w:t>
      </w:r>
      <w:r>
        <w:rPr>
          <w:rFonts w:ascii="Times New Roman" w:cs="Times New Roman" w:eastAsia="Times New Roman" w:hAnsi="Times New Roman"/>
          <w:sz w:val="19"/>
          <w:szCs w:val="19"/>
          <w:i w:val="1"/>
          <w:iCs w:val="1"/>
          <w:color w:val="auto"/>
        </w:rPr>
        <w:t>Sanofi Technology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1.204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Sanofi Collaboration Technology</w:t>
      </w:r>
      <w:r>
        <w:rPr>
          <w:rFonts w:ascii="Times New Roman" w:cs="Times New Roman" w:eastAsia="Times New Roman" w:hAnsi="Times New Roman"/>
          <w:sz w:val="19"/>
          <w:szCs w:val="19"/>
          <w:color w:val="auto"/>
        </w:rPr>
        <w:t>” has the meaning set forth in Section 1.217 (</w:t>
      </w:r>
      <w:r>
        <w:rPr>
          <w:rFonts w:ascii="Times New Roman" w:cs="Times New Roman" w:eastAsia="Times New Roman" w:hAnsi="Times New Roman"/>
          <w:sz w:val="19"/>
          <w:szCs w:val="19"/>
          <w:i w:val="1"/>
          <w:iCs w:val="1"/>
          <w:color w:val="auto"/>
        </w:rPr>
        <w:t>Sanofi Technology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1.205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Sanofi Development Cost Share Notice</w:t>
      </w:r>
      <w:r>
        <w:rPr>
          <w:rFonts w:ascii="Times New Roman" w:cs="Times New Roman" w:eastAsia="Times New Roman" w:hAnsi="Times New Roman"/>
          <w:sz w:val="19"/>
          <w:szCs w:val="19"/>
          <w:color w:val="auto"/>
        </w:rPr>
        <w:t>” has the meaning set forth in Section 5.7.1 (</w:t>
      </w:r>
      <w:r>
        <w:rPr>
          <w:rFonts w:ascii="Times New Roman" w:cs="Times New Roman" w:eastAsia="Times New Roman" w:hAnsi="Times New Roman"/>
          <w:sz w:val="19"/>
          <w:szCs w:val="19"/>
          <w:i w:val="1"/>
          <w:iCs w:val="1"/>
          <w:color w:val="auto"/>
        </w:rPr>
        <w:t>Eligible Global Development Costs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1.206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Sanofi Indemnitees</w:t>
      </w:r>
      <w:r>
        <w:rPr>
          <w:rFonts w:ascii="Times New Roman" w:cs="Times New Roman" w:eastAsia="Times New Roman" w:hAnsi="Times New Roman"/>
          <w:sz w:val="19"/>
          <w:szCs w:val="19"/>
          <w:color w:val="auto"/>
        </w:rPr>
        <w:t>” has the meaning set forth in Section 13.1(</w:t>
      </w:r>
      <w:r>
        <w:rPr>
          <w:rFonts w:ascii="Times New Roman" w:cs="Times New Roman" w:eastAsia="Times New Roman" w:hAnsi="Times New Roman"/>
          <w:sz w:val="19"/>
          <w:szCs w:val="19"/>
          <w:i w:val="1"/>
          <w:iCs w:val="1"/>
          <w:color w:val="auto"/>
        </w:rPr>
        <w:t>Indemnification by Fulcrum</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1.207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Sanofi Independent Development Activities</w:t>
      </w:r>
      <w:r>
        <w:rPr>
          <w:rFonts w:ascii="Times New Roman" w:cs="Times New Roman" w:eastAsia="Times New Roman" w:hAnsi="Times New Roman"/>
          <w:sz w:val="19"/>
          <w:szCs w:val="19"/>
          <w:color w:val="auto"/>
        </w:rPr>
        <w:t>” has the meaning set forth in Section 5.2 (</w:t>
      </w:r>
      <w:r>
        <w:rPr>
          <w:rFonts w:ascii="Times New Roman" w:cs="Times New Roman" w:eastAsia="Times New Roman" w:hAnsi="Times New Roman"/>
          <w:sz w:val="19"/>
          <w:szCs w:val="19"/>
          <w:i w:val="1"/>
          <w:iCs w:val="1"/>
          <w:color w:val="auto"/>
        </w:rPr>
        <w:t>Initial Global Development Plan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1.208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Sanofi Independent Development Plan</w:t>
      </w:r>
      <w:r>
        <w:rPr>
          <w:rFonts w:ascii="Times New Roman" w:cs="Times New Roman" w:eastAsia="Times New Roman" w:hAnsi="Times New Roman"/>
          <w:sz w:val="19"/>
          <w:szCs w:val="19"/>
          <w:color w:val="auto"/>
        </w:rPr>
        <w:t>” has the meaning set forth in Section 5.5 (</w:t>
      </w:r>
      <w:r>
        <w:rPr>
          <w:rFonts w:ascii="Times New Roman" w:cs="Times New Roman" w:eastAsia="Times New Roman" w:hAnsi="Times New Roman"/>
          <w:sz w:val="19"/>
          <w:szCs w:val="19"/>
          <w:i w:val="1"/>
          <w:iCs w:val="1"/>
          <w:color w:val="auto"/>
        </w:rPr>
        <w:t>Sanofi Independent Development Plan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1.209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Sanofi Independent Development Program</w:t>
      </w:r>
      <w:r>
        <w:rPr>
          <w:rFonts w:ascii="Times New Roman" w:cs="Times New Roman" w:eastAsia="Times New Roman" w:hAnsi="Times New Roman"/>
          <w:sz w:val="20"/>
          <w:szCs w:val="20"/>
          <w:color w:val="auto"/>
        </w:rPr>
        <w:t>” means the program of Development activities conducted under the Sanofi Independent Development Plan, which, for clarity, will exclude any Development activities conducted under the Global Development Program or the Fulcrum Independent Development Program.</w:t>
      </w:r>
    </w:p>
    <w:p>
      <w:pPr>
        <w:spacing w:after="0" w:line="169"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1.210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Sanofi Know-How</w:t>
      </w:r>
      <w:r>
        <w:rPr>
          <w:rFonts w:ascii="Times New Roman" w:cs="Times New Roman" w:eastAsia="Times New Roman" w:hAnsi="Times New Roman"/>
          <w:sz w:val="20"/>
          <w:szCs w:val="20"/>
          <w:color w:val="auto"/>
        </w:rPr>
        <w:t>” means, subject to Section 5.3.1(c)(iii) (</w:t>
      </w:r>
      <w:r>
        <w:rPr>
          <w:rFonts w:ascii="Times New Roman" w:cs="Times New Roman" w:eastAsia="Times New Roman" w:hAnsi="Times New Roman"/>
          <w:sz w:val="20"/>
          <w:szCs w:val="20"/>
          <w:i w:val="1"/>
          <w:iCs w:val="1"/>
          <w:color w:val="auto"/>
        </w:rPr>
        <w:t>Additional Activities under Global Development Plan</w:t>
      </w:r>
      <w:r>
        <w:rPr>
          <w:rFonts w:ascii="Times New Roman" w:cs="Times New Roman" w:eastAsia="Times New Roman" w:hAnsi="Times New Roman"/>
          <w:sz w:val="20"/>
          <w:szCs w:val="20"/>
          <w:color w:val="auto"/>
        </w:rPr>
        <w:t>), all Collaboration Know-How (excluding Sanofi’s interest in Joint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8" w:name="page109"/>
    <w:bookmarkEnd w:id="108"/>
    <w:p>
      <w:pPr>
        <w:ind w:left="800" w:hanging="48"/>
        <w:spacing w:after="0" w:line="269" w:lineRule="auto"/>
        <w:rPr>
          <w:sz w:val="20"/>
          <w:szCs w:val="20"/>
          <w:color w:val="auto"/>
        </w:rPr>
      </w:pPr>
      <w:r>
        <w:rPr>
          <w:rFonts w:ascii="Times New Roman" w:cs="Times New Roman" w:eastAsia="Times New Roman" w:hAnsi="Times New Roman"/>
          <w:sz w:val="20"/>
          <w:szCs w:val="20"/>
          <w:color w:val="auto"/>
        </w:rPr>
        <w:t>Collaboration Know-How) that is (a) Controlled by Sanofi or any of its Affiliates as of the Effective Date or during the Term and (b) necessary or reasonably useful to Exploit a Licensed Compound or Licensed Product in the Field in the Fulcrum Territory.</w:t>
      </w:r>
    </w:p>
    <w:p>
      <w:pPr>
        <w:spacing w:after="0" w:line="15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Sanofi Major Country</w:t>
      </w:r>
      <w:r>
        <w:rPr>
          <w:rFonts w:ascii="Times New Roman" w:cs="Times New Roman" w:eastAsia="Times New Roman" w:hAnsi="Times New Roman"/>
          <w:sz w:val="19"/>
          <w:szCs w:val="19"/>
          <w:color w:val="auto"/>
        </w:rPr>
        <w:t>” means each of [***].</w:t>
      </w:r>
    </w:p>
    <w:p>
      <w:pPr>
        <w:spacing w:after="0" w:line="216"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1.212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Sanofi Manufacturing Technology</w:t>
      </w:r>
      <w:r>
        <w:rPr>
          <w:rFonts w:ascii="Times New Roman" w:cs="Times New Roman" w:eastAsia="Times New Roman" w:hAnsi="Times New Roman"/>
          <w:sz w:val="20"/>
          <w:szCs w:val="20"/>
          <w:color w:val="auto"/>
        </w:rPr>
        <w:t>” means any Patents Rights or Know-How Controlled by Sanofi or its Affiliates that directly Cover (in the case of Patent Rights) or directly relate to (in the case of Know-How) Manufacturing.</w:t>
      </w:r>
    </w:p>
    <w:p>
      <w:pPr>
        <w:spacing w:after="0" w:line="152" w:lineRule="exact"/>
        <w:rPr>
          <w:sz w:val="20"/>
          <w:szCs w:val="20"/>
          <w:color w:val="auto"/>
        </w:rPr>
      </w:pPr>
    </w:p>
    <w:p>
      <w:pPr>
        <w:jc w:val="both"/>
        <w:ind w:left="760" w:hanging="748"/>
        <w:spacing w:after="0" w:line="250"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1.213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Sanofi Patent Rights</w:t>
      </w:r>
      <w:r>
        <w:rPr>
          <w:rFonts w:ascii="Times New Roman" w:cs="Times New Roman" w:eastAsia="Times New Roman" w:hAnsi="Times New Roman"/>
          <w:sz w:val="20"/>
          <w:szCs w:val="20"/>
          <w:color w:val="auto"/>
        </w:rPr>
        <w:t>” means all Collaboration Patent Rights (excluding Sanofi’s interest in Joint Collaboration Patent Rights) that are (a) Controlled by Sanofi or any of its Affiliates as of the Effective Date or during the Term and (b) necessary or reasonably useful (or, with respect to patent applications, would be necessary or reasonably useful if such patent applications were to issue as patents) to Exploit a Licensed Compound or Licensed Product in the Field in the Fulcrum Territory.</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Sanofi Product Trademarks</w:t>
      </w:r>
      <w:r>
        <w:rPr>
          <w:rFonts w:ascii="Times New Roman" w:cs="Times New Roman" w:eastAsia="Times New Roman" w:hAnsi="Times New Roman"/>
          <w:sz w:val="19"/>
          <w:szCs w:val="19"/>
          <w:color w:val="auto"/>
        </w:rPr>
        <w:t>” has the meaning set forth in Section 10.11.1(a) (</w:t>
      </w:r>
      <w:r>
        <w:rPr>
          <w:rFonts w:ascii="Times New Roman" w:cs="Times New Roman" w:eastAsia="Times New Roman" w:hAnsi="Times New Roman"/>
          <w:sz w:val="19"/>
          <w:szCs w:val="19"/>
          <w:i w:val="1"/>
          <w:iCs w:val="1"/>
          <w:color w:val="auto"/>
        </w:rPr>
        <w:t>Ownership of Sanofi Product Trademarks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Sanofi Prosecuted Patent Rights</w:t>
      </w:r>
      <w:r>
        <w:rPr>
          <w:rFonts w:ascii="Times New Roman" w:cs="Times New Roman" w:eastAsia="Times New Roman" w:hAnsi="Times New Roman"/>
          <w:sz w:val="19"/>
          <w:szCs w:val="19"/>
          <w:color w:val="auto"/>
        </w:rPr>
        <w:t>” has the meaning set forth in Section 10.2.2(a) (</w:t>
      </w:r>
      <w:r>
        <w:rPr>
          <w:rFonts w:ascii="Times New Roman" w:cs="Times New Roman" w:eastAsia="Times New Roman" w:hAnsi="Times New Roman"/>
          <w:sz w:val="19"/>
          <w:szCs w:val="19"/>
          <w:i w:val="1"/>
          <w:iCs w:val="1"/>
          <w:color w:val="auto"/>
        </w:rPr>
        <w:t>Right to Prosecute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Sanofi Reversion Technology</w:t>
      </w:r>
      <w:r>
        <w:rPr>
          <w:rFonts w:ascii="Times New Roman" w:cs="Times New Roman" w:eastAsia="Times New Roman" w:hAnsi="Times New Roman"/>
          <w:sz w:val="19"/>
          <w:szCs w:val="19"/>
          <w:color w:val="auto"/>
        </w:rPr>
        <w:t>” has the meaning set forth in Section 14.8.1(a) (</w:t>
      </w:r>
      <w:r>
        <w:rPr>
          <w:rFonts w:ascii="Times New Roman" w:cs="Times New Roman" w:eastAsia="Times New Roman" w:hAnsi="Times New Roman"/>
          <w:sz w:val="19"/>
          <w:szCs w:val="19"/>
          <w:i w:val="1"/>
          <w:iCs w:val="1"/>
          <w:color w:val="auto"/>
        </w:rPr>
        <w:t>Reversion License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1.217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Sanofi Technology</w:t>
      </w:r>
      <w:r>
        <w:rPr>
          <w:rFonts w:ascii="Times New Roman" w:cs="Times New Roman" w:eastAsia="Times New Roman" w:hAnsi="Times New Roman"/>
          <w:sz w:val="20"/>
          <w:szCs w:val="20"/>
          <w:color w:val="auto"/>
        </w:rPr>
        <w:t>” means (a) Background Technology Controlled by Sanofi or its Affiliates that (i) Covers or is incorporated in a Licensed Product that is or was in clinical Development under the Global Development Plan in the form and manner in which such Licensed Product is or was in clinical Development under the Global Development Plan, or (ii) is actually used by Sanofi or its Affiliates or Sublicensees in the Commercialization of a Licensed Product in the Sanofi Territory (collectively ((a)(i) and (a)(ii)), the “</w:t>
      </w:r>
      <w:r>
        <w:rPr>
          <w:rFonts w:ascii="Times New Roman" w:cs="Times New Roman" w:eastAsia="Times New Roman" w:hAnsi="Times New Roman"/>
          <w:sz w:val="20"/>
          <w:szCs w:val="20"/>
          <w:b w:val="1"/>
          <w:bCs w:val="1"/>
          <w:color w:val="auto"/>
        </w:rPr>
        <w:t>Sanofi Background Technology</w:t>
      </w:r>
      <w:r>
        <w:rPr>
          <w:rFonts w:ascii="Times New Roman" w:cs="Times New Roman" w:eastAsia="Times New Roman" w:hAnsi="Times New Roman"/>
          <w:sz w:val="20"/>
          <w:szCs w:val="20"/>
          <w:color w:val="auto"/>
        </w:rPr>
        <w:t>”), (b) Collaboration Patent Rights and Collaboration Know-How solely conceived, discovered, developed, invented or otherwise made by Sanofi or its Affiliates, licensees’, Sublicensees’, or subcontractors’ employees, agents, or independent contractors, or any Persons contractually required to assign or license such Patent Rights or Know-How to Sanofi or any Affiliate of Sanofi in the performance of activities under this Agreement (“</w:t>
      </w:r>
      <w:r>
        <w:rPr>
          <w:rFonts w:ascii="Times New Roman" w:cs="Times New Roman" w:eastAsia="Times New Roman" w:hAnsi="Times New Roman"/>
          <w:sz w:val="20"/>
          <w:szCs w:val="20"/>
          <w:b w:val="1"/>
          <w:bCs w:val="1"/>
          <w:color w:val="auto"/>
        </w:rPr>
        <w:t>Sanofi Collaboration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Technology</w:t>
      </w:r>
      <w:r>
        <w:rPr>
          <w:rFonts w:ascii="Times New Roman" w:cs="Times New Roman" w:eastAsia="Times New Roman" w:hAnsi="Times New Roman"/>
          <w:sz w:val="20"/>
          <w:szCs w:val="20"/>
          <w:color w:val="auto"/>
        </w:rPr>
        <w:t>”), and (c) Sanofi’s interest in the Joint Collaboration Technology.</w:t>
      </w:r>
    </w:p>
    <w:p>
      <w:pPr>
        <w:spacing w:after="0" w:line="18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Sanofi Territory</w:t>
      </w:r>
      <w:r>
        <w:rPr>
          <w:rFonts w:ascii="Times New Roman" w:cs="Times New Roman" w:eastAsia="Times New Roman" w:hAnsi="Times New Roman"/>
          <w:sz w:val="19"/>
          <w:szCs w:val="19"/>
          <w:color w:val="auto"/>
        </w:rPr>
        <w:t>” means worldwide, except for the Fulcrum Territory.</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Sanofi Territory Manufacturing Handover Date</w:t>
      </w:r>
      <w:r>
        <w:rPr>
          <w:rFonts w:ascii="Times New Roman" w:cs="Times New Roman" w:eastAsia="Times New Roman" w:hAnsi="Times New Roman"/>
          <w:sz w:val="19"/>
          <w:szCs w:val="19"/>
          <w:color w:val="auto"/>
        </w:rPr>
        <w:t>” has the meaning set forth in Section 8.1.2 (</w:t>
      </w:r>
      <w:r>
        <w:rPr>
          <w:rFonts w:ascii="Times New Roman" w:cs="Times New Roman" w:eastAsia="Times New Roman" w:hAnsi="Times New Roman"/>
          <w:sz w:val="19"/>
          <w:szCs w:val="19"/>
          <w:i w:val="1"/>
          <w:iCs w:val="1"/>
          <w:color w:val="auto"/>
        </w:rPr>
        <w:t>Sanofi Manufacturing</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Securitization Transaction</w:t>
      </w:r>
      <w:r>
        <w:rPr>
          <w:rFonts w:ascii="Times New Roman" w:cs="Times New Roman" w:eastAsia="Times New Roman" w:hAnsi="Times New Roman"/>
          <w:sz w:val="19"/>
          <w:szCs w:val="19"/>
          <w:color w:val="auto"/>
        </w:rPr>
        <w:t>” has the meaning set forth in Section 16.1 (</w:t>
      </w:r>
      <w:r>
        <w:rPr>
          <w:rFonts w:ascii="Times New Roman" w:cs="Times New Roman" w:eastAsia="Times New Roman" w:hAnsi="Times New Roman"/>
          <w:sz w:val="19"/>
          <w:szCs w:val="19"/>
          <w:i w:val="1"/>
          <w:iCs w:val="1"/>
          <w:color w:val="auto"/>
        </w:rPr>
        <w:t>Assignment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Shelving Event</w:t>
      </w:r>
      <w:r>
        <w:rPr>
          <w:rFonts w:ascii="Times New Roman" w:cs="Times New Roman" w:eastAsia="Times New Roman" w:hAnsi="Times New Roman"/>
          <w:sz w:val="19"/>
          <w:szCs w:val="19"/>
          <w:color w:val="auto"/>
        </w:rPr>
        <w:t>” has the meaning set forth in Section 14.5.1 (</w:t>
      </w:r>
      <w:r>
        <w:rPr>
          <w:rFonts w:ascii="Times New Roman" w:cs="Times New Roman" w:eastAsia="Times New Roman" w:hAnsi="Times New Roman"/>
          <w:sz w:val="19"/>
          <w:szCs w:val="19"/>
          <w:i w:val="1"/>
          <w:iCs w:val="1"/>
          <w:color w:val="auto"/>
        </w:rPr>
        <w:t>Shelving Event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Step-In Activities</w:t>
      </w:r>
      <w:r>
        <w:rPr>
          <w:rFonts w:ascii="Times New Roman" w:cs="Times New Roman" w:eastAsia="Times New Roman" w:hAnsi="Times New Roman"/>
          <w:sz w:val="19"/>
          <w:szCs w:val="19"/>
          <w:color w:val="auto"/>
        </w:rPr>
        <w:t>” has the meaning set forth in Section 5.4 (</w:t>
      </w:r>
      <w:r>
        <w:rPr>
          <w:rFonts w:ascii="Times New Roman" w:cs="Times New Roman" w:eastAsia="Times New Roman" w:hAnsi="Times New Roman"/>
          <w:sz w:val="19"/>
          <w:szCs w:val="19"/>
          <w:i w:val="1"/>
          <w:iCs w:val="1"/>
          <w:color w:val="auto"/>
        </w:rPr>
        <w:t>Sanofi Step-In Right under Global Development Plan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jc w:val="both"/>
        <w:ind w:left="760" w:hanging="748"/>
        <w:spacing w:after="0" w:line="250"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1.223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Strategic Business Rationale</w:t>
      </w:r>
      <w:r>
        <w:rPr>
          <w:rFonts w:ascii="Times New Roman" w:cs="Times New Roman" w:eastAsia="Times New Roman" w:hAnsi="Times New Roman"/>
          <w:sz w:val="20"/>
          <w:szCs w:val="20"/>
          <w:color w:val="auto"/>
        </w:rPr>
        <w:t>” means, with respect to a Party, a reasonable business determination that not refraining to act would reasonably be expected to improve the competitive or financial position of, or otherwise increase the profitability or value of, a Licensed Product by a degree that is greater than the potential adverse impact on such Licensed Product if such action is taken by such Party.</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Subcommittee</w:t>
      </w:r>
      <w:r>
        <w:rPr>
          <w:rFonts w:ascii="Times New Roman" w:cs="Times New Roman" w:eastAsia="Times New Roman" w:hAnsi="Times New Roman"/>
          <w:sz w:val="19"/>
          <w:szCs w:val="19"/>
          <w:color w:val="auto"/>
        </w:rPr>
        <w:t>” has the meaning set forth in Section 3.5.1 (</w:t>
      </w:r>
      <w:r>
        <w:rPr>
          <w:rFonts w:ascii="Times New Roman" w:cs="Times New Roman" w:eastAsia="Times New Roman" w:hAnsi="Times New Roman"/>
          <w:sz w:val="19"/>
          <w:szCs w:val="19"/>
          <w:i w:val="1"/>
          <w:iCs w:val="1"/>
          <w:color w:val="auto"/>
        </w:rPr>
        <w:t>Formation; Authority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50"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1.225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Sublicensee</w:t>
      </w:r>
      <w:r>
        <w:rPr>
          <w:rFonts w:ascii="Times New Roman" w:cs="Times New Roman" w:eastAsia="Times New Roman" w:hAnsi="Times New Roman"/>
          <w:sz w:val="20"/>
          <w:szCs w:val="20"/>
          <w:color w:val="auto"/>
        </w:rPr>
        <w:t>” means, with respect to a Party, any Third Party to which such Party or its Affiliate grants a sublicense under any of the rights licensed to such Party pursuant to Article 2 (</w:t>
      </w:r>
      <w:r>
        <w:rPr>
          <w:rFonts w:ascii="Times New Roman" w:cs="Times New Roman" w:eastAsia="Times New Roman" w:hAnsi="Times New Roman"/>
          <w:sz w:val="20"/>
          <w:szCs w:val="20"/>
          <w:i w:val="1"/>
          <w:iCs w:val="1"/>
          <w:color w:val="auto"/>
        </w:rPr>
        <w:t>Licenses</w:t>
      </w:r>
      <w:r>
        <w:rPr>
          <w:rFonts w:ascii="Times New Roman" w:cs="Times New Roman" w:eastAsia="Times New Roman" w:hAnsi="Times New Roman"/>
          <w:sz w:val="20"/>
          <w:szCs w:val="20"/>
          <w:color w:val="auto"/>
        </w:rPr>
        <w:t>), but excluding any Third Party to the extent such Third Party is acting as a Distributor or, with respect to such Party or its Affiliate, as applicable, a contract manufacturing organization or contract research organization carrying out subcontracted activities on behalf of such Party or its Affiliate.</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Supply Agreement</w:t>
      </w:r>
      <w:r>
        <w:rPr>
          <w:rFonts w:ascii="Times New Roman" w:cs="Times New Roman" w:eastAsia="Times New Roman" w:hAnsi="Times New Roman"/>
          <w:sz w:val="19"/>
          <w:szCs w:val="19"/>
          <w:color w:val="auto"/>
        </w:rPr>
        <w:t>” has the meaning set forth in Section 8.2 (</w:t>
      </w:r>
      <w:r>
        <w:rPr>
          <w:rFonts w:ascii="Times New Roman" w:cs="Times New Roman" w:eastAsia="Times New Roman" w:hAnsi="Times New Roman"/>
          <w:sz w:val="19"/>
          <w:szCs w:val="19"/>
          <w:i w:val="1"/>
          <w:iCs w:val="1"/>
          <w:color w:val="auto"/>
        </w:rPr>
        <w:t>Supply Agreement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1.227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any present or future taxes, levies, imposts, duties, charges, assessments or fees of any nature (including any interest thereon), including value add, sales, excise or similar taxes.</w:t>
      </w:r>
    </w:p>
    <w:p>
      <w:pPr>
        <w:spacing w:after="0" w:line="1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Technology Transfer</w:t>
      </w:r>
      <w:r>
        <w:rPr>
          <w:rFonts w:ascii="Times New Roman" w:cs="Times New Roman" w:eastAsia="Times New Roman" w:hAnsi="Times New Roman"/>
          <w:sz w:val="19"/>
          <w:szCs w:val="19"/>
          <w:color w:val="auto"/>
        </w:rPr>
        <w:t>” has the meaning set forth in Section 4.2 (</w:t>
      </w:r>
      <w:r>
        <w:rPr>
          <w:rFonts w:ascii="Times New Roman" w:cs="Times New Roman" w:eastAsia="Times New Roman" w:hAnsi="Times New Roman"/>
          <w:sz w:val="19"/>
          <w:szCs w:val="19"/>
          <w:i w:val="1"/>
          <w:iCs w:val="1"/>
          <w:color w:val="auto"/>
        </w:rPr>
        <w:t>Continuing Technology Transfer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has the meaning set forth in Section 14.1 (</w:t>
      </w:r>
      <w:r>
        <w:rPr>
          <w:rFonts w:ascii="Times New Roman" w:cs="Times New Roman" w:eastAsia="Times New Roman" w:hAnsi="Times New Roman"/>
          <w:sz w:val="19"/>
          <w:szCs w:val="19"/>
          <w:i w:val="1"/>
          <w:iCs w:val="1"/>
          <w:color w:val="auto"/>
        </w:rPr>
        <w:t>Term</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1.230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Terminated Product</w:t>
      </w:r>
      <w:r>
        <w:rPr>
          <w:rFonts w:ascii="Times New Roman" w:cs="Times New Roman" w:eastAsia="Times New Roman" w:hAnsi="Times New Roman"/>
          <w:sz w:val="20"/>
          <w:szCs w:val="20"/>
          <w:color w:val="auto"/>
        </w:rPr>
        <w:t>” means: (a) in the case of the termination of this Agreement with respect to one or more Licensed Products pursuant to Section 14.3 (</w:t>
      </w:r>
      <w:r>
        <w:rPr>
          <w:rFonts w:ascii="Times New Roman" w:cs="Times New Roman" w:eastAsia="Times New Roman" w:hAnsi="Times New Roman"/>
          <w:sz w:val="20"/>
          <w:szCs w:val="20"/>
          <w:i w:val="1"/>
          <w:iCs w:val="1"/>
          <w:color w:val="auto"/>
        </w:rPr>
        <w:t>Termination by Sanofi for Convenience</w:t>
      </w:r>
      <w:r>
        <w:rPr>
          <w:rFonts w:ascii="Times New Roman" w:cs="Times New Roman" w:eastAsia="Times New Roman" w:hAnsi="Times New Roman"/>
          <w:sz w:val="20"/>
          <w:szCs w:val="20"/>
          <w:color w:val="auto"/>
        </w:rPr>
        <w:t>) or Section 14.4 (</w:t>
      </w:r>
      <w:r>
        <w:rPr>
          <w:rFonts w:ascii="Times New Roman" w:cs="Times New Roman" w:eastAsia="Times New Roman" w:hAnsi="Times New Roman"/>
          <w:sz w:val="20"/>
          <w:szCs w:val="20"/>
          <w:i w:val="1"/>
          <w:iCs w:val="1"/>
          <w:color w:val="auto"/>
        </w:rPr>
        <w:t>Termination by Sanofi for Safety</w:t>
      </w:r>
      <w:r>
        <w:rPr>
          <w:rFonts w:ascii="Times New Roman" w:cs="Times New Roman" w:eastAsia="Times New Roman" w:hAnsi="Times New Roman"/>
          <w:sz w:val="20"/>
          <w:szCs w:val="20"/>
          <w:color w:val="auto"/>
        </w:rPr>
        <w:t>) such Licensed Products that are the subject of such termination; (b) in the case of termination of this Agreement with respect to one or more countries or Regions pursuant to Section 14.3 (</w:t>
      </w:r>
      <w:r>
        <w:rPr>
          <w:rFonts w:ascii="Times New Roman" w:cs="Times New Roman" w:eastAsia="Times New Roman" w:hAnsi="Times New Roman"/>
          <w:sz w:val="20"/>
          <w:szCs w:val="20"/>
          <w:i w:val="1"/>
          <w:iCs w:val="1"/>
          <w:color w:val="auto"/>
        </w:rPr>
        <w:t>Termination by Sanofi for Convenience</w:t>
      </w:r>
      <w:r>
        <w:rPr>
          <w:rFonts w:ascii="Times New Roman" w:cs="Times New Roman" w:eastAsia="Times New Roman" w:hAnsi="Times New Roman"/>
          <w:sz w:val="20"/>
          <w:szCs w:val="20"/>
          <w:color w:val="auto"/>
        </w:rPr>
        <w:t>), all Licensed Products in such Terminated Regions; or (c) in the case of the termination of this Agreement in its entirety pursuant to Article 14 (</w:t>
      </w:r>
      <w:r>
        <w:rPr>
          <w:rFonts w:ascii="Times New Roman" w:cs="Times New Roman" w:eastAsia="Times New Roman" w:hAnsi="Times New Roman"/>
          <w:sz w:val="20"/>
          <w:szCs w:val="20"/>
          <w:i w:val="1"/>
          <w:iCs w:val="1"/>
          <w:color w:val="auto"/>
        </w:rPr>
        <w:t>Term and Termination</w:t>
      </w:r>
      <w:r>
        <w:rPr>
          <w:rFonts w:ascii="Times New Roman" w:cs="Times New Roman" w:eastAsia="Times New Roman" w:hAnsi="Times New Roman"/>
          <w:sz w:val="20"/>
          <w:szCs w:val="20"/>
          <w:color w:val="auto"/>
        </w:rPr>
        <w:t>), all Licensed Products in all countries in the Territory.</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Terminated Region</w:t>
      </w:r>
      <w:r>
        <w:rPr>
          <w:rFonts w:ascii="Times New Roman" w:cs="Times New Roman" w:eastAsia="Times New Roman" w:hAnsi="Times New Roman"/>
          <w:sz w:val="19"/>
          <w:szCs w:val="19"/>
          <w:color w:val="auto"/>
        </w:rPr>
        <w:t>” has the meaning set forth in Section 14.3 (</w:t>
      </w:r>
      <w:r>
        <w:rPr>
          <w:rFonts w:ascii="Times New Roman" w:cs="Times New Roman" w:eastAsia="Times New Roman" w:hAnsi="Times New Roman"/>
          <w:sz w:val="19"/>
          <w:szCs w:val="19"/>
          <w:i w:val="1"/>
          <w:iCs w:val="1"/>
          <w:color w:val="auto"/>
        </w:rPr>
        <w:t>Termination by Sanofi for Convenience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1.232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Territory</w:t>
      </w:r>
      <w:r>
        <w:rPr>
          <w:rFonts w:ascii="Times New Roman" w:cs="Times New Roman" w:eastAsia="Times New Roman" w:hAnsi="Times New Roman"/>
          <w:sz w:val="20"/>
          <w:szCs w:val="20"/>
          <w:color w:val="auto"/>
        </w:rPr>
        <w:t>” means (a) the Sanofi Territory, with respect to Sanofi, (b) the Fulcrum Territory, with respect to Fulcrum, and (c) collectively, worldwide.</w:t>
      </w:r>
    </w:p>
    <w:p>
      <w:pPr>
        <w:spacing w:after="0" w:line="1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1.233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w:t>
      </w:r>
      <w:r>
        <w:rPr>
          <w:rFonts w:ascii="Times New Roman" w:cs="Times New Roman" w:eastAsia="Times New Roman" w:hAnsi="Times New Roman"/>
          <w:sz w:val="19"/>
          <w:szCs w:val="19"/>
          <w:color w:val="auto"/>
        </w:rPr>
        <w:t>” means any Person other than a Party or its Affiliates.</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 Claims</w:t>
      </w:r>
      <w:r>
        <w:rPr>
          <w:rFonts w:ascii="Times New Roman" w:cs="Times New Roman" w:eastAsia="Times New Roman" w:hAnsi="Times New Roman"/>
          <w:sz w:val="19"/>
          <w:szCs w:val="19"/>
          <w:color w:val="auto"/>
        </w:rPr>
        <w:t>” has the meaning set forth in Section 13.1 (</w:t>
      </w:r>
      <w:r>
        <w:rPr>
          <w:rFonts w:ascii="Times New Roman" w:cs="Times New Roman" w:eastAsia="Times New Roman" w:hAnsi="Times New Roman"/>
          <w:sz w:val="19"/>
          <w:szCs w:val="19"/>
          <w:i w:val="1"/>
          <w:iCs w:val="1"/>
          <w:color w:val="auto"/>
        </w:rPr>
        <w:t>Indemnification by Fulcrum</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 Infringement</w:t>
      </w:r>
      <w:r>
        <w:rPr>
          <w:rFonts w:ascii="Times New Roman" w:cs="Times New Roman" w:eastAsia="Times New Roman" w:hAnsi="Times New Roman"/>
          <w:sz w:val="19"/>
          <w:szCs w:val="19"/>
          <w:color w:val="auto"/>
        </w:rPr>
        <w:t>” has the meaning set forth in Section 10.5.1 (</w:t>
      </w:r>
      <w:r>
        <w:rPr>
          <w:rFonts w:ascii="Times New Roman" w:cs="Times New Roman" w:eastAsia="Times New Roman" w:hAnsi="Times New Roman"/>
          <w:sz w:val="19"/>
          <w:szCs w:val="19"/>
          <w:i w:val="1"/>
          <w:iCs w:val="1"/>
          <w:color w:val="auto"/>
        </w:rPr>
        <w:t>Notification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1.236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 Patent Challenge</w:t>
      </w:r>
      <w:r>
        <w:rPr>
          <w:rFonts w:ascii="Times New Roman" w:cs="Times New Roman" w:eastAsia="Times New Roman" w:hAnsi="Times New Roman"/>
          <w:sz w:val="19"/>
          <w:szCs w:val="19"/>
          <w:color w:val="auto"/>
        </w:rPr>
        <w:t>” has the meaning set forth in Section 10.4 (</w:t>
      </w:r>
      <w:r>
        <w:rPr>
          <w:rFonts w:ascii="Times New Roman" w:cs="Times New Roman" w:eastAsia="Times New Roman" w:hAnsi="Times New Roman"/>
          <w:sz w:val="19"/>
          <w:szCs w:val="19"/>
          <w:i w:val="1"/>
          <w:iCs w:val="1"/>
          <w:color w:val="auto"/>
        </w:rPr>
        <w:t>Defense of Third Party Patent Challenges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0" w:name="page111"/>
    <w:bookmarkEnd w:id="110"/>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 Payments</w:t>
      </w:r>
      <w:r>
        <w:rPr>
          <w:rFonts w:ascii="Times New Roman" w:cs="Times New Roman" w:eastAsia="Times New Roman" w:hAnsi="Times New Roman"/>
          <w:sz w:val="19"/>
          <w:szCs w:val="19"/>
          <w:color w:val="auto"/>
        </w:rPr>
        <w:t>” has the meaning set forth in Section 9.3.2(c)(i) (</w:t>
      </w:r>
      <w:r>
        <w:rPr>
          <w:rFonts w:ascii="Times New Roman" w:cs="Times New Roman" w:eastAsia="Times New Roman" w:hAnsi="Times New Roman"/>
          <w:sz w:val="19"/>
          <w:szCs w:val="19"/>
          <w:i w:val="1"/>
          <w:iCs w:val="1"/>
          <w:color w:val="auto"/>
        </w:rPr>
        <w:t>Royalty Stacking – By Sanofi</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1.238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Trademark</w:t>
      </w:r>
      <w:r>
        <w:rPr>
          <w:rFonts w:ascii="Times New Roman" w:cs="Times New Roman" w:eastAsia="Times New Roman" w:hAnsi="Times New Roman"/>
          <w:sz w:val="20"/>
          <w:szCs w:val="20"/>
          <w:color w:val="auto"/>
        </w:rPr>
        <w:t>” means any word, name, symbol, color, shape, designation or any combination thereof, including any trademark, service mark, trade name, brand name, sub-brand name, trade dress, product configuration, program name, delivery form name, certification mark, collective mark, logo, tagline, slogan, design or business symbol, that functions as an identifier of source or origin, whether or not registered and all statutory and common law rights therein and all registrations and applications therefor, together with all goodwill associated with, or symbolized by, any of the foregoing.</w:t>
      </w:r>
    </w:p>
    <w:p>
      <w:pPr>
        <w:spacing w:after="0" w:line="1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1.239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Transition Services Agreement</w:t>
      </w:r>
      <w:r>
        <w:rPr>
          <w:rFonts w:ascii="Times New Roman" w:cs="Times New Roman" w:eastAsia="Times New Roman" w:hAnsi="Times New Roman"/>
          <w:sz w:val="19"/>
          <w:szCs w:val="19"/>
          <w:color w:val="auto"/>
        </w:rPr>
        <w:t>” has the meaning set forth in Section 14.8.6 (</w:t>
      </w:r>
      <w:r>
        <w:rPr>
          <w:rFonts w:ascii="Times New Roman" w:cs="Times New Roman" w:eastAsia="Times New Roman" w:hAnsi="Times New Roman"/>
          <w:sz w:val="19"/>
          <w:szCs w:val="19"/>
          <w:i w:val="1"/>
          <w:iCs w:val="1"/>
          <w:color w:val="auto"/>
        </w:rPr>
        <w:t>Transition Services Agreement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1.240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Upfront Payment</w:t>
      </w:r>
      <w:r>
        <w:rPr>
          <w:rFonts w:ascii="Times New Roman" w:cs="Times New Roman" w:eastAsia="Times New Roman" w:hAnsi="Times New Roman"/>
          <w:sz w:val="19"/>
          <w:szCs w:val="19"/>
          <w:color w:val="auto"/>
        </w:rPr>
        <w:t>” has the meaning set forth in Section 9.1 (</w:t>
      </w:r>
      <w:r>
        <w:rPr>
          <w:rFonts w:ascii="Times New Roman" w:cs="Times New Roman" w:eastAsia="Times New Roman" w:hAnsi="Times New Roman"/>
          <w:sz w:val="19"/>
          <w:szCs w:val="19"/>
          <w:i w:val="1"/>
          <w:iCs w:val="1"/>
          <w:color w:val="auto"/>
        </w:rPr>
        <w:t>Upfront Payment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1.241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means the United States of America (including all possessions and territories thereof, including Puerto Rico).</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1.242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 Dollars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means the legal tender of the U.S.</w:t>
      </w:r>
    </w:p>
    <w:p>
      <w:pPr>
        <w:spacing w:after="0" w:line="216"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1.243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Unified Patent Court</w:t>
      </w:r>
      <w:r>
        <w:rPr>
          <w:rFonts w:ascii="Times New Roman" w:cs="Times New Roman" w:eastAsia="Times New Roman" w:hAnsi="Times New Roman"/>
          <w:sz w:val="20"/>
          <w:szCs w:val="20"/>
          <w:color w:val="auto"/>
        </w:rPr>
        <w:t>” means the court established by the EU under the Unified Patent Court Agreement of 19 February 2013 (2013/C 175/01) (OJEU 20.6.2013, C 175/1).</w:t>
      </w:r>
    </w:p>
    <w:p>
      <w:pPr>
        <w:spacing w:after="0" w:line="152"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1.244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Valid Claim</w:t>
      </w:r>
      <w:r>
        <w:rPr>
          <w:rFonts w:ascii="Times New Roman" w:cs="Times New Roman" w:eastAsia="Times New Roman" w:hAnsi="Times New Roman"/>
          <w:sz w:val="20"/>
          <w:szCs w:val="20"/>
          <w:color w:val="auto"/>
        </w:rPr>
        <w:t>” means on a Licensed Product-by-Licensed Product and country-by-country basis, (a) a claim of an issued and unexpired Patent Right within the Fulcrum Patent Rights, and that has not been held unenforceable, unpatentable or invalid by a decision of a court or national or regional patent office or other Governmental Authority of competent jurisdiction in a final judgement (or judgement from which no appeal was taken within the allowable time period); or which has not been admitted to be invalid or unenforceable through abandonment, reissue, disclaimer or otherwise, or (b) a pending patent application within the Fulcrum Patent Rights, which was filed and continues to be prosecuted in good faith, and which has not, in the relevant country, been cancelled, withdrawn, or abandoned. Notwithstanding the foregoing, on a country-by-country basis, a patent application pending for more than [***] from the earliest effective priority date to which such claim is entitled will not be considered to have any Valid Claim for purposes of this Agreement unless and until a patent that meets the criteria set forth in clause (a) in the preceding sentence issues with respect to such application at issue.</w:t>
      </w:r>
    </w:p>
    <w:p>
      <w:pPr>
        <w:spacing w:after="0" w:line="18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1.245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Withheld Amount</w:t>
      </w:r>
      <w:r>
        <w:rPr>
          <w:rFonts w:ascii="Times New Roman" w:cs="Times New Roman" w:eastAsia="Times New Roman" w:hAnsi="Times New Roman"/>
          <w:sz w:val="19"/>
          <w:szCs w:val="19"/>
          <w:color w:val="auto"/>
        </w:rPr>
        <w:t>” has the meaning set forth in Section 9.11.2 (</w:t>
      </w:r>
      <w:r>
        <w:rPr>
          <w:rFonts w:ascii="Times New Roman" w:cs="Times New Roman" w:eastAsia="Times New Roman" w:hAnsi="Times New Roman"/>
          <w:sz w:val="19"/>
          <w:szCs w:val="19"/>
          <w:i w:val="1"/>
          <w:iCs w:val="1"/>
          <w:color w:val="auto"/>
        </w:rPr>
        <w:t>Withholding Tax</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LICENSES</w:t>
      </w:r>
    </w:p>
    <w:p>
      <w:pPr>
        <w:spacing w:after="0" w:line="190" w:lineRule="exact"/>
        <w:rPr>
          <w:sz w:val="20"/>
          <w:szCs w:val="20"/>
          <w:color w:val="auto"/>
        </w:rPr>
      </w:pPr>
    </w:p>
    <w:p>
      <w:pPr>
        <w:jc w:val="both"/>
        <w:ind w:left="1500" w:hanging="1497"/>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2.1 License Grant to Sanofi </w:t>
      </w:r>
      <w:r>
        <w:rPr>
          <w:rFonts w:ascii="Times New Roman" w:cs="Times New Roman" w:eastAsia="Times New Roman" w:hAnsi="Times New Roman"/>
          <w:sz w:val="20"/>
          <w:szCs w:val="20"/>
          <w:color w:val="auto"/>
        </w:rPr>
        <w:t>. Subject to the terms of this Agreement, Fulcrum hereby grants to Sanofi an exclusive, non-transferable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in accordance with Section 16.1 (</w:t>
      </w: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 with the right to grant sublicenses through multiple tiers, solely in accordance with Section 2.3.1 (</w:t>
      </w:r>
      <w:r>
        <w:rPr>
          <w:rFonts w:ascii="Times New Roman" w:cs="Times New Roman" w:eastAsia="Times New Roman" w:hAnsi="Times New Roman"/>
          <w:sz w:val="20"/>
          <w:szCs w:val="20"/>
          <w:i w:val="1"/>
          <w:iCs w:val="1"/>
          <w:color w:val="auto"/>
        </w:rPr>
        <w:t>Rights to Grant Sublicenses</w:t>
      </w:r>
      <w:r>
        <w:rPr>
          <w:rFonts w:ascii="Times New Roman" w:cs="Times New Roman" w:eastAsia="Times New Roman" w:hAnsi="Times New Roman"/>
          <w:sz w:val="20"/>
          <w:szCs w:val="20"/>
          <w:color w:val="auto"/>
        </w:rPr>
        <w:t>), under the Fulcrum Technology to:</w:t>
      </w:r>
    </w:p>
    <w:p>
      <w:pPr>
        <w:spacing w:after="0" w:line="173" w:lineRule="exact"/>
        <w:rPr>
          <w:sz w:val="20"/>
          <w:szCs w:val="20"/>
          <w:color w:val="auto"/>
        </w:rPr>
      </w:pPr>
    </w:p>
    <w:p>
      <w:pPr>
        <w:ind w:left="1500" w:right="40" w:hanging="694"/>
        <w:spacing w:after="0" w:line="269" w:lineRule="auto"/>
        <w:tabs>
          <w:tab w:leader="none" w:pos="1480" w:val="left"/>
        </w:tabs>
        <w:rPr>
          <w:sz w:val="20"/>
          <w:szCs w:val="20"/>
          <w:color w:val="auto"/>
        </w:rPr>
      </w:pPr>
      <w:r>
        <w:rPr>
          <w:rFonts w:ascii="Times New Roman" w:cs="Times New Roman" w:eastAsia="Times New Roman" w:hAnsi="Times New Roman"/>
          <w:sz w:val="20"/>
          <w:szCs w:val="20"/>
          <w:color w:val="auto"/>
        </w:rPr>
        <w:t>2.1.1</w:t>
        <w:tab/>
        <w:t>Research, Develop, and Manufacture the Licensed Compounds and Licensed Products in the Field in the Territory (including, for clarity, the Fulcrum Territory) solely for the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1" w:name="page112"/>
    <w:bookmarkEnd w:id="111"/>
    <w:p>
      <w:pPr>
        <w:ind w:left="1500"/>
        <w:spacing w:after="0" w:line="269" w:lineRule="auto"/>
        <w:rPr>
          <w:sz w:val="20"/>
          <w:szCs w:val="20"/>
          <w:color w:val="auto"/>
        </w:rPr>
      </w:pPr>
      <w:r>
        <w:rPr>
          <w:rFonts w:ascii="Times New Roman" w:cs="Times New Roman" w:eastAsia="Times New Roman" w:hAnsi="Times New Roman"/>
          <w:sz w:val="20"/>
          <w:szCs w:val="20"/>
          <w:color w:val="auto"/>
        </w:rPr>
        <w:t>performance of activities in the Global Development Plan allocated to Sanofi or the Sanofi Independent Development Plan;</w:t>
      </w:r>
    </w:p>
    <w:p>
      <w:pPr>
        <w:spacing w:after="0" w:line="159" w:lineRule="exact"/>
        <w:rPr>
          <w:sz w:val="20"/>
          <w:szCs w:val="20"/>
          <w:color w:val="auto"/>
        </w:rPr>
      </w:pPr>
    </w:p>
    <w:p>
      <w:pPr>
        <w:jc w:val="both"/>
        <w:ind w:left="1500" w:hanging="694"/>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2.1.2</w:t>
        <w:tab/>
        <w:t>Manufacture the Licensed Compounds and Licensed Products in the Territory (including, for clarity, the Fulcrum Territory) solely for Commercialization of such Licensed Compound or Licensed Product in the Field in the Sanofi Territory;</w:t>
      </w:r>
    </w:p>
    <w:p>
      <w:pPr>
        <w:spacing w:after="0" w:line="174" w:lineRule="exact"/>
        <w:rPr>
          <w:sz w:val="20"/>
          <w:szCs w:val="20"/>
          <w:color w:val="auto"/>
        </w:rPr>
      </w:pPr>
    </w:p>
    <w:p>
      <w:pPr>
        <w:ind w:left="1500" w:right="40" w:hanging="694"/>
        <w:spacing w:after="0" w:line="269" w:lineRule="auto"/>
        <w:tabs>
          <w:tab w:leader="none" w:pos="1480" w:val="left"/>
        </w:tabs>
        <w:rPr>
          <w:sz w:val="20"/>
          <w:szCs w:val="20"/>
          <w:color w:val="auto"/>
        </w:rPr>
      </w:pPr>
      <w:r>
        <w:rPr>
          <w:rFonts w:ascii="Times New Roman" w:cs="Times New Roman" w:eastAsia="Times New Roman" w:hAnsi="Times New Roman"/>
          <w:sz w:val="20"/>
          <w:szCs w:val="20"/>
          <w:color w:val="auto"/>
        </w:rPr>
        <w:t>2.1.3</w:t>
        <w:tab/>
        <w:t>Commercialize and otherwise Exploit (other than Research, Develop, and Manufacture) the Licensed Compounds and Licensed Products in the Field in the Sanofi Territory; and</w:t>
      </w:r>
    </w:p>
    <w:p>
      <w:pPr>
        <w:spacing w:after="0" w:line="155" w:lineRule="exact"/>
        <w:rPr>
          <w:sz w:val="20"/>
          <w:szCs w:val="20"/>
          <w:color w:val="auto"/>
        </w:rPr>
      </w:pPr>
    </w:p>
    <w:p>
      <w:pPr>
        <w:ind w:left="1500" w:hanging="694"/>
        <w:spacing w:after="0" w:line="273" w:lineRule="auto"/>
        <w:tabs>
          <w:tab w:leader="none" w:pos="1480" w:val="left"/>
        </w:tabs>
        <w:rPr>
          <w:sz w:val="20"/>
          <w:szCs w:val="20"/>
          <w:color w:val="auto"/>
        </w:rPr>
      </w:pPr>
      <w:r>
        <w:rPr>
          <w:rFonts w:ascii="Times New Roman" w:cs="Times New Roman" w:eastAsia="Times New Roman" w:hAnsi="Times New Roman"/>
          <w:sz w:val="20"/>
          <w:szCs w:val="20"/>
          <w:color w:val="auto"/>
        </w:rPr>
        <w:t>2.1.4</w:t>
        <w:tab/>
        <w:t xml:space="preserve">Subject to Section 2.2 ( </w:t>
      </w:r>
      <w:r>
        <w:rPr>
          <w:rFonts w:ascii="Times New Roman" w:cs="Times New Roman" w:eastAsia="Times New Roman" w:hAnsi="Times New Roman"/>
          <w:sz w:val="20"/>
          <w:szCs w:val="20"/>
          <w:i w:val="1"/>
          <w:iCs w:val="1"/>
          <w:color w:val="auto"/>
        </w:rPr>
        <w:t>License Grants to Fulcrum</w:t>
      </w:r>
      <w:r>
        <w:rPr>
          <w:rFonts w:ascii="Times New Roman" w:cs="Times New Roman" w:eastAsia="Times New Roman" w:hAnsi="Times New Roman"/>
          <w:sz w:val="20"/>
          <w:szCs w:val="20"/>
          <w:color w:val="auto"/>
        </w:rPr>
        <w:t>), Research, Develop, and Manufacture the Licensed Compounds and Licensed Products in the Field in the Sanofi Territory.</w:t>
      </w:r>
    </w:p>
    <w:p>
      <w:pPr>
        <w:spacing w:after="0" w:line="156"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The Parties agree and acknowledge that Fulcrum does not Control the GSK Patent Rights for the purposes of Exploiting the Licensed Compounds as described under clause (b) or (c) of Section 1.129 (</w:t>
      </w:r>
      <w:r>
        <w:rPr>
          <w:rFonts w:ascii="Times New Roman" w:cs="Times New Roman" w:eastAsia="Times New Roman" w:hAnsi="Times New Roman"/>
          <w:sz w:val="20"/>
          <w:szCs w:val="20"/>
          <w:i w:val="1"/>
          <w:iCs w:val="1"/>
          <w:color w:val="auto"/>
        </w:rPr>
        <w:t>Definition of Licensed Compound</w:t>
      </w:r>
      <w:r>
        <w:rPr>
          <w:rFonts w:ascii="Times New Roman" w:cs="Times New Roman" w:eastAsia="Times New Roman" w:hAnsi="Times New Roman"/>
          <w:sz w:val="20"/>
          <w:szCs w:val="20"/>
          <w:color w:val="auto"/>
        </w:rPr>
        <w:t>) or Licensed Products containing such Licensed Compounds and that no such rights are granted to Sanofi under this Section 2.1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or otherwise under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  License Grants to Fulcrum</w:t>
      </w:r>
      <w:r>
        <w:rPr>
          <w:rFonts w:ascii="Times New Roman" w:cs="Times New Roman" w:eastAsia="Times New Roman" w:hAnsi="Times New Roman"/>
          <w:sz w:val="20"/>
          <w:szCs w:val="20"/>
          <w:color w:val="auto"/>
        </w:rPr>
        <w:t>. Subject to the terms of this Agreement, Sanofi hereby grants to Fulcrum:</w:t>
      </w:r>
    </w:p>
    <w:p>
      <w:pPr>
        <w:spacing w:after="0" w:line="216" w:lineRule="exact"/>
        <w:rPr>
          <w:sz w:val="20"/>
          <w:szCs w:val="20"/>
          <w:color w:val="auto"/>
        </w:rPr>
      </w:pPr>
    </w:p>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2.2.1</w:t>
        <w:tab/>
        <w:t>a non-exclusive, non-transferable (except in accordance with Section 16.1 (</w:t>
      </w: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royalty-free license, with the right to grant sublicenses through multiple tiers solely in accordance with Section 2.3.1 (</w:t>
      </w:r>
      <w:r>
        <w:rPr>
          <w:rFonts w:ascii="Times New Roman" w:cs="Times New Roman" w:eastAsia="Times New Roman" w:hAnsi="Times New Roman"/>
          <w:sz w:val="20"/>
          <w:szCs w:val="20"/>
          <w:i w:val="1"/>
          <w:iCs w:val="1"/>
          <w:color w:val="auto"/>
        </w:rPr>
        <w:t>Rights to Grant Sublicenses</w:t>
      </w:r>
      <w:r>
        <w:rPr>
          <w:rFonts w:ascii="Times New Roman" w:cs="Times New Roman" w:eastAsia="Times New Roman" w:hAnsi="Times New Roman"/>
          <w:sz w:val="20"/>
          <w:szCs w:val="20"/>
          <w:color w:val="auto"/>
        </w:rPr>
        <w:t>) under the Fulcrum Technology licensed by Fulcrum to Sanofi under Section 2.1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and under the Sanofi Technology that is not Sanofi Manufacturing Technology to the extent necessary to Manufacture the Licensed Compounds and Licensed Products in the Field in the Territory solely for Commercialization of such Licensed Compound or Licensed Product in the Field in the Sanofi Territory under the Supply Agreement;</w:t>
      </w:r>
    </w:p>
    <w:p>
      <w:pPr>
        <w:spacing w:after="0" w:line="183" w:lineRule="exact"/>
        <w:rPr>
          <w:sz w:val="20"/>
          <w:szCs w:val="20"/>
          <w:color w:val="auto"/>
        </w:rPr>
      </w:pPr>
    </w:p>
    <w:p>
      <w:pPr>
        <w:jc w:val="both"/>
        <w:ind w:left="1500" w:hanging="694"/>
        <w:spacing w:after="0" w:line="249" w:lineRule="auto"/>
        <w:tabs>
          <w:tab w:leader="none" w:pos="1480" w:val="left"/>
        </w:tabs>
        <w:rPr>
          <w:sz w:val="20"/>
          <w:szCs w:val="20"/>
          <w:color w:val="auto"/>
        </w:rPr>
      </w:pPr>
      <w:r>
        <w:rPr>
          <w:rFonts w:ascii="Times New Roman" w:cs="Times New Roman" w:eastAsia="Times New Roman" w:hAnsi="Times New Roman"/>
          <w:sz w:val="20"/>
          <w:szCs w:val="20"/>
          <w:color w:val="auto"/>
        </w:rPr>
        <w:t>2.2.2</w:t>
        <w:tab/>
        <w:t>an exclusive (except with respect to Sanofi in order for Sanofi to exercise any rights expressly granted to Sanofi under this Agreement), non-transferable (except in accordance with Section 16.1 (</w:t>
      </w: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royalty-free license, with the right to grant sublicenses through multiple tiers solely in accordance with Section 2.3.1 (</w:t>
      </w:r>
      <w:r>
        <w:rPr>
          <w:rFonts w:ascii="Times New Roman" w:cs="Times New Roman" w:eastAsia="Times New Roman" w:hAnsi="Times New Roman"/>
          <w:sz w:val="20"/>
          <w:szCs w:val="20"/>
          <w:i w:val="1"/>
          <w:iCs w:val="1"/>
          <w:color w:val="auto"/>
        </w:rPr>
        <w:t>Rights to Grant Sublicenses</w:t>
      </w:r>
      <w:r>
        <w:rPr>
          <w:rFonts w:ascii="Times New Roman" w:cs="Times New Roman" w:eastAsia="Times New Roman" w:hAnsi="Times New Roman"/>
          <w:sz w:val="20"/>
          <w:szCs w:val="20"/>
          <w:color w:val="auto"/>
        </w:rPr>
        <w:t>) under the Fulcrum Technology licensed by Fulcrum to Sanofi under Section 2.1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solely to:</w:t>
      </w:r>
    </w:p>
    <w:p>
      <w:pPr>
        <w:spacing w:after="0" w:line="180" w:lineRule="exact"/>
        <w:rPr>
          <w:sz w:val="20"/>
          <w:szCs w:val="20"/>
          <w:color w:val="auto"/>
        </w:rPr>
      </w:pPr>
    </w:p>
    <w:p>
      <w:pPr>
        <w:ind w:left="2260" w:hanging="754"/>
        <w:spacing w:after="0" w:line="254" w:lineRule="auto"/>
        <w:tabs>
          <w:tab w:leader="none" w:pos="190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Develop and Manufacture the Licensed Compounds and Licensed Products in the Field in the Territory (including, for clarity, the Sanofi Territory) solely for the performance of activities in the Global Development Plan allocated to Fulcrum or the Fulcrum Independent Development Plan, and</w:t>
      </w:r>
    </w:p>
    <w:p>
      <w:pPr>
        <w:spacing w:after="0" w:line="174" w:lineRule="exact"/>
        <w:rPr>
          <w:rFonts w:ascii="Times New Roman" w:cs="Times New Roman" w:eastAsia="Times New Roman" w:hAnsi="Times New Roman"/>
          <w:sz w:val="20"/>
          <w:szCs w:val="20"/>
          <w:color w:val="auto"/>
        </w:rPr>
      </w:pPr>
    </w:p>
    <w:p>
      <w:pPr>
        <w:ind w:left="2260" w:right="20" w:hanging="754"/>
        <w:spacing w:after="0" w:line="254" w:lineRule="auto"/>
        <w:tabs>
          <w:tab w:leader="none" w:pos="190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 the Licensed Compounds and Licensed Products in the Territory (including, for clarity, the Sanofi Territory) solely for Commercialization of such Licensed Compound or Licensed Product in the Field in the Fulcrum Territory; and</w:t>
      </w:r>
    </w:p>
    <w:p>
      <w:pPr>
        <w:spacing w:after="0" w:line="170" w:lineRule="exact"/>
        <w:rPr>
          <w:sz w:val="20"/>
          <w:szCs w:val="20"/>
          <w:color w:val="auto"/>
        </w:rPr>
      </w:pPr>
    </w:p>
    <w:p>
      <w:pPr>
        <w:jc w:val="both"/>
        <w:ind w:left="1500" w:hanging="694"/>
        <w:spacing w:after="0" w:line="256" w:lineRule="auto"/>
        <w:tabs>
          <w:tab w:leader="none" w:pos="1480" w:val="left"/>
        </w:tabs>
        <w:rPr>
          <w:sz w:val="20"/>
          <w:szCs w:val="20"/>
          <w:color w:val="auto"/>
        </w:rPr>
      </w:pPr>
      <w:r>
        <w:rPr>
          <w:rFonts w:ascii="Times New Roman" w:cs="Times New Roman" w:eastAsia="Times New Roman" w:hAnsi="Times New Roman"/>
          <w:sz w:val="20"/>
          <w:szCs w:val="20"/>
          <w:color w:val="auto"/>
        </w:rPr>
        <w:t>2.2.3</w:t>
        <w:tab/>
        <w:t>subject to Section 2.11 (</w:t>
      </w:r>
      <w:r>
        <w:rPr>
          <w:rFonts w:ascii="Times New Roman" w:cs="Times New Roman" w:eastAsia="Times New Roman" w:hAnsi="Times New Roman"/>
          <w:sz w:val="20"/>
          <w:szCs w:val="20"/>
          <w:i w:val="1"/>
          <w:iCs w:val="1"/>
          <w:color w:val="auto"/>
        </w:rPr>
        <w:t>Licensed Sanofi Technology</w:t>
      </w:r>
      <w:r>
        <w:rPr>
          <w:rFonts w:ascii="Times New Roman" w:cs="Times New Roman" w:eastAsia="Times New Roman" w:hAnsi="Times New Roman"/>
          <w:sz w:val="20"/>
          <w:szCs w:val="20"/>
          <w:color w:val="auto"/>
        </w:rPr>
        <w:t>), an exclusive (except with respect to Sanofi in order for Sanofi to exercise any rights expressly granted to Sanofi under this Agreement), non-transferable (except in accordance with Section 16.1 (</w:t>
      </w: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ind w:left="1500" w:firstLine="5"/>
        <w:spacing w:after="0" w:line="273" w:lineRule="auto"/>
        <w:tabs>
          <w:tab w:leader="none" w:pos="198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 with the right to grant sublicenses through multiple tiers solely in accordance with Section 2.3.1 (</w:t>
      </w:r>
      <w:r>
        <w:rPr>
          <w:rFonts w:ascii="Times New Roman" w:cs="Times New Roman" w:eastAsia="Times New Roman" w:hAnsi="Times New Roman"/>
          <w:sz w:val="20"/>
          <w:szCs w:val="20"/>
          <w:i w:val="1"/>
          <w:iCs w:val="1"/>
          <w:color w:val="auto"/>
        </w:rPr>
        <w:t>Rights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Grant Sublicenses</w:t>
      </w:r>
      <w:r>
        <w:rPr>
          <w:rFonts w:ascii="Times New Roman" w:cs="Times New Roman" w:eastAsia="Times New Roman" w:hAnsi="Times New Roman"/>
          <w:sz w:val="20"/>
          <w:szCs w:val="20"/>
          <w:color w:val="auto"/>
        </w:rPr>
        <w:t>) under the Licensed Sanofi Technology, solely to:</w:t>
      </w:r>
    </w:p>
    <w:p>
      <w:pPr>
        <w:spacing w:after="0" w:line="156" w:lineRule="exact"/>
        <w:rPr>
          <w:sz w:val="20"/>
          <w:szCs w:val="20"/>
          <w:color w:val="auto"/>
        </w:rPr>
      </w:pPr>
    </w:p>
    <w:p>
      <w:pPr>
        <w:ind w:left="2260" w:hanging="754"/>
        <w:spacing w:after="0" w:line="254" w:lineRule="auto"/>
        <w:tabs>
          <w:tab w:leader="none" w:pos="190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Develop and Manufacture the Licensed Compounds and Licensed Products in the Field in the Territory (including, for clarity, the Sanofi Territory) solely for the performance of activities in the Global Development Plan allocated to Fulcrum or the Fulcrum Independent Development Plan,</w:t>
      </w:r>
    </w:p>
    <w:p>
      <w:pPr>
        <w:spacing w:after="0" w:line="174" w:lineRule="exact"/>
        <w:rPr>
          <w:rFonts w:ascii="Times New Roman" w:cs="Times New Roman" w:eastAsia="Times New Roman" w:hAnsi="Times New Roman"/>
          <w:sz w:val="20"/>
          <w:szCs w:val="20"/>
          <w:color w:val="auto"/>
        </w:rPr>
      </w:pPr>
    </w:p>
    <w:p>
      <w:pPr>
        <w:ind w:left="2260" w:hanging="754"/>
        <w:spacing w:after="0" w:line="269" w:lineRule="auto"/>
        <w:tabs>
          <w:tab w:leader="none" w:pos="190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Commercialize and otherwise Exploit (other than Research, Develop and Manufacture) the Licensed Compounds and Licensed Products in the Field in the Fulcrum Territory, and</w:t>
      </w:r>
    </w:p>
    <w:p>
      <w:pPr>
        <w:spacing w:after="0" w:line="159" w:lineRule="exact"/>
        <w:rPr>
          <w:rFonts w:ascii="Times New Roman" w:cs="Times New Roman" w:eastAsia="Times New Roman" w:hAnsi="Times New Roman"/>
          <w:sz w:val="20"/>
          <w:szCs w:val="20"/>
          <w:color w:val="auto"/>
        </w:rPr>
      </w:pPr>
    </w:p>
    <w:p>
      <w:pPr>
        <w:ind w:left="2260" w:right="20" w:hanging="754"/>
        <w:spacing w:after="0" w:line="254" w:lineRule="auto"/>
        <w:tabs>
          <w:tab w:leader="none" w:pos="190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 the Licensed Compounds and Licensed Products in the Territory (including, for clarity, the Sanofi Territory) solely for Commercialization of such Licensed Compound or Licensed Product in the Field in the Fulcrum Territory.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2.3  Sublicensing and Subcontracting Terms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56" w:lineRule="auto"/>
        <w:tabs>
          <w:tab w:leader="none" w:pos="148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20"/>
          <w:szCs w:val="20"/>
          <w:b w:val="1"/>
          <w:bCs w:val="1"/>
          <w:color w:val="auto"/>
        </w:rPr>
        <w:t>Rights to Grant Sublicenses</w:t>
      </w:r>
      <w:r>
        <w:rPr>
          <w:rFonts w:ascii="Times New Roman" w:cs="Times New Roman" w:eastAsia="Times New Roman" w:hAnsi="Times New Roman"/>
          <w:sz w:val="20"/>
          <w:szCs w:val="20"/>
          <w:color w:val="auto"/>
        </w:rPr>
        <w:t>. Subject to the terms of this Agreement, each Party will have the right to grant sublicenses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rights granted under Section 2.1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and Section 2.2 (</w:t>
      </w:r>
      <w:r>
        <w:rPr>
          <w:rFonts w:ascii="Times New Roman" w:cs="Times New Roman" w:eastAsia="Times New Roman" w:hAnsi="Times New Roman"/>
          <w:sz w:val="20"/>
          <w:szCs w:val="20"/>
          <w:i w:val="1"/>
          <w:iCs w:val="1"/>
          <w:color w:val="auto"/>
        </w:rPr>
        <w:t>License Grants to Fulcrum</w:t>
      </w:r>
      <w:r>
        <w:rPr>
          <w:rFonts w:ascii="Times New Roman" w:cs="Times New Roman" w:eastAsia="Times New Roman" w:hAnsi="Times New Roman"/>
          <w:sz w:val="20"/>
          <w:szCs w:val="20"/>
          <w:color w:val="auto"/>
        </w:rPr>
        <w:t>), as applicable, to its Affiliates or to any Third Party.</w:t>
      </w:r>
    </w:p>
    <w:p>
      <w:pPr>
        <w:spacing w:after="0" w:line="169" w:lineRule="exact"/>
        <w:rPr>
          <w:sz w:val="20"/>
          <w:szCs w:val="20"/>
          <w:color w:val="auto"/>
        </w:rPr>
      </w:pPr>
    </w:p>
    <w:p>
      <w:pPr>
        <w:jc w:val="both"/>
        <w:ind w:left="1500" w:hanging="694"/>
        <w:spacing w:after="0" w:line="260" w:lineRule="auto"/>
        <w:tabs>
          <w:tab w:leader="none" w:pos="1480" w:val="left"/>
        </w:tabs>
        <w:rPr>
          <w:sz w:val="20"/>
          <w:szCs w:val="20"/>
          <w:color w:val="auto"/>
        </w:rPr>
      </w:pPr>
      <w:r>
        <w:rPr>
          <w:rFonts w:ascii="Times New Roman" w:cs="Times New Roman" w:eastAsia="Times New Roman" w:hAnsi="Times New Roman"/>
          <w:sz w:val="20"/>
          <w:szCs w:val="20"/>
          <w:color w:val="auto"/>
        </w:rPr>
        <w:t>2.3.2</w:t>
      </w:r>
      <w:r>
        <w:rPr>
          <w:sz w:val="20"/>
          <w:szCs w:val="20"/>
          <w:color w:val="auto"/>
        </w:rPr>
        <w:tab/>
      </w:r>
      <w:r>
        <w:rPr>
          <w:rFonts w:ascii="Times New Roman" w:cs="Times New Roman" w:eastAsia="Times New Roman" w:hAnsi="Times New Roman"/>
          <w:sz w:val="19"/>
          <w:szCs w:val="19"/>
          <w:b w:val="1"/>
          <w:bCs w:val="1"/>
          <w:color w:val="auto"/>
        </w:rPr>
        <w:t>Effects of Termination on Sanofi Sublicenses to a Third Party</w:t>
      </w:r>
      <w:r>
        <w:rPr>
          <w:rFonts w:ascii="Times New Roman" w:cs="Times New Roman" w:eastAsia="Times New Roman" w:hAnsi="Times New Roman"/>
          <w:sz w:val="19"/>
          <w:szCs w:val="19"/>
          <w:color w:val="auto"/>
        </w:rPr>
        <w:t>. If this Agreement is terminated for any reason,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sublicense granted hereunder by Sanofi to a Third Party will, at the Sublicensee’s request within [***] of such termination, survive such termination;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the relevant Sublicensee is not in breach of any of its obligations under such sublicense, (b) Fulcrum is not required to assume any obligations or liabilities (contingent or otherwise) not set forth in this Agreement, (c) such Sublicensee agrees in writing to comply with all of the terms and conditions of this Agreement to the extent applicable to the rights originally sublicensed to it by Sanofi, and (d) such Sublicensee agrees to assume all of Sanofi’s financial obligations under this Agreement to the extent applicable to the rights sublicensed to it by Sanofi.</w:t>
      </w:r>
    </w:p>
    <w:p>
      <w:pPr>
        <w:spacing w:after="0" w:line="166" w:lineRule="exact"/>
        <w:rPr>
          <w:sz w:val="20"/>
          <w:szCs w:val="20"/>
          <w:color w:val="auto"/>
        </w:rPr>
      </w:pPr>
    </w:p>
    <w:p>
      <w:pPr>
        <w:jc w:val="both"/>
        <w:ind w:left="1500" w:hanging="694"/>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2.3.3</w:t>
      </w:r>
      <w:r>
        <w:rPr>
          <w:sz w:val="20"/>
          <w:szCs w:val="20"/>
          <w:color w:val="auto"/>
        </w:rPr>
        <w:tab/>
      </w:r>
      <w:r>
        <w:rPr>
          <w:rFonts w:ascii="Times New Roman" w:cs="Times New Roman" w:eastAsia="Times New Roman" w:hAnsi="Times New Roman"/>
          <w:sz w:val="20"/>
          <w:szCs w:val="20"/>
          <w:b w:val="1"/>
          <w:bCs w:val="1"/>
          <w:color w:val="auto"/>
        </w:rPr>
        <w:t>Right to Subcontract</w:t>
      </w:r>
      <w:r>
        <w:rPr>
          <w:rFonts w:ascii="Times New Roman" w:cs="Times New Roman" w:eastAsia="Times New Roman" w:hAnsi="Times New Roman"/>
          <w:sz w:val="20"/>
          <w:szCs w:val="20"/>
          <w:color w:val="auto"/>
        </w:rPr>
        <w:t>. Each Party may engage one or more Third Party subcontractors to perform services in furtherance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performance of its obligations or exercise of its rights under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neither Party will engage any such Third Party that has been Debarred/Excluded; and (b) no engagement of any such Third Party subcontractors will relieve the engaging Party of its obligations under this Agreement or any liability hereunder.</w:t>
      </w:r>
    </w:p>
    <w:p>
      <w:pPr>
        <w:spacing w:after="0" w:line="176" w:lineRule="exact"/>
        <w:rPr>
          <w:sz w:val="20"/>
          <w:szCs w:val="20"/>
          <w:color w:val="auto"/>
        </w:rPr>
      </w:pPr>
    </w:p>
    <w:p>
      <w:pPr>
        <w:jc w:val="both"/>
        <w:ind w:left="1500" w:hanging="694"/>
        <w:spacing w:after="0" w:line="245" w:lineRule="auto"/>
        <w:tabs>
          <w:tab w:leader="none" w:pos="1480" w:val="left"/>
        </w:tabs>
        <w:rPr>
          <w:sz w:val="20"/>
          <w:szCs w:val="20"/>
          <w:color w:val="auto"/>
        </w:rPr>
      </w:pPr>
      <w:r>
        <w:rPr>
          <w:rFonts w:ascii="Times New Roman" w:cs="Times New Roman" w:eastAsia="Times New Roman" w:hAnsi="Times New Roman"/>
          <w:sz w:val="20"/>
          <w:szCs w:val="20"/>
          <w:color w:val="auto"/>
        </w:rPr>
        <w:t>2.3.4</w:t>
      </w:r>
      <w:r>
        <w:rPr>
          <w:sz w:val="20"/>
          <w:szCs w:val="20"/>
          <w:color w:val="auto"/>
        </w:rPr>
        <w:tab/>
      </w:r>
      <w:r>
        <w:rPr>
          <w:rFonts w:ascii="Times New Roman" w:cs="Times New Roman" w:eastAsia="Times New Roman" w:hAnsi="Times New Roman"/>
          <w:sz w:val="20"/>
          <w:szCs w:val="20"/>
          <w:b w:val="1"/>
          <w:bCs w:val="1"/>
          <w:color w:val="auto"/>
        </w:rPr>
        <w:t>Sublicense and Subcontract Agreements</w:t>
      </w:r>
      <w:r>
        <w:rPr>
          <w:rFonts w:ascii="Times New Roman" w:cs="Times New Roman" w:eastAsia="Times New Roman" w:hAnsi="Times New Roman"/>
          <w:sz w:val="20"/>
          <w:szCs w:val="20"/>
          <w:color w:val="auto"/>
        </w:rPr>
        <w:t>. Each sublicense granted pursuant to this Section 2.3 (</w:t>
      </w:r>
      <w:r>
        <w:rPr>
          <w:rFonts w:ascii="Times New Roman" w:cs="Times New Roman" w:eastAsia="Times New Roman" w:hAnsi="Times New Roman"/>
          <w:sz w:val="20"/>
          <w:szCs w:val="20"/>
          <w:i w:val="1"/>
          <w:iCs w:val="1"/>
          <w:color w:val="auto"/>
        </w:rPr>
        <w:t>Sublicensing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Subcontracting Terms</w:t>
      </w:r>
      <w:r>
        <w:rPr>
          <w:rFonts w:ascii="Times New Roman" w:cs="Times New Roman" w:eastAsia="Times New Roman" w:hAnsi="Times New Roman"/>
          <w:sz w:val="20"/>
          <w:szCs w:val="20"/>
          <w:color w:val="auto"/>
        </w:rPr>
        <w:t>) and each agreement pursuant to which each Party engages any Third Party subcontractor will (a)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subject and subordinate to this Agreement, (b) be consistent with the terms of this Agreement, (c) include obligations of confidentiality and non-use applicable to the Confidential Information of the other Party that are at least as stringent as those set forth in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and (d) include terms that are consistent with the intellectual property provisions set forth in this Agreement, unless the Parties mutually agree otherwise in writing. Sanofi will provide Fulcrum with a copy of any executed sublicense agreement with a Third Party (but,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3" w:name="page114"/>
    <w:bookmarkEnd w:id="113"/>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for clarity, not any agreement that is solely for the engagement of a Third Party subcontractor and entered into by Sanofi pursuant to Section 2.3.3 (</w:t>
      </w:r>
      <w:r>
        <w:rPr>
          <w:rFonts w:ascii="Times New Roman" w:cs="Times New Roman" w:eastAsia="Times New Roman" w:hAnsi="Times New Roman"/>
          <w:sz w:val="20"/>
          <w:szCs w:val="20"/>
          <w:i w:val="1"/>
          <w:iCs w:val="1"/>
          <w:color w:val="auto"/>
        </w:rPr>
        <w:t>Right to Subcontract</w:t>
      </w:r>
      <w:r>
        <w:rPr>
          <w:rFonts w:ascii="Times New Roman" w:cs="Times New Roman" w:eastAsia="Times New Roman" w:hAnsi="Times New Roman"/>
          <w:sz w:val="20"/>
          <w:szCs w:val="20"/>
          <w:color w:val="auto"/>
        </w:rPr>
        <w:t>)), which copy may be redacted as necessary to protect confidential information that is not necessary to confirm compliance with this Agreement, as soon as reasonably practicable after execution of such sublicense agreement.</w:t>
      </w:r>
    </w:p>
    <w:p>
      <w:pPr>
        <w:spacing w:after="0" w:line="176" w:lineRule="exact"/>
        <w:rPr>
          <w:sz w:val="20"/>
          <w:szCs w:val="20"/>
          <w:color w:val="auto"/>
        </w:rPr>
      </w:pPr>
    </w:p>
    <w:p>
      <w:pPr>
        <w:jc w:val="both"/>
        <w:ind w:left="1500" w:hanging="694"/>
        <w:spacing w:after="0" w:line="247" w:lineRule="auto"/>
        <w:tabs>
          <w:tab w:leader="none" w:pos="1480" w:val="left"/>
        </w:tabs>
        <w:rPr>
          <w:sz w:val="20"/>
          <w:szCs w:val="20"/>
          <w:color w:val="auto"/>
        </w:rPr>
      </w:pPr>
      <w:r>
        <w:rPr>
          <w:rFonts w:ascii="Times New Roman" w:cs="Times New Roman" w:eastAsia="Times New Roman" w:hAnsi="Times New Roman"/>
          <w:sz w:val="20"/>
          <w:szCs w:val="20"/>
          <w:color w:val="auto"/>
        </w:rPr>
        <w:t>2.3.5</w:t>
      </w:r>
      <w:r>
        <w:rPr>
          <w:sz w:val="20"/>
          <w:szCs w:val="20"/>
          <w:color w:val="auto"/>
        </w:rPr>
        <w:tab/>
      </w:r>
      <w:r>
        <w:rPr>
          <w:rFonts w:ascii="Times New Roman" w:cs="Times New Roman" w:eastAsia="Times New Roman" w:hAnsi="Times New Roman"/>
          <w:sz w:val="20"/>
          <w:szCs w:val="20"/>
          <w:b w:val="1"/>
          <w:bCs w:val="1"/>
          <w:color w:val="auto"/>
        </w:rPr>
        <w:t>Responsibility for Sublicensees and Subcontractors</w:t>
      </w:r>
      <w:r>
        <w:rPr>
          <w:rFonts w:ascii="Times New Roman" w:cs="Times New Roman" w:eastAsia="Times New Roman" w:hAnsi="Times New Roman"/>
          <w:sz w:val="20"/>
          <w:szCs w:val="20"/>
          <w:color w:val="auto"/>
        </w:rPr>
        <w:t>. Notwithstanding any sublicense, the sublicensing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subcontracting Party will remain primarily liable to the other Party for the performance of all of its obligations under, and such Party’s compliance with all provisions of, this Agreement. Each Party agrees that it will be fully responsible and liable for any breach of the terms of this Agreement by any of its Sublicensees or subcontractors to the same extent as if such Party itself has committed any such breach.</w:t>
      </w:r>
    </w:p>
    <w:p>
      <w:pPr>
        <w:spacing w:after="0" w:line="180" w:lineRule="exact"/>
        <w:rPr>
          <w:sz w:val="20"/>
          <w:szCs w:val="20"/>
          <w:color w:val="auto"/>
        </w:rPr>
      </w:pPr>
    </w:p>
    <w:p>
      <w:pPr>
        <w:jc w:val="both"/>
        <w:ind w:left="760" w:hanging="748"/>
        <w:spacing w:after="0" w:line="243" w:lineRule="auto"/>
        <w:rPr>
          <w:sz w:val="20"/>
          <w:szCs w:val="20"/>
          <w:color w:val="auto"/>
        </w:rPr>
      </w:pPr>
      <w:r>
        <w:rPr>
          <w:rFonts w:ascii="Times New Roman" w:cs="Times New Roman" w:eastAsia="Times New Roman" w:hAnsi="Times New Roman"/>
          <w:sz w:val="20"/>
          <w:szCs w:val="20"/>
          <w:b w:val="1"/>
          <w:bCs w:val="1"/>
          <w:color w:val="auto"/>
        </w:rPr>
        <w:t>2.4 No Other Rights and Retained Rights</w:t>
      </w:r>
      <w:r>
        <w:rPr>
          <w:rFonts w:ascii="Times New Roman" w:cs="Times New Roman" w:eastAsia="Times New Roman" w:hAnsi="Times New Roman"/>
          <w:sz w:val="20"/>
          <w:szCs w:val="20"/>
          <w:color w:val="auto"/>
        </w:rPr>
        <w:t>. Nothing in this Agreement will be interpreted to grant a Party any rights under any intellectual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property rights owned or Controlled by the other Party, including Fulcrum Technology and Sanofi Technology (including any Sanofi Reversion Technology), in each case, that are not expressly granted herein, whether by implication, estoppel, or otherwise. Any rights not expressly granted to a Party by the other Party under this Agreement are hereby retained by such other Party. Neither Fulcrum nor Sanofi will, or will grant any Affiliate or Third Party rights to, Research, Develop, Manufacture, Commercialize or otherwise Exploit a Licensed Compound or Licensed Product except as permitted under this Agreement which, for clarity, shall mean that neither Fulcrum nor Sanofi will, or will grant any Affiliate or Third Party rights to, Research or Develop except as contemplated by the Global Development Plan or, as applicable, the Sanofi Independent Development Plan or the Fulcrum Independent Development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2.5  Existing Third Party IP Agreements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4" w:lineRule="auto"/>
        <w:tabs>
          <w:tab w:leader="none" w:pos="1480" w:val="left"/>
        </w:tabs>
        <w:rPr>
          <w:sz w:val="20"/>
          <w:szCs w:val="20"/>
          <w:color w:val="auto"/>
        </w:rPr>
      </w:pPr>
      <w:r>
        <w:rPr>
          <w:rFonts w:ascii="Times New Roman" w:cs="Times New Roman" w:eastAsia="Times New Roman" w:hAnsi="Times New Roman"/>
          <w:sz w:val="20"/>
          <w:szCs w:val="20"/>
          <w:color w:val="auto"/>
        </w:rPr>
        <w:t>2.5.1</w:t>
      </w:r>
      <w:r>
        <w:rPr>
          <w:sz w:val="20"/>
          <w:szCs w:val="20"/>
          <w:color w:val="auto"/>
        </w:rPr>
        <w:tab/>
      </w:r>
      <w:r>
        <w:rPr>
          <w:rFonts w:ascii="Times New Roman" w:cs="Times New Roman" w:eastAsia="Times New Roman" w:hAnsi="Times New Roman"/>
          <w:sz w:val="20"/>
          <w:szCs w:val="20"/>
          <w:b w:val="1"/>
          <w:bCs w:val="1"/>
          <w:color w:val="auto"/>
        </w:rPr>
        <w:t>Amendments to Existing Third Party IP Agreements</w:t>
      </w:r>
      <w:r>
        <w:rPr>
          <w:rFonts w:ascii="Times New Roman" w:cs="Times New Roman" w:eastAsia="Times New Roman" w:hAnsi="Times New Roman"/>
          <w:sz w:val="20"/>
          <w:szCs w:val="20"/>
          <w:color w:val="auto"/>
        </w:rPr>
        <w:t>. During the Term, Fulcrum will promptly furnish Sanofi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copies of any amendment to any Existing Third Party IP Agreement to the extent related to any of the rights sublicensed to Sanofi hereunder, from which copies Fulcrum may redact information that is not relevant to the rights sublicensed to Sanofi pursuant to the applicable Existing Third Party IP Agreement. Fulcrum will not, without Sanofi’s prior consent, terminate any Existing Third Party IP Agreement or execute any amendment to any Existing Third Party IP Agreement or otherwise modify any Existing Third Party IP Agreement, in each case, to the extent that doing so would (i) conflict with or adversely affect the rights granted to Sanofi under this Agreement, or (ii) conflict with or adversely affect Fulcrum’s or Sanofi’s ability to fulfill its obligations under this Agreement.</w:t>
      </w:r>
    </w:p>
    <w:p>
      <w:pPr>
        <w:spacing w:after="0" w:line="182" w:lineRule="exact"/>
        <w:rPr>
          <w:sz w:val="20"/>
          <w:szCs w:val="20"/>
          <w:color w:val="auto"/>
        </w:rPr>
      </w:pPr>
    </w:p>
    <w:p>
      <w:pPr>
        <w:jc w:val="both"/>
        <w:ind w:left="1500" w:hanging="694"/>
        <w:spacing w:after="0" w:line="260" w:lineRule="auto"/>
        <w:tabs>
          <w:tab w:leader="none" w:pos="1480" w:val="left"/>
        </w:tabs>
        <w:rPr>
          <w:sz w:val="20"/>
          <w:szCs w:val="20"/>
          <w:color w:val="auto"/>
        </w:rPr>
      </w:pPr>
      <w:r>
        <w:rPr>
          <w:rFonts w:ascii="Times New Roman" w:cs="Times New Roman" w:eastAsia="Times New Roman" w:hAnsi="Times New Roman"/>
          <w:sz w:val="20"/>
          <w:szCs w:val="20"/>
          <w:color w:val="auto"/>
        </w:rPr>
        <w:t>2.5.2</w:t>
      </w:r>
      <w:r>
        <w:rPr>
          <w:sz w:val="20"/>
          <w:szCs w:val="20"/>
          <w:color w:val="auto"/>
        </w:rPr>
        <w:tab/>
      </w:r>
      <w:r>
        <w:rPr>
          <w:rFonts w:ascii="Times New Roman" w:cs="Times New Roman" w:eastAsia="Times New Roman" w:hAnsi="Times New Roman"/>
          <w:sz w:val="19"/>
          <w:szCs w:val="19"/>
          <w:b w:val="1"/>
          <w:bCs w:val="1"/>
          <w:color w:val="auto"/>
        </w:rPr>
        <w:t>Breach of Existing Third Party IP Agreements</w:t>
      </w:r>
      <w:r>
        <w:rPr>
          <w:rFonts w:ascii="Times New Roman" w:cs="Times New Roman" w:eastAsia="Times New Roman" w:hAnsi="Times New Roman"/>
          <w:sz w:val="19"/>
          <w:szCs w:val="19"/>
          <w:color w:val="auto"/>
        </w:rPr>
        <w:t>. In the event of any written notice of breach by Fulcrum given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provisions of any Existing Third Party IP Agreement, Fulcrum shall immediately notify Sanofi in writing and if Fulcrum fails to cure such breach and the breach (a) is not due to an act or omission of Sanofi, its Affiliates or Sublicensees and (b) remains outstanding and undisputed, Sanofi shall have the right, but not the obligation, to cure such breach on behalf of Fulcrum or its Affiliates, as applicable, and [***]. In the event Fulcrum provides written notice of any breach by the counterparty to the applicable Existing Third Party IP Agreement, Fulcrum shall immediately notify Sanofi in writing, and Fulcrum shall use Commercially Reasonable Efforts to enforce such Existing Third Party IP Agreement.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jc w:val="both"/>
        <w:ind w:left="1500" w:hanging="694"/>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2.5.3</w:t>
      </w:r>
      <w:r>
        <w:rPr>
          <w:sz w:val="20"/>
          <w:szCs w:val="20"/>
          <w:color w:val="auto"/>
        </w:rPr>
        <w:tab/>
      </w:r>
      <w:r>
        <w:rPr>
          <w:rFonts w:ascii="Times New Roman" w:cs="Times New Roman" w:eastAsia="Times New Roman" w:hAnsi="Times New Roman"/>
          <w:sz w:val="20"/>
          <w:szCs w:val="20"/>
          <w:b w:val="1"/>
          <w:bCs w:val="1"/>
          <w:color w:val="auto"/>
        </w:rPr>
        <w:t>Termination of Existing Third Party IP Agreements</w:t>
      </w:r>
      <w:r>
        <w:rPr>
          <w:rFonts w:ascii="Times New Roman" w:cs="Times New Roman" w:eastAsia="Times New Roman" w:hAnsi="Times New Roman"/>
          <w:sz w:val="20"/>
          <w:szCs w:val="20"/>
          <w:color w:val="auto"/>
        </w:rPr>
        <w:t>. Without limiting the foregoing, in the events of (a) early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of any Existing Third Party IP Agreement during the Term, and (b) Sanofi acquiring a direct license from such counterparty under the rights formerly sublicensed to Sanofi by Fulcrum under such Existing Third Party IP Agreement, [***].</w:t>
      </w:r>
    </w:p>
    <w:p>
      <w:pPr>
        <w:spacing w:after="0" w:line="176" w:lineRule="exact"/>
        <w:rPr>
          <w:sz w:val="20"/>
          <w:szCs w:val="20"/>
          <w:color w:val="auto"/>
        </w:rPr>
      </w:pPr>
    </w:p>
    <w:p>
      <w:pPr>
        <w:jc w:val="both"/>
        <w:ind w:left="1500" w:hanging="694"/>
        <w:spacing w:after="0" w:line="256" w:lineRule="auto"/>
        <w:tabs>
          <w:tab w:leader="none" w:pos="1480" w:val="left"/>
        </w:tabs>
        <w:rPr>
          <w:sz w:val="20"/>
          <w:szCs w:val="20"/>
          <w:color w:val="auto"/>
        </w:rPr>
      </w:pPr>
      <w:r>
        <w:rPr>
          <w:rFonts w:ascii="Times New Roman" w:cs="Times New Roman" w:eastAsia="Times New Roman" w:hAnsi="Times New Roman"/>
          <w:sz w:val="20"/>
          <w:szCs w:val="20"/>
          <w:color w:val="auto"/>
        </w:rPr>
        <w:t>2.5.4</w:t>
      </w:r>
      <w:r>
        <w:rPr>
          <w:sz w:val="20"/>
          <w:szCs w:val="20"/>
          <w:color w:val="auto"/>
        </w:rPr>
        <w:tab/>
      </w:r>
      <w:r>
        <w:rPr>
          <w:rFonts w:ascii="Times New Roman" w:cs="Times New Roman" w:eastAsia="Times New Roman" w:hAnsi="Times New Roman"/>
          <w:sz w:val="20"/>
          <w:szCs w:val="20"/>
          <w:b w:val="1"/>
          <w:bCs w:val="1"/>
          <w:color w:val="auto"/>
        </w:rPr>
        <w:t>Existing Third Party IP Notices</w:t>
      </w:r>
      <w:r>
        <w:rPr>
          <w:rFonts w:ascii="Times New Roman" w:cs="Times New Roman" w:eastAsia="Times New Roman" w:hAnsi="Times New Roman"/>
          <w:sz w:val="20"/>
          <w:szCs w:val="20"/>
          <w:color w:val="auto"/>
        </w:rPr>
        <w:t>. In the event Fulcrum receives a written notice under an Existing Third Party 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that is relevant to any of the rights sublicensed to Sanofi under this Agreement (including, without limitation, notice of assignment of the GSK Side Letter), Fulcrum will promptly provide to Sanofi a copy of such notice.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2.6  New Third Party IP Agreements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2.6.1</w:t>
      </w:r>
      <w:r>
        <w:rPr>
          <w:sz w:val="20"/>
          <w:szCs w:val="20"/>
          <w:color w:val="auto"/>
        </w:rPr>
        <w:tab/>
      </w:r>
      <w:r>
        <w:rPr>
          <w:rFonts w:ascii="Times New Roman" w:cs="Times New Roman" w:eastAsia="Times New Roman" w:hAnsi="Times New Roman"/>
          <w:sz w:val="19"/>
          <w:szCs w:val="19"/>
          <w:b w:val="1"/>
          <w:bCs w:val="1"/>
          <w:color w:val="auto"/>
        </w:rPr>
        <w:t>Core Third Party IP</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2260" w:hanging="754"/>
        <w:spacing w:after="0" w:line="243" w:lineRule="auto"/>
        <w:tabs>
          <w:tab w:leader="none" w:pos="190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written notice to Sanofi, Fulcrum will have the first right, at its sole cost and expense, to obtain any Patent Rights or Know-How (whether through acquisition or a license) that it reasonably believes are Core Third Party IP. Fulcrum shall include within such written notice a description of such Patent Rights and Know-How, and shall have a period of [***] after provision of such written notice (the “</w:t>
      </w:r>
      <w:r>
        <w:rPr>
          <w:rFonts w:ascii="Times New Roman" w:cs="Times New Roman" w:eastAsia="Times New Roman" w:hAnsi="Times New Roman"/>
          <w:sz w:val="20"/>
          <w:szCs w:val="20"/>
          <w:b w:val="1"/>
          <w:bCs w:val="1"/>
          <w:color w:val="auto"/>
        </w:rPr>
        <w:t>Fulcrum Negotiation Period</w:t>
      </w:r>
      <w:r>
        <w:rPr>
          <w:rFonts w:ascii="Times New Roman" w:cs="Times New Roman" w:eastAsia="Times New Roman" w:hAnsi="Times New Roman"/>
          <w:sz w:val="20"/>
          <w:szCs w:val="20"/>
          <w:color w:val="auto"/>
        </w:rPr>
        <w:t xml:space="preserve">”) to obtain rights to such Core Third Party IP in accordance with the following clause (c);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if Fulcrum is engaged in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discussions with the relevant Third Party licensor at the expiration of the Fulcrum Negotiation Period, then Fulcrum may notify Sanofi and the Fulcrum Negotiation Period will be extended for an additional [***] (or such longer period as mutually agreed by the Parties).</w:t>
      </w:r>
    </w:p>
    <w:p>
      <w:pPr>
        <w:spacing w:after="0" w:line="189" w:lineRule="exact"/>
        <w:rPr>
          <w:rFonts w:ascii="Times New Roman" w:cs="Times New Roman" w:eastAsia="Times New Roman" w:hAnsi="Times New Roman"/>
          <w:sz w:val="20"/>
          <w:szCs w:val="20"/>
          <w:color w:val="auto"/>
        </w:rPr>
      </w:pPr>
    </w:p>
    <w:p>
      <w:pPr>
        <w:ind w:left="2260" w:hanging="754"/>
        <w:spacing w:after="0" w:line="241" w:lineRule="auto"/>
        <w:tabs>
          <w:tab w:leader="none" w:pos="190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Fulcrum will (i) use reasonable efforts to ensure that any rights to Core Third Party IP are (A) consistent in scope with the scope of Fulcrum’s license grants to Sanofi under Section 2.1.1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Section 2.1.2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and Section 2.1.3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in the Field in the Territory and (B) fully licensable or sublicensable to Sanofi and (ii) as between the Parties, be responsible for [***] of all payments arising in connection with Fulcrum’s acquisition of or license under such Core Third Party IP, including any payments arising as a result of Sanofi’s exercise of its license or sublicense under such Core Third Party IP pursuant to this Agreement. If Fulcrum obtains rights to any Core Third Party IP that are not (A) consistent in scope with the scope of Fulcrum’s license grants to Sanofi under Section 2.1.1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Section 2.1.2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and Section 2.1.3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in the Field in the Territory or (B) fully licensable or sublicensable to Sanofi, then Fulcrum will ensure that the scope of such rights to such Core Third Party IP does not prevent Sanofi from obtaining rights directly from the applicable Third Party that are consistent in scope with the scope of Fulcrum’s license grants to Sanofi under Section 2.1.1 (</w:t>
      </w:r>
      <w:r>
        <w:rPr>
          <w:rFonts w:ascii="Times New Roman" w:cs="Times New Roman" w:eastAsia="Times New Roman" w:hAnsi="Times New Roman"/>
          <w:sz w:val="20"/>
          <w:szCs w:val="20"/>
          <w:i w:val="1"/>
          <w:iCs w:val="1"/>
          <w:color w:val="auto"/>
        </w:rPr>
        <w:t>License Grant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Sanofi</w:t>
      </w:r>
      <w:r>
        <w:rPr>
          <w:rFonts w:ascii="Times New Roman" w:cs="Times New Roman" w:eastAsia="Times New Roman" w:hAnsi="Times New Roman"/>
          <w:sz w:val="20"/>
          <w:szCs w:val="20"/>
          <w:color w:val="auto"/>
        </w:rPr>
        <w:t>), Section 2.1.2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and Section 2.1.3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in the Field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Territory.</w:t>
      </w:r>
    </w:p>
    <w:p>
      <w:pPr>
        <w:spacing w:after="0" w:line="195" w:lineRule="exact"/>
        <w:rPr>
          <w:rFonts w:ascii="Times New Roman" w:cs="Times New Roman" w:eastAsia="Times New Roman" w:hAnsi="Times New Roman"/>
          <w:sz w:val="20"/>
          <w:szCs w:val="20"/>
          <w:color w:val="auto"/>
        </w:rPr>
      </w:pPr>
    </w:p>
    <w:p>
      <w:pPr>
        <w:ind w:left="2260" w:hanging="754"/>
        <w:spacing w:after="0" w:line="249" w:lineRule="auto"/>
        <w:tabs>
          <w:tab w:leader="none" w:pos="190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Fulcrum does not acquire or obtain rights to such Core Third Party IP within the Fulcrum Negotiation Period or if Fulcrum obtains rights to such Core Third Party IP that do not prevent Sanofi from obtaining rights to such Core Third Party IP directly from the applicable Third Party, then, in either case, Sanofi will have the right, at its sole cost and expense (subject to Section 9.3.2(c)(i) (</w:t>
      </w:r>
      <w:r>
        <w:rPr>
          <w:rFonts w:ascii="Times New Roman" w:cs="Times New Roman" w:eastAsia="Times New Roman" w:hAnsi="Times New Roman"/>
          <w:sz w:val="20"/>
          <w:szCs w:val="20"/>
          <w:i w:val="1"/>
          <w:iCs w:val="1"/>
          <w:color w:val="auto"/>
        </w:rPr>
        <w:t>Royalty Stacking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5" w:name="page116"/>
    <w:bookmarkEnd w:id="115"/>
    <w:p>
      <w:pPr>
        <w:jc w:val="both"/>
        <w:ind w:left="1450"/>
        <w:spacing w:after="0" w:line="245" w:lineRule="auto"/>
        <w:rPr>
          <w:sz w:val="20"/>
          <w:szCs w:val="20"/>
          <w:color w:val="auto"/>
        </w:rPr>
      </w:pPr>
      <w:r>
        <w:rPr>
          <w:rFonts w:ascii="Times New Roman" w:cs="Times New Roman" w:eastAsia="Times New Roman" w:hAnsi="Times New Roman"/>
          <w:sz w:val="20"/>
          <w:szCs w:val="20"/>
          <w:i w:val="1"/>
          <w:iCs w:val="1"/>
          <w:color w:val="auto"/>
        </w:rPr>
        <w:t>– By Sanofi</w:t>
      </w:r>
      <w:r>
        <w:rPr>
          <w:rFonts w:ascii="Times New Roman" w:cs="Times New Roman" w:eastAsia="Times New Roman" w:hAnsi="Times New Roman"/>
          <w:sz w:val="20"/>
          <w:szCs w:val="20"/>
          <w:color w:val="auto"/>
        </w:rPr>
        <w:t>)), to obtain a license to such Core Third Party IP for Exploitation of Licensed Compounds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Licensed Products in the Field in the Territory;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license is, with respect to the Licensed Compounds and Licensed Products, no broader in scope than the scope of Fulcrum’s license grants to Sanofi under Section 2.1.1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Section 2.1.2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and Section 2.1.3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For clarity, Sanofi will not be restricted from obtaining rights broader than the scope of such license grants with respect to the Exploitation of any compounds or products other than the Licensed Compounds and Licensed Products.</w:t>
      </w:r>
    </w:p>
    <w:p>
      <w:pPr>
        <w:spacing w:after="0" w:line="179" w:lineRule="exact"/>
        <w:rPr>
          <w:sz w:val="20"/>
          <w:szCs w:val="20"/>
          <w:color w:val="auto"/>
        </w:rPr>
      </w:pPr>
    </w:p>
    <w:p>
      <w:pPr>
        <w:ind w:left="690" w:hanging="694"/>
        <w:spacing w:after="0" w:line="273" w:lineRule="auto"/>
        <w:tabs>
          <w:tab w:leader="none" w:pos="669" w:val="left"/>
        </w:tabs>
        <w:rPr>
          <w:sz w:val="20"/>
          <w:szCs w:val="20"/>
          <w:color w:val="auto"/>
        </w:rPr>
      </w:pPr>
      <w:r>
        <w:rPr>
          <w:rFonts w:ascii="Times New Roman" w:cs="Times New Roman" w:eastAsia="Times New Roman" w:hAnsi="Times New Roman"/>
          <w:sz w:val="20"/>
          <w:szCs w:val="20"/>
          <w:color w:val="auto"/>
        </w:rPr>
        <w:t>2.6.2</w:t>
      </w:r>
      <w:r>
        <w:rPr>
          <w:sz w:val="20"/>
          <w:szCs w:val="20"/>
          <w:color w:val="auto"/>
        </w:rPr>
        <w:tab/>
      </w:r>
      <w:r>
        <w:rPr>
          <w:rFonts w:ascii="Times New Roman" w:cs="Times New Roman" w:eastAsia="Times New Roman" w:hAnsi="Times New Roman"/>
          <w:sz w:val="20"/>
          <w:szCs w:val="20"/>
          <w:b w:val="1"/>
          <w:bCs w:val="1"/>
          <w:color w:val="auto"/>
        </w:rPr>
        <w:t>New Collaboration In-Licenses</w:t>
      </w:r>
      <w:r>
        <w:rPr>
          <w:rFonts w:ascii="Times New Roman" w:cs="Times New Roman" w:eastAsia="Times New Roman" w:hAnsi="Times New Roman"/>
          <w:sz w:val="20"/>
          <w:szCs w:val="20"/>
          <w:color w:val="auto"/>
        </w:rPr>
        <w:t>. Without limiting the rights and obligations of the Parties with respect to Core Third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IP as set out in Section 2.6.1 (</w:t>
      </w:r>
      <w:r>
        <w:rPr>
          <w:rFonts w:ascii="Times New Roman" w:cs="Times New Roman" w:eastAsia="Times New Roman" w:hAnsi="Times New Roman"/>
          <w:sz w:val="20"/>
          <w:szCs w:val="20"/>
          <w:i w:val="1"/>
          <w:iCs w:val="1"/>
          <w:color w:val="auto"/>
        </w:rPr>
        <w:t>Core Third Party IP</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90" w:hanging="690"/>
        <w:spacing w:after="0" w:line="244" w:lineRule="auto"/>
        <w:tabs>
          <w:tab w:leader="none" w:pos="39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execution of any agreement by a Party or its Affiliates with a Third Party for any Patent Rights or Know-How that are necessary or actually used by either Party to Develop, Manufacture or Commercialize a Licensed Compound or Licensed Product in the Field in the Territory (any such agreement, including any such agreement for Core Third Party IP, a “</w:t>
      </w:r>
      <w:r>
        <w:rPr>
          <w:rFonts w:ascii="Times New Roman" w:cs="Times New Roman" w:eastAsia="Times New Roman" w:hAnsi="Times New Roman"/>
          <w:sz w:val="20"/>
          <w:szCs w:val="20"/>
          <w:b w:val="1"/>
          <w:bCs w:val="1"/>
          <w:color w:val="auto"/>
        </w:rPr>
        <w:t>New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Third Party IP Agreement</w:t>
      </w:r>
      <w:r>
        <w:rPr>
          <w:rFonts w:ascii="Times New Roman" w:cs="Times New Roman" w:eastAsia="Times New Roman" w:hAnsi="Times New Roman"/>
          <w:sz w:val="20"/>
          <w:szCs w:val="20"/>
          <w:color w:val="auto"/>
        </w:rPr>
        <w:t>” and such Patent Rights or Know-How, “</w:t>
      </w:r>
      <w:r>
        <w:rPr>
          <w:rFonts w:ascii="Times New Roman" w:cs="Times New Roman" w:eastAsia="Times New Roman" w:hAnsi="Times New Roman"/>
          <w:sz w:val="20"/>
          <w:szCs w:val="20"/>
          <w:b w:val="1"/>
          <w:bCs w:val="1"/>
          <w:color w:val="auto"/>
        </w:rPr>
        <w:t>New Third Party IP Rights</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New Third Party IP Rights are sublicensable under the New Third Party IP Agreement, the executing Party will notify the other Party in writing and will provide a copy of the New Third Party IP Agreement to such other Party, which may be redacted to exclude information not related to the sublicensed rights.</w:t>
      </w:r>
    </w:p>
    <w:p>
      <w:pPr>
        <w:spacing w:after="0" w:line="185" w:lineRule="exact"/>
        <w:rPr>
          <w:rFonts w:ascii="Times New Roman" w:cs="Times New Roman" w:eastAsia="Times New Roman" w:hAnsi="Times New Roman"/>
          <w:sz w:val="20"/>
          <w:szCs w:val="20"/>
          <w:color w:val="auto"/>
        </w:rPr>
      </w:pPr>
    </w:p>
    <w:p>
      <w:pPr>
        <w:ind w:left="690" w:hanging="690"/>
        <w:spacing w:after="0" w:line="254" w:lineRule="auto"/>
        <w:tabs>
          <w:tab w:leader="none" w:pos="39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of delivery of notification of a New Third Party IP Agreement, the notified Party must let the notifying Party know in writing if it would like to receive a sublicense under such New Third Party IP Rights and if the notified Party so elects:</w:t>
      </w:r>
    </w:p>
    <w:p>
      <w:pPr>
        <w:spacing w:after="0" w:line="170" w:lineRule="exact"/>
        <w:rPr>
          <w:rFonts w:ascii="Times New Roman" w:cs="Times New Roman" w:eastAsia="Times New Roman" w:hAnsi="Times New Roman"/>
          <w:sz w:val="20"/>
          <w:szCs w:val="20"/>
          <w:color w:val="auto"/>
        </w:rPr>
      </w:pPr>
    </w:p>
    <w:p>
      <w:pPr>
        <w:ind w:left="1090" w:hanging="394"/>
        <w:spacing w:after="0"/>
        <w:tabs>
          <w:tab w:leader="none" w:pos="109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New Third Party IP Agreement shall be deemed to be a “</w:t>
      </w:r>
      <w:r>
        <w:rPr>
          <w:rFonts w:ascii="Times New Roman" w:cs="Times New Roman" w:eastAsia="Times New Roman" w:hAnsi="Times New Roman"/>
          <w:sz w:val="20"/>
          <w:szCs w:val="20"/>
          <w:b w:val="1"/>
          <w:bCs w:val="1"/>
          <w:color w:val="auto"/>
        </w:rPr>
        <w:t>Collaboration In-License</w:t>
      </w:r>
      <w:r>
        <w:rPr>
          <w:rFonts w:ascii="Times New Roman" w:cs="Times New Roman" w:eastAsia="Times New Roman" w:hAnsi="Times New Roman"/>
          <w:sz w:val="20"/>
          <w:szCs w:val="20"/>
          <w:color w:val="auto"/>
        </w:rPr>
        <w:t>” under this Agreement,</w:t>
      </w:r>
    </w:p>
    <w:p>
      <w:pPr>
        <w:spacing w:after="0" w:line="219" w:lineRule="exact"/>
        <w:rPr>
          <w:rFonts w:ascii="Times New Roman" w:cs="Times New Roman" w:eastAsia="Times New Roman" w:hAnsi="Times New Roman"/>
          <w:sz w:val="20"/>
          <w:szCs w:val="20"/>
          <w:color w:val="auto"/>
        </w:rPr>
      </w:pPr>
    </w:p>
    <w:p>
      <w:pPr>
        <w:ind w:left="1450" w:hanging="754"/>
        <w:spacing w:after="0" w:line="246" w:lineRule="auto"/>
        <w:tabs>
          <w:tab w:leader="none" w:pos="1097"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Third Party IP Rights licensed under such Collaboration In-License will be deemed to be “Controlled” under this Agreement (if the definition of “Control” is otherwise met) as Fulcrum Technology or deemed to be Licensed Sanofi Technology (as applicable) and licensed or sublicensed (as applicable) to the notified Party under the licenses granted in Section 2.1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or Section 2.2 (</w:t>
      </w:r>
      <w:r>
        <w:rPr>
          <w:rFonts w:ascii="Times New Roman" w:cs="Times New Roman" w:eastAsia="Times New Roman" w:hAnsi="Times New Roman"/>
          <w:sz w:val="20"/>
          <w:szCs w:val="20"/>
          <w:i w:val="1"/>
          <w:iCs w:val="1"/>
          <w:color w:val="auto"/>
        </w:rPr>
        <w:t>License Grants to Fulcrum</w:t>
      </w:r>
      <w:r>
        <w:rPr>
          <w:rFonts w:ascii="Times New Roman" w:cs="Times New Roman" w:eastAsia="Times New Roman" w:hAnsi="Times New Roman"/>
          <w:sz w:val="20"/>
          <w:szCs w:val="20"/>
          <w:color w:val="auto"/>
        </w:rPr>
        <w:t>), subject to the terms of this Agreement and the applicable New Third Party IP Agreement,</w:t>
      </w:r>
    </w:p>
    <w:p>
      <w:pPr>
        <w:spacing w:after="0" w:line="184" w:lineRule="exact"/>
        <w:rPr>
          <w:rFonts w:ascii="Times New Roman" w:cs="Times New Roman" w:eastAsia="Times New Roman" w:hAnsi="Times New Roman"/>
          <w:sz w:val="20"/>
          <w:szCs w:val="20"/>
          <w:color w:val="auto"/>
        </w:rPr>
      </w:pPr>
    </w:p>
    <w:p>
      <w:pPr>
        <w:ind w:left="1450" w:right="20" w:hanging="754"/>
        <w:spacing w:after="0" w:line="269" w:lineRule="auto"/>
        <w:tabs>
          <w:tab w:leader="none" w:pos="1097"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notified Party will abide by the applicable terms of such New Third Party IP Agreement to the extent disclosed to it, and</w:t>
      </w:r>
    </w:p>
    <w:p>
      <w:pPr>
        <w:spacing w:after="0" w:line="159" w:lineRule="exact"/>
        <w:rPr>
          <w:rFonts w:ascii="Times New Roman" w:cs="Times New Roman" w:eastAsia="Times New Roman" w:hAnsi="Times New Roman"/>
          <w:sz w:val="20"/>
          <w:szCs w:val="20"/>
          <w:color w:val="auto"/>
        </w:rPr>
      </w:pPr>
    </w:p>
    <w:p>
      <w:pPr>
        <w:ind w:left="1450" w:hanging="754"/>
        <w:spacing w:after="0" w:line="243" w:lineRule="auto"/>
        <w:tabs>
          <w:tab w:leader="none" w:pos="1097"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upon by the Parties in writing and, except as otherwise set forth with respect to Core Third Party IP in Section 2.6.1 (</w:t>
      </w:r>
      <w:r>
        <w:rPr>
          <w:rFonts w:ascii="Times New Roman" w:cs="Times New Roman" w:eastAsia="Times New Roman" w:hAnsi="Times New Roman"/>
          <w:sz w:val="20"/>
          <w:szCs w:val="20"/>
          <w:i w:val="1"/>
          <w:iCs w:val="1"/>
          <w:color w:val="auto"/>
        </w:rPr>
        <w:t>Core Third Party IP</w:t>
      </w:r>
      <w:r>
        <w:rPr>
          <w:rFonts w:ascii="Times New Roman" w:cs="Times New Roman" w:eastAsia="Times New Roman" w:hAnsi="Times New Roman"/>
          <w:sz w:val="20"/>
          <w:szCs w:val="20"/>
          <w:color w:val="auto"/>
        </w:rPr>
        <w:t>), (A) each Party will be responsible for all payments under such New Third Party IP Agreement that are specific to such Party’s Territory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running royalties resulting from net sales of products in the applicable Territory) or to activities under the Fulcrum Independent Development Plan (if such Party is Fulcrum) or to activities under the Sanofi Independent Development Plan (if such Party is Sanofi), and (B) the Parties will allocate any non-Territory specific upfront payments, milestone payments, or similar payments payable under such New Third Party IP Agreement as Eligible Global Development Costs to the extent allocable to the</w:t>
      </w:r>
    </w:p>
    <w:p>
      <w:pPr>
        <w:spacing w:after="0" w:line="189" w:lineRule="exact"/>
        <w:rPr>
          <w:sz w:val="20"/>
          <w:szCs w:val="20"/>
          <w:color w:val="auto"/>
        </w:rPr>
      </w:pPr>
    </w:p>
    <w:p>
      <w:pPr>
        <w:ind w:left="4650"/>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764540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1409" w:right="339" w:bottom="1440" w:gutter="0" w:footer="0" w:header="0"/>
        </w:sectPr>
      </w:pPr>
    </w:p>
    <w:bookmarkStart w:id="116" w:name="page117"/>
    <w:bookmarkEnd w:id="116"/>
    <w:p>
      <w:pPr>
        <w:ind w:left="2260"/>
        <w:spacing w:after="0" w:line="269" w:lineRule="auto"/>
        <w:rPr>
          <w:sz w:val="20"/>
          <w:szCs w:val="20"/>
          <w:color w:val="auto"/>
        </w:rPr>
      </w:pPr>
      <w:r>
        <w:rPr>
          <w:rFonts w:ascii="Times New Roman" w:cs="Times New Roman" w:eastAsia="Times New Roman" w:hAnsi="Times New Roman"/>
          <w:sz w:val="20"/>
          <w:szCs w:val="20"/>
          <w:color w:val="auto"/>
        </w:rPr>
        <w:t>Global Development Program and otherwise such payments will [***] by the Parties, in each case (A) and (B), subject to Section 9.3.2(c)(i) (</w:t>
      </w:r>
      <w:r>
        <w:rPr>
          <w:rFonts w:ascii="Times New Roman" w:cs="Times New Roman" w:eastAsia="Times New Roman" w:hAnsi="Times New Roman"/>
          <w:sz w:val="20"/>
          <w:szCs w:val="20"/>
          <w:i w:val="1"/>
          <w:iCs w:val="1"/>
          <w:color w:val="auto"/>
        </w:rPr>
        <w:t>Royalty Stacking – By Sanofi</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1500" w:hanging="690"/>
        <w:spacing w:after="0" w:line="247" w:lineRule="auto"/>
        <w:tabs>
          <w:tab w:leader="none" w:pos="120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Party does not elect to receive a sublicense under a New Third Party IP Agreement under Section 2.6.2(b) (</w:t>
      </w:r>
      <w:r>
        <w:rPr>
          <w:rFonts w:ascii="Times New Roman" w:cs="Times New Roman" w:eastAsia="Times New Roman" w:hAnsi="Times New Roman"/>
          <w:sz w:val="20"/>
          <w:szCs w:val="20"/>
          <w:i w:val="1"/>
          <w:iCs w:val="1"/>
          <w:color w:val="auto"/>
        </w:rPr>
        <w:t>New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Collaboration In-Licenses</w:t>
      </w:r>
      <w:r>
        <w:rPr>
          <w:rFonts w:ascii="Times New Roman" w:cs="Times New Roman" w:eastAsia="Times New Roman" w:hAnsi="Times New Roman"/>
          <w:sz w:val="20"/>
          <w:szCs w:val="20"/>
          <w:color w:val="auto"/>
        </w:rPr>
        <w:t>), it will not receive any rights under such New Third Party IP Agreement or the New Third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Party IP Rights subject to such Agreement and the Party who has executed the New Third Party IP Agreement will be, as between the Parties, solely responsible for [***] of the payments under such agreement, subject to Section 9.3.2(c)(i) (</w:t>
      </w:r>
      <w:r>
        <w:rPr>
          <w:rFonts w:ascii="Times New Roman" w:cs="Times New Roman" w:eastAsia="Times New Roman" w:hAnsi="Times New Roman"/>
          <w:sz w:val="20"/>
          <w:szCs w:val="20"/>
          <w:i w:val="1"/>
          <w:iCs w:val="1"/>
          <w:color w:val="auto"/>
        </w:rPr>
        <w:t>Royalty Stacking – By Sanofi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2.7  Exclusivity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7" w:lineRule="auto"/>
        <w:tabs>
          <w:tab w:leader="none" w:pos="1480" w:val="left"/>
        </w:tabs>
        <w:rPr>
          <w:sz w:val="20"/>
          <w:szCs w:val="20"/>
          <w:color w:val="auto"/>
        </w:rPr>
      </w:pPr>
      <w:r>
        <w:rPr>
          <w:rFonts w:ascii="Times New Roman" w:cs="Times New Roman" w:eastAsia="Times New Roman" w:hAnsi="Times New Roman"/>
          <w:sz w:val="20"/>
          <w:szCs w:val="20"/>
          <w:color w:val="auto"/>
        </w:rPr>
        <w:t>2.7.1</w:t>
      </w:r>
      <w:r>
        <w:rPr>
          <w:sz w:val="20"/>
          <w:szCs w:val="20"/>
          <w:color w:val="auto"/>
        </w:rPr>
        <w:tab/>
      </w:r>
      <w:r>
        <w:rPr>
          <w:rFonts w:ascii="Times New Roman" w:cs="Times New Roman" w:eastAsia="Times New Roman" w:hAnsi="Times New Roman"/>
          <w:sz w:val="20"/>
          <w:szCs w:val="20"/>
          <w:b w:val="1"/>
          <w:bCs w:val="1"/>
          <w:color w:val="auto"/>
        </w:rPr>
        <w:t>Exclusivity Obligations</w:t>
      </w:r>
      <w:r>
        <w:rPr>
          <w:rFonts w:ascii="Times New Roman" w:cs="Times New Roman" w:eastAsia="Times New Roman" w:hAnsi="Times New Roman"/>
          <w:sz w:val="20"/>
          <w:szCs w:val="20"/>
          <w:color w:val="auto"/>
        </w:rPr>
        <w:t>. Subject to Section 2.7.2 (</w:t>
      </w:r>
      <w:r>
        <w:rPr>
          <w:rFonts w:ascii="Times New Roman" w:cs="Times New Roman" w:eastAsia="Times New Roman" w:hAnsi="Times New Roman"/>
          <w:sz w:val="20"/>
          <w:szCs w:val="20"/>
          <w:i w:val="1"/>
          <w:iCs w:val="1"/>
          <w:color w:val="auto"/>
        </w:rPr>
        <w:t>Acquisition of a Competitive Product</w:t>
      </w:r>
      <w:r>
        <w:rPr>
          <w:rFonts w:ascii="Times New Roman" w:cs="Times New Roman" w:eastAsia="Times New Roman" w:hAnsi="Times New Roman"/>
          <w:sz w:val="20"/>
          <w:szCs w:val="20"/>
          <w:color w:val="auto"/>
        </w:rPr>
        <w:t>) and Section 2.7.3 (</w:t>
      </w:r>
      <w:r>
        <w:rPr>
          <w:rFonts w:ascii="Times New Roman" w:cs="Times New Roman" w:eastAsia="Times New Roman" w:hAnsi="Times New Roman"/>
          <w:sz w:val="20"/>
          <w:szCs w:val="20"/>
          <w:i w:val="1"/>
          <w:iCs w:val="1"/>
          <w:color w:val="auto"/>
        </w:rPr>
        <w:t>Change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Control</w:t>
      </w:r>
      <w:r>
        <w:rPr>
          <w:rFonts w:ascii="Times New Roman" w:cs="Times New Roman" w:eastAsia="Times New Roman" w:hAnsi="Times New Roman"/>
          <w:sz w:val="20"/>
          <w:szCs w:val="20"/>
          <w:color w:val="auto"/>
        </w:rPr>
        <w:t>), and except as expressly permitted in respect of a Licensed Compound or a Licensed Product under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during [***], Fulcrum and its Affiliates will not work independently or for or with any Third Party, or grant rights to any Third Party, (including the grant of any license to any Third Party) to [***] (a “</w:t>
      </w:r>
      <w:r>
        <w:rPr>
          <w:rFonts w:ascii="Times New Roman" w:cs="Times New Roman" w:eastAsia="Times New Roman" w:hAnsi="Times New Roman"/>
          <w:sz w:val="20"/>
          <w:szCs w:val="20"/>
          <w:b w:val="1"/>
          <w:bCs w:val="1"/>
          <w:color w:val="auto"/>
        </w:rPr>
        <w:t>Competitive Product</w:t>
      </w:r>
      <w:r>
        <w:rPr>
          <w:rFonts w:ascii="Times New Roman" w:cs="Times New Roman" w:eastAsia="Times New Roman" w:hAnsi="Times New Roman"/>
          <w:sz w:val="20"/>
          <w:szCs w:val="20"/>
          <w:color w:val="auto"/>
        </w:rPr>
        <w:t>”) anywhere in the Territory.</w:t>
      </w:r>
    </w:p>
    <w:p>
      <w:pPr>
        <w:spacing w:after="0" w:line="180" w:lineRule="exact"/>
        <w:rPr>
          <w:sz w:val="20"/>
          <w:szCs w:val="20"/>
          <w:color w:val="auto"/>
        </w:rPr>
      </w:pPr>
    </w:p>
    <w:p>
      <w:pPr>
        <w:jc w:val="both"/>
        <w:ind w:left="1500" w:hanging="694"/>
        <w:spacing w:after="0" w:line="258" w:lineRule="auto"/>
        <w:tabs>
          <w:tab w:leader="none" w:pos="1480" w:val="left"/>
        </w:tabs>
        <w:rPr>
          <w:sz w:val="20"/>
          <w:szCs w:val="20"/>
          <w:color w:val="auto"/>
        </w:rPr>
      </w:pPr>
      <w:r>
        <w:rPr>
          <w:rFonts w:ascii="Times New Roman" w:cs="Times New Roman" w:eastAsia="Times New Roman" w:hAnsi="Times New Roman"/>
          <w:sz w:val="20"/>
          <w:szCs w:val="20"/>
          <w:color w:val="auto"/>
        </w:rPr>
        <w:t>2.7.2</w:t>
      </w:r>
      <w:r>
        <w:rPr>
          <w:sz w:val="20"/>
          <w:szCs w:val="20"/>
          <w:color w:val="auto"/>
        </w:rPr>
        <w:tab/>
      </w:r>
      <w:r>
        <w:rPr>
          <w:rFonts w:ascii="Times New Roman" w:cs="Times New Roman" w:eastAsia="Times New Roman" w:hAnsi="Times New Roman"/>
          <w:sz w:val="19"/>
          <w:szCs w:val="19"/>
          <w:b w:val="1"/>
          <w:bCs w:val="1"/>
          <w:color w:val="auto"/>
        </w:rPr>
        <w:t>Acquisition of a Competitive Product</w:t>
      </w:r>
      <w:r>
        <w:rPr>
          <w:rFonts w:ascii="Times New Roman" w:cs="Times New Roman" w:eastAsia="Times New Roman" w:hAnsi="Times New Roman"/>
          <w:sz w:val="19"/>
          <w:szCs w:val="19"/>
          <w:color w:val="auto"/>
        </w:rPr>
        <w:t>. Notwithstanding the provisions of Section 2.7.1 (</w:t>
      </w:r>
      <w:r>
        <w:rPr>
          <w:rFonts w:ascii="Times New Roman" w:cs="Times New Roman" w:eastAsia="Times New Roman" w:hAnsi="Times New Roman"/>
          <w:sz w:val="19"/>
          <w:szCs w:val="19"/>
          <w:i w:val="1"/>
          <w:iCs w:val="1"/>
          <w:color w:val="auto"/>
        </w:rPr>
        <w:t>Exclusivity Obligations</w:t>
      </w:r>
      <w:r>
        <w:rPr>
          <w:rFonts w:ascii="Times New Roman" w:cs="Times New Roman" w:eastAsia="Times New Roman" w:hAnsi="Times New Roman"/>
          <w:sz w:val="19"/>
          <w:szCs w:val="19"/>
          <w:color w:val="auto"/>
        </w:rPr>
        <w:t>), if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Fulcrum or any of its Affiliates acquires rights to Research, Develop, Manufacture, Commercialize or otherwise Exploit a Competitive Product as the result of a merger, acquisition, or combination with or of a Third Party (where Fulcrum is not the acquired entity) other than a Change of Control of Fulcrum (each, an “</w:t>
      </w:r>
      <w:r>
        <w:rPr>
          <w:rFonts w:ascii="Times New Roman" w:cs="Times New Roman" w:eastAsia="Times New Roman" w:hAnsi="Times New Roman"/>
          <w:sz w:val="19"/>
          <w:szCs w:val="19"/>
          <w:b w:val="1"/>
          <w:bCs w:val="1"/>
          <w:color w:val="auto"/>
        </w:rPr>
        <w:t>Acquisition Transaction</w:t>
      </w:r>
      <w:r>
        <w:rPr>
          <w:rFonts w:ascii="Times New Roman" w:cs="Times New Roman" w:eastAsia="Times New Roman" w:hAnsi="Times New Roman"/>
          <w:sz w:val="19"/>
          <w:szCs w:val="19"/>
          <w:color w:val="auto"/>
        </w:rPr>
        <w:t>”) and, on the date of the closing of such Acquisition Transaction, such Competitive Product is being Researched, Developed, Manufactured, Commercialized or otherwise Exploited, and such activities would, but for the provisions of this Section 2.7.2 (</w:t>
      </w:r>
      <w:r>
        <w:rPr>
          <w:rFonts w:ascii="Times New Roman" w:cs="Times New Roman" w:eastAsia="Times New Roman" w:hAnsi="Times New Roman"/>
          <w:sz w:val="19"/>
          <w:szCs w:val="19"/>
          <w:i w:val="1"/>
          <w:iCs w:val="1"/>
          <w:color w:val="auto"/>
        </w:rPr>
        <w:t>Acquisition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of a Competitive Product</w:t>
      </w:r>
      <w:r>
        <w:rPr>
          <w:rFonts w:ascii="Times New Roman" w:cs="Times New Roman" w:eastAsia="Times New Roman" w:hAnsi="Times New Roman"/>
          <w:sz w:val="19"/>
          <w:szCs w:val="19"/>
          <w:color w:val="auto"/>
        </w:rPr>
        <w:t>), constitute a breach of Section 2.7.1 (</w:t>
      </w:r>
      <w:r>
        <w:rPr>
          <w:rFonts w:ascii="Times New Roman" w:cs="Times New Roman" w:eastAsia="Times New Roman" w:hAnsi="Times New Roman"/>
          <w:sz w:val="19"/>
          <w:szCs w:val="19"/>
          <w:i w:val="1"/>
          <w:iCs w:val="1"/>
          <w:color w:val="auto"/>
        </w:rPr>
        <w:t>Exclusivity Obligations</w:t>
      </w:r>
      <w:r>
        <w:rPr>
          <w:rFonts w:ascii="Times New Roman" w:cs="Times New Roman" w:eastAsia="Times New Roman" w:hAnsi="Times New Roman"/>
          <w:sz w:val="19"/>
          <w:szCs w:val="19"/>
          <w:color w:val="auto"/>
        </w:rPr>
        <w:t>), then Fulcrum or its Affiliate will,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within [***] after the closing of such Acquisition Transaction notify Sanofi in writing of such acquisition and either:</w:t>
      </w:r>
    </w:p>
    <w:p>
      <w:pPr>
        <w:spacing w:after="0" w:line="177" w:lineRule="exact"/>
        <w:rPr>
          <w:sz w:val="20"/>
          <w:szCs w:val="20"/>
          <w:color w:val="auto"/>
        </w:rPr>
      </w:pPr>
    </w:p>
    <w:p>
      <w:pPr>
        <w:ind w:left="2260" w:hanging="754"/>
        <w:spacing w:after="0" w:line="245" w:lineRule="auto"/>
        <w:tabs>
          <w:tab w:leader="none" w:pos="19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request that such Competitive Product be included in this Agreement on terms to be negotiated, in which case, the Parties will discuss the matter in good faith for a period of [***] (or such longer period as may be agreed by the Parties) and, if the Parties are unable to reach agreement on the terms on which such Competitive Product would be included hereunder within such period, then Fulcrum will elect to take the action specified in either Section 2.7.2(b) or Section 2.7.2(c) below;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time periods specified in such clauses will be tolled for so long as the Parties are engaged in good faith discussion under this Section 2.7.2(a);</w:t>
      </w:r>
    </w:p>
    <w:p>
      <w:pPr>
        <w:spacing w:after="0" w:line="184" w:lineRule="exact"/>
        <w:rPr>
          <w:rFonts w:ascii="Times New Roman" w:cs="Times New Roman" w:eastAsia="Times New Roman" w:hAnsi="Times New Roman"/>
          <w:sz w:val="20"/>
          <w:szCs w:val="20"/>
          <w:color w:val="auto"/>
        </w:rPr>
      </w:pPr>
    </w:p>
    <w:p>
      <w:pPr>
        <w:ind w:left="2260" w:hanging="754"/>
        <w:spacing w:after="0" w:line="254" w:lineRule="auto"/>
        <w:tabs>
          <w:tab w:leader="none" w:pos="19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Sanofi in writing that Fulcrum or its Affiliate will Divest its entire interest in and with respect to such Competitive Product, in which case, within [***] after the closing of the Acquisition Transaction, Fulcrum or its Affiliate will Divest its entire interest in and with respect to such Competitive Product; or</w:t>
      </w:r>
    </w:p>
    <w:p>
      <w:pPr>
        <w:spacing w:after="0" w:line="174" w:lineRule="exact"/>
        <w:rPr>
          <w:rFonts w:ascii="Times New Roman" w:cs="Times New Roman" w:eastAsia="Times New Roman" w:hAnsi="Times New Roman"/>
          <w:sz w:val="20"/>
          <w:szCs w:val="20"/>
          <w:color w:val="auto"/>
        </w:rPr>
      </w:pPr>
    </w:p>
    <w:p>
      <w:pPr>
        <w:ind w:left="2260" w:hanging="754"/>
        <w:spacing w:after="0" w:line="254" w:lineRule="auto"/>
        <w:tabs>
          <w:tab w:leader="none" w:pos="19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Sanofi in writing that it is ceasing all such Research, Development, Manufacturing, Commercialization and Exploitation activities with respect to the Competitive Product, in which case, within [***] after Sanofi’s receipt of such notice, Fulcrum and its Affiliates will cease all such activities.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both"/>
        <w:ind w:left="1140" w:firstLine="749"/>
        <w:spacing w:after="0"/>
        <w:rPr>
          <w:sz w:val="20"/>
          <w:szCs w:val="20"/>
          <w:color w:val="auto"/>
        </w:rPr>
      </w:pPr>
      <w:r>
        <w:rPr>
          <w:rFonts w:ascii="Times New Roman" w:cs="Times New Roman" w:eastAsia="Times New Roman" w:hAnsi="Times New Roman"/>
          <w:sz w:val="20"/>
          <w:szCs w:val="20"/>
          <w:color w:val="auto"/>
        </w:rPr>
        <w:t>During the discussion period under Section 2.7.2(a), prior to the time of Divestiture pursuant to Section 2.7.2(b), or prior to the termination of activities pursuant to Section 2.7.2(c), as applicable, Fulcrum and its Affiliates will (i) establish and enforce customary and commercially reasonable internal processes, policies, procedures and systems to segregate information relating to any such Competitive Product from any Confidential Information related to the Licensed Compounds or Licensed Products under this Agreement, (ii) not use, directly or indirectly, any Patent Rights, Know-How or Confidential Information relating to the Licensed Compound, the Licensed Product, or the Research, Development, Manufacturing, Commercialization or other Exploitation thereof in the Research, Development, Manufacturing, Commercialization or other Exploitation of such Competitive Product, and (iii) segregate all activities relating to the Competitive Product from the Research, Development, Manufacturing, Commercialization or other Exploitation of the Licensed Products under this Agreement, including ensuring that (A) no personnel involved in performing Research, Development, Manufacturing, Commercialization or other Exploitation activities with respect to such Competitive Product have access to plans or information relating to the Research, Development, Manufacturing, Commercialization or other Exploitation of the Licensed Products (except that senior management personnel may review and evaluate plans and information regarding the Research, Development, Manufacture, Commercialization and other Exploitation of the Licensed Products in connection with portfolio decision-making), and (B) no personnel involved in performing Research, Development, Manufacturing, Commercialization or other Exploitation activities with respect to the Licensed Products have access to plans or information relating to the Research, Development, Manufacture, Commercialization or other Exploitation of such Competitive Product (except that senior management personnel may review and evaluate plans and information regarding the Research, Development, Manufacture, Commercialization and other Exploitation of such Competitive Product in connection with portfolio decision-making). The procedures set forth in clauses (i) through (iii) above will be referred to as “</w:t>
      </w:r>
      <w:r>
        <w:rPr>
          <w:rFonts w:ascii="Times New Roman" w:cs="Times New Roman" w:eastAsia="Times New Roman" w:hAnsi="Times New Roman"/>
          <w:sz w:val="20"/>
          <w:szCs w:val="20"/>
          <w:b w:val="1"/>
          <w:bCs w:val="1"/>
          <w:color w:val="auto"/>
        </w:rPr>
        <w:t>Firewall Procedures</w:t>
      </w:r>
      <w:r>
        <w:rPr>
          <w:rFonts w:ascii="Times New Roman" w:cs="Times New Roman" w:eastAsia="Times New Roman" w:hAnsi="Times New Roman"/>
          <w:sz w:val="20"/>
          <w:szCs w:val="20"/>
          <w:color w:val="auto"/>
        </w:rPr>
        <w:t>” for the purposes of this Agreement. Fulcrum shall document the establishment of the Firewall Procedures by reasonable written records and provide such reasonable written records to Sanofi upon reasonable written request.</w:t>
      </w:r>
    </w:p>
    <w:p>
      <w:pPr>
        <w:spacing w:after="0" w:line="200" w:lineRule="exact"/>
        <w:rPr>
          <w:sz w:val="20"/>
          <w:szCs w:val="20"/>
          <w:color w:val="auto"/>
        </w:rPr>
      </w:pPr>
    </w:p>
    <w:p>
      <w:pPr>
        <w:jc w:val="both"/>
        <w:ind w:left="380" w:hanging="694"/>
        <w:spacing w:after="0" w:line="261" w:lineRule="auto"/>
        <w:tabs>
          <w:tab w:leader="none" w:pos="360" w:val="left"/>
        </w:tabs>
        <w:rPr>
          <w:sz w:val="20"/>
          <w:szCs w:val="20"/>
          <w:color w:val="auto"/>
        </w:rPr>
      </w:pPr>
      <w:r>
        <w:rPr>
          <w:rFonts w:ascii="Times New Roman" w:cs="Times New Roman" w:eastAsia="Times New Roman" w:hAnsi="Times New Roman"/>
          <w:sz w:val="20"/>
          <w:szCs w:val="20"/>
          <w:color w:val="auto"/>
        </w:rPr>
        <w:t>2.7.3</w:t>
      </w:r>
      <w:r>
        <w:rPr>
          <w:sz w:val="20"/>
          <w:szCs w:val="20"/>
          <w:color w:val="auto"/>
        </w:rPr>
        <w:tab/>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If there is a Change of Control involving Fulcrum (where Fulcrum is the acquired entity), then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obligations of Section 2.7.1 (</w:t>
      </w:r>
      <w:r>
        <w:rPr>
          <w:rFonts w:ascii="Times New Roman" w:cs="Times New Roman" w:eastAsia="Times New Roman" w:hAnsi="Times New Roman"/>
          <w:sz w:val="19"/>
          <w:szCs w:val="19"/>
          <w:i w:val="1"/>
          <w:iCs w:val="1"/>
          <w:color w:val="auto"/>
        </w:rPr>
        <w:t>Exclusivity Obligations</w:t>
      </w:r>
      <w:r>
        <w:rPr>
          <w:rFonts w:ascii="Times New Roman" w:cs="Times New Roman" w:eastAsia="Times New Roman" w:hAnsi="Times New Roman"/>
          <w:sz w:val="19"/>
          <w:szCs w:val="19"/>
          <w:color w:val="auto"/>
        </w:rPr>
        <w:t xml:space="preserve">) will not apply to any Competitive Product that is controlled by the relevant acquirer or its Affiliates that were not Affiliates of Fulcrum prior to the relevant Change of Control;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spacing w:after="0" w:line="2" w:lineRule="exact"/>
        <w:rPr>
          <w:sz w:val="20"/>
          <w:szCs w:val="20"/>
          <w:color w:val="auto"/>
        </w:rPr>
      </w:pPr>
    </w:p>
    <w:p>
      <w:pPr>
        <w:jc w:val="both"/>
        <w:ind w:left="380" w:firstLine="55"/>
        <w:spacing w:after="0" w:line="254" w:lineRule="auto"/>
        <w:tabs>
          <w:tab w:leader="none" w:pos="701"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Fulcrum, the acquirer and such Affiliates establish and enforce internal processes, policies, procedures, and systems to segregate information relating to any such Competitive Product from any Confidential Information related to the Licensed Compounds and Licensed Products that are at least as restrictive as the Firewall Procedures, (b) the acquirer and such Affiliates do not use, directly or indirectly, any Patent Rights, Know-How, or Confidential Information of such Party (including any Patent Rights, Know-How, or Confidential Information licensed or acquired from the other Party under this Agreement) to Exploit any such Competitive Product, and (c) Fulcrum and the acquirer use commercially reasonable efforts to segregate all activities relating to any such Competitive Product from the Research, Development, Manufacture, Commercialization or other Exploitation of the Licensed Compounds and Licensed Products, including ensuring that</w:t>
      </w:r>
    </w:p>
    <w:p>
      <w:pPr>
        <w:spacing w:after="0" w:line="18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764540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18" w:name="page119"/>
    <w:bookmarkEnd w:id="118"/>
    <w:p>
      <w:pPr>
        <w:jc w:val="both"/>
        <w:ind w:left="1480"/>
        <w:spacing w:after="0" w:line="246" w:lineRule="auto"/>
        <w:rPr>
          <w:sz w:val="20"/>
          <w:szCs w:val="20"/>
          <w:color w:val="auto"/>
        </w:rPr>
      </w:pPr>
      <w:r>
        <w:rPr>
          <w:rFonts w:ascii="Times New Roman" w:cs="Times New Roman" w:eastAsia="Times New Roman" w:hAnsi="Times New Roman"/>
          <w:sz w:val="20"/>
          <w:szCs w:val="20"/>
          <w:color w:val="auto"/>
        </w:rPr>
        <w:t>no personnel who were employees or consultants of Fulcrum or its Affiliates at any time prior to or after the Change of Control conducts any activities to Research, Development, Manufacture, Commercialization other otherwise Exploit any such Competitive Product. Fulcrum shall document the establishment of the safeguards set forth in clauses (a) through (c) above by reasonable written records and provide such reasonable written records to Sanofi upon reasonable written request.</w:t>
      </w:r>
    </w:p>
    <w:p>
      <w:pPr>
        <w:spacing w:after="0" w:line="181" w:lineRule="exact"/>
        <w:rPr>
          <w:sz w:val="20"/>
          <w:szCs w:val="20"/>
          <w:color w:val="auto"/>
        </w:rPr>
      </w:pPr>
    </w:p>
    <w:p>
      <w:pPr>
        <w:jc w:val="both"/>
        <w:ind w:left="740" w:hanging="748"/>
        <w:spacing w:after="0" w:line="244" w:lineRule="auto"/>
        <w:rPr>
          <w:sz w:val="20"/>
          <w:szCs w:val="20"/>
          <w:color w:val="auto"/>
        </w:rPr>
      </w:pPr>
      <w:r>
        <w:rPr>
          <w:rFonts w:ascii="Times New Roman" w:cs="Times New Roman" w:eastAsia="Times New Roman" w:hAnsi="Times New Roman"/>
          <w:sz w:val="20"/>
          <w:szCs w:val="20"/>
          <w:b w:val="1"/>
          <w:bCs w:val="1"/>
          <w:color w:val="auto"/>
        </w:rPr>
        <w:t>2.8 Right of First Negotiation</w:t>
      </w:r>
      <w:r>
        <w:rPr>
          <w:rFonts w:ascii="Times New Roman" w:cs="Times New Roman" w:eastAsia="Times New Roman" w:hAnsi="Times New Roman"/>
          <w:sz w:val="20"/>
          <w:szCs w:val="20"/>
          <w:color w:val="auto"/>
        </w:rPr>
        <w:t>. If Fulcrum or any of its Affiliates intend to enter into any confidential discussions with a Third Party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the license, sale, assignment or other transfer or grant of rights (other than, in each case, the transfer or grant of solely subcontracting rights) to such Third Party to Research, Develop, or Commercialize any Licensed Compound or Licensed Product in the Field in the Fulcrum Territory, then, prior to entering into a non-disclosure agreement with such Third Party, Fulcrum shall provide to Sanofi written notice of the proposed scope of Research, Development or Commercialization rights that Fulcrum proposes to grant to such Third Party (“</w:t>
      </w:r>
      <w:r>
        <w:rPr>
          <w:rFonts w:ascii="Times New Roman" w:cs="Times New Roman" w:eastAsia="Times New Roman" w:hAnsi="Times New Roman"/>
          <w:sz w:val="20"/>
          <w:szCs w:val="20"/>
          <w:b w:val="1"/>
          <w:bCs w:val="1"/>
          <w:color w:val="auto"/>
        </w:rPr>
        <w:t>ROFN Notice</w:t>
      </w:r>
      <w:r>
        <w:rPr>
          <w:rFonts w:ascii="Times New Roman" w:cs="Times New Roman" w:eastAsia="Times New Roman" w:hAnsi="Times New Roman"/>
          <w:sz w:val="20"/>
          <w:szCs w:val="20"/>
          <w:color w:val="auto"/>
        </w:rPr>
        <w:t>”). Thereafter, Sanofi will have an exclusive right, exercisable no later than</w:t>
      </w:r>
    </w:p>
    <w:p>
      <w:pPr>
        <w:jc w:val="both"/>
        <w:ind w:left="740" w:hanging="3"/>
        <w:spacing w:after="0" w:line="239" w:lineRule="auto"/>
        <w:tabs>
          <w:tab w:leader="none" w:pos="122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receipt of any such ROFN Notice from Fulcrum, to notify Fulcrum in writing as to whether Sanofi desires to negotiate for such rights to Research, Develop or Commercialize the Licensed Compounds or Licensed Products in the Fulcrum Territory (a “</w:t>
      </w:r>
      <w:r>
        <w:rPr>
          <w:rFonts w:ascii="Times New Roman" w:cs="Times New Roman" w:eastAsia="Times New Roman" w:hAnsi="Times New Roman"/>
          <w:sz w:val="20"/>
          <w:szCs w:val="20"/>
          <w:b w:val="1"/>
          <w:bCs w:val="1"/>
          <w:color w:val="auto"/>
        </w:rPr>
        <w:t>ROFN Exercise Notice</w:t>
      </w:r>
      <w:r>
        <w:rPr>
          <w:rFonts w:ascii="Times New Roman" w:cs="Times New Roman" w:eastAsia="Times New Roman" w:hAnsi="Times New Roman"/>
          <w:sz w:val="20"/>
          <w:szCs w:val="20"/>
          <w:color w:val="auto"/>
        </w:rPr>
        <w:t>”). If Sanofi provides a ROFN Exercise Notice to Fulcrum within such [***] period, then Sanofi will have a one-time right for [***] from the date of Fulcrum’s receipt of the ROFN Notice (the “</w:t>
      </w:r>
      <w:r>
        <w:rPr>
          <w:rFonts w:ascii="Times New Roman" w:cs="Times New Roman" w:eastAsia="Times New Roman" w:hAnsi="Times New Roman"/>
          <w:sz w:val="20"/>
          <w:szCs w:val="20"/>
          <w:b w:val="1"/>
          <w:bCs w:val="1"/>
          <w:color w:val="auto"/>
        </w:rPr>
        <w:t>ROFN Negotiation Period</w:t>
      </w:r>
      <w:r>
        <w:rPr>
          <w:rFonts w:ascii="Times New Roman" w:cs="Times New Roman" w:eastAsia="Times New Roman" w:hAnsi="Times New Roman"/>
          <w:sz w:val="20"/>
          <w:szCs w:val="20"/>
          <w:color w:val="auto"/>
        </w:rPr>
        <w:t xml:space="preserve">”) to require the Parties to exclusively negotiate in good faith the terms of a definitive agreement (or amendment to this Agreement) pursuant to which Fulcrum would grant to Sanofi the exclusive rights to Research, Develop or Commercialize the Licensed Compounds or Licensed Products in the Fulcrum Territory, and (b) upon Sanofi’s request during the ROFN Negotiation Period, (i) Fulcrum will provide Sanofi with all information and documentation reasonably requested by Sanofi in Fulcrum’s or its Affiliate’s possession and Control relating to the Licensed Compounds or Licensed Products in the Fulcrum Territory and (ii) afford Sanofi and its representatives reasonable access during normal business hours to Fulcrum’s personnel reasonably designated by Fulcrum to address Sanofi’s inquiries. Neither Party will have any obligation to enter into any agreement or amendment to this Agreement granting rights to Sanofi to Research, Develop or Commercialize the Licensed Compounds or Licensed Products in the Fulcrum Territory. If the ROFN Negotiation Period expires before the Parties have entered into an agreement or amendment to this Agreement with respect to Sanofi’s Research, Development or Commercialization of the Licensed Compounds or Licensed Products in the Fulcrum Territory, then Fulcrum will have no further obligation to negotiate with Sanofi with respect to any grant of such rights to Sanofi and, for a period of [***], will be free to negotiate and enter into an agreement with any Third Party with respect to a grant of rights to Research, Develop or Commercialize the Licensed Compounds or Licensed Products in the Fulcrum Territory,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(x) any transaction that is the subject of such negotiations and agreement with one or more Third Parties shall not exceed the scope of Development and Commercialization rights described in the applicable ROFN Notice; (y) Sanofi’s exclusive negotiation rights under this Section 2.8 (</w:t>
      </w:r>
      <w:r>
        <w:rPr>
          <w:rFonts w:ascii="Times New Roman" w:cs="Times New Roman" w:eastAsia="Times New Roman" w:hAnsi="Times New Roman"/>
          <w:sz w:val="20"/>
          <w:szCs w:val="20"/>
          <w:i w:val="1"/>
          <w:iCs w:val="1"/>
          <w:color w:val="auto"/>
        </w:rPr>
        <w:t>Right of First Negotiation</w:t>
      </w:r>
      <w:r>
        <w:rPr>
          <w:rFonts w:ascii="Times New Roman" w:cs="Times New Roman" w:eastAsia="Times New Roman" w:hAnsi="Times New Roman"/>
          <w:sz w:val="20"/>
          <w:szCs w:val="20"/>
          <w:color w:val="auto"/>
        </w:rPr>
        <w:t>) shall remain in effect with respect to any negotiations by Fulcrum in respect of the Licensed Compounds or Licensed Products for transactions of a different scope; and (z) if Fulcrum or its Affiliates fail to enter into any such Third Party agreement during such [***] period, following expiration of such [***], Sanofi would again have the right of first negotiation for such rights in accordance with the provisions of this Section 2.8 (</w:t>
      </w:r>
      <w:r>
        <w:rPr>
          <w:rFonts w:ascii="Times New Roman" w:cs="Times New Roman" w:eastAsia="Times New Roman" w:hAnsi="Times New Roman"/>
          <w:sz w:val="20"/>
          <w:szCs w:val="20"/>
          <w:i w:val="1"/>
          <w:iCs w:val="1"/>
          <w:color w:val="auto"/>
        </w:rPr>
        <w:t>Right of First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Negotiation</w:t>
      </w:r>
      <w:r>
        <w:rPr>
          <w:rFonts w:ascii="Times New Roman" w:cs="Times New Roman" w:eastAsia="Times New Roman" w:hAnsi="Times New Roman"/>
          <w:sz w:val="20"/>
          <w:szCs w:val="20"/>
          <w:color w:val="auto"/>
        </w:rPr>
        <w:t>). Notwithstanding anything to the contrary in this Section 2.8 (</w:t>
      </w:r>
      <w:r>
        <w:rPr>
          <w:rFonts w:ascii="Times New Roman" w:cs="Times New Roman" w:eastAsia="Times New Roman" w:hAnsi="Times New Roman"/>
          <w:sz w:val="20"/>
          <w:szCs w:val="20"/>
          <w:i w:val="1"/>
          <w:iCs w:val="1"/>
          <w:color w:val="auto"/>
        </w:rPr>
        <w:t>Right of First Negotiation</w:t>
      </w:r>
      <w:r>
        <w:rPr>
          <w:rFonts w:ascii="Times New Roman" w:cs="Times New Roman" w:eastAsia="Times New Roman" w:hAnsi="Times New Roman"/>
          <w:sz w:val="20"/>
          <w:szCs w:val="20"/>
          <w:color w:val="auto"/>
        </w:rPr>
        <w:t>), a Change of Control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Fulcrum or its Affiliates will not trigger Fulcrum’s obligation to provide a ROFN Notice.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764540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auto"/>
        </w:rPr>
        <w:t>2.9  Change of Control of Fulcrum</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2.9.1</w:t>
      </w:r>
      <w:r>
        <w:rPr>
          <w:sz w:val="20"/>
          <w:szCs w:val="20"/>
          <w:color w:val="auto"/>
        </w:rPr>
        <w:tab/>
      </w:r>
      <w:r>
        <w:rPr>
          <w:rFonts w:ascii="Times New Roman" w:cs="Times New Roman" w:eastAsia="Times New Roman" w:hAnsi="Times New Roman"/>
          <w:sz w:val="20"/>
          <w:szCs w:val="20"/>
          <w:b w:val="1"/>
          <w:bCs w:val="1"/>
          <w:color w:val="auto"/>
        </w:rPr>
        <w:t>Sale Process</w:t>
      </w:r>
      <w:r>
        <w:rPr>
          <w:rFonts w:ascii="Times New Roman" w:cs="Times New Roman" w:eastAsia="Times New Roman" w:hAnsi="Times New Roman"/>
          <w:sz w:val="20"/>
          <w:szCs w:val="20"/>
          <w:color w:val="auto"/>
        </w:rPr>
        <w:t>. If Fulcrum or any of its Affiliates commences any process in connection with a Change of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involving Fulcrum (where Fulcrum is the acquired entity), Fulcrum will (a) notify Sanofi of its intent to contact the applicable Third Party(ies) at least [***] prior to contacting any such Third Party, (b) allow Sanofi to participate in such process on terms at least as favorable as those terms offered to the other Third Parties, and (c) provide to Sanofi a copy of any data and information with respect to the Exploitation of the Licensed Compounds and Licensed Products Controlled and in the possession of Fulcrum but not previously provided to Sanofi.</w:t>
      </w:r>
    </w:p>
    <w:p>
      <w:pPr>
        <w:spacing w:after="0" w:line="179"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2.9.2</w:t>
      </w:r>
      <w:r>
        <w:rPr>
          <w:sz w:val="20"/>
          <w:szCs w:val="20"/>
          <w:color w:val="auto"/>
        </w:rPr>
        <w:tab/>
      </w:r>
      <w:r>
        <w:rPr>
          <w:rFonts w:ascii="Times New Roman" w:cs="Times New Roman" w:eastAsia="Times New Roman" w:hAnsi="Times New Roman"/>
          <w:sz w:val="20"/>
          <w:szCs w:val="20"/>
          <w:b w:val="1"/>
          <w:bCs w:val="1"/>
          <w:color w:val="auto"/>
        </w:rPr>
        <w:t>Unsolicited Offer</w:t>
      </w:r>
      <w:r>
        <w:rPr>
          <w:rFonts w:ascii="Times New Roman" w:cs="Times New Roman" w:eastAsia="Times New Roman" w:hAnsi="Times New Roman"/>
          <w:sz w:val="20"/>
          <w:szCs w:val="20"/>
          <w:color w:val="auto"/>
        </w:rPr>
        <w:t>. If Fulcrum or any of its Affiliates receives an unsolicited offer from a Third Party for a Change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Control involving Fulcrum (where Fulcrum is the acquired entity), then Fulcrum will (a) provide to Sanofi written notice within [***] of receipt of such offer, (b) allow Sanofi to participate in any resulting process on terms at least as favorable as those terms offered to such Third Party offeror and (c) provide to Sanofi a copy of any data and information with respect to the Exploitation of the Licensed Compounds and Licensed Products not previously provided to Sanofi;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if the board of directors of Fulcrum determines, in the exercise of its fiduciary duty, to exclusively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negotiate with such Third Party, Fulcrum shall, unless not practicable or advisable in light of the Fulcrum board’s fiduciary duties based on the advice of counsel, so notify Sanofi at least [***] prior to the commencement of the relevant exclusivity period and shall have no further obligations in respect of the foregoing clauses (b) and (c).</w:t>
      </w:r>
    </w:p>
    <w:p>
      <w:pPr>
        <w:spacing w:after="0" w:line="186" w:lineRule="exact"/>
        <w:rPr>
          <w:sz w:val="20"/>
          <w:szCs w:val="20"/>
          <w:color w:val="auto"/>
        </w:rPr>
      </w:pPr>
    </w:p>
    <w:p>
      <w:pPr>
        <w:jc w:val="both"/>
        <w:ind w:left="760" w:hanging="748"/>
        <w:spacing w:after="0" w:line="247" w:lineRule="auto"/>
        <w:rPr>
          <w:sz w:val="20"/>
          <w:szCs w:val="20"/>
          <w:color w:val="auto"/>
        </w:rPr>
      </w:pPr>
      <w:r>
        <w:rPr>
          <w:rFonts w:ascii="Times New Roman" w:cs="Times New Roman" w:eastAsia="Times New Roman" w:hAnsi="Times New Roman"/>
          <w:sz w:val="20"/>
          <w:szCs w:val="20"/>
          <w:b w:val="1"/>
          <w:bCs w:val="1"/>
          <w:color w:val="auto"/>
        </w:rPr>
        <w:t>2.10 Residual Knowledge</w:t>
      </w:r>
      <w:r>
        <w:rPr>
          <w:rFonts w:ascii="Times New Roman" w:cs="Times New Roman" w:eastAsia="Times New Roman" w:hAnsi="Times New Roman"/>
          <w:sz w:val="20"/>
          <w:szCs w:val="20"/>
          <w:color w:val="auto"/>
        </w:rPr>
        <w:t>. Nothing in this Agreement shall be construed to restrict any Party from using Residual Knowledge for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 except to the extent such use of Residual Knowledge would infringe, misappropriate or otherwise violate an intellectual property right of the other Party, its Affiliates or Sublicensees, including infringement of a Patent Right or unlawful disclosure of a trade secret. Any use made by a Party of any such Residual Knowledge is on an “as is, where is” basis, with all faults and all representations and warranties disclaimed and at its sole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2.11 Licensed Sanofi Technology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2.11.1</w:t>
      </w:r>
      <w:r>
        <w:rPr>
          <w:sz w:val="20"/>
          <w:szCs w:val="20"/>
          <w:color w:val="auto"/>
        </w:rPr>
        <w:tab/>
      </w:r>
      <w:r>
        <w:rPr>
          <w:rFonts w:ascii="Times New Roman" w:cs="Times New Roman" w:eastAsia="Times New Roman" w:hAnsi="Times New Roman"/>
          <w:sz w:val="19"/>
          <w:szCs w:val="19"/>
          <w:b w:val="1"/>
          <w:bCs w:val="1"/>
          <w:color w:val="auto"/>
        </w:rPr>
        <w:t>Non-Manufacturing Technology</w:t>
      </w:r>
      <w:r>
        <w:rPr>
          <w:rFonts w:ascii="Times New Roman" w:cs="Times New Roman" w:eastAsia="Times New Roman" w:hAnsi="Times New Roman"/>
          <w:sz w:val="19"/>
          <w:szCs w:val="19"/>
          <w:color w:val="auto"/>
        </w:rPr>
        <w:t>. Sanofi will keep Fulcrum reasonably informed, through the JDC, regarding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Background Patents Controlled by Sanofi or its Affiliates that Sanofi reasonably anticipates Covering or incorporating, or has incorporated, in a Licensed Product, and that do not constitute Sanofi Manufacturing Technology. In addition, at Fulcrum’s request no more frequently than once per Calendar Quarter, Sanofi will provide Fulcrum with reasonably high-level answers to questions regarding Background Know-How Controlled by Sanofi or its Affiliates that Sanofi reasonably anticipates Covering or incorporating, or has incorporated, in a Licensed Product, and that does not constitute Sanofi Manufacturing Technology. If, at any time during the Term, Fulcrum elects to receive a license to any Sanofi Technology that does not constitute Sanofi Manufacturing Technology, Fulcrum shall send written notice to Sanofi and, on Sanofi’s receipt of such notice, (a) such Sanofi Technology shall be deemed to be “</w:t>
      </w:r>
      <w:r>
        <w:rPr>
          <w:rFonts w:ascii="Times New Roman" w:cs="Times New Roman" w:eastAsia="Times New Roman" w:hAnsi="Times New Roman"/>
          <w:sz w:val="19"/>
          <w:szCs w:val="19"/>
          <w:b w:val="1"/>
          <w:bCs w:val="1"/>
          <w:color w:val="auto"/>
        </w:rPr>
        <w:t>Licensed Sanofi Technology</w:t>
      </w:r>
      <w:r>
        <w:rPr>
          <w:rFonts w:ascii="Times New Roman" w:cs="Times New Roman" w:eastAsia="Times New Roman" w:hAnsi="Times New Roman"/>
          <w:sz w:val="19"/>
          <w:szCs w:val="19"/>
          <w:color w:val="auto"/>
        </w:rPr>
        <w:t>” under this Agreement, (b) such Licensed Sanofi Technology will be deemed to be “Controlled” under this Agreement (if the definition of “Control” is otherwise met) as Licensed Sanofi Technology licensed or sublicensed (as applicable) to Fulcrum under the license granted in Section 2.2 (</w:t>
      </w:r>
      <w:r>
        <w:rPr>
          <w:rFonts w:ascii="Times New Roman" w:cs="Times New Roman" w:eastAsia="Times New Roman" w:hAnsi="Times New Roman"/>
          <w:sz w:val="19"/>
          <w:szCs w:val="19"/>
          <w:i w:val="1"/>
          <w:iCs w:val="1"/>
          <w:color w:val="auto"/>
        </w:rPr>
        <w:t>License Grants to Fulcrum</w:t>
      </w:r>
      <w:r>
        <w:rPr>
          <w:rFonts w:ascii="Times New Roman" w:cs="Times New Roman" w:eastAsia="Times New Roman" w:hAnsi="Times New Roman"/>
          <w:sz w:val="19"/>
          <w:szCs w:val="19"/>
          <w:color w:val="auto"/>
        </w:rPr>
        <w:t>), subject to the terms of this Agreement, and</w:t>
      </w:r>
    </w:p>
    <w:p>
      <w:pPr>
        <w:spacing w:after="0" w:line="5" w:lineRule="exact"/>
        <w:rPr>
          <w:sz w:val="20"/>
          <w:szCs w:val="20"/>
          <w:color w:val="auto"/>
        </w:rPr>
      </w:pPr>
    </w:p>
    <w:p>
      <w:pPr>
        <w:ind w:left="1500" w:right="20" w:firstLine="6"/>
        <w:spacing w:after="0" w:line="246" w:lineRule="auto"/>
        <w:tabs>
          <w:tab w:leader="none" w:pos="177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Sanofi will transfer or otherwise provide Fulcrum with access to any Know-How included in such Sanofi Technology to enable Fulcrum to exercise its right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0" w:name="page121"/>
    <w:bookmarkEnd w:id="120"/>
    <w:p>
      <w:pPr>
        <w:jc w:val="both"/>
        <w:ind w:left="680"/>
        <w:spacing w:after="0" w:line="256" w:lineRule="auto"/>
        <w:rPr>
          <w:sz w:val="20"/>
          <w:szCs w:val="20"/>
          <w:color w:val="auto"/>
        </w:rPr>
      </w:pPr>
      <w:r>
        <w:rPr>
          <w:rFonts w:ascii="Times New Roman" w:cs="Times New Roman" w:eastAsia="Times New Roman" w:hAnsi="Times New Roman"/>
          <w:sz w:val="20"/>
          <w:szCs w:val="20"/>
          <w:color w:val="auto"/>
        </w:rPr>
        <w:t>under the license granted in Section 2.2 (</w:t>
      </w:r>
      <w:r>
        <w:rPr>
          <w:rFonts w:ascii="Times New Roman" w:cs="Times New Roman" w:eastAsia="Times New Roman" w:hAnsi="Times New Roman"/>
          <w:sz w:val="20"/>
          <w:szCs w:val="20"/>
          <w:i w:val="1"/>
          <w:iCs w:val="1"/>
          <w:color w:val="auto"/>
        </w:rPr>
        <w:t>License Grants to Fulcrum</w:t>
      </w:r>
      <w:r>
        <w:rPr>
          <w:rFonts w:ascii="Times New Roman" w:cs="Times New Roman" w:eastAsia="Times New Roman" w:hAnsi="Times New Roman"/>
          <w:sz w:val="20"/>
          <w:szCs w:val="20"/>
          <w:color w:val="auto"/>
        </w:rPr>
        <w:t>) to such Sanofi Technology. For clarity, any Sanofi Technology under which Fulcrum does not elect to receive a license shall not be deemed Licensed Sanofi Technology and shall not be included in the license grant to Fulcrum in Section 2.2.3 (</w:t>
      </w:r>
      <w:r>
        <w:rPr>
          <w:rFonts w:ascii="Times New Roman" w:cs="Times New Roman" w:eastAsia="Times New Roman" w:hAnsi="Times New Roman"/>
          <w:sz w:val="20"/>
          <w:szCs w:val="20"/>
          <w:i w:val="1"/>
          <w:iCs w:val="1"/>
          <w:color w:val="auto"/>
        </w:rPr>
        <w:t>License Grants to Fulcrum</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2.11.2</w:t>
      </w:r>
      <w:r>
        <w:rPr>
          <w:sz w:val="20"/>
          <w:szCs w:val="20"/>
          <w:color w:val="auto"/>
        </w:rPr>
        <w:tab/>
      </w:r>
      <w:r>
        <w:rPr>
          <w:rFonts w:ascii="Times New Roman" w:cs="Times New Roman" w:eastAsia="Times New Roman" w:hAnsi="Times New Roman"/>
          <w:sz w:val="19"/>
          <w:szCs w:val="19"/>
          <w:b w:val="1"/>
          <w:bCs w:val="1"/>
          <w:color w:val="auto"/>
        </w:rPr>
        <w:t>Manufacturing Technology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440" w:hanging="754"/>
        <w:spacing w:after="0" w:line="243" w:lineRule="auto"/>
        <w:tabs>
          <w:tab w:leader="none" w:pos="108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either Party proposes amending the Global Development Plan to include the use or incorporation of any Sanofi Manufacturing Technology, then, as part of the JDC’s review and discussion of such proposed amendment, the Parties will discuss whether Sanofi shall, in its sole discretion, (i) license such Sanofi Manufacturing Technology to Fulcrum, or (ii) Manufacture and supply Licensed Products incorporating such Sanofi Manufacturing Technology for Fulcrum and prior to the JDC approving any amendment to the Global Development Plan to include such Sanofi Manufacturing Technology, Sanofi will confirm whether such Sanofi Manufacturing Technology will be licensed to Fulcrum pursuant to Section 2.11.2(b) or if Sanofi will supply Fulcrum pursuant to Section 2.11.2(c).</w:t>
      </w:r>
    </w:p>
    <w:p>
      <w:pPr>
        <w:spacing w:after="0" w:line="189" w:lineRule="exact"/>
        <w:rPr>
          <w:rFonts w:ascii="Times New Roman" w:cs="Times New Roman" w:eastAsia="Times New Roman" w:hAnsi="Times New Roman"/>
          <w:sz w:val="20"/>
          <w:szCs w:val="20"/>
          <w:color w:val="auto"/>
        </w:rPr>
      </w:pPr>
    </w:p>
    <w:p>
      <w:pPr>
        <w:ind w:left="1440" w:hanging="754"/>
        <w:spacing w:after="0" w:line="243" w:lineRule="auto"/>
        <w:tabs>
          <w:tab w:leader="none" w:pos="108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JDC amends the Global Development Plan to include the use or incorporation of any Sanofi Manufacturing Technology and Sanofi has elected to </w:t>
      </w:r>
      <w:r>
        <w:rPr>
          <w:rFonts w:ascii="Times New Roman" w:cs="Times New Roman" w:eastAsia="Times New Roman" w:hAnsi="Times New Roman"/>
          <w:sz w:val="20"/>
          <w:szCs w:val="20"/>
          <w:i w:val="1"/>
          <w:iCs w:val="1"/>
          <w:color w:val="auto"/>
        </w:rPr>
        <w:t>license</w:t>
      </w:r>
      <w:r>
        <w:rPr>
          <w:rFonts w:ascii="Times New Roman" w:cs="Times New Roman" w:eastAsia="Times New Roman" w:hAnsi="Times New Roman"/>
          <w:sz w:val="20"/>
          <w:szCs w:val="20"/>
          <w:color w:val="auto"/>
        </w:rPr>
        <w:t xml:space="preserve"> such Sanofi Technology to Fulcrum, then (i) such Sanofi Manufacturing Technology shall be deemed to be “Licensed Sanofi Technology” under this Agreement, (ii) such Licensed Sanofi Technology will be deemed to be “Controlled” under this Agreement (if the definition of “Control” is otherwise met) as Licensed Sanofi Technology licensed or sublicensed (as applicable) to Fulcrum under the license granted in Section 2.2.3 (</w:t>
      </w:r>
      <w:r>
        <w:rPr>
          <w:rFonts w:ascii="Times New Roman" w:cs="Times New Roman" w:eastAsia="Times New Roman" w:hAnsi="Times New Roman"/>
          <w:sz w:val="20"/>
          <w:szCs w:val="20"/>
          <w:i w:val="1"/>
          <w:iCs w:val="1"/>
          <w:color w:val="auto"/>
        </w:rPr>
        <w:t>License Grants to Fulcrum</w:t>
      </w:r>
      <w:r>
        <w:rPr>
          <w:rFonts w:ascii="Times New Roman" w:cs="Times New Roman" w:eastAsia="Times New Roman" w:hAnsi="Times New Roman"/>
          <w:sz w:val="20"/>
          <w:szCs w:val="20"/>
          <w:color w:val="auto"/>
        </w:rPr>
        <w:t>), subject to the terms of this Agreement, and (iii) Sanofi will transfer or otherwise provide Fulcrum with access to any Know-How included in such Sanofi Manufacturing Technology to enable Fulcrum to exercise its right under the license granted in Section 2.2 (</w:t>
      </w:r>
      <w:r>
        <w:rPr>
          <w:rFonts w:ascii="Times New Roman" w:cs="Times New Roman" w:eastAsia="Times New Roman" w:hAnsi="Times New Roman"/>
          <w:sz w:val="20"/>
          <w:szCs w:val="20"/>
          <w:i w:val="1"/>
          <w:iCs w:val="1"/>
          <w:color w:val="auto"/>
        </w:rPr>
        <w:t>License Grants to Fulcrum</w:t>
      </w:r>
      <w:r>
        <w:rPr>
          <w:rFonts w:ascii="Times New Roman" w:cs="Times New Roman" w:eastAsia="Times New Roman" w:hAnsi="Times New Roman"/>
          <w:sz w:val="20"/>
          <w:szCs w:val="20"/>
          <w:color w:val="auto"/>
        </w:rPr>
        <w:t>) to such Sanofi Manufacturing Technology.</w:t>
      </w:r>
    </w:p>
    <w:p>
      <w:pPr>
        <w:spacing w:after="0" w:line="185" w:lineRule="exact"/>
        <w:rPr>
          <w:rFonts w:ascii="Times New Roman" w:cs="Times New Roman" w:eastAsia="Times New Roman" w:hAnsi="Times New Roman"/>
          <w:sz w:val="20"/>
          <w:szCs w:val="20"/>
          <w:color w:val="auto"/>
        </w:rPr>
      </w:pPr>
    </w:p>
    <w:p>
      <w:pPr>
        <w:ind w:left="1440" w:hanging="754"/>
        <w:spacing w:after="0" w:line="242" w:lineRule="auto"/>
        <w:tabs>
          <w:tab w:leader="none" w:pos="108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JDC amends the Global Development Plan to include the use or incorporation of any Sanofi Manufacturing Technology and Sanofi has elected to Manufacture and supply Licensed Products incorporating such Sanofi Manufacturing Technology for Fulcrum instead of licensing such Sanofi Manufacturing Technology pursuant to Section 2.11.2(b), then the Parties will negotiate in good faith and enter into (i) a supply agreement on reasonable and customary terms under which Sanofi will Manufacture and supply Fulcrum with any Licensed Compound and Licensed Product in bulk unlabeled form that is necessary for Fulcrum to conduct its activities under the Fulcrum Independent Development Plan and Global Development Plan and Commercialize Licensed Compounds and Licensed Products in the Fulcrum Territory;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Fulcrum will pay Sanofi a price equal to [***] of Sanofi’s Manufacturing Cost for such Licensed Compounds and Licensed Products; and (ii) a related quality agreement, which agreement will govern the terms and conditions of the Manufacturing and supply of the Licensed Compounds or Licensed Products.</w:t>
      </w:r>
    </w:p>
    <w:p>
      <w:pPr>
        <w:spacing w:after="0" w:line="186" w:lineRule="exact"/>
        <w:rPr>
          <w:sz w:val="20"/>
          <w:szCs w:val="20"/>
          <w:color w:val="auto"/>
        </w:rPr>
      </w:pPr>
    </w:p>
    <w:p>
      <w:pPr>
        <w:jc w:val="both"/>
        <w:ind w:left="680" w:hanging="694"/>
        <w:spacing w:after="0" w:line="256" w:lineRule="auto"/>
        <w:tabs>
          <w:tab w:leader="none" w:pos="660" w:val="left"/>
        </w:tabs>
        <w:rPr>
          <w:sz w:val="20"/>
          <w:szCs w:val="20"/>
          <w:color w:val="auto"/>
        </w:rPr>
      </w:pPr>
      <w:r>
        <w:rPr>
          <w:rFonts w:ascii="Times New Roman" w:cs="Times New Roman" w:eastAsia="Times New Roman" w:hAnsi="Times New Roman"/>
          <w:sz w:val="20"/>
          <w:szCs w:val="20"/>
          <w:color w:val="auto"/>
        </w:rPr>
        <w:t>2.11.3</w:t>
      </w:r>
      <w:r>
        <w:rPr>
          <w:sz w:val="20"/>
          <w:szCs w:val="20"/>
          <w:color w:val="auto"/>
        </w:rPr>
        <w:tab/>
      </w:r>
      <w:r>
        <w:rPr>
          <w:rFonts w:ascii="Times New Roman" w:cs="Times New Roman" w:eastAsia="Times New Roman" w:hAnsi="Times New Roman"/>
          <w:sz w:val="20"/>
          <w:szCs w:val="20"/>
          <w:b w:val="1"/>
          <w:bCs w:val="1"/>
          <w:color w:val="auto"/>
        </w:rPr>
        <w:t>License Terms</w:t>
      </w:r>
      <w:r>
        <w:rPr>
          <w:rFonts w:ascii="Times New Roman" w:cs="Times New Roman" w:eastAsia="Times New Roman" w:hAnsi="Times New Roman"/>
          <w:sz w:val="20"/>
          <w:szCs w:val="20"/>
          <w:color w:val="auto"/>
        </w:rPr>
        <w:t>. On Fulcrum’s election to receive a license to any Licensed Sanofi Technology under Section 2.11.1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Non-Manufacturing Technology</w:t>
      </w:r>
      <w:r>
        <w:rPr>
          <w:rFonts w:ascii="Times New Roman" w:cs="Times New Roman" w:eastAsia="Times New Roman" w:hAnsi="Times New Roman"/>
          <w:sz w:val="20"/>
          <w:szCs w:val="20"/>
          <w:color w:val="auto"/>
        </w:rPr>
        <w:t>), or Sanofi’s election to grant a license to any Sanofi Manufacturing Technology under Section 2.11.2</w:t>
      </w:r>
    </w:p>
    <w:p>
      <w:pPr>
        <w:spacing w:after="0" w:line="17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764540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140" w:top="1409" w:right="339" w:bottom="1440" w:gutter="0" w:footer="0" w:header="0"/>
        </w:sectPr>
      </w:pPr>
    </w:p>
    <w:bookmarkStart w:id="121" w:name="page122"/>
    <w:bookmarkEnd w:id="121"/>
    <w:p>
      <w:pPr>
        <w:jc w:val="both"/>
        <w:ind w:left="1500"/>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Manufacturing Technology</w:t>
      </w:r>
      <w:r>
        <w:rPr>
          <w:rFonts w:ascii="Times New Roman" w:cs="Times New Roman" w:eastAsia="Times New Roman" w:hAnsi="Times New Roman"/>
          <w:sz w:val="19"/>
          <w:szCs w:val="19"/>
          <w:color w:val="auto"/>
        </w:rPr>
        <w:t xml:space="preserve">), the Parties shall negotiate in good faith [***] such license, determined in accordance with customary industry practice. If the Parties cannot agree on [***] within a period of [***] of receipt by Sanofi of Fulcrum’s written notice that Fulcrum intends to exercise its rights with respect to the Licensed Sanofi Technology, then such dispute shall be referred to the Executive Officers of the Parties for resolution. If the Executive Officers do not fully resolve such dispute within [***] (or a later date agreed to by each of the Parties) of the dispute being referred to them then [***] shall be decided by baseball arbitration pursuant to the terms set forth on </w:t>
      </w:r>
      <w:r>
        <w:rPr>
          <w:rFonts w:ascii="Times New Roman" w:cs="Times New Roman" w:eastAsia="Times New Roman" w:hAnsi="Times New Roman"/>
          <w:sz w:val="19"/>
          <w:szCs w:val="19"/>
          <w:b w:val="1"/>
          <w:bCs w:val="1"/>
          <w:color w:val="auto"/>
        </w:rPr>
        <w:t>Schedule 14.8.1(a)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Baseball Arbitration Terms</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3.1  Joint Steering Committee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7" w:lineRule="auto"/>
        <w:tabs>
          <w:tab w:leader="none" w:pos="148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20"/>
          <w:szCs w:val="20"/>
          <w:b w:val="1"/>
          <w:bCs w:val="1"/>
          <w:color w:val="auto"/>
        </w:rPr>
        <w:t>Formation and Purpose of the JSC</w:t>
      </w:r>
      <w:r>
        <w:rPr>
          <w:rFonts w:ascii="Times New Roman" w:cs="Times New Roman" w:eastAsia="Times New Roman" w:hAnsi="Times New Roman"/>
          <w:sz w:val="20"/>
          <w:szCs w:val="20"/>
          <w:color w:val="auto"/>
        </w:rPr>
        <w:t>. Promptly, but not more than [***] after the Effective Date, Fulcrum and Sanofi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establish a joint steering committee (“</w:t>
      </w:r>
      <w:r>
        <w:rPr>
          <w:rFonts w:ascii="Times New Roman" w:cs="Times New Roman" w:eastAsia="Times New Roman" w:hAnsi="Times New Roman"/>
          <w:sz w:val="20"/>
          <w:szCs w:val="20"/>
          <w:b w:val="1"/>
          <w:bCs w:val="1"/>
          <w:color w:val="auto"/>
        </w:rPr>
        <w:t>JSC</w:t>
      </w:r>
      <w:r>
        <w:rPr>
          <w:rFonts w:ascii="Times New Roman" w:cs="Times New Roman" w:eastAsia="Times New Roman" w:hAnsi="Times New Roman"/>
          <w:sz w:val="20"/>
          <w:szCs w:val="20"/>
          <w:color w:val="auto"/>
        </w:rPr>
        <w:t>”), which will have the responsibilities set forth in this Article 3 (</w:t>
      </w:r>
      <w:r>
        <w:rPr>
          <w:rFonts w:ascii="Times New Roman" w:cs="Times New Roman" w:eastAsia="Times New Roman" w:hAnsi="Times New Roman"/>
          <w:sz w:val="20"/>
          <w:szCs w:val="20"/>
          <w:i w:val="1"/>
          <w:iCs w:val="1"/>
          <w:color w:val="auto"/>
        </w:rPr>
        <w:t>Governance</w:t>
      </w:r>
      <w:r>
        <w:rPr>
          <w:rFonts w:ascii="Times New Roman" w:cs="Times New Roman" w:eastAsia="Times New Roman" w:hAnsi="Times New Roman"/>
          <w:sz w:val="20"/>
          <w:szCs w:val="20"/>
          <w:color w:val="auto"/>
        </w:rPr>
        <w:t>) and will coordinate and discuss the Parties’ Development, Manufacturing, and Commercialization activities under this Agreement for the Licensed Compounds and Licensed Products in the Territory in accordance with this Section 3.1 (</w:t>
      </w:r>
      <w:r>
        <w:rPr>
          <w:rFonts w:ascii="Times New Roman" w:cs="Times New Roman" w:eastAsia="Times New Roman" w:hAnsi="Times New Roman"/>
          <w:sz w:val="20"/>
          <w:szCs w:val="20"/>
          <w:i w:val="1"/>
          <w:iCs w:val="1"/>
          <w:color w:val="auto"/>
        </w:rPr>
        <w:t>Joint Steering Committee</w:t>
      </w:r>
      <w:r>
        <w:rPr>
          <w:rFonts w:ascii="Times New Roman" w:cs="Times New Roman" w:eastAsia="Times New Roman" w:hAnsi="Times New Roman"/>
          <w:sz w:val="20"/>
          <w:szCs w:val="20"/>
          <w:color w:val="auto"/>
        </w:rPr>
        <w:t>). The JSC will dissolve upon the expiration of the Term.</w:t>
      </w:r>
    </w:p>
    <w:p>
      <w:pPr>
        <w:spacing w:after="0" w:line="180" w:lineRule="exact"/>
        <w:rPr>
          <w:sz w:val="20"/>
          <w:szCs w:val="20"/>
          <w:color w:val="auto"/>
        </w:rPr>
      </w:pPr>
    </w:p>
    <w:p>
      <w:pPr>
        <w:ind w:left="820"/>
        <w:spacing w:after="0"/>
        <w:tabs>
          <w:tab w:leader="none" w:pos="160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20"/>
          <w:szCs w:val="20"/>
          <w:b w:val="1"/>
          <w:bCs w:val="1"/>
          <w:color w:val="auto"/>
        </w:rPr>
        <w:t>Membership</w:t>
      </w:r>
      <w:r>
        <w:rPr>
          <w:rFonts w:ascii="Times New Roman" w:cs="Times New Roman" w:eastAsia="Times New Roman" w:hAnsi="Times New Roman"/>
          <w:sz w:val="20"/>
          <w:szCs w:val="20"/>
          <w:color w:val="auto"/>
        </w:rPr>
        <w:t>.  The JSC will be composed of an equal number of representatives from each Party and a minimum of</w:t>
      </w:r>
    </w:p>
    <w:p>
      <w:pPr>
        <w:spacing w:after="0" w:line="26" w:lineRule="exact"/>
        <w:rPr>
          <w:sz w:val="20"/>
          <w:szCs w:val="20"/>
          <w:color w:val="auto"/>
        </w:rPr>
      </w:pPr>
    </w:p>
    <w:p>
      <w:pPr>
        <w:jc w:val="both"/>
        <w:ind w:left="1500" w:firstLine="6"/>
        <w:spacing w:after="0"/>
        <w:tabs>
          <w:tab w:leader="none" w:pos="199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representatives of each Party who have the appropriate and direct knowledge and expertise and requisite decision-making authority. Any such representative who serves on the JSC or any committee under this Agreement may also serve on one or more other committees under this Agreement. Each Party may replace any of its representatives on the JSC and appoint a person to fill the vacancy arising from each such replacement. A Party that replaces a representative will notify the other Party in writing (with email correspondence being sufficient for such purpose) at least [***] prior to the next scheduled meeting of the JSC. Fulcrum will designate one (1) of its JSC members as one of the co-chairpersons of the JSC and Sanofi will designate one (1) of its members as the other co-chairperson of the JSC. Every [***] the co-chairpersons will alternate serving in the role of “lead co-chairperson.” The lead co-chairperson or his or her designee, in collaboration with the Alliance Managers, will be responsible for calling meetings, preparing and circulating an agenda in advance of each meeting, and preparing and issuing draft minutes of each meeting within [***] thereafter. Such minutes will not be finalized until all JSC members have had [***] to review and confirm the accuracy of such minutes.</w:t>
      </w:r>
    </w:p>
    <w:p>
      <w:pPr>
        <w:spacing w:after="0" w:line="185" w:lineRule="exact"/>
        <w:rPr>
          <w:sz w:val="20"/>
          <w:szCs w:val="20"/>
          <w:color w:val="auto"/>
        </w:rPr>
      </w:pPr>
    </w:p>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20"/>
          <w:szCs w:val="20"/>
          <w:b w:val="1"/>
          <w:bCs w:val="1"/>
          <w:color w:val="auto"/>
        </w:rPr>
        <w:t>Meetings</w:t>
      </w:r>
      <w:r>
        <w:rPr>
          <w:rFonts w:ascii="Times New Roman" w:cs="Times New Roman" w:eastAsia="Times New Roman" w:hAnsi="Times New Roman"/>
          <w:sz w:val="20"/>
          <w:szCs w:val="20"/>
          <w:color w:val="auto"/>
        </w:rPr>
        <w:t>. The JSC will hold meetings at such times as it elects to do so, but will meet no less frequently than quarterly,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unless otherwise agreed by the Parties. The JSC may meet in person or by means of teleconference, Internet conference, video conference, or other similar communication method;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practicable and permissible in light of any then applicable travel restrictions, at least [***] each Calendar Year will be conducted in person at a location selected alternatively by Fulcrum and Sanofi or such other location as the Parties may agree. Each Party will be responsible for all of its own costs and expenses of participating in any JSC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2" w:name="page123"/>
    <w:bookmarkEnd w:id="122"/>
    <w:p>
      <w:pPr>
        <w:jc w:val="both"/>
        <w:ind w:left="1500" w:hanging="694"/>
        <w:spacing w:after="0" w:line="247" w:lineRule="auto"/>
        <w:tabs>
          <w:tab w:leader="none" w:pos="148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20"/>
          <w:szCs w:val="20"/>
          <w:b w:val="1"/>
          <w:bCs w:val="1"/>
          <w:color w:val="auto"/>
        </w:rPr>
        <w:t>Meeting Agendas</w:t>
      </w:r>
      <w:r>
        <w:rPr>
          <w:rFonts w:ascii="Times New Roman" w:cs="Times New Roman" w:eastAsia="Times New Roman" w:hAnsi="Times New Roman"/>
          <w:sz w:val="20"/>
          <w:szCs w:val="20"/>
          <w:color w:val="auto"/>
        </w:rPr>
        <w:t>. Each Party will disclose to the other Party the proposed agenda items along with appropriate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information at least [***] in advance of each meeting of the JSC;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under exigent circumstances requiring JSC input, a Party may provide its agenda items to the other Party within a shorter period of time in advance of a meeting, or may propose that there not be a specific agenda for a particular meeting, so long as such other Party consents to such later addition of such agenda items or the absence of a specific agenda for such JSC meeting.</w:t>
      </w:r>
    </w:p>
    <w:p>
      <w:pPr>
        <w:spacing w:after="0" w:line="180"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3.1.5</w:t>
      </w:r>
      <w:r>
        <w:rPr>
          <w:sz w:val="20"/>
          <w:szCs w:val="20"/>
          <w:color w:val="auto"/>
        </w:rPr>
        <w:tab/>
      </w:r>
      <w:r>
        <w:rPr>
          <w:rFonts w:ascii="Times New Roman" w:cs="Times New Roman" w:eastAsia="Times New Roman" w:hAnsi="Times New Roman"/>
          <w:sz w:val="19"/>
          <w:szCs w:val="19"/>
          <w:b w:val="1"/>
          <w:bCs w:val="1"/>
          <w:color w:val="auto"/>
        </w:rPr>
        <w:t>Specific Responsibilities of the JSC</w:t>
      </w:r>
      <w:r>
        <w:rPr>
          <w:rFonts w:ascii="Times New Roman" w:cs="Times New Roman" w:eastAsia="Times New Roman" w:hAnsi="Times New Roman"/>
          <w:sz w:val="19"/>
          <w:szCs w:val="19"/>
          <w:color w:val="auto"/>
        </w:rPr>
        <w:t>. The responsibilities of the JSC will be to:</w:t>
      </w:r>
    </w:p>
    <w:p>
      <w:pPr>
        <w:spacing w:after="0" w:line="220" w:lineRule="exact"/>
        <w:rPr>
          <w:sz w:val="20"/>
          <w:szCs w:val="20"/>
          <w:color w:val="auto"/>
        </w:rPr>
      </w:pPr>
    </w:p>
    <w:p>
      <w:pPr>
        <w:ind w:left="2260" w:right="40" w:hanging="754"/>
        <w:spacing w:after="0" w:line="269" w:lineRule="auto"/>
        <w:tabs>
          <w:tab w:leader="none" w:pos="190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the overall strategic alignment between the Parties under this Agreement and maintain the relationship between the Parties;</w:t>
      </w:r>
    </w:p>
    <w:p>
      <w:pPr>
        <w:spacing w:after="0" w:line="159" w:lineRule="exact"/>
        <w:rPr>
          <w:rFonts w:ascii="Times New Roman" w:cs="Times New Roman" w:eastAsia="Times New Roman" w:hAnsi="Times New Roman"/>
          <w:sz w:val="20"/>
          <w:szCs w:val="20"/>
          <w:color w:val="auto"/>
        </w:rPr>
      </w:pPr>
    </w:p>
    <w:p>
      <w:pPr>
        <w:ind w:left="2260" w:right="20" w:hanging="754"/>
        <w:spacing w:after="0" w:line="249" w:lineRule="auto"/>
        <w:tabs>
          <w:tab w:leader="none" w:pos="190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discuss, and determine whether to approve any amendment to the Global Development Plan or Global Development Budget (including any amendments in connection with Additional Activities and Additional LC Activities), as described in Section 5.2 (</w:t>
      </w:r>
      <w:r>
        <w:rPr>
          <w:rFonts w:ascii="Times New Roman" w:cs="Times New Roman" w:eastAsia="Times New Roman" w:hAnsi="Times New Roman"/>
          <w:sz w:val="20"/>
          <w:szCs w:val="20"/>
          <w:i w:val="1"/>
          <w:iCs w:val="1"/>
          <w:color w:val="auto"/>
        </w:rPr>
        <w:t>Initial Global Development Plan</w:t>
      </w:r>
      <w:r>
        <w:rPr>
          <w:rFonts w:ascii="Times New Roman" w:cs="Times New Roman" w:eastAsia="Times New Roman" w:hAnsi="Times New Roman"/>
          <w:sz w:val="20"/>
          <w:szCs w:val="20"/>
          <w:color w:val="auto"/>
        </w:rPr>
        <w:t>) and Section 5.3 (</w:t>
      </w:r>
      <w:r>
        <w:rPr>
          <w:rFonts w:ascii="Times New Roman" w:cs="Times New Roman" w:eastAsia="Times New Roman" w:hAnsi="Times New Roman"/>
          <w:sz w:val="20"/>
          <w:szCs w:val="20"/>
          <w:i w:val="1"/>
          <w:iCs w:val="1"/>
          <w:color w:val="auto"/>
        </w:rPr>
        <w:t>Changes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Global Development Plan</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2260" w:right="40" w:hanging="754"/>
        <w:spacing w:after="0" w:line="269" w:lineRule="auto"/>
        <w:tabs>
          <w:tab w:leader="none" w:pos="190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any matters related to the Development of the Licensed Compounds and Licensed Products referred to the JSC by either Party’s representatives or the JDC;</w:t>
      </w:r>
    </w:p>
    <w:p>
      <w:pPr>
        <w:spacing w:after="0" w:line="159" w:lineRule="exact"/>
        <w:rPr>
          <w:rFonts w:ascii="Times New Roman" w:cs="Times New Roman" w:eastAsia="Times New Roman" w:hAnsi="Times New Roman"/>
          <w:sz w:val="20"/>
          <w:szCs w:val="20"/>
          <w:color w:val="auto"/>
        </w:rPr>
      </w:pPr>
    </w:p>
    <w:p>
      <w:pPr>
        <w:ind w:left="2260" w:hanging="754"/>
        <w:spacing w:after="0" w:line="249" w:lineRule="auto"/>
        <w:tabs>
          <w:tab w:leader="none" w:pos="190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any matters related to the Commercialization of the Licensed Products in the Sanofi Territory or the Fulcrum Territory (including whether to approve the Joint Commercialization Strategy and joint publication strategy relating to Clinical Trials conducted under the Global Development Plan) referred to the JSC by either Party’s representatives or the JCC;</w:t>
      </w:r>
    </w:p>
    <w:p>
      <w:pPr>
        <w:spacing w:after="0" w:line="179" w:lineRule="exact"/>
        <w:rPr>
          <w:rFonts w:ascii="Times New Roman" w:cs="Times New Roman" w:eastAsia="Times New Roman" w:hAnsi="Times New Roman"/>
          <w:sz w:val="20"/>
          <w:szCs w:val="20"/>
          <w:color w:val="auto"/>
        </w:rPr>
      </w:pPr>
    </w:p>
    <w:p>
      <w:pPr>
        <w:ind w:left="2260" w:right="20" w:hanging="754"/>
        <w:spacing w:after="0" w:line="269" w:lineRule="auto"/>
        <w:tabs>
          <w:tab w:leader="none" w:pos="190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any matters related to the Manufacture of the Licensed Products referred to the JSC by either Party’s representatives or the JMC</w:t>
      </w:r>
      <w:r>
        <w:rPr>
          <w:rFonts w:ascii="Times New Roman" w:cs="Times New Roman" w:eastAsia="Times New Roman" w:hAnsi="Times New Roman"/>
          <w:sz w:val="20"/>
          <w:szCs w:val="20"/>
          <w:u w:val="single" w:color="auto"/>
          <w:color w:val="auto"/>
        </w:rPr>
        <w:t>;</w:t>
      </w:r>
    </w:p>
    <w:p>
      <w:pPr>
        <w:spacing w:after="0" w:line="155" w:lineRule="exact"/>
        <w:rPr>
          <w:rFonts w:ascii="Times New Roman" w:cs="Times New Roman" w:eastAsia="Times New Roman" w:hAnsi="Times New Roman"/>
          <w:sz w:val="20"/>
          <w:szCs w:val="20"/>
          <w:color w:val="auto"/>
        </w:rPr>
      </w:pPr>
    </w:p>
    <w:p>
      <w:pPr>
        <w:ind w:left="2260" w:hanging="754"/>
        <w:spacing w:after="0" w:line="273" w:lineRule="auto"/>
        <w:tabs>
          <w:tab w:leader="none" w:pos="190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establish and delegate specifically defined duties to the JDC, JMC, JCC, or other operational committees or </w:t>
      </w:r>
      <w:r>
        <w:rPr>
          <w:rFonts w:ascii="Times New Roman" w:cs="Times New Roman" w:eastAsia="Times New Roman" w:hAnsi="Times New Roman"/>
          <w:sz w:val="20"/>
          <w:szCs w:val="20"/>
          <w:i w:val="1"/>
          <w:iCs w:val="1"/>
          <w:color w:val="auto"/>
        </w:rPr>
        <w:t>ad hoc</w:t>
      </w:r>
      <w:r>
        <w:rPr>
          <w:rFonts w:ascii="Times New Roman" w:cs="Times New Roman" w:eastAsia="Times New Roman" w:hAnsi="Times New Roman"/>
          <w:sz w:val="20"/>
          <w:szCs w:val="20"/>
          <w:color w:val="auto"/>
        </w:rPr>
        <w:t xml:space="preserve"> subcommittees, as described in Section 3.5.1 (</w:t>
      </w:r>
      <w:r>
        <w:rPr>
          <w:rFonts w:ascii="Times New Roman" w:cs="Times New Roman" w:eastAsia="Times New Roman" w:hAnsi="Times New Roman"/>
          <w:sz w:val="20"/>
          <w:szCs w:val="20"/>
          <w:i w:val="1"/>
          <w:iCs w:val="1"/>
          <w:color w:val="auto"/>
        </w:rPr>
        <w:t>Formation; Authority</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2260" w:right="20" w:hanging="754"/>
        <w:spacing w:after="0" w:line="269" w:lineRule="auto"/>
        <w:tabs>
          <w:tab w:leader="none" w:pos="190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attempt to resolve any disputes or disagreements arising from matters within the jurisdiction of any Subcommittee; and</w:t>
      </w:r>
    </w:p>
    <w:p>
      <w:pPr>
        <w:spacing w:after="0" w:line="159" w:lineRule="exact"/>
        <w:rPr>
          <w:rFonts w:ascii="Times New Roman" w:cs="Times New Roman" w:eastAsia="Times New Roman" w:hAnsi="Times New Roman"/>
          <w:sz w:val="20"/>
          <w:szCs w:val="20"/>
          <w:color w:val="auto"/>
        </w:rPr>
      </w:pPr>
    </w:p>
    <w:p>
      <w:pPr>
        <w:ind w:left="2260" w:right="40" w:hanging="754"/>
        <w:spacing w:after="0" w:line="269" w:lineRule="auto"/>
        <w:tabs>
          <w:tab w:leader="none" w:pos="190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fulfill such other responsibilities as may be allocated to the JSC under this Agreement or through mutual written agreement of the 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3.2  Joint Development Committee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20"/>
          <w:szCs w:val="20"/>
          <w:b w:val="1"/>
          <w:bCs w:val="1"/>
          <w:color w:val="auto"/>
        </w:rPr>
        <w:t>Formation and Purpose of the JDC</w:t>
      </w:r>
      <w:r>
        <w:rPr>
          <w:rFonts w:ascii="Times New Roman" w:cs="Times New Roman" w:eastAsia="Times New Roman" w:hAnsi="Times New Roman"/>
          <w:sz w:val="20"/>
          <w:szCs w:val="20"/>
          <w:color w:val="auto"/>
        </w:rPr>
        <w:t>. Promptly, but not more than [***] after the Parties establish the JSC, the JSC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 a joint development committee (“</w:t>
      </w:r>
      <w:r>
        <w:rPr>
          <w:rFonts w:ascii="Times New Roman" w:cs="Times New Roman" w:eastAsia="Times New Roman" w:hAnsi="Times New Roman"/>
          <w:sz w:val="20"/>
          <w:szCs w:val="20"/>
          <w:b w:val="1"/>
          <w:bCs w:val="1"/>
          <w:color w:val="auto"/>
        </w:rPr>
        <w:t>JDC</w:t>
      </w:r>
      <w:r>
        <w:rPr>
          <w:rFonts w:ascii="Times New Roman" w:cs="Times New Roman" w:eastAsia="Times New Roman" w:hAnsi="Times New Roman"/>
          <w:sz w:val="20"/>
          <w:szCs w:val="20"/>
          <w:color w:val="auto"/>
        </w:rPr>
        <w:t>”), which will be a Subcommittee of the JSC and will have the responsibilities set forth in this Article 3 (</w:t>
      </w:r>
      <w:r>
        <w:rPr>
          <w:rFonts w:ascii="Times New Roman" w:cs="Times New Roman" w:eastAsia="Times New Roman" w:hAnsi="Times New Roman"/>
          <w:sz w:val="20"/>
          <w:szCs w:val="20"/>
          <w:i w:val="1"/>
          <w:iCs w:val="1"/>
          <w:color w:val="auto"/>
        </w:rPr>
        <w:t>Governance</w:t>
      </w:r>
      <w:r>
        <w:rPr>
          <w:rFonts w:ascii="Times New Roman" w:cs="Times New Roman" w:eastAsia="Times New Roman" w:hAnsi="Times New Roman"/>
          <w:sz w:val="20"/>
          <w:szCs w:val="20"/>
          <w:color w:val="auto"/>
        </w:rPr>
        <w:t>). The JDC will dissolve upon completion of all Development activities under this Agreement with respect to the Licensed Compounds and Licensed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3" w:name="page124"/>
    <w:bookmarkEnd w:id="123"/>
    <w:p>
      <w:pPr>
        <w:jc w:val="both"/>
        <w:ind w:left="1500" w:hanging="694"/>
        <w:spacing w:after="0" w:line="247" w:lineRule="auto"/>
        <w:tabs>
          <w:tab w:leader="none" w:pos="148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20"/>
          <w:szCs w:val="20"/>
          <w:b w:val="1"/>
          <w:bCs w:val="1"/>
          <w:color w:val="auto"/>
        </w:rPr>
        <w:t>Membership of the JDC</w:t>
      </w:r>
      <w:r>
        <w:rPr>
          <w:rFonts w:ascii="Times New Roman" w:cs="Times New Roman" w:eastAsia="Times New Roman" w:hAnsi="Times New Roman"/>
          <w:sz w:val="20"/>
          <w:szCs w:val="20"/>
          <w:color w:val="auto"/>
        </w:rPr>
        <w:t>. Each Party will designate [***] representatives with appropriate knowledge, expertise,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decision-making authority to serve as members of the JDC. Each Party may replace its JDC representatives and co-chairpersons at any time upon written notice (with email correspondence being sufficient for such purpose) to the other Party. The Alliance Manager of each Party (or his or her designee) will attend each meeting of the JDC as a non-voting participant.</w:t>
      </w:r>
    </w:p>
    <w:p>
      <w:pPr>
        <w:spacing w:after="0" w:line="180"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3.2.3</w:t>
      </w:r>
      <w:r>
        <w:rPr>
          <w:sz w:val="20"/>
          <w:szCs w:val="20"/>
          <w:color w:val="auto"/>
        </w:rPr>
        <w:tab/>
      </w:r>
      <w:r>
        <w:rPr>
          <w:rFonts w:ascii="Times New Roman" w:cs="Times New Roman" w:eastAsia="Times New Roman" w:hAnsi="Times New Roman"/>
          <w:sz w:val="19"/>
          <w:szCs w:val="19"/>
          <w:b w:val="1"/>
          <w:bCs w:val="1"/>
          <w:color w:val="auto"/>
        </w:rPr>
        <w:t>Specific Responsibilities of the JDC</w:t>
      </w:r>
      <w:r>
        <w:rPr>
          <w:rFonts w:ascii="Times New Roman" w:cs="Times New Roman" w:eastAsia="Times New Roman" w:hAnsi="Times New Roman"/>
          <w:sz w:val="19"/>
          <w:szCs w:val="19"/>
          <w:color w:val="auto"/>
        </w:rPr>
        <w:t>. The responsibilities of the JDC will be to:</w:t>
      </w:r>
    </w:p>
    <w:p>
      <w:pPr>
        <w:spacing w:after="0" w:line="220" w:lineRule="exact"/>
        <w:rPr>
          <w:sz w:val="20"/>
          <w:szCs w:val="20"/>
          <w:color w:val="auto"/>
        </w:rPr>
      </w:pPr>
    </w:p>
    <w:p>
      <w:pPr>
        <w:ind w:left="2260" w:right="60" w:hanging="754"/>
        <w:spacing w:after="0" w:line="269" w:lineRule="auto"/>
        <w:tabs>
          <w:tab w:leader="none" w:pos="190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 Development activities under the Global Development Plan for the Licensed Compounds and Licensed Products under this Agreement;</w:t>
      </w:r>
    </w:p>
    <w:p>
      <w:pPr>
        <w:spacing w:after="0" w:line="155" w:lineRule="exact"/>
        <w:rPr>
          <w:rFonts w:ascii="Times New Roman" w:cs="Times New Roman" w:eastAsia="Times New Roman" w:hAnsi="Times New Roman"/>
          <w:sz w:val="20"/>
          <w:szCs w:val="20"/>
          <w:color w:val="auto"/>
        </w:rPr>
      </w:pPr>
    </w:p>
    <w:p>
      <w:pPr>
        <w:ind w:left="2260" w:hanging="754"/>
        <w:spacing w:after="0" w:line="273" w:lineRule="auto"/>
        <w:tabs>
          <w:tab w:leader="none" w:pos="190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review and discuss the inclusion of any Sanofi Technology, as described in Section 2.11 ( </w:t>
      </w:r>
      <w:r>
        <w:rPr>
          <w:rFonts w:ascii="Times New Roman" w:cs="Times New Roman" w:eastAsia="Times New Roman" w:hAnsi="Times New Roman"/>
          <w:sz w:val="20"/>
          <w:szCs w:val="20"/>
          <w:i w:val="1"/>
          <w:iCs w:val="1"/>
          <w:color w:val="auto"/>
        </w:rPr>
        <w:t>Licensed Sanofi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Technology</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2260" w:hanging="754"/>
        <w:spacing w:after="0" w:line="249" w:lineRule="auto"/>
        <w:tabs>
          <w:tab w:leader="none" w:pos="190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review and discuss the Global Development Plan and Global Development Budget, and (ii) prepare, review, discuss, and determine whether to recommend for JSC approval all updates to the Global Development Plan and Global Development Budget (including any updates in connection with Additional Activities and Additional LC Activities);</w:t>
      </w:r>
    </w:p>
    <w:p>
      <w:pPr>
        <w:spacing w:after="0" w:line="179" w:lineRule="exact"/>
        <w:rPr>
          <w:rFonts w:ascii="Times New Roman" w:cs="Times New Roman" w:eastAsia="Times New Roman" w:hAnsi="Times New Roman"/>
          <w:sz w:val="20"/>
          <w:szCs w:val="20"/>
          <w:color w:val="auto"/>
        </w:rPr>
      </w:pPr>
    </w:p>
    <w:p>
      <w:pPr>
        <w:ind w:left="2260" w:hanging="754"/>
        <w:spacing w:after="0" w:line="249" w:lineRule="auto"/>
        <w:tabs>
          <w:tab w:leader="none" w:pos="190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discuss, and determine whether to approve each of the Sanofi Independent Development Plan and Fulcrum Independent Development Plan, and prepare, review, discuss, and determine whether to approve all updates thereto, as described in Section 5.5 (</w:t>
      </w:r>
      <w:r>
        <w:rPr>
          <w:rFonts w:ascii="Times New Roman" w:cs="Times New Roman" w:eastAsia="Times New Roman" w:hAnsi="Times New Roman"/>
          <w:sz w:val="20"/>
          <w:szCs w:val="20"/>
          <w:i w:val="1"/>
          <w:iCs w:val="1"/>
          <w:color w:val="auto"/>
        </w:rPr>
        <w:t>Sanofi Independent Development Plan</w:t>
      </w:r>
      <w:r>
        <w:rPr>
          <w:rFonts w:ascii="Times New Roman" w:cs="Times New Roman" w:eastAsia="Times New Roman" w:hAnsi="Times New Roman"/>
          <w:sz w:val="20"/>
          <w:szCs w:val="20"/>
          <w:color w:val="auto"/>
        </w:rPr>
        <w:t>) and Section 5.6 (</w:t>
      </w:r>
      <w:r>
        <w:rPr>
          <w:rFonts w:ascii="Times New Roman" w:cs="Times New Roman" w:eastAsia="Times New Roman" w:hAnsi="Times New Roman"/>
          <w:sz w:val="20"/>
          <w:szCs w:val="20"/>
          <w:i w:val="1"/>
          <w:iCs w:val="1"/>
          <w:color w:val="auto"/>
        </w:rPr>
        <w:t>Fulcrum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Independent Development Plan</w:t>
      </w:r>
      <w:r>
        <w:rPr>
          <w:rFonts w:ascii="Times New Roman" w:cs="Times New Roman" w:eastAsia="Times New Roman" w:hAnsi="Times New Roman"/>
          <w:sz w:val="20"/>
          <w:szCs w:val="20"/>
          <w:color w:val="auto"/>
        </w:rPr>
        <w:t>), respectively;</w:t>
      </w:r>
    </w:p>
    <w:p>
      <w:pPr>
        <w:spacing w:after="0" w:line="179" w:lineRule="exact"/>
        <w:rPr>
          <w:rFonts w:ascii="Times New Roman" w:cs="Times New Roman" w:eastAsia="Times New Roman" w:hAnsi="Times New Roman"/>
          <w:sz w:val="20"/>
          <w:szCs w:val="20"/>
          <w:color w:val="auto"/>
        </w:rPr>
      </w:pPr>
    </w:p>
    <w:p>
      <w:pPr>
        <w:ind w:left="2260" w:hanging="754"/>
        <w:spacing w:after="0" w:line="249" w:lineRule="auto"/>
        <w:tabs>
          <w:tab w:leader="none" w:pos="190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information related to, and review and discuss activities and progress under, the Global Development Plan, the Sanofi Independent Development Plan and the Fulcrum Independent Development Plan, including through updates from each Party as to the status of Development for the Licensed Products in each Party’s Territory, as described in Section 5.8 (</w:t>
      </w:r>
      <w:r>
        <w:rPr>
          <w:rFonts w:ascii="Times New Roman" w:cs="Times New Roman" w:eastAsia="Times New Roman" w:hAnsi="Times New Roman"/>
          <w:sz w:val="20"/>
          <w:szCs w:val="20"/>
          <w:i w:val="1"/>
          <w:iCs w:val="1"/>
          <w:color w:val="auto"/>
        </w:rPr>
        <w:t>Development Reports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2260" w:hanging="754"/>
        <w:spacing w:after="0" w:line="254" w:lineRule="auto"/>
        <w:tabs>
          <w:tab w:leader="none" w:pos="190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the overall strategy regarding Regulatory Submissions and Regulatory Approval of the Licensed Products throughout the Fulcrum Territory and Sanofi Territory, and discuss the implementation of, and progress regarding, the same; and</w:t>
      </w:r>
    </w:p>
    <w:p>
      <w:pPr>
        <w:spacing w:after="0" w:line="174" w:lineRule="exact"/>
        <w:rPr>
          <w:rFonts w:ascii="Times New Roman" w:cs="Times New Roman" w:eastAsia="Times New Roman" w:hAnsi="Times New Roman"/>
          <w:sz w:val="20"/>
          <w:szCs w:val="20"/>
          <w:color w:val="auto"/>
        </w:rPr>
      </w:pPr>
    </w:p>
    <w:p>
      <w:pPr>
        <w:ind w:left="2260" w:right="20" w:hanging="754"/>
        <w:spacing w:after="0" w:line="269" w:lineRule="auto"/>
        <w:tabs>
          <w:tab w:leader="none" w:pos="190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fulfill such other responsibilities as may be allocated to the JDC under this Agreement or through mutual written agreement of the 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3.3  Joint Manufacturing Committee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3.3.1</w:t>
      </w:r>
      <w:r>
        <w:rPr>
          <w:sz w:val="20"/>
          <w:szCs w:val="20"/>
          <w:color w:val="auto"/>
        </w:rPr>
        <w:tab/>
      </w:r>
      <w:r>
        <w:rPr>
          <w:rFonts w:ascii="Times New Roman" w:cs="Times New Roman" w:eastAsia="Times New Roman" w:hAnsi="Times New Roman"/>
          <w:sz w:val="20"/>
          <w:szCs w:val="20"/>
          <w:b w:val="1"/>
          <w:bCs w:val="1"/>
          <w:color w:val="auto"/>
        </w:rPr>
        <w:t>Formation and Purpose of the JMC</w:t>
      </w:r>
      <w:r>
        <w:rPr>
          <w:rFonts w:ascii="Times New Roman" w:cs="Times New Roman" w:eastAsia="Times New Roman" w:hAnsi="Times New Roman"/>
          <w:sz w:val="20"/>
          <w:szCs w:val="20"/>
          <w:color w:val="auto"/>
        </w:rPr>
        <w:t>. Promptly, but not more than [***] after the Parties establish the JSC, the JSC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 a joint manufacturing committee (the “</w:t>
      </w:r>
      <w:r>
        <w:rPr>
          <w:rFonts w:ascii="Times New Roman" w:cs="Times New Roman" w:eastAsia="Times New Roman" w:hAnsi="Times New Roman"/>
          <w:sz w:val="20"/>
          <w:szCs w:val="20"/>
          <w:b w:val="1"/>
          <w:bCs w:val="1"/>
          <w:color w:val="auto"/>
        </w:rPr>
        <w:t>JMC</w:t>
      </w:r>
      <w:r>
        <w:rPr>
          <w:rFonts w:ascii="Times New Roman" w:cs="Times New Roman" w:eastAsia="Times New Roman" w:hAnsi="Times New Roman"/>
          <w:sz w:val="20"/>
          <w:szCs w:val="20"/>
          <w:color w:val="auto"/>
        </w:rPr>
        <w:t>”), which will be a Subcommittee of the JSC and will have the responsibilities set forth in this Article 3 (</w:t>
      </w:r>
      <w:r>
        <w:rPr>
          <w:rFonts w:ascii="Times New Roman" w:cs="Times New Roman" w:eastAsia="Times New Roman" w:hAnsi="Times New Roman"/>
          <w:sz w:val="20"/>
          <w:szCs w:val="20"/>
          <w:i w:val="1"/>
          <w:iCs w:val="1"/>
          <w:color w:val="auto"/>
        </w:rPr>
        <w:t>Governance</w:t>
      </w:r>
      <w:r>
        <w:rPr>
          <w:rFonts w:ascii="Times New Roman" w:cs="Times New Roman" w:eastAsia="Times New Roman" w:hAnsi="Times New Roman"/>
          <w:sz w:val="20"/>
          <w:szCs w:val="20"/>
          <w:color w:val="auto"/>
        </w:rPr>
        <w:t>). The JMC will dissolve upon the completion of the Manufacturing Technology Transfer for Losmapimod.</w:t>
      </w:r>
    </w:p>
    <w:p>
      <w:pPr>
        <w:spacing w:after="0" w:line="176" w:lineRule="exact"/>
        <w:rPr>
          <w:sz w:val="20"/>
          <w:szCs w:val="20"/>
          <w:color w:val="auto"/>
        </w:rPr>
      </w:pPr>
    </w:p>
    <w:p>
      <w:pPr>
        <w:jc w:val="both"/>
        <w:ind w:left="1500" w:hanging="694"/>
        <w:spacing w:after="0" w:line="273" w:lineRule="auto"/>
        <w:tabs>
          <w:tab w:leader="none" w:pos="1480" w:val="left"/>
        </w:tabs>
        <w:rPr>
          <w:sz w:val="20"/>
          <w:szCs w:val="20"/>
          <w:color w:val="auto"/>
        </w:rPr>
      </w:pPr>
      <w:r>
        <w:rPr>
          <w:rFonts w:ascii="Times New Roman" w:cs="Times New Roman" w:eastAsia="Times New Roman" w:hAnsi="Times New Roman"/>
          <w:sz w:val="20"/>
          <w:szCs w:val="20"/>
          <w:color w:val="auto"/>
        </w:rPr>
        <w:t>3.3.2</w:t>
      </w:r>
      <w:r>
        <w:rPr>
          <w:sz w:val="20"/>
          <w:szCs w:val="20"/>
          <w:color w:val="auto"/>
        </w:rPr>
        <w:tab/>
      </w:r>
      <w:r>
        <w:rPr>
          <w:rFonts w:ascii="Times New Roman" w:cs="Times New Roman" w:eastAsia="Times New Roman" w:hAnsi="Times New Roman"/>
          <w:sz w:val="20"/>
          <w:szCs w:val="20"/>
          <w:b w:val="1"/>
          <w:bCs w:val="1"/>
          <w:color w:val="auto"/>
        </w:rPr>
        <w:t>Membership of the JMC</w:t>
      </w:r>
      <w:r>
        <w:rPr>
          <w:rFonts w:ascii="Times New Roman" w:cs="Times New Roman" w:eastAsia="Times New Roman" w:hAnsi="Times New Roman"/>
          <w:sz w:val="20"/>
          <w:szCs w:val="20"/>
          <w:color w:val="auto"/>
        </w:rPr>
        <w:t>. Each Party will designate [***] representatives with appropriate knowledge, expertise,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decision-making authority to serve as members of</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4" w:name="page125"/>
    <w:bookmarkEnd w:id="124"/>
    <w:p>
      <w:pPr>
        <w:jc w:val="both"/>
        <w:ind w:left="1500"/>
        <w:spacing w:after="0" w:line="254" w:lineRule="auto"/>
        <w:rPr>
          <w:sz w:val="20"/>
          <w:szCs w:val="20"/>
          <w:color w:val="auto"/>
        </w:rPr>
      </w:pPr>
      <w:r>
        <w:rPr>
          <w:rFonts w:ascii="Times New Roman" w:cs="Times New Roman" w:eastAsia="Times New Roman" w:hAnsi="Times New Roman"/>
          <w:sz w:val="20"/>
          <w:szCs w:val="20"/>
          <w:color w:val="auto"/>
        </w:rPr>
        <w:t>the JMC. Each Party may replace its JMC representatives and co-chairpersons at any time upon written notice (with email correspondence being sufficient for such purpose) to the other Party. The Alliance Manager of each Party (or his or her designee) will attend each meeting of the JMC as a non-voting participant.</w:t>
      </w:r>
    </w:p>
    <w:p>
      <w:pPr>
        <w:spacing w:after="0" w:line="170"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3.3.3</w:t>
      </w:r>
      <w:r>
        <w:rPr>
          <w:sz w:val="20"/>
          <w:szCs w:val="20"/>
          <w:color w:val="auto"/>
        </w:rPr>
        <w:tab/>
      </w:r>
      <w:r>
        <w:rPr>
          <w:rFonts w:ascii="Times New Roman" w:cs="Times New Roman" w:eastAsia="Times New Roman" w:hAnsi="Times New Roman"/>
          <w:sz w:val="19"/>
          <w:szCs w:val="19"/>
          <w:b w:val="1"/>
          <w:bCs w:val="1"/>
          <w:color w:val="auto"/>
        </w:rPr>
        <w:t>Specific Responsibilities of the JMC</w:t>
      </w:r>
      <w:r>
        <w:rPr>
          <w:rFonts w:ascii="Times New Roman" w:cs="Times New Roman" w:eastAsia="Times New Roman" w:hAnsi="Times New Roman"/>
          <w:sz w:val="19"/>
          <w:szCs w:val="19"/>
          <w:color w:val="auto"/>
        </w:rPr>
        <w:t>. The responsibilities of the JMC will be to:</w:t>
      </w:r>
    </w:p>
    <w:p>
      <w:pPr>
        <w:spacing w:after="0" w:line="216" w:lineRule="exact"/>
        <w:rPr>
          <w:sz w:val="20"/>
          <w:szCs w:val="20"/>
          <w:color w:val="auto"/>
        </w:rPr>
      </w:pPr>
    </w:p>
    <w:p>
      <w:pPr>
        <w:ind w:left="2260" w:hanging="754"/>
        <w:spacing w:after="0" w:line="273" w:lineRule="auto"/>
        <w:tabs>
          <w:tab w:leader="none" w:pos="190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coordinate and discuss the Manufacturing Technology Transfer pursuant to Section 8.3 (</w:t>
      </w:r>
      <w:r>
        <w:rPr>
          <w:rFonts w:ascii="Times New Roman" w:cs="Times New Roman" w:eastAsia="Times New Roman" w:hAnsi="Times New Roman"/>
          <w:sz w:val="20"/>
          <w:szCs w:val="20"/>
          <w:i w:val="1"/>
          <w:iCs w:val="1"/>
          <w:color w:val="auto"/>
        </w:rPr>
        <w:t>Manufacturing Technology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Transfer</w:t>
      </w:r>
      <w:r>
        <w:rPr>
          <w:rFonts w:ascii="Times New Roman" w:cs="Times New Roman" w:eastAsia="Times New Roman" w:hAnsi="Times New Roman"/>
          <w:sz w:val="20"/>
          <w:szCs w:val="20"/>
          <w:color w:val="auto"/>
        </w:rPr>
        <w:t>); and</w:t>
      </w:r>
    </w:p>
    <w:p>
      <w:pPr>
        <w:spacing w:after="0" w:line="155" w:lineRule="exact"/>
        <w:rPr>
          <w:rFonts w:ascii="Times New Roman" w:cs="Times New Roman" w:eastAsia="Times New Roman" w:hAnsi="Times New Roman"/>
          <w:sz w:val="20"/>
          <w:szCs w:val="20"/>
          <w:color w:val="auto"/>
        </w:rPr>
      </w:pPr>
    </w:p>
    <w:p>
      <w:pPr>
        <w:ind w:left="2260" w:right="20" w:hanging="754"/>
        <w:spacing w:after="0" w:line="269" w:lineRule="auto"/>
        <w:tabs>
          <w:tab w:leader="none" w:pos="190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fulfill such other responsibilities (such as joint quality review) as may be allocated to the JMC under this Agreement or through mutual written agreement of the 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3.4  Joint Commercialization Committee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right="20" w:hanging="694"/>
        <w:spacing w:after="0" w:line="256" w:lineRule="auto"/>
        <w:tabs>
          <w:tab w:leader="none" w:pos="1480" w:val="left"/>
        </w:tabs>
        <w:rPr>
          <w:sz w:val="20"/>
          <w:szCs w:val="20"/>
          <w:color w:val="auto"/>
        </w:rPr>
      </w:pPr>
      <w:r>
        <w:rPr>
          <w:rFonts w:ascii="Times New Roman" w:cs="Times New Roman" w:eastAsia="Times New Roman" w:hAnsi="Times New Roman"/>
          <w:sz w:val="20"/>
          <w:szCs w:val="20"/>
          <w:color w:val="auto"/>
        </w:rPr>
        <w:t>3.4.1</w:t>
      </w:r>
      <w:r>
        <w:rPr>
          <w:sz w:val="20"/>
          <w:szCs w:val="20"/>
          <w:color w:val="auto"/>
        </w:rPr>
        <w:tab/>
      </w:r>
      <w:r>
        <w:rPr>
          <w:rFonts w:ascii="Times New Roman" w:cs="Times New Roman" w:eastAsia="Times New Roman" w:hAnsi="Times New Roman"/>
          <w:sz w:val="20"/>
          <w:szCs w:val="20"/>
          <w:b w:val="1"/>
          <w:bCs w:val="1"/>
          <w:color w:val="auto"/>
        </w:rPr>
        <w:t>Formation and Purpose of the JCC</w:t>
      </w:r>
      <w:r>
        <w:rPr>
          <w:rFonts w:ascii="Times New Roman" w:cs="Times New Roman" w:eastAsia="Times New Roman" w:hAnsi="Times New Roman"/>
          <w:sz w:val="20"/>
          <w:szCs w:val="20"/>
          <w:color w:val="auto"/>
        </w:rPr>
        <w:t>. Promptly, but not more than [***] after the Parties establish the JSC, the JSC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 a joint commercialization committee (the “</w:t>
      </w:r>
      <w:r>
        <w:rPr>
          <w:rFonts w:ascii="Times New Roman" w:cs="Times New Roman" w:eastAsia="Times New Roman" w:hAnsi="Times New Roman"/>
          <w:sz w:val="20"/>
          <w:szCs w:val="20"/>
          <w:b w:val="1"/>
          <w:bCs w:val="1"/>
          <w:color w:val="auto"/>
        </w:rPr>
        <w:t>JCC</w:t>
      </w:r>
      <w:r>
        <w:rPr>
          <w:rFonts w:ascii="Times New Roman" w:cs="Times New Roman" w:eastAsia="Times New Roman" w:hAnsi="Times New Roman"/>
          <w:sz w:val="20"/>
          <w:szCs w:val="20"/>
          <w:color w:val="auto"/>
        </w:rPr>
        <w:t>”), which will be a Subcommittee of the JSC and will have the responsibilities set forth in this Article 3 (</w:t>
      </w:r>
      <w:r>
        <w:rPr>
          <w:rFonts w:ascii="Times New Roman" w:cs="Times New Roman" w:eastAsia="Times New Roman" w:hAnsi="Times New Roman"/>
          <w:sz w:val="20"/>
          <w:szCs w:val="20"/>
          <w:i w:val="1"/>
          <w:iCs w:val="1"/>
          <w:color w:val="auto"/>
        </w:rPr>
        <w:t>Governance</w:t>
      </w:r>
      <w:r>
        <w:rPr>
          <w:rFonts w:ascii="Times New Roman" w:cs="Times New Roman" w:eastAsia="Times New Roman" w:hAnsi="Times New Roman"/>
          <w:sz w:val="20"/>
          <w:szCs w:val="20"/>
          <w:color w:val="auto"/>
        </w:rPr>
        <w:t>). The JCC will dissolve upon the expiration of the Term.</w:t>
      </w:r>
    </w:p>
    <w:p>
      <w:pPr>
        <w:spacing w:after="0" w:line="169" w:lineRule="exact"/>
        <w:rPr>
          <w:sz w:val="20"/>
          <w:szCs w:val="20"/>
          <w:color w:val="auto"/>
        </w:rPr>
      </w:pPr>
    </w:p>
    <w:p>
      <w:pPr>
        <w:jc w:val="both"/>
        <w:ind w:left="1500" w:hanging="694"/>
        <w:spacing w:after="0" w:line="247" w:lineRule="auto"/>
        <w:tabs>
          <w:tab w:leader="none" w:pos="1480" w:val="left"/>
        </w:tabs>
        <w:rPr>
          <w:sz w:val="20"/>
          <w:szCs w:val="20"/>
          <w:color w:val="auto"/>
        </w:rPr>
      </w:pPr>
      <w:r>
        <w:rPr>
          <w:rFonts w:ascii="Times New Roman" w:cs="Times New Roman" w:eastAsia="Times New Roman" w:hAnsi="Times New Roman"/>
          <w:sz w:val="20"/>
          <w:szCs w:val="20"/>
          <w:color w:val="auto"/>
        </w:rPr>
        <w:t>3.4.2</w:t>
      </w:r>
      <w:r>
        <w:rPr>
          <w:sz w:val="20"/>
          <w:szCs w:val="20"/>
          <w:color w:val="auto"/>
        </w:rPr>
        <w:tab/>
      </w:r>
      <w:r>
        <w:rPr>
          <w:rFonts w:ascii="Times New Roman" w:cs="Times New Roman" w:eastAsia="Times New Roman" w:hAnsi="Times New Roman"/>
          <w:sz w:val="20"/>
          <w:szCs w:val="20"/>
          <w:b w:val="1"/>
          <w:bCs w:val="1"/>
          <w:color w:val="auto"/>
        </w:rPr>
        <w:t>Membership of the JCC</w:t>
      </w:r>
      <w:r>
        <w:rPr>
          <w:rFonts w:ascii="Times New Roman" w:cs="Times New Roman" w:eastAsia="Times New Roman" w:hAnsi="Times New Roman"/>
          <w:sz w:val="20"/>
          <w:szCs w:val="20"/>
          <w:color w:val="auto"/>
        </w:rPr>
        <w:t>. Each Party will designate [***] representatives with appropriate knowledge, expertise,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decision-making authority to serve as members of the JCC. Each Party may replace its JCC representatives and co-chairpersons at any time upon written notice (with email correspondence being sufficient for such purpose) to the other Party. The Alliance Manager of each Party (or his or her designee) will attend each meeting of the JCC as a non-voting participant.</w:t>
      </w:r>
    </w:p>
    <w:p>
      <w:pPr>
        <w:spacing w:after="0" w:line="180"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3.4.3</w:t>
      </w:r>
      <w:r>
        <w:rPr>
          <w:sz w:val="20"/>
          <w:szCs w:val="20"/>
          <w:color w:val="auto"/>
        </w:rPr>
        <w:tab/>
      </w:r>
      <w:r>
        <w:rPr>
          <w:rFonts w:ascii="Times New Roman" w:cs="Times New Roman" w:eastAsia="Times New Roman" w:hAnsi="Times New Roman"/>
          <w:sz w:val="19"/>
          <w:szCs w:val="19"/>
          <w:b w:val="1"/>
          <w:bCs w:val="1"/>
          <w:color w:val="auto"/>
        </w:rPr>
        <w:t>Specific Responsibilities of the JCC</w:t>
      </w:r>
      <w:r>
        <w:rPr>
          <w:rFonts w:ascii="Times New Roman" w:cs="Times New Roman" w:eastAsia="Times New Roman" w:hAnsi="Times New Roman"/>
          <w:sz w:val="19"/>
          <w:szCs w:val="19"/>
          <w:color w:val="auto"/>
        </w:rPr>
        <w:t>. The responsibilities of the JCC will be to:</w:t>
      </w:r>
    </w:p>
    <w:p>
      <w:pPr>
        <w:spacing w:after="0" w:line="220" w:lineRule="exact"/>
        <w:rPr>
          <w:sz w:val="20"/>
          <w:szCs w:val="20"/>
          <w:color w:val="auto"/>
        </w:rPr>
      </w:pPr>
    </w:p>
    <w:p>
      <w:pPr>
        <w:jc w:val="both"/>
        <w:ind w:left="2260" w:hanging="754"/>
        <w:spacing w:after="0" w:line="244" w:lineRule="auto"/>
        <w:tabs>
          <w:tab w:leader="none" w:pos="190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review, discuss and determine whether to recommend for JSC approval a high-level strategy for Commercialization of Licensed Products in the Sanofi Territory and the Fulcrum Territory, which strategy shall be limited to (i) a high-level summary of the Commercialization activities; and (ii) (A) selection of a single brand name to be used in the Territory, (B) registration and use of Trademarks and trade dress as agreed by each Party’s Trademark counsel, and (C) determination of marketing positioning, in each case ((i) through (ii)), to be complied with by the Parties or its Affiliates or its or their Sublicensees for the Commercialization of a Licensed Product (the “</w:t>
      </w:r>
      <w:r>
        <w:rPr>
          <w:rFonts w:ascii="Times New Roman" w:cs="Times New Roman" w:eastAsia="Times New Roman" w:hAnsi="Times New Roman"/>
          <w:sz w:val="20"/>
          <w:szCs w:val="20"/>
          <w:b w:val="1"/>
          <w:bCs w:val="1"/>
          <w:color w:val="auto"/>
        </w:rPr>
        <w:t>Joint Commercialization Strategy</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left="2260" w:hanging="754"/>
        <w:spacing w:after="0" w:line="249" w:lineRule="auto"/>
        <w:tabs>
          <w:tab w:leader="none" w:pos="190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review, discuss and determine whether to recommend for JSC approval a joint publication strategy relating to Clinical Trials conducted under the Global Development Plan (including any publications, abstracts, presentations, conferences or congresses), including review and discussion of proposed publications and attempt to resolve disputes with respect thereto;</w:t>
      </w:r>
    </w:p>
    <w:p>
      <w:pPr>
        <w:spacing w:after="0" w:line="179" w:lineRule="exact"/>
        <w:rPr>
          <w:rFonts w:ascii="Times New Roman" w:cs="Times New Roman" w:eastAsia="Times New Roman" w:hAnsi="Times New Roman"/>
          <w:sz w:val="20"/>
          <w:szCs w:val="20"/>
          <w:color w:val="auto"/>
        </w:rPr>
      </w:pPr>
    </w:p>
    <w:p>
      <w:pPr>
        <w:ind w:left="2260" w:right="20" w:hanging="754"/>
        <w:spacing w:after="0" w:line="254" w:lineRule="auto"/>
        <w:tabs>
          <w:tab w:leader="none" w:pos="190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Applicable Law, facilitate information sharing and cooperation between the Parties with respect to the Commercialization activities for the Licensed Products in the Sanofi Territory and the Fulcrum Territory solely as necessary for the Parties to ensure compliance with the Joint Commercialization Strategy; and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p>
      <w:pPr>
        <w:ind w:left="2260" w:right="40" w:hanging="754"/>
        <w:spacing w:after="0" w:line="269" w:lineRule="auto"/>
        <w:tabs>
          <w:tab w:leader="none" w:pos="190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fulfill such other responsibilities as may be allocated to the JCC under this Agreement or through mutual written agreement of the Parties.</w:t>
      </w:r>
    </w:p>
    <w:p>
      <w:pPr>
        <w:spacing w:after="0" w:line="159" w:lineRule="exact"/>
        <w:rPr>
          <w:sz w:val="20"/>
          <w:szCs w:val="20"/>
          <w:color w:val="auto"/>
        </w:rPr>
      </w:pPr>
    </w:p>
    <w:p>
      <w:pPr>
        <w:jc w:val="both"/>
        <w:ind w:left="1500" w:firstLine="749"/>
        <w:spacing w:after="0" w:line="254" w:lineRule="auto"/>
        <w:rPr>
          <w:sz w:val="20"/>
          <w:szCs w:val="20"/>
          <w:color w:val="auto"/>
        </w:rPr>
      </w:pPr>
      <w:r>
        <w:rPr>
          <w:rFonts w:ascii="Times New Roman" w:cs="Times New Roman" w:eastAsia="Times New Roman" w:hAnsi="Times New Roman"/>
          <w:sz w:val="20"/>
          <w:szCs w:val="20"/>
          <w:color w:val="auto"/>
        </w:rPr>
        <w:t>For clarity, the Parties shall have no obligation to discuss or share any information with respect to Commercialization, branding or marketing activities in the Sanofi Territory or the Fulcrum Territory, except as set forth in the Joint Commercialization Strategy.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3.5  Additional Committees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2" w:lineRule="auto"/>
        <w:tabs>
          <w:tab w:leader="none" w:pos="1480" w:val="left"/>
        </w:tabs>
        <w:rPr>
          <w:sz w:val="20"/>
          <w:szCs w:val="20"/>
          <w:color w:val="auto"/>
        </w:rPr>
      </w:pPr>
      <w:r>
        <w:rPr>
          <w:rFonts w:ascii="Times New Roman" w:cs="Times New Roman" w:eastAsia="Times New Roman" w:hAnsi="Times New Roman"/>
          <w:sz w:val="20"/>
          <w:szCs w:val="20"/>
          <w:color w:val="auto"/>
        </w:rPr>
        <w:t>3.5.1</w:t>
      </w:r>
      <w:r>
        <w:rPr>
          <w:sz w:val="20"/>
          <w:szCs w:val="20"/>
          <w:color w:val="auto"/>
        </w:rPr>
        <w:tab/>
      </w:r>
      <w:r>
        <w:rPr>
          <w:rFonts w:ascii="Times New Roman" w:cs="Times New Roman" w:eastAsia="Times New Roman" w:hAnsi="Times New Roman"/>
          <w:sz w:val="20"/>
          <w:szCs w:val="20"/>
          <w:b w:val="1"/>
          <w:bCs w:val="1"/>
          <w:color w:val="auto"/>
        </w:rPr>
        <w:t>Formation; Authority</w:t>
      </w:r>
      <w:r>
        <w:rPr>
          <w:rFonts w:ascii="Times New Roman" w:cs="Times New Roman" w:eastAsia="Times New Roman" w:hAnsi="Times New Roman"/>
          <w:sz w:val="20"/>
          <w:szCs w:val="20"/>
          <w:color w:val="auto"/>
        </w:rPr>
        <w:t>. The JSC will establish and delegate specifically-defined duties to the JDC, the JMC, the JCC,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other operational committees or </w:t>
      </w:r>
      <w:r>
        <w:rPr>
          <w:rFonts w:ascii="Times New Roman" w:cs="Times New Roman" w:eastAsia="Times New Roman" w:hAnsi="Times New Roman"/>
          <w:sz w:val="20"/>
          <w:szCs w:val="20"/>
          <w:i w:val="1"/>
          <w:iCs w:val="1"/>
          <w:color w:val="auto"/>
        </w:rPr>
        <w:t>ad hoc</w:t>
      </w:r>
      <w:r>
        <w:rPr>
          <w:rFonts w:ascii="Times New Roman" w:cs="Times New Roman" w:eastAsia="Times New Roman" w:hAnsi="Times New Roman"/>
          <w:sz w:val="20"/>
          <w:szCs w:val="20"/>
          <w:color w:val="auto"/>
        </w:rPr>
        <w:t xml:space="preserve"> subcommittees, on an “as needed” basis to discuss particular projects or activities (the JDC, the JMC, the JCC and such other operational committees and subcommittees, each a “</w:t>
      </w:r>
      <w:r>
        <w:rPr>
          <w:rFonts w:ascii="Times New Roman" w:cs="Times New Roman" w:eastAsia="Times New Roman" w:hAnsi="Times New Roman"/>
          <w:sz w:val="20"/>
          <w:szCs w:val="20"/>
          <w:b w:val="1"/>
          <w:bCs w:val="1"/>
          <w:color w:val="auto"/>
        </w:rPr>
        <w:t>Subcommittee</w:t>
      </w:r>
      <w:r>
        <w:rPr>
          <w:rFonts w:ascii="Times New Roman" w:cs="Times New Roman" w:eastAsia="Times New Roman" w:hAnsi="Times New Roman"/>
          <w:sz w:val="20"/>
          <w:szCs w:val="20"/>
          <w:color w:val="auto"/>
        </w:rPr>
        <w:t>”). Each such Subcommittee, other than the JDC, the JMC and the JCC, will be constituted and will operate as the JSC determines. Each Subcommittee and its activities will be subject to the oversight of, and will report to, the JSC. The JSC or the co-chairpersons of the JSC may delegate to a Subcommittee any responsibilities of the JSC set forth in Section 3.1.5 (</w:t>
      </w:r>
      <w:r>
        <w:rPr>
          <w:rFonts w:ascii="Times New Roman" w:cs="Times New Roman" w:eastAsia="Times New Roman" w:hAnsi="Times New Roman"/>
          <w:sz w:val="20"/>
          <w:szCs w:val="20"/>
          <w:i w:val="1"/>
          <w:iCs w:val="1"/>
          <w:color w:val="auto"/>
        </w:rPr>
        <w:t>Specific Responsibilities of the JSC</w:t>
      </w:r>
      <w:r>
        <w:rPr>
          <w:rFonts w:ascii="Times New Roman" w:cs="Times New Roman" w:eastAsia="Times New Roman" w:hAnsi="Times New Roman"/>
          <w:sz w:val="20"/>
          <w:szCs w:val="20"/>
          <w:color w:val="auto"/>
        </w:rPr>
        <w:t>), and in such case, any agreement reached by unanimous Party Vote of the applicable Subcommittee with respect to such delegated responsibilities will be deemed to be approved by the JSC (to the extent such approval is required hereunder). The JSC or the co-chairpersons of the JSC acting together may also reallocate any responsibility of a Subcommittee to any other Subcommittee. No Subcommittee’s authority may exceed that specified for the JSC in this Article 3 (</w:t>
      </w:r>
      <w:r>
        <w:rPr>
          <w:rFonts w:ascii="Times New Roman" w:cs="Times New Roman" w:eastAsia="Times New Roman" w:hAnsi="Times New Roman"/>
          <w:sz w:val="20"/>
          <w:szCs w:val="20"/>
          <w:i w:val="1"/>
          <w:iCs w:val="1"/>
          <w:color w:val="auto"/>
        </w:rPr>
        <w:t>Governance</w:t>
      </w:r>
      <w:r>
        <w:rPr>
          <w:rFonts w:ascii="Times New Roman" w:cs="Times New Roman" w:eastAsia="Times New Roman" w:hAnsi="Times New Roman"/>
          <w:sz w:val="20"/>
          <w:szCs w:val="20"/>
          <w:color w:val="auto"/>
        </w:rPr>
        <w:t>). Any disagreement between the representatives of the Parties on a Subcommittee will be referred to the JSC for resolution in accordance with Section 3.8 (</w:t>
      </w:r>
      <w:r>
        <w:rPr>
          <w:rFonts w:ascii="Times New Roman" w:cs="Times New Roman" w:eastAsia="Times New Roman" w:hAnsi="Times New Roman"/>
          <w:sz w:val="20"/>
          <w:szCs w:val="20"/>
          <w:i w:val="1"/>
          <w:iCs w:val="1"/>
          <w:color w:val="auto"/>
        </w:rPr>
        <w:t>Resolution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Committee Disputes</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1500" w:hanging="694"/>
        <w:spacing w:after="0" w:line="242" w:lineRule="auto"/>
        <w:tabs>
          <w:tab w:leader="none" w:pos="1480" w:val="left"/>
        </w:tabs>
        <w:rPr>
          <w:sz w:val="20"/>
          <w:szCs w:val="20"/>
          <w:color w:val="auto"/>
        </w:rPr>
      </w:pPr>
      <w:r>
        <w:rPr>
          <w:rFonts w:ascii="Times New Roman" w:cs="Times New Roman" w:eastAsia="Times New Roman" w:hAnsi="Times New Roman"/>
          <w:sz w:val="20"/>
          <w:szCs w:val="20"/>
          <w:color w:val="auto"/>
        </w:rPr>
        <w:t>3.5.2</w:t>
      </w:r>
      <w:r>
        <w:rPr>
          <w:sz w:val="20"/>
          <w:szCs w:val="20"/>
          <w:color w:val="auto"/>
        </w:rPr>
        <w:tab/>
      </w:r>
      <w:r>
        <w:rPr>
          <w:rFonts w:ascii="Times New Roman" w:cs="Times New Roman" w:eastAsia="Times New Roman" w:hAnsi="Times New Roman"/>
          <w:sz w:val="20"/>
          <w:szCs w:val="20"/>
          <w:b w:val="1"/>
          <w:bCs w:val="1"/>
          <w:color w:val="auto"/>
        </w:rPr>
        <w:t>Subcommittee Leadership and Meetings</w:t>
      </w:r>
      <w:r>
        <w:rPr>
          <w:rFonts w:ascii="Times New Roman" w:cs="Times New Roman" w:eastAsia="Times New Roman" w:hAnsi="Times New Roman"/>
          <w:sz w:val="20"/>
          <w:szCs w:val="20"/>
          <w:color w:val="auto"/>
        </w:rPr>
        <w:t>. Fulcrum will designate a co-chairperson of each Subcommittee and Sanofi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designate a co-chairperson of each Subcommittee, each of whom will be a Party’s representative who is a member of such Subcommittee. Every [***] the co-chairpersons of each Subcommittee will alternate serving in the role of “lead co-chairperson.” The lead co-chairperson or his or her designee, in collaboration with the Alliance Managers, will be responsible for calling meetings, preparing and circulating an agenda in advance of each meeting, and preparing and issuing minutes of each meeting within [***] thereafter. Such minutes will not be finalized until all Subcommittee members have had an adequate opportunity to review and confirm the accuracy of such minutes in writing. Each Party may replace its representatives and co-chairpersons on each such Subcommittee at any time upon written notice (with email correspondence being sufficient for such purpose) to the other Party. The Alliance Manager of each Party (or his or her designee) will attend each meeting of each Subcommittee as a non-voting participant. Each Subcommittee will hold meetings at such times as it elects to do so (but in any event at least [***] with respect to the JDC, the JMC and the JCC and at least [***] a year for all other Subcommittees, unless the Parties agree otherwise), and at such locations as the Parties may agree upon or, if agreed by the Parties, by audio or video teleconference. Each Party will be responsible for all of its own expenses of participating in any Subcommittee meeting.</w:t>
      </w:r>
    </w:p>
    <w:p>
      <w:pPr>
        <w:spacing w:after="0" w:line="182" w:lineRule="exact"/>
        <w:rPr>
          <w:sz w:val="20"/>
          <w:szCs w:val="20"/>
          <w:color w:val="auto"/>
        </w:rPr>
      </w:pPr>
    </w:p>
    <w:p>
      <w:pPr>
        <w:jc w:val="both"/>
        <w:ind w:left="1500" w:hanging="694"/>
        <w:spacing w:after="0" w:line="256" w:lineRule="auto"/>
        <w:tabs>
          <w:tab w:leader="none" w:pos="1480" w:val="left"/>
        </w:tabs>
        <w:rPr>
          <w:sz w:val="20"/>
          <w:szCs w:val="20"/>
          <w:color w:val="auto"/>
        </w:rPr>
      </w:pPr>
      <w:r>
        <w:rPr>
          <w:rFonts w:ascii="Times New Roman" w:cs="Times New Roman" w:eastAsia="Times New Roman" w:hAnsi="Times New Roman"/>
          <w:sz w:val="20"/>
          <w:szCs w:val="20"/>
          <w:color w:val="auto"/>
        </w:rPr>
        <w:t>3.5.3</w:t>
      </w:r>
      <w:r>
        <w:rPr>
          <w:sz w:val="20"/>
          <w:szCs w:val="20"/>
          <w:color w:val="auto"/>
        </w:rPr>
        <w:tab/>
      </w:r>
      <w:r>
        <w:rPr>
          <w:rFonts w:ascii="Times New Roman" w:cs="Times New Roman" w:eastAsia="Times New Roman" w:hAnsi="Times New Roman"/>
          <w:sz w:val="20"/>
          <w:szCs w:val="20"/>
          <w:b w:val="1"/>
          <w:bCs w:val="1"/>
          <w:color w:val="auto"/>
        </w:rPr>
        <w:t>Operational Teams</w:t>
      </w:r>
      <w:r>
        <w:rPr>
          <w:rFonts w:ascii="Times New Roman" w:cs="Times New Roman" w:eastAsia="Times New Roman" w:hAnsi="Times New Roman"/>
          <w:sz w:val="20"/>
          <w:szCs w:val="20"/>
          <w:color w:val="auto"/>
        </w:rPr>
        <w:t>. From time-to-time, the JSC or any Subcommittee may establish and delegate specific matters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duties within its responsibilities to directed teams (each, an “</w:t>
      </w:r>
      <w:r>
        <w:rPr>
          <w:rFonts w:ascii="Times New Roman" w:cs="Times New Roman" w:eastAsia="Times New Roman" w:hAnsi="Times New Roman"/>
          <w:sz w:val="20"/>
          <w:szCs w:val="20"/>
          <w:b w:val="1"/>
          <w:bCs w:val="1"/>
          <w:color w:val="auto"/>
        </w:rPr>
        <w:t>Operational Team</w:t>
      </w:r>
      <w:r>
        <w:rPr>
          <w:rFonts w:ascii="Times New Roman" w:cs="Times New Roman" w:eastAsia="Times New Roman" w:hAnsi="Times New Roman"/>
          <w:sz w:val="20"/>
          <w:szCs w:val="20"/>
          <w:color w:val="auto"/>
        </w:rPr>
        <w:t>”), the composition, operation, and responsibilities of which will be determined by the JSC or the applicable establishing Subcommittee (the “</w:t>
      </w:r>
      <w:r>
        <w:rPr>
          <w:rFonts w:ascii="Times New Roman" w:cs="Times New Roman" w:eastAsia="Times New Roman" w:hAnsi="Times New Roman"/>
          <w:sz w:val="20"/>
          <w:szCs w:val="20"/>
          <w:b w:val="1"/>
          <w:bCs w:val="1"/>
          <w:color w:val="auto"/>
        </w:rPr>
        <w:t>Establishing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jc w:val="both"/>
        <w:ind w:left="1500"/>
        <w:spacing w:after="0" w:line="246" w:lineRule="auto"/>
        <w:rPr>
          <w:sz w:val="20"/>
          <w:szCs w:val="20"/>
          <w:color w:val="auto"/>
        </w:rPr>
      </w:pP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Operational Teams may be established on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ad hoc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basis for purposes of a specific activity or on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basis as the applicable Establishing Committee may determine. Each Operational Team will report to, and its activities will be subject to the oversight of, the applicable Establishing Committee. No Operational Team’s authority may exceed that specified for the applicable Establishing Committee. Any disagreement between the representatives of the Parties on any Operational Teams will be referred to the applicable Establishing Committee for resolution in accordance with Section 3.8 (</w:t>
      </w:r>
      <w:r>
        <w:rPr>
          <w:rFonts w:ascii="Times New Roman" w:cs="Times New Roman" w:eastAsia="Times New Roman" w:hAnsi="Times New Roman"/>
          <w:sz w:val="20"/>
          <w:szCs w:val="20"/>
          <w:i w:val="1"/>
          <w:iCs w:val="1"/>
          <w:color w:val="auto"/>
        </w:rPr>
        <w:t>Resolution of Committee Disputes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0"/>
          <w:szCs w:val="20"/>
          <w:b w:val="1"/>
          <w:bCs w:val="1"/>
          <w:color w:val="auto"/>
        </w:rPr>
        <w:t>3.6 Additional Participants</w:t>
      </w:r>
      <w:r>
        <w:rPr>
          <w:rFonts w:ascii="Times New Roman" w:cs="Times New Roman" w:eastAsia="Times New Roman" w:hAnsi="Times New Roman"/>
          <w:sz w:val="20"/>
          <w:szCs w:val="20"/>
          <w:color w:val="auto"/>
        </w:rPr>
        <w:t>. Employees of a Party or any of its Affiliates involved in the Exploitation of the Licensed Compounds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Licensed Products may attend meetings of the JSC or any Subcommittee as non-voting participants with the prior consent of the other Party. In addition, with the prior consent of each Party (with email correspondence being sufficient for such purpose), consultants, representatives, or advisors involved in the same activities and under written obligations of confidentiality and non-use applicable to the Confidential Information of each Party that are at least as stringent as those set forth in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may attend meetings of the JSC or any Subcommittee as non-voting observers.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3.7  Decision-Making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33" w:lineRule="exact"/>
        <w:tabs>
          <w:tab w:leader="none" w:pos="1480" w:val="left"/>
        </w:tabs>
        <w:rPr>
          <w:sz w:val="20"/>
          <w:szCs w:val="20"/>
          <w:color w:val="auto"/>
        </w:rPr>
      </w:pPr>
      <w:r>
        <w:rPr>
          <w:rFonts w:ascii="Times New Roman" w:cs="Times New Roman" w:eastAsia="Times New Roman" w:hAnsi="Times New Roman"/>
          <w:sz w:val="20"/>
          <w:szCs w:val="20"/>
          <w:color w:val="auto"/>
        </w:rPr>
        <w:t>3.7.1</w:t>
      </w:r>
      <w:r>
        <w:rPr>
          <w:sz w:val="20"/>
          <w:szCs w:val="20"/>
          <w:color w:val="auto"/>
        </w:rPr>
        <w:tab/>
      </w:r>
      <w:r>
        <w:rPr>
          <w:rFonts w:ascii="Times New Roman" w:cs="Times New Roman" w:eastAsia="Times New Roman" w:hAnsi="Times New Roman"/>
          <w:sz w:val="20"/>
          <w:szCs w:val="20"/>
          <w:b w:val="1"/>
          <w:bCs w:val="1"/>
          <w:color w:val="auto"/>
        </w:rPr>
        <w:t>General Decision-Making Process</w:t>
      </w:r>
      <w:r>
        <w:rPr>
          <w:rFonts w:ascii="Times New Roman" w:cs="Times New Roman" w:eastAsia="Times New Roman" w:hAnsi="Times New Roman"/>
          <w:sz w:val="20"/>
          <w:szCs w:val="20"/>
          <w:color w:val="auto"/>
        </w:rPr>
        <w:t>. Each Party’s representatives on the JSC and each Subcommittee will, collectively,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one vote (the “</w:t>
      </w:r>
      <w:r>
        <w:rPr>
          <w:rFonts w:ascii="Times New Roman" w:cs="Times New Roman" w:eastAsia="Times New Roman" w:hAnsi="Times New Roman"/>
          <w:sz w:val="20"/>
          <w:szCs w:val="20"/>
          <w:b w:val="1"/>
          <w:bCs w:val="1"/>
          <w:color w:val="auto"/>
        </w:rPr>
        <w:t>Party Vote</w:t>
      </w:r>
      <w:r>
        <w:rPr>
          <w:rFonts w:ascii="Times New Roman" w:cs="Times New Roman" w:eastAsia="Times New Roman" w:hAnsi="Times New Roman"/>
          <w:sz w:val="20"/>
          <w:szCs w:val="20"/>
          <w:color w:val="auto"/>
        </w:rPr>
        <w:t>”) on all matters brought before such committee for a decision by consensus. The JSC and each Subcommittee will make decisions as to matters within its jurisdiction by unanimous Party Vote, which may be reflected in the minutes of the committee meeting or by an action by written consent signed by the co-chairperson appointed by each Party or his or her designee identified in writing (for the purpose of this Section 3.7.1 (</w:t>
      </w: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Decision-Making Process</w:t>
      </w:r>
      <w:r>
        <w:rPr>
          <w:rFonts w:ascii="Times New Roman" w:cs="Times New Roman" w:eastAsia="Times New Roman" w:hAnsi="Times New Roman"/>
          <w:sz w:val="20"/>
          <w:szCs w:val="20"/>
          <w:color w:val="auto"/>
        </w:rPr>
        <w:t>), consent via email will be allowed). Except as otherwise expressly set forth in this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phrase “determine,” “designate,” “align,” “approve,” or “determine whether to approve” by the JSC or any Subcommittee and similar phrases used in this Agreement will mean approval in accordance with this Section 3.7 (</w:t>
      </w:r>
      <w:r>
        <w:rPr>
          <w:rFonts w:ascii="Times New Roman" w:cs="Times New Roman" w:eastAsia="Times New Roman" w:hAnsi="Times New Roman"/>
          <w:sz w:val="20"/>
          <w:szCs w:val="20"/>
          <w:i w:val="1"/>
          <w:iCs w:val="1"/>
          <w:color w:val="auto"/>
        </w:rPr>
        <w:t>Decision</w:t>
      </w:r>
      <w:r>
        <w:rPr>
          <w:rFonts w:ascii="MS PGothic" w:cs="MS PGothic" w:eastAsia="MS PGothic" w:hAnsi="MS PGothic"/>
          <w:sz w:val="20"/>
          <w:szCs w:val="20"/>
          <w:i w:val="1"/>
          <w:iCs w:val="1"/>
          <w:color w:val="auto"/>
        </w:rPr>
        <w:t>‑</w:t>
      </w:r>
      <w:r>
        <w:rPr>
          <w:rFonts w:ascii="Times New Roman" w:cs="Times New Roman" w:eastAsia="Times New Roman" w:hAnsi="Times New Roman"/>
          <w:sz w:val="20"/>
          <w:szCs w:val="20"/>
          <w:i w:val="1"/>
          <w:iCs w:val="1"/>
          <w:color w:val="auto"/>
        </w:rPr>
        <w:t>Making</w:t>
      </w:r>
      <w:r>
        <w:rPr>
          <w:rFonts w:ascii="Times New Roman" w:cs="Times New Roman" w:eastAsia="Times New Roman" w:hAnsi="Times New Roman"/>
          <w:sz w:val="20"/>
          <w:szCs w:val="20"/>
          <w:color w:val="auto"/>
        </w:rPr>
        <w:t>), including the escalation and tie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breaking provisions herein. For the avoidance of doubt, matters that are specified in Section 3.1.5 (</w:t>
      </w:r>
      <w:r>
        <w:rPr>
          <w:rFonts w:ascii="Times New Roman" w:cs="Times New Roman" w:eastAsia="Times New Roman" w:hAnsi="Times New Roman"/>
          <w:sz w:val="20"/>
          <w:szCs w:val="20"/>
          <w:i w:val="1"/>
          <w:iCs w:val="1"/>
          <w:color w:val="auto"/>
        </w:rPr>
        <w:t>Specific Responsibilities of the JSC</w:t>
      </w:r>
      <w:r>
        <w:rPr>
          <w:rFonts w:ascii="Times New Roman" w:cs="Times New Roman" w:eastAsia="Times New Roman" w:hAnsi="Times New Roman"/>
          <w:sz w:val="20"/>
          <w:szCs w:val="20"/>
          <w:color w:val="auto"/>
        </w:rPr>
        <w:t>), Section 3.2.3 (</w:t>
      </w:r>
      <w:r>
        <w:rPr>
          <w:rFonts w:ascii="Times New Roman" w:cs="Times New Roman" w:eastAsia="Times New Roman" w:hAnsi="Times New Roman"/>
          <w:sz w:val="20"/>
          <w:szCs w:val="20"/>
          <w:i w:val="1"/>
          <w:iCs w:val="1"/>
          <w:color w:val="auto"/>
        </w:rPr>
        <w:t>Specific Responsibilities of the JDC</w:t>
      </w:r>
      <w:r>
        <w:rPr>
          <w:rFonts w:ascii="Times New Roman" w:cs="Times New Roman" w:eastAsia="Times New Roman" w:hAnsi="Times New Roman"/>
          <w:sz w:val="20"/>
          <w:szCs w:val="20"/>
          <w:color w:val="auto"/>
        </w:rPr>
        <w:t>), Section 3.3.3 (</w:t>
      </w:r>
      <w:r>
        <w:rPr>
          <w:rFonts w:ascii="Times New Roman" w:cs="Times New Roman" w:eastAsia="Times New Roman" w:hAnsi="Times New Roman"/>
          <w:sz w:val="20"/>
          <w:szCs w:val="20"/>
          <w:i w:val="1"/>
          <w:iCs w:val="1"/>
          <w:color w:val="auto"/>
        </w:rPr>
        <w:t>Specific Responsibilities of the JMC</w:t>
      </w:r>
      <w:r>
        <w:rPr>
          <w:rFonts w:ascii="Times New Roman" w:cs="Times New Roman" w:eastAsia="Times New Roman" w:hAnsi="Times New Roman"/>
          <w:sz w:val="20"/>
          <w:szCs w:val="20"/>
          <w:color w:val="auto"/>
        </w:rPr>
        <w:t>) or Section 3.4.3 (</w:t>
      </w:r>
      <w:r>
        <w:rPr>
          <w:rFonts w:ascii="Times New Roman" w:cs="Times New Roman" w:eastAsia="Times New Roman" w:hAnsi="Times New Roman"/>
          <w:sz w:val="20"/>
          <w:szCs w:val="20"/>
          <w:i w:val="1"/>
          <w:iCs w:val="1"/>
          <w:color w:val="auto"/>
        </w:rPr>
        <w:t>Specific Responsibilities of the JCC</w:t>
      </w:r>
      <w:r>
        <w:rPr>
          <w:rFonts w:ascii="Times New Roman" w:cs="Times New Roman" w:eastAsia="Times New Roman" w:hAnsi="Times New Roman"/>
          <w:sz w:val="20"/>
          <w:szCs w:val="20"/>
          <w:color w:val="auto"/>
        </w:rPr>
        <w:t>) to be reviewed and discussed (as opposed to reviewed, discussed, and approved) do not require any agreement or decision by either Party and are not subject to the voting and decision-making procedures set forth in this Section 3.7 (</w:t>
      </w:r>
      <w:r>
        <w:rPr>
          <w:rFonts w:ascii="Times New Roman" w:cs="Times New Roman" w:eastAsia="Times New Roman" w:hAnsi="Times New Roman"/>
          <w:sz w:val="20"/>
          <w:szCs w:val="20"/>
          <w:i w:val="1"/>
          <w:iCs w:val="1"/>
          <w:color w:val="auto"/>
        </w:rPr>
        <w:t>Decision</w:t>
      </w:r>
      <w:r>
        <w:rPr>
          <w:rFonts w:ascii="MS PGothic" w:cs="MS PGothic" w:eastAsia="MS PGothic" w:hAnsi="MS PGothic"/>
          <w:sz w:val="20"/>
          <w:szCs w:val="20"/>
          <w:i w:val="1"/>
          <w:iCs w:val="1"/>
          <w:color w:val="auto"/>
        </w:rPr>
        <w:t>‑</w:t>
      </w:r>
      <w:r>
        <w:rPr>
          <w:rFonts w:ascii="Times New Roman" w:cs="Times New Roman" w:eastAsia="Times New Roman" w:hAnsi="Times New Roman"/>
          <w:sz w:val="20"/>
          <w:szCs w:val="20"/>
          <w:i w:val="1"/>
          <w:iCs w:val="1"/>
          <w:color w:val="auto"/>
        </w:rPr>
        <w:t>Making</w:t>
      </w:r>
      <w:r>
        <w:rPr>
          <w:rFonts w:ascii="Times New Roman" w:cs="Times New Roman" w:eastAsia="Times New Roman" w:hAnsi="Times New Roman"/>
          <w:sz w:val="20"/>
          <w:szCs w:val="20"/>
          <w:color w:val="auto"/>
        </w:rPr>
        <w:t>) or Section 3.8 (</w:t>
      </w:r>
      <w:r>
        <w:rPr>
          <w:rFonts w:ascii="Times New Roman" w:cs="Times New Roman" w:eastAsia="Times New Roman" w:hAnsi="Times New Roman"/>
          <w:sz w:val="20"/>
          <w:szCs w:val="20"/>
          <w:i w:val="1"/>
          <w:iCs w:val="1"/>
          <w:color w:val="auto"/>
        </w:rPr>
        <w:t>Resolution of Committee Disputes</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3.7.2</w:t>
      </w:r>
      <w:r>
        <w:rPr>
          <w:sz w:val="20"/>
          <w:szCs w:val="20"/>
          <w:color w:val="auto"/>
        </w:rPr>
        <w:tab/>
      </w:r>
      <w:r>
        <w:rPr>
          <w:rFonts w:ascii="Times New Roman" w:cs="Times New Roman" w:eastAsia="Times New Roman" w:hAnsi="Times New Roman"/>
          <w:sz w:val="20"/>
          <w:szCs w:val="20"/>
          <w:b w:val="1"/>
          <w:bCs w:val="1"/>
          <w:color w:val="auto"/>
        </w:rPr>
        <w:t>Decisions of the Subcommittees</w:t>
      </w:r>
      <w:r>
        <w:rPr>
          <w:rFonts w:ascii="Times New Roman" w:cs="Times New Roman" w:eastAsia="Times New Roman" w:hAnsi="Times New Roman"/>
          <w:sz w:val="20"/>
          <w:szCs w:val="20"/>
          <w:color w:val="auto"/>
        </w:rPr>
        <w:t>. If the Alliance Managers or any Subcommittee cannot reach unanimous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using good faith efforts on any matter within their respective scope of authority within [***] of the meeting at which such matter was discussed, then a Party may refer such matter to the JSC for resolution in accordance with Section 3.7.3 (</w:t>
      </w:r>
      <w:r>
        <w:rPr>
          <w:rFonts w:ascii="Times New Roman" w:cs="Times New Roman" w:eastAsia="Times New Roman" w:hAnsi="Times New Roman"/>
          <w:sz w:val="20"/>
          <w:szCs w:val="20"/>
          <w:i w:val="1"/>
          <w:iCs w:val="1"/>
          <w:color w:val="auto"/>
        </w:rPr>
        <w:t>Decisions of the JSC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 Party shall refer any such matter relating to the approval of the Sanofi Independent Development Plan or the Fulcrum Independent Development Plan, or any update thereto, to the Party’s respective Executive Officer for resolution in accordance with Section 3.8.1 (</w:t>
      </w:r>
      <w:r>
        <w:rPr>
          <w:rFonts w:ascii="Times New Roman" w:cs="Times New Roman" w:eastAsia="Times New Roman" w:hAnsi="Times New Roman"/>
          <w:sz w:val="20"/>
          <w:szCs w:val="20"/>
          <w:i w:val="1"/>
          <w:iCs w:val="1"/>
          <w:color w:val="auto"/>
        </w:rPr>
        <w:t>Referral to Executive Officers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1500" w:hanging="694"/>
        <w:spacing w:after="0" w:line="256" w:lineRule="auto"/>
        <w:tabs>
          <w:tab w:leader="none" w:pos="1480" w:val="left"/>
        </w:tabs>
        <w:rPr>
          <w:sz w:val="20"/>
          <w:szCs w:val="20"/>
          <w:color w:val="auto"/>
        </w:rPr>
      </w:pPr>
      <w:r>
        <w:rPr>
          <w:rFonts w:ascii="Times New Roman" w:cs="Times New Roman" w:eastAsia="Times New Roman" w:hAnsi="Times New Roman"/>
          <w:sz w:val="20"/>
          <w:szCs w:val="20"/>
          <w:color w:val="auto"/>
        </w:rPr>
        <w:t>3.7.3</w:t>
      </w:r>
      <w:r>
        <w:rPr>
          <w:sz w:val="20"/>
          <w:szCs w:val="20"/>
          <w:color w:val="auto"/>
        </w:rPr>
        <w:tab/>
      </w:r>
      <w:r>
        <w:rPr>
          <w:rFonts w:ascii="Times New Roman" w:cs="Times New Roman" w:eastAsia="Times New Roman" w:hAnsi="Times New Roman"/>
          <w:sz w:val="20"/>
          <w:szCs w:val="20"/>
          <w:b w:val="1"/>
          <w:bCs w:val="1"/>
          <w:color w:val="auto"/>
        </w:rPr>
        <w:t>Decisions of the JSC</w:t>
      </w:r>
      <w:r>
        <w:rPr>
          <w:rFonts w:ascii="Times New Roman" w:cs="Times New Roman" w:eastAsia="Times New Roman" w:hAnsi="Times New Roman"/>
          <w:sz w:val="20"/>
          <w:szCs w:val="20"/>
          <w:color w:val="auto"/>
        </w:rPr>
        <w:t>. The JSC will use good faith efforts, in compliance with this Section 3.7.3 (</w:t>
      </w:r>
      <w:r>
        <w:rPr>
          <w:rFonts w:ascii="Times New Roman" w:cs="Times New Roman" w:eastAsia="Times New Roman" w:hAnsi="Times New Roman"/>
          <w:sz w:val="20"/>
          <w:szCs w:val="20"/>
          <w:i w:val="1"/>
          <w:iCs w:val="1"/>
          <w:color w:val="auto"/>
        </w:rPr>
        <w:t>Decisions of the JSC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promptly resolve any such matter for which it has authority. If, after the use of good faith efforts, the JSC is unable to resolve any such matter referred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7" w:name="page128"/>
    <w:bookmarkEnd w:id="127"/>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to it by any Subcommittee or any matter with respect to the matters within the scope of the JSC’s authority or any other disagreement between the Parties that may be referred to the JSC, in each case, within a period of [***], then a Party may refer such matter to the Party’s respective Executive Officer for resolution in accordance with Section 3.8.1 (</w:t>
      </w:r>
      <w:r>
        <w:rPr>
          <w:rFonts w:ascii="Times New Roman" w:cs="Times New Roman" w:eastAsia="Times New Roman" w:hAnsi="Times New Roman"/>
          <w:sz w:val="20"/>
          <w:szCs w:val="20"/>
          <w:i w:val="1"/>
          <w:iCs w:val="1"/>
          <w:color w:val="auto"/>
        </w:rPr>
        <w:t>Referral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Executive Officers</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3.8  Resolution of Committee Disputes</w:t>
      </w:r>
      <w:r>
        <w:rPr>
          <w:rFonts w:ascii="Times New Roman" w:cs="Times New Roman" w:eastAsia="Times New Roman" w:hAnsi="Times New Roman"/>
          <w:sz w:val="20"/>
          <w:szCs w:val="20"/>
          <w:u w:val="single" w:color="auto"/>
          <w:color w:val="auto"/>
        </w:rPr>
        <w:t>.</w:t>
      </w:r>
    </w:p>
    <w:p>
      <w:pPr>
        <w:spacing w:after="0" w:line="216" w:lineRule="exact"/>
        <w:rPr>
          <w:sz w:val="20"/>
          <w:szCs w:val="20"/>
          <w:color w:val="auto"/>
        </w:rPr>
      </w:pPr>
    </w:p>
    <w:p>
      <w:pPr>
        <w:jc w:val="both"/>
        <w:ind w:left="1500" w:hanging="694"/>
        <w:spacing w:after="0" w:line="245" w:lineRule="auto"/>
        <w:tabs>
          <w:tab w:leader="none" w:pos="1480" w:val="left"/>
        </w:tabs>
        <w:rPr>
          <w:sz w:val="20"/>
          <w:szCs w:val="20"/>
          <w:color w:val="auto"/>
        </w:rPr>
      </w:pPr>
      <w:r>
        <w:rPr>
          <w:rFonts w:ascii="Times New Roman" w:cs="Times New Roman" w:eastAsia="Times New Roman" w:hAnsi="Times New Roman"/>
          <w:sz w:val="20"/>
          <w:szCs w:val="20"/>
          <w:color w:val="auto"/>
        </w:rPr>
        <w:t>3.8.1</w:t>
      </w:r>
      <w:r>
        <w:rPr>
          <w:sz w:val="20"/>
          <w:szCs w:val="20"/>
          <w:color w:val="auto"/>
        </w:rPr>
        <w:tab/>
      </w:r>
      <w:r>
        <w:rPr>
          <w:rFonts w:ascii="Times New Roman" w:cs="Times New Roman" w:eastAsia="Times New Roman" w:hAnsi="Times New Roman"/>
          <w:sz w:val="20"/>
          <w:szCs w:val="20"/>
          <w:b w:val="1"/>
          <w:bCs w:val="1"/>
          <w:color w:val="auto"/>
        </w:rPr>
        <w:t>Referral to Executive Officers</w:t>
      </w:r>
      <w:r>
        <w:rPr>
          <w:rFonts w:ascii="Times New Roman" w:cs="Times New Roman" w:eastAsia="Times New Roman" w:hAnsi="Times New Roman"/>
          <w:sz w:val="20"/>
          <w:szCs w:val="20"/>
          <w:color w:val="auto"/>
        </w:rPr>
        <w:t>. If a Party makes an election under Section 3.7.3 (</w:t>
      </w:r>
      <w:r>
        <w:rPr>
          <w:rFonts w:ascii="Times New Roman" w:cs="Times New Roman" w:eastAsia="Times New Roman" w:hAnsi="Times New Roman"/>
          <w:sz w:val="20"/>
          <w:szCs w:val="20"/>
          <w:i w:val="1"/>
          <w:iCs w:val="1"/>
          <w:color w:val="auto"/>
        </w:rPr>
        <w:t>Decisions of the JSC</w:t>
      </w:r>
      <w:r>
        <w:rPr>
          <w:rFonts w:ascii="Times New Roman" w:cs="Times New Roman" w:eastAsia="Times New Roman" w:hAnsi="Times New Roman"/>
          <w:sz w:val="20"/>
          <w:szCs w:val="20"/>
          <w:color w:val="auto"/>
        </w:rPr>
        <w:t>) or the proviso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Section 3.7.2 (</w:t>
      </w:r>
      <w:r>
        <w:rPr>
          <w:rFonts w:ascii="Times New Roman" w:cs="Times New Roman" w:eastAsia="Times New Roman" w:hAnsi="Times New Roman"/>
          <w:sz w:val="20"/>
          <w:szCs w:val="20"/>
          <w:i w:val="1"/>
          <w:iCs w:val="1"/>
          <w:color w:val="auto"/>
        </w:rPr>
        <w:t>Decisions of the Subcommittees</w:t>
      </w:r>
      <w:r>
        <w:rPr>
          <w:rFonts w:ascii="Times New Roman" w:cs="Times New Roman" w:eastAsia="Times New Roman" w:hAnsi="Times New Roman"/>
          <w:sz w:val="20"/>
          <w:szCs w:val="20"/>
          <w:color w:val="auto"/>
        </w:rPr>
        <w:t>) to refer for resolution by the Executive Officers a matter as to which the JSC or the JDC cannot reach a consensus decision, then the JSC or the JDC, as applicable, will submit in writing the respective positions of the Parties to their respective Executive Officers. The Executive Officers will use good faith efforts to resolve any such matter so referred to them as soon as practicable but in any event within [***] after such matter is referred to them, and any final decision that the Executive Officers agree to in writing will be conclusive and binding on the Parties.</w:t>
      </w:r>
    </w:p>
    <w:p>
      <w:pPr>
        <w:spacing w:after="0" w:line="179" w:lineRule="exact"/>
        <w:rPr>
          <w:sz w:val="20"/>
          <w:szCs w:val="20"/>
          <w:color w:val="auto"/>
        </w:rPr>
      </w:pPr>
    </w:p>
    <w:p>
      <w:pPr>
        <w:jc w:val="both"/>
        <w:ind w:left="1500" w:hanging="694"/>
        <w:spacing w:after="0" w:line="256" w:lineRule="auto"/>
        <w:tabs>
          <w:tab w:leader="none" w:pos="1480" w:val="left"/>
        </w:tabs>
        <w:rPr>
          <w:sz w:val="20"/>
          <w:szCs w:val="20"/>
          <w:color w:val="auto"/>
        </w:rPr>
      </w:pPr>
      <w:r>
        <w:rPr>
          <w:rFonts w:ascii="Times New Roman" w:cs="Times New Roman" w:eastAsia="Times New Roman" w:hAnsi="Times New Roman"/>
          <w:sz w:val="20"/>
          <w:szCs w:val="20"/>
          <w:color w:val="auto"/>
        </w:rPr>
        <w:t>3.8.2</w:t>
      </w:r>
      <w:r>
        <w:rPr>
          <w:sz w:val="20"/>
          <w:szCs w:val="20"/>
          <w:color w:val="auto"/>
        </w:rPr>
        <w:tab/>
      </w:r>
      <w:r>
        <w:rPr>
          <w:rFonts w:ascii="Times New Roman" w:cs="Times New Roman" w:eastAsia="Times New Roman" w:hAnsi="Times New Roman"/>
          <w:sz w:val="20"/>
          <w:szCs w:val="20"/>
          <w:b w:val="1"/>
          <w:bCs w:val="1"/>
          <w:color w:val="auto"/>
        </w:rPr>
        <w:t>Final Decision-Making Authority</w:t>
      </w:r>
      <w:r>
        <w:rPr>
          <w:rFonts w:ascii="Times New Roman" w:cs="Times New Roman" w:eastAsia="Times New Roman" w:hAnsi="Times New Roman"/>
          <w:sz w:val="20"/>
          <w:szCs w:val="20"/>
          <w:color w:val="auto"/>
        </w:rPr>
        <w:t>. If the Executive Officers are unable to reach agreement on any such matter 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referred within [***] after such matter is referred to them (or such longer period as the Executive Officers may agree upon), then, subject to Section 3.8.3 (</w:t>
      </w:r>
      <w:r>
        <w:rPr>
          <w:rFonts w:ascii="Times New Roman" w:cs="Times New Roman" w:eastAsia="Times New Roman" w:hAnsi="Times New Roman"/>
          <w:sz w:val="20"/>
          <w:szCs w:val="20"/>
          <w:i w:val="1"/>
          <w:iCs w:val="1"/>
          <w:color w:val="auto"/>
        </w:rPr>
        <w:t>Limitations on Decision Making</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2260" w:hanging="754"/>
        <w:spacing w:after="0" w:line="243" w:lineRule="auto"/>
        <w:tabs>
          <w:tab w:leader="none" w:pos="190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Change; Status Quo</w:t>
      </w:r>
      <w:r>
        <w:rPr>
          <w:rFonts w:ascii="Times New Roman" w:cs="Times New Roman" w:eastAsia="Times New Roman" w:hAnsi="Times New Roman"/>
          <w:sz w:val="20"/>
          <w:szCs w:val="20"/>
          <w:color w:val="auto"/>
        </w:rPr>
        <w:t>. Neither Party will have final decision-making authority with respect to the final resolution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disagreement that is not subject to Fulcrum’s final decision making authority under Section 3.8.2(b) (</w:t>
      </w:r>
      <w:r>
        <w:rPr>
          <w:rFonts w:ascii="Times New Roman" w:cs="Times New Roman" w:eastAsia="Times New Roman" w:hAnsi="Times New Roman"/>
          <w:sz w:val="20"/>
          <w:szCs w:val="20"/>
          <w:i w:val="1"/>
          <w:iCs w:val="1"/>
          <w:color w:val="auto"/>
        </w:rPr>
        <w:t>Fulcrum Final Decision-Making Authority</w:t>
      </w:r>
      <w:r>
        <w:rPr>
          <w:rFonts w:ascii="Times New Roman" w:cs="Times New Roman" w:eastAsia="Times New Roman" w:hAnsi="Times New Roman"/>
          <w:sz w:val="20"/>
          <w:szCs w:val="20"/>
          <w:color w:val="auto"/>
        </w:rPr>
        <w:t>), or Sanofi’s final decision making authority under Section 3.8.2(c) (</w:t>
      </w:r>
      <w:r>
        <w:rPr>
          <w:rFonts w:ascii="Times New Roman" w:cs="Times New Roman" w:eastAsia="Times New Roman" w:hAnsi="Times New Roman"/>
          <w:sz w:val="20"/>
          <w:szCs w:val="20"/>
          <w:i w:val="1"/>
          <w:iCs w:val="1"/>
          <w:color w:val="auto"/>
        </w:rPr>
        <w:t>Sanofi Final Decision-Making Authority</w:t>
      </w:r>
      <w:r>
        <w:rPr>
          <w:rFonts w:ascii="Times New Roman" w:cs="Times New Roman" w:eastAsia="Times New Roman" w:hAnsi="Times New Roman"/>
          <w:sz w:val="20"/>
          <w:szCs w:val="20"/>
          <w:color w:val="auto"/>
        </w:rPr>
        <w:t>), including any disagreement related to the approval of (i) any update to the Global Development Plan or Global Development Budget, (ii) the initial Joint Commercialization Strategy or any update thereto, or (iii) the initial joint publication strategy or any update thereto. Additionally, neither Party will have final decision-making authority with respect to the finalization of the initial budget for the Open Budget Studies, which will be resolved pursuant to Section 3.8.2(d) (</w:t>
      </w:r>
      <w:r>
        <w:rPr>
          <w:rFonts w:ascii="Times New Roman" w:cs="Times New Roman" w:eastAsia="Times New Roman" w:hAnsi="Times New Roman"/>
          <w:sz w:val="20"/>
          <w:szCs w:val="20"/>
          <w:i w:val="1"/>
          <w:iCs w:val="1"/>
          <w:color w:val="auto"/>
        </w:rPr>
        <w:t>Final Decision-Making Authority for Open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Budget Studies</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left="1900" w:hanging="394"/>
        <w:spacing w:after="0"/>
        <w:tabs>
          <w:tab w:leader="none" w:pos="1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Fulcrum Final Decision-Making Authority</w:t>
      </w:r>
      <w:r>
        <w:rPr>
          <w:rFonts w:ascii="Times New Roman" w:cs="Times New Roman" w:eastAsia="Times New Roman" w:hAnsi="Times New Roman"/>
          <w:sz w:val="20"/>
          <w:szCs w:val="20"/>
          <w:color w:val="auto"/>
        </w:rPr>
        <w:t>. Fulcrum will have final decision-making authority over:</w:t>
      </w:r>
    </w:p>
    <w:p>
      <w:pPr>
        <w:spacing w:after="0" w:line="219" w:lineRule="exact"/>
        <w:rPr>
          <w:rFonts w:ascii="Times New Roman" w:cs="Times New Roman" w:eastAsia="Times New Roman" w:hAnsi="Times New Roman"/>
          <w:sz w:val="20"/>
          <w:szCs w:val="20"/>
          <w:color w:val="auto"/>
        </w:rPr>
      </w:pPr>
    </w:p>
    <w:p>
      <w:pPr>
        <w:ind w:left="3000" w:hanging="746"/>
        <w:spacing w:after="0" w:line="243" w:lineRule="auto"/>
        <w:tabs>
          <w:tab w:leader="none" w:pos="2647"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matters related to the Fulcrum Independent Development Program, including approval of the Fulcrum Independent Development Plan and any updates thereto, (A)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Fulcrum Independent Development Plan is at all times consistent with the Global Development Plan and (B) except to the extent Fulcrum’s conduct of the Fulcrum Independent Development Activities (including any Additional Activities conducted by or on behalf of Fulcrum pursuant to Section 5.3.1(c)(i) (</w:t>
      </w:r>
      <w:r>
        <w:rPr>
          <w:rFonts w:ascii="Times New Roman" w:cs="Times New Roman" w:eastAsia="Times New Roman" w:hAnsi="Times New Roman"/>
          <w:sz w:val="20"/>
          <w:szCs w:val="20"/>
          <w:i w:val="1"/>
          <w:iCs w:val="1"/>
          <w:color w:val="auto"/>
        </w:rPr>
        <w:t>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Activities under Global Development Plan</w:t>
      </w:r>
      <w:r>
        <w:rPr>
          <w:rFonts w:ascii="Times New Roman" w:cs="Times New Roman" w:eastAsia="Times New Roman" w:hAnsi="Times New Roman"/>
          <w:sz w:val="20"/>
          <w:szCs w:val="20"/>
          <w:color w:val="auto"/>
        </w:rPr>
        <w:t>)) has a Material Adverse Effect with respect to Sanofi,</w:t>
      </w:r>
      <w:r>
        <w:rPr>
          <w:rFonts w:ascii="Times New Roman" w:cs="Times New Roman" w:eastAsia="Times New Roman" w:hAnsi="Times New Roman"/>
          <w:sz w:val="20"/>
          <w:szCs w:val="20"/>
          <w:i w:val="1"/>
          <w:iCs w:val="1"/>
          <w:color w:val="auto"/>
        </w:rPr>
        <w:t xml:space="preserve"> provided </w:t>
      </w:r>
      <w:r>
        <w:rPr>
          <w:rFonts w:ascii="Times New Roman" w:cs="Times New Roman" w:eastAsia="Times New Roman" w:hAnsi="Times New Roman"/>
          <w:sz w:val="20"/>
          <w:szCs w:val="20"/>
          <w:color w:val="auto"/>
        </w:rPr>
        <w:t>that any dispute over whether Fulcrum’s conduct has such a Material Adverse Effect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 to Sanofi shall be resolved in accordance with Section 15.1 (</w:t>
      </w:r>
      <w:r>
        <w:rPr>
          <w:rFonts w:ascii="Times New Roman" w:cs="Times New Roman" w:eastAsia="Times New Roman" w:hAnsi="Times New Roman"/>
          <w:sz w:val="20"/>
          <w:szCs w:val="20"/>
          <w:i w:val="1"/>
          <w:iCs w:val="1"/>
          <w:color w:val="auto"/>
        </w:rPr>
        <w:t>Dispute Resolution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ind w:left="1880" w:hanging="746"/>
        <w:spacing w:after="0" w:line="246" w:lineRule="auto"/>
        <w:tabs>
          <w:tab w:leader="none" w:pos="152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matters to the extent related to the Commercialization of Licensed Product in the Fulcrum Territory, including matters related to the use of the Fulcrum Product Trademarks or Trademarks deemed to be Sanofi Product Trademarks under Section 10.11.1(c) (</w:t>
      </w:r>
      <w:r>
        <w:rPr>
          <w:rFonts w:ascii="Times New Roman" w:cs="Times New Roman" w:eastAsia="Times New Roman" w:hAnsi="Times New Roman"/>
          <w:sz w:val="20"/>
          <w:szCs w:val="20"/>
          <w:i w:val="1"/>
          <w:iCs w:val="1"/>
          <w:color w:val="auto"/>
        </w:rPr>
        <w:t>Jointly-Determined Brand Names</w:t>
      </w:r>
      <w:r>
        <w:rPr>
          <w:rFonts w:ascii="Times New Roman" w:cs="Times New Roman" w:eastAsia="Times New Roman" w:hAnsi="Times New Roman"/>
          <w:sz w:val="20"/>
          <w:szCs w:val="20"/>
          <w:color w:val="auto"/>
        </w:rPr>
        <w:t>) in the Fulcrum Territory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Commercialization is at all times consistent with the Joint Commercialization Strategy), and</w:t>
      </w:r>
    </w:p>
    <w:p>
      <w:pPr>
        <w:spacing w:after="0" w:line="184" w:lineRule="exact"/>
        <w:rPr>
          <w:rFonts w:ascii="Times New Roman" w:cs="Times New Roman" w:eastAsia="Times New Roman" w:hAnsi="Times New Roman"/>
          <w:sz w:val="20"/>
          <w:szCs w:val="20"/>
          <w:color w:val="auto"/>
        </w:rPr>
      </w:pPr>
    </w:p>
    <w:p>
      <w:pPr>
        <w:ind w:left="1880" w:hanging="746"/>
        <w:spacing w:after="0" w:line="254" w:lineRule="auto"/>
        <w:tabs>
          <w:tab w:leader="none" w:pos="152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matters that are solely related to the day-to-day execution of Clinical Trials of the Licensed Compounds and Licensed Products sponsored solely by Fulcrum or its Affiliates under the Global Development Plan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execution is at all times consistent with the Global Development Plan),</w:t>
      </w:r>
    </w:p>
    <w:p>
      <w:pPr>
        <w:spacing w:after="0" w:line="174" w:lineRule="exact"/>
        <w:rPr>
          <w:sz w:val="20"/>
          <w:szCs w:val="20"/>
          <w:color w:val="auto"/>
        </w:rPr>
      </w:pPr>
    </w:p>
    <w:p>
      <w:pPr>
        <w:ind w:left="1140" w:firstLine="749"/>
        <w:spacing w:after="0" w:line="269" w:lineRule="auto"/>
        <w:rPr>
          <w:sz w:val="20"/>
          <w:szCs w:val="20"/>
          <w:color w:val="auto"/>
        </w:rPr>
      </w:pPr>
      <w:r>
        <w:rPr>
          <w:rFonts w:ascii="Times New Roman" w:cs="Times New Roman" w:eastAsia="Times New Roman" w:hAnsi="Times New Roman"/>
          <w:sz w:val="20"/>
          <w:szCs w:val="20"/>
          <w:color w:val="auto"/>
        </w:rPr>
        <w:t>in each case ((i)-(iii)), solely to the extent such matters are not subject to Sanofi’s final decision-making authority under Section 3.8.2(c) (</w:t>
      </w:r>
      <w:r>
        <w:rPr>
          <w:rFonts w:ascii="Times New Roman" w:cs="Times New Roman" w:eastAsia="Times New Roman" w:hAnsi="Times New Roman"/>
          <w:sz w:val="20"/>
          <w:szCs w:val="20"/>
          <w:i w:val="1"/>
          <w:iCs w:val="1"/>
          <w:color w:val="auto"/>
        </w:rPr>
        <w:t>Sanofi Final Decision-Making Authority</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780" w:hanging="394"/>
        <w:spacing w:after="0"/>
        <w:tabs>
          <w:tab w:leader="none" w:pos="7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Sanofi Final Decision-Making Authority</w:t>
      </w:r>
      <w:r>
        <w:rPr>
          <w:rFonts w:ascii="Times New Roman" w:cs="Times New Roman" w:eastAsia="Times New Roman" w:hAnsi="Times New Roman"/>
          <w:sz w:val="20"/>
          <w:szCs w:val="20"/>
          <w:color w:val="auto"/>
        </w:rPr>
        <w:t>. Sanofi will have final decision-making authority over:</w:t>
      </w:r>
    </w:p>
    <w:p>
      <w:pPr>
        <w:spacing w:after="0" w:line="219" w:lineRule="exact"/>
        <w:rPr>
          <w:rFonts w:ascii="Times New Roman" w:cs="Times New Roman" w:eastAsia="Times New Roman" w:hAnsi="Times New Roman"/>
          <w:sz w:val="20"/>
          <w:szCs w:val="20"/>
          <w:color w:val="auto"/>
        </w:rPr>
      </w:pPr>
    </w:p>
    <w:p>
      <w:pPr>
        <w:ind w:left="1880" w:hanging="746"/>
        <w:spacing w:after="0" w:line="243" w:lineRule="auto"/>
        <w:tabs>
          <w:tab w:leader="none" w:pos="1527"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matters related to the Sanofi Independent Development Program, including approval of the Sanofi Independent Development Plan and any updates thereto, (A)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Sanofi Independent Development Plan is at all times consistent with the Global Development Plan and (B) except to the extent Sanofi’s conduct of the Sanofi Independent Development Activities (including any Additional Activities conducted by or on behalf of Sanofi or its Affiliates pursuant to Section 5.3.1(c)(i) (</w:t>
      </w:r>
      <w:r>
        <w:rPr>
          <w:rFonts w:ascii="Times New Roman" w:cs="Times New Roman" w:eastAsia="Times New Roman" w:hAnsi="Times New Roman"/>
          <w:sz w:val="20"/>
          <w:szCs w:val="20"/>
          <w:i w:val="1"/>
          <w:iCs w:val="1"/>
          <w:color w:val="auto"/>
        </w:rPr>
        <w:t>Additional Activities under Global Development Plan</w:t>
      </w:r>
      <w:r>
        <w:rPr>
          <w:rFonts w:ascii="Times New Roman" w:cs="Times New Roman" w:eastAsia="Times New Roman" w:hAnsi="Times New Roman"/>
          <w:sz w:val="20"/>
          <w:szCs w:val="20"/>
          <w:color w:val="auto"/>
        </w:rPr>
        <w:t xml:space="preserve">)) has a Material Adverse Effect with respect to Fulcrum,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dispute over whether Sanofi’s conduct has such a Material Adverse Effect with respect to Fulcrum shall be resolved in accordance with Section 15.1 (</w:t>
      </w:r>
      <w:r>
        <w:rPr>
          <w:rFonts w:ascii="Times New Roman" w:cs="Times New Roman" w:eastAsia="Times New Roman" w:hAnsi="Times New Roman"/>
          <w:sz w:val="20"/>
          <w:szCs w:val="20"/>
          <w:i w:val="1"/>
          <w:iCs w:val="1"/>
          <w:color w:val="auto"/>
        </w:rPr>
        <w:t>Dispute Resolution</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left="1880" w:hanging="746"/>
        <w:spacing w:after="0" w:line="254" w:lineRule="auto"/>
        <w:tabs>
          <w:tab w:leader="none" w:pos="1527"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matters to the extent related to the Commercialization of Licensed Product in the Sanofi Territory, including matters related to the use of the Sanofi Product Trademarks in the Sanofi Territory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Commercialization is at all times consistent with the Joint Commercialization Strategy), and</w:t>
      </w:r>
    </w:p>
    <w:p>
      <w:pPr>
        <w:spacing w:after="0" w:line="174" w:lineRule="exact"/>
        <w:rPr>
          <w:rFonts w:ascii="Times New Roman" w:cs="Times New Roman" w:eastAsia="Times New Roman" w:hAnsi="Times New Roman"/>
          <w:sz w:val="20"/>
          <w:szCs w:val="20"/>
          <w:color w:val="auto"/>
        </w:rPr>
      </w:pPr>
    </w:p>
    <w:p>
      <w:pPr>
        <w:ind w:left="1880" w:hanging="746"/>
        <w:spacing w:after="0" w:line="254" w:lineRule="auto"/>
        <w:tabs>
          <w:tab w:leader="none" w:pos="1527"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matters that are solely related to the day-to-day execution of Clinical Trials of the Licensed Products sponsored by Sanofi or its Affiliates under the Global Development Plan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Sanofi Independent Development Plan is at all times consistent with the Global Development Plan),</w:t>
      </w:r>
    </w:p>
    <w:p>
      <w:pPr>
        <w:spacing w:after="0" w:line="174" w:lineRule="exact"/>
        <w:rPr>
          <w:sz w:val="20"/>
          <w:szCs w:val="20"/>
          <w:color w:val="auto"/>
        </w:rPr>
      </w:pPr>
    </w:p>
    <w:p>
      <w:pPr>
        <w:ind w:left="1140" w:firstLine="749"/>
        <w:spacing w:after="0" w:line="269" w:lineRule="auto"/>
        <w:rPr>
          <w:sz w:val="20"/>
          <w:szCs w:val="20"/>
          <w:color w:val="auto"/>
        </w:rPr>
      </w:pPr>
      <w:r>
        <w:rPr>
          <w:rFonts w:ascii="Times New Roman" w:cs="Times New Roman" w:eastAsia="Times New Roman" w:hAnsi="Times New Roman"/>
          <w:sz w:val="20"/>
          <w:szCs w:val="20"/>
          <w:color w:val="auto"/>
        </w:rPr>
        <w:t>in each case ((i)-(iii)), solely to the extent such matters are not subject to Fulcrum’s final decision-making authority under Section 3.8.2(b) (</w:t>
      </w:r>
      <w:r>
        <w:rPr>
          <w:rFonts w:ascii="Times New Roman" w:cs="Times New Roman" w:eastAsia="Times New Roman" w:hAnsi="Times New Roman"/>
          <w:sz w:val="20"/>
          <w:szCs w:val="20"/>
          <w:i w:val="1"/>
          <w:iCs w:val="1"/>
          <w:color w:val="auto"/>
        </w:rPr>
        <w:t>Fulcrum Final Decision-Making Authority</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1140" w:hanging="754"/>
        <w:spacing w:after="0" w:line="273" w:lineRule="auto"/>
        <w:tabs>
          <w:tab w:leader="none" w:pos="78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Final Decision-Making Authority for Open Budget Studies</w:t>
      </w:r>
      <w:r>
        <w:rPr>
          <w:rFonts w:ascii="Times New Roman" w:cs="Times New Roman" w:eastAsia="Times New Roman" w:hAnsi="Times New Roman"/>
          <w:sz w:val="20"/>
          <w:szCs w:val="20"/>
          <w:color w:val="auto"/>
        </w:rPr>
        <w:t>. If the disagreement is with respect to the approval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initial budget for any Open Budget Study,</w:t>
      </w:r>
    </w:p>
    <w:p>
      <w:pPr>
        <w:spacing w:after="0" w:line="15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764540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29" w:name="page130"/>
    <w:bookmarkEnd w:id="129"/>
    <w:p>
      <w:pPr>
        <w:ind w:left="2260"/>
        <w:spacing w:after="0" w:line="269" w:lineRule="auto"/>
        <w:rPr>
          <w:sz w:val="20"/>
          <w:szCs w:val="20"/>
          <w:color w:val="auto"/>
        </w:rPr>
      </w:pPr>
      <w:r>
        <w:rPr>
          <w:rFonts w:ascii="Times New Roman" w:cs="Times New Roman" w:eastAsia="Times New Roman" w:hAnsi="Times New Roman"/>
          <w:sz w:val="20"/>
          <w:szCs w:val="20"/>
          <w:color w:val="auto"/>
        </w:rPr>
        <w:t xml:space="preserve">then the initial budget for such Open Budget Study shall be decided by baseball arbitration pursuant to the terms set forth on </w:t>
      </w:r>
      <w:r>
        <w:rPr>
          <w:rFonts w:ascii="Times New Roman" w:cs="Times New Roman" w:eastAsia="Times New Roman" w:hAnsi="Times New Roman"/>
          <w:sz w:val="20"/>
          <w:szCs w:val="20"/>
          <w:b w:val="1"/>
          <w:bCs w:val="1"/>
          <w:color w:val="auto"/>
        </w:rPr>
        <w:t>Schedule 14.8.1(a)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Baseball Arbitration Terms</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left="1500" w:hanging="694"/>
        <w:spacing w:after="0" w:line="234" w:lineRule="exact"/>
        <w:tabs>
          <w:tab w:leader="none" w:pos="1480" w:val="left"/>
        </w:tabs>
        <w:rPr>
          <w:sz w:val="20"/>
          <w:szCs w:val="20"/>
          <w:color w:val="auto"/>
        </w:rPr>
      </w:pPr>
      <w:r>
        <w:rPr>
          <w:rFonts w:ascii="Times New Roman" w:cs="Times New Roman" w:eastAsia="Times New Roman" w:hAnsi="Times New Roman"/>
          <w:sz w:val="20"/>
          <w:szCs w:val="20"/>
          <w:color w:val="auto"/>
        </w:rPr>
        <w:t>3.8.3</w:t>
      </w:r>
      <w:r>
        <w:rPr>
          <w:sz w:val="20"/>
          <w:szCs w:val="20"/>
          <w:color w:val="auto"/>
        </w:rPr>
        <w:tab/>
      </w:r>
      <w:r>
        <w:rPr>
          <w:rFonts w:ascii="Times New Roman" w:cs="Times New Roman" w:eastAsia="Times New Roman" w:hAnsi="Times New Roman"/>
          <w:sz w:val="19"/>
          <w:szCs w:val="19"/>
          <w:b w:val="1"/>
          <w:bCs w:val="1"/>
          <w:color w:val="auto"/>
        </w:rPr>
        <w:t>Limitations on Decision-Making</w:t>
      </w:r>
      <w:r>
        <w:rPr>
          <w:rFonts w:ascii="Times New Roman" w:cs="Times New Roman" w:eastAsia="Times New Roman" w:hAnsi="Times New Roman"/>
          <w:sz w:val="19"/>
          <w:szCs w:val="19"/>
          <w:color w:val="auto"/>
        </w:rPr>
        <w:t>. Notwithstanding the creation of the JSC or any Subcommittee and anything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contrary set forth in this Agreement, (a) no decision of the JSC, any Subcommittee, or a Party’s Executive Officer (in the exercise of a Party’s decision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making authority on any such matters), in each case would, without the other Party’s prior written consent, (i) result in a material increase in the other Party’s obligations, costs, or expenses under this Agreement or the Global Development Budget, (ii) require such other Party to violate any Applicable Law, the requirements of any Regulatory Authority, or any agreement with any Third Party (including any Collaboration 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License) or infringe or misappropriate the intellectual property rights of any Third Party, or (iii) conflict with, amend, interpret, modify, or waive compliance under this Agreement; and (b) each Party will retain the rights, powers and discretion granted to it hereunder, and none of the JSC or any Subcommittee will be delegated or vested with such rights, powers or discretion unless such delegation or vesting is expressly provided herein, or the Parties expressly so agree in writing. It is understood and agreed that issues to be formally decided by the JSC or any Subcommittee are limited to those specific issues that are expressly provided in Section 3.1.5 (</w:t>
      </w:r>
      <w:r>
        <w:rPr>
          <w:rFonts w:ascii="Times New Roman" w:cs="Times New Roman" w:eastAsia="Times New Roman" w:hAnsi="Times New Roman"/>
          <w:sz w:val="19"/>
          <w:szCs w:val="19"/>
          <w:i w:val="1"/>
          <w:iCs w:val="1"/>
          <w:color w:val="auto"/>
        </w:rPr>
        <w:t>Specific Responsibilities of the JSC</w:t>
      </w:r>
      <w:r>
        <w:rPr>
          <w:rFonts w:ascii="Times New Roman" w:cs="Times New Roman" w:eastAsia="Times New Roman" w:hAnsi="Times New Roman"/>
          <w:sz w:val="19"/>
          <w:szCs w:val="19"/>
          <w:color w:val="auto"/>
        </w:rPr>
        <w:t>), Section 3.2.3 (</w:t>
      </w:r>
      <w:r>
        <w:rPr>
          <w:rFonts w:ascii="Times New Roman" w:cs="Times New Roman" w:eastAsia="Times New Roman" w:hAnsi="Times New Roman"/>
          <w:sz w:val="19"/>
          <w:szCs w:val="19"/>
          <w:i w:val="1"/>
          <w:iCs w:val="1"/>
          <w:color w:val="auto"/>
        </w:rPr>
        <w:t>Specific Responsibilities of the JDC)</w:t>
      </w:r>
      <w:r>
        <w:rPr>
          <w:rFonts w:ascii="Times New Roman" w:cs="Times New Roman" w:eastAsia="Times New Roman" w:hAnsi="Times New Roman"/>
          <w:sz w:val="19"/>
          <w:szCs w:val="19"/>
          <w:color w:val="auto"/>
        </w:rPr>
        <w:t xml:space="preserve"> and Section 3.3.3 (</w:t>
      </w:r>
      <w:r>
        <w:rPr>
          <w:rFonts w:ascii="Times New Roman" w:cs="Times New Roman" w:eastAsia="Times New Roman" w:hAnsi="Times New Roman"/>
          <w:sz w:val="19"/>
          <w:szCs w:val="19"/>
          <w:i w:val="1"/>
          <w:iCs w:val="1"/>
          <w:color w:val="auto"/>
        </w:rPr>
        <w:t>Specific Responsibilities of the JMC</w:t>
      </w:r>
      <w:r>
        <w:rPr>
          <w:rFonts w:ascii="Times New Roman" w:cs="Times New Roman" w:eastAsia="Times New Roman" w:hAnsi="Times New Roman"/>
          <w:sz w:val="19"/>
          <w:szCs w:val="19"/>
          <w:color w:val="auto"/>
        </w:rPr>
        <w:t>), and that disputes which relate to subjects other than those expressly set forth in the foregoing Sections will be handled according to Section 15.1 (</w:t>
      </w:r>
      <w:r>
        <w:rPr>
          <w:rFonts w:ascii="Times New Roman" w:cs="Times New Roman" w:eastAsia="Times New Roman" w:hAnsi="Times New Roman"/>
          <w:sz w:val="19"/>
          <w:szCs w:val="19"/>
          <w:i w:val="1"/>
          <w:iCs w:val="1"/>
          <w:color w:val="auto"/>
        </w:rPr>
        <w:t>Dispute Resolution</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left="760" w:hanging="748"/>
        <w:spacing w:after="0" w:line="241" w:lineRule="auto"/>
        <w:rPr>
          <w:sz w:val="20"/>
          <w:szCs w:val="20"/>
          <w:color w:val="auto"/>
        </w:rPr>
      </w:pPr>
      <w:r>
        <w:rPr>
          <w:rFonts w:ascii="Times New Roman" w:cs="Times New Roman" w:eastAsia="Times New Roman" w:hAnsi="Times New Roman"/>
          <w:sz w:val="20"/>
          <w:szCs w:val="20"/>
          <w:b w:val="1"/>
          <w:bCs w:val="1"/>
          <w:color w:val="auto"/>
        </w:rPr>
        <w:t>3.9 Alliance Managers</w:t>
      </w:r>
      <w:r>
        <w:rPr>
          <w:rFonts w:ascii="Times New Roman" w:cs="Times New Roman" w:eastAsia="Times New Roman" w:hAnsi="Times New Roman"/>
          <w:sz w:val="20"/>
          <w:szCs w:val="20"/>
          <w:color w:val="auto"/>
        </w:rPr>
        <w:t>. Each of the Parties will appoint a single individual to manage Development and Commercialization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Parties no later than [***] after the Effective Date (each, an “</w:t>
      </w:r>
      <w:r>
        <w:rPr>
          <w:rFonts w:ascii="Times New Roman" w:cs="Times New Roman" w:eastAsia="Times New Roman" w:hAnsi="Times New Roman"/>
          <w:sz w:val="20"/>
          <w:szCs w:val="20"/>
          <w:b w:val="1"/>
          <w:bCs w:val="1"/>
          <w:color w:val="auto"/>
        </w:rPr>
        <w:t>Alliance Manager</w:t>
      </w:r>
      <w:r>
        <w:rPr>
          <w:rFonts w:ascii="Times New Roman" w:cs="Times New Roman" w:eastAsia="Times New Roman" w:hAnsi="Times New Roman"/>
          <w:sz w:val="20"/>
          <w:szCs w:val="20"/>
          <w:color w:val="auto"/>
        </w:rPr>
        <w:t>”). The role of the Alliance Manager is to act as a single point of contact between the Parties to ensure a successful relationship under this Agreement. The Alliance Managers will attend all JSC meetings and the Alliance Managers or their respective designees will attend all Subcommittee meetings and will support the co-chairpersons of the JSC and each Subcommittee in the discharge of his or her responsibilities. Alliance Managers will be non-voting participants in all JSC and Subcommittee meetings, but an Alliance Manager may bring any matter to the attention of the JSC or any Subcommittee if such Alliance Manager reasonably believes that such matter warrants such attention. Each Party will designate its initial Alliance Manager promptly after the Effective Date and each Party may change its designated Alliance Manager at any time upon written notice to the other Party. Any Alliance Manager may designate a substitute to temporarily perform the functions of that Alliance Manager by written notice to the other Party. Each Alliance Manager will also: (a) be the point of first referral in all matters of conflict resolution; (b) provide a single point of communication for seeking consensus between the Parties regarding key strategy and plan issues; (c) identify and bring disputes to the attention of the JSC in a timely manner; (d) plan and coordinate cooperative efforts and internal and external communications; and (e) take responsibility for ensuring that governance activities, such as the conduct of required JSC and Subcommittee meetings and production of meeting minutes, occur as set forth in this Agreement, and that the relevant action items resulting from such meetings are appropriately carried out or otherwise addressed.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TECHNOLOGY TRANSFER</w:t>
      </w:r>
    </w:p>
    <w:p>
      <w:pPr>
        <w:spacing w:after="0" w:line="190" w:lineRule="exact"/>
        <w:rPr>
          <w:sz w:val="20"/>
          <w:szCs w:val="20"/>
          <w:color w:val="auto"/>
        </w:rPr>
      </w:pPr>
    </w:p>
    <w:p>
      <w:pPr>
        <w:jc w:val="both"/>
        <w:ind w:left="760" w:hanging="748"/>
        <w:spacing w:after="0" w:line="273" w:lineRule="auto"/>
        <w:rPr>
          <w:sz w:val="20"/>
          <w:szCs w:val="20"/>
          <w:color w:val="auto"/>
        </w:rPr>
      </w:pPr>
      <w:r>
        <w:rPr>
          <w:rFonts w:ascii="Times New Roman" w:cs="Times New Roman" w:eastAsia="Times New Roman" w:hAnsi="Times New Roman"/>
          <w:sz w:val="20"/>
          <w:szCs w:val="20"/>
          <w:b w:val="1"/>
          <w:bCs w:val="1"/>
          <w:color w:val="auto"/>
        </w:rPr>
        <w:t>4.1 Initial Technology Transfer</w:t>
      </w:r>
      <w:r>
        <w:rPr>
          <w:rFonts w:ascii="Times New Roman" w:cs="Times New Roman" w:eastAsia="Times New Roman" w:hAnsi="Times New Roman"/>
          <w:sz w:val="20"/>
          <w:szCs w:val="20"/>
          <w:color w:val="auto"/>
        </w:rPr>
        <w:t>. Promptly after the Effective Date, but in any event within [***] therefrom, Fulcrum will provide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 to Sanofi copies that exist as of the Effective Date of:</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jc w:val="both"/>
        <w:ind w:left="760" w:hanging="3"/>
        <w:spacing w:after="0" w:line="246" w:lineRule="auto"/>
        <w:tabs>
          <w:tab w:leader="none" w:pos="104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Research results, data, information and Regulatory Submissions, in each case, relating to the Development of the Licensed Compounds and Licensed Products, (b) the Fulcrum Materials and (c) copies of the documents, in the case of clauses (a) and (c), within the Fulcrum Know-How, and in the case of clauses (a) and (b), as set forth in </w:t>
      </w:r>
      <w:r>
        <w:rPr>
          <w:rFonts w:ascii="Times New Roman" w:cs="Times New Roman" w:eastAsia="Times New Roman" w:hAnsi="Times New Roman"/>
          <w:sz w:val="20"/>
          <w:szCs w:val="20"/>
          <w:b w:val="1"/>
          <w:bCs w:val="1"/>
          <w:color w:val="auto"/>
        </w:rPr>
        <w:t>Schedule 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Initial Technology Transfer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Initial Technology Transfer</w:t>
      </w:r>
      <w:r>
        <w:rPr>
          <w:rFonts w:ascii="Times New Roman" w:cs="Times New Roman" w:eastAsia="Times New Roman" w:hAnsi="Times New Roman"/>
          <w:sz w:val="20"/>
          <w:szCs w:val="20"/>
          <w:color w:val="auto"/>
        </w:rPr>
        <w:t>”). Fulcrum may make the foregoing in clauses (a) through (c) available in such reasonable form as maintained by Fulcrum.</w:t>
      </w:r>
    </w:p>
    <w:p>
      <w:pPr>
        <w:spacing w:after="0" w:line="181"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4.2 Continuing Technology Transfer </w:t>
      </w:r>
      <w:r>
        <w:rPr>
          <w:rFonts w:ascii="Times New Roman" w:cs="Times New Roman" w:eastAsia="Times New Roman" w:hAnsi="Times New Roman"/>
          <w:sz w:val="20"/>
          <w:szCs w:val="20"/>
          <w:color w:val="auto"/>
        </w:rPr>
        <w:t>. Following the Initial Technology Transfer for the Licensed Compounds and Licensed Products,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Fulcrum will provide to the JSC in advance of the last JSC meeting for each Calendar Quarter a summary of any additional Fulcrum Know-How and Fulcrum Materials developed by Fulcrum or its Affiliates since the previous quarterly disclosure. Upon Sanofi’s reasonable request during the Term, Fulcrum will make available to Sanofi all such Fulcrum Know-How and Fulcrum Materials in Fulcrum’s possession and not previously provided to Sanofi hereunder (the “</w:t>
      </w:r>
      <w:r>
        <w:rPr>
          <w:rFonts w:ascii="Times New Roman" w:cs="Times New Roman" w:eastAsia="Times New Roman" w:hAnsi="Times New Roman"/>
          <w:sz w:val="20"/>
          <w:szCs w:val="20"/>
          <w:b w:val="1"/>
          <w:bCs w:val="1"/>
          <w:color w:val="auto"/>
        </w:rPr>
        <w:t>Continuing Technology Transfer</w:t>
      </w:r>
      <w:r>
        <w:rPr>
          <w:rFonts w:ascii="Times New Roman" w:cs="Times New Roman" w:eastAsia="Times New Roman" w:hAnsi="Times New Roman"/>
          <w:sz w:val="20"/>
          <w:szCs w:val="20"/>
          <w:color w:val="auto"/>
        </w:rPr>
        <w:t>,” and together with the Initial Technology Transfer, the “</w:t>
      </w:r>
      <w:r>
        <w:rPr>
          <w:rFonts w:ascii="Times New Roman" w:cs="Times New Roman" w:eastAsia="Times New Roman" w:hAnsi="Times New Roman"/>
          <w:sz w:val="20"/>
          <w:szCs w:val="20"/>
          <w:b w:val="1"/>
          <w:bCs w:val="1"/>
          <w:color w:val="auto"/>
        </w:rPr>
        <w:t>Technology Transfer</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760" w:hanging="748"/>
        <w:spacing w:after="0" w:line="243" w:lineRule="auto"/>
        <w:rPr>
          <w:sz w:val="20"/>
          <w:szCs w:val="20"/>
          <w:color w:val="auto"/>
        </w:rPr>
      </w:pPr>
      <w:r>
        <w:rPr>
          <w:rFonts w:ascii="Times New Roman" w:cs="Times New Roman" w:eastAsia="Times New Roman" w:hAnsi="Times New Roman"/>
          <w:sz w:val="20"/>
          <w:szCs w:val="20"/>
          <w:b w:val="1"/>
          <w:bCs w:val="1"/>
          <w:color w:val="auto"/>
        </w:rPr>
        <w:t>4.3 Assistance</w:t>
      </w:r>
      <w:r>
        <w:rPr>
          <w:rFonts w:ascii="Times New Roman" w:cs="Times New Roman" w:eastAsia="Times New Roman" w:hAnsi="Times New Roman"/>
          <w:sz w:val="20"/>
          <w:szCs w:val="20"/>
          <w:color w:val="auto"/>
        </w:rPr>
        <w:t>. Fulcrum will, and will cause its Affiliates to, reasonably cooperate with Sanofi and its designees and provide assistance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Sanofi and its designees to transition to Sanofi and its designees the Research, Development, Manufacture, Commercialization and other Exploitation of each Licensed Compound and Licensed Product, as and to the extent reasonably requested by Sanofi. Without limiting the foregoing, Fulcrum will: (a) provide Sanofi and its designees assistance with respect to Research and Development (including regulatory) transition matters related to such Licensed Compounds or Licensed Products; and (b) provide Sanofi and its designees with reasonable access by teleconference (or, to the extent reasonably requested by Sanofi, in-person meetings) to Fulcrum personnel and personnel of Fulcrum’s Affiliates and will use Commercially Reasonable Efforts to provide reasonable access to Third Party contractors involved in Research or Development (including regulatory) matters related to such Licensed Compounds or Licensed Products to assist with the transition and answer questions related to such Licensed Compounds or Licensed Products.</w:t>
      </w:r>
    </w:p>
    <w:p>
      <w:pPr>
        <w:spacing w:after="0" w:line="182" w:lineRule="exact"/>
        <w:rPr>
          <w:sz w:val="20"/>
          <w:szCs w:val="20"/>
          <w:color w:val="auto"/>
        </w:rPr>
      </w:pPr>
    </w:p>
    <w:p>
      <w:pPr>
        <w:jc w:val="both"/>
        <w:ind w:left="760" w:hanging="748"/>
        <w:spacing w:after="0" w:line="247" w:lineRule="auto"/>
        <w:rPr>
          <w:sz w:val="20"/>
          <w:szCs w:val="20"/>
          <w:color w:val="auto"/>
        </w:rPr>
      </w:pPr>
      <w:r>
        <w:rPr>
          <w:rFonts w:ascii="Times New Roman" w:cs="Times New Roman" w:eastAsia="Times New Roman" w:hAnsi="Times New Roman"/>
          <w:sz w:val="20"/>
          <w:szCs w:val="20"/>
          <w:b w:val="1"/>
          <w:bCs w:val="1"/>
          <w:color w:val="auto"/>
        </w:rPr>
        <w:t>4.4 Technology Transfer Costs</w:t>
      </w:r>
      <w:r>
        <w:rPr>
          <w:rFonts w:ascii="Times New Roman" w:cs="Times New Roman" w:eastAsia="Times New Roman" w:hAnsi="Times New Roman"/>
          <w:sz w:val="20"/>
          <w:szCs w:val="20"/>
          <w:color w:val="auto"/>
        </w:rPr>
        <w:t>. Fulcrum (a) will conduct the Technology Transfer and (b) will provide assistance in connection with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Technology Transfer as set forth in Section 4.3 (</w:t>
      </w:r>
      <w:r>
        <w:rPr>
          <w:rFonts w:ascii="Times New Roman" w:cs="Times New Roman" w:eastAsia="Times New Roman" w:hAnsi="Times New Roman"/>
          <w:sz w:val="20"/>
          <w:szCs w:val="20"/>
          <w:i w:val="1"/>
          <w:iCs w:val="1"/>
          <w:color w:val="auto"/>
        </w:rPr>
        <w:t>Assistance</w:t>
      </w:r>
      <w:r>
        <w:rPr>
          <w:rFonts w:ascii="Times New Roman" w:cs="Times New Roman" w:eastAsia="Times New Roman" w:hAnsi="Times New Roman"/>
          <w:sz w:val="20"/>
          <w:szCs w:val="20"/>
          <w:color w:val="auto"/>
        </w:rPr>
        <w:t>), in each case ((a) and (b)), at no cost to Sanofi until and unless [***] hours of assistance have been provided by Fulcrum, after which time Sanofi will reimburse Fulcrum for Internal Costs and External Costs, in each case, reasonably incurred by or on behalf of Fulcrum in connection with such Technology Transfer within [***] after receiving Fulcrum’s invoice therefor.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DEVELOPMENT</w:t>
      </w:r>
    </w:p>
    <w:p>
      <w:pPr>
        <w:spacing w:after="0" w:line="190" w:lineRule="exact"/>
        <w:rPr>
          <w:sz w:val="20"/>
          <w:szCs w:val="20"/>
          <w:color w:val="auto"/>
        </w:rPr>
      </w:pPr>
    </w:p>
    <w:p>
      <w:pPr>
        <w:jc w:val="both"/>
        <w:ind w:left="760" w:hanging="7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5.1 Development Obligations </w:t>
      </w:r>
      <w:r>
        <w:rPr>
          <w:rFonts w:ascii="Times New Roman" w:cs="Times New Roman" w:eastAsia="Times New Roman" w:hAnsi="Times New Roman"/>
          <w:sz w:val="20"/>
          <w:szCs w:val="20"/>
          <w:color w:val="auto"/>
        </w:rPr>
        <w:t>.</w:t>
      </w:r>
      <w:r>
        <w:rPr>
          <w:sz w:val="20"/>
          <w:szCs w:val="20"/>
          <w:color w:val="auto"/>
        </w:rPr>
        <w:t xml:space="preserve"> </w:t>
      </w:r>
      <w:r>
        <w:rPr>
          <w:rFonts w:ascii="Times New Roman" w:cs="Times New Roman" w:eastAsia="Times New Roman" w:hAnsi="Times New Roman"/>
          <w:sz w:val="20"/>
          <w:szCs w:val="20"/>
          <w:color w:val="auto"/>
        </w:rPr>
        <w:t>Fulcrum will use Commercially Reasonable Efforts to [***]. Without limiting Fulcrum’s rights under Section 14.2 (</w:t>
      </w:r>
      <w:r>
        <w:rPr>
          <w:rFonts w:ascii="Times New Roman" w:cs="Times New Roman" w:eastAsia="Times New Roman" w:hAnsi="Times New Roman"/>
          <w:sz w:val="20"/>
          <w:szCs w:val="20"/>
          <w:i w:val="1"/>
          <w:iCs w:val="1"/>
          <w:color w:val="auto"/>
        </w:rPr>
        <w:t>Termination for Material Breach</w:t>
      </w:r>
      <w:r>
        <w:rPr>
          <w:rFonts w:ascii="Times New Roman" w:cs="Times New Roman" w:eastAsia="Times New Roman" w:hAnsi="Times New Roman"/>
          <w:sz w:val="20"/>
          <w:szCs w:val="20"/>
          <w:color w:val="auto"/>
        </w:rPr>
        <w:t>) to terminate this Agreement in its entirety but notwithstanding any other provision in this Agreement, [***]. Each Party will conduct all Development activities for which it is responsible under this Agreement in a good scientific manner, in accordance with GLP and GCP, as applicable, and in compliance with Professional Requirements and Applicable Law.</w:t>
      </w:r>
    </w:p>
    <w:p>
      <w:pPr>
        <w:spacing w:after="0" w:line="200" w:lineRule="exact"/>
        <w:rPr>
          <w:sz w:val="20"/>
          <w:szCs w:val="20"/>
          <w:color w:val="auto"/>
        </w:rPr>
      </w:pPr>
    </w:p>
    <w:p>
      <w:pPr>
        <w:spacing w:after="0" w:line="217"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5.2 Initial Global Development Plan</w:t>
      </w:r>
      <w:r>
        <w:rPr>
          <w:rFonts w:ascii="Times New Roman" w:cs="Times New Roman" w:eastAsia="Times New Roman" w:hAnsi="Times New Roman"/>
          <w:sz w:val="20"/>
          <w:szCs w:val="20"/>
          <w:color w:val="auto"/>
        </w:rPr>
        <w:t>. The initial global development plan and corresponding budget for the Licensed Compounds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Licensed Products is set forth on </w:t>
      </w:r>
      <w:r>
        <w:rPr>
          <w:rFonts w:ascii="Times New Roman" w:cs="Times New Roman" w:eastAsia="Times New Roman" w:hAnsi="Times New Roman"/>
          <w:sz w:val="20"/>
          <w:szCs w:val="20"/>
          <w:b w:val="1"/>
          <w:bCs w:val="1"/>
          <w:color w:val="auto"/>
        </w:rPr>
        <w:t>Schedule 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Initial Global Development Plan and Budget</w:t>
      </w:r>
      <w:r>
        <w:rPr>
          <w:rFonts w:ascii="Times New Roman" w:cs="Times New Roman" w:eastAsia="Times New Roman" w:hAnsi="Times New Roman"/>
          <w:sz w:val="20"/>
          <w:szCs w:val="20"/>
          <w:color w:val="auto"/>
        </w:rPr>
        <w:t>) (such global development plan attached as of signing, the “</w:t>
      </w:r>
      <w:r>
        <w:rPr>
          <w:rFonts w:ascii="Times New Roman" w:cs="Times New Roman" w:eastAsia="Times New Roman" w:hAnsi="Times New Roman"/>
          <w:sz w:val="20"/>
          <w:szCs w:val="20"/>
          <w:b w:val="1"/>
          <w:bCs w:val="1"/>
          <w:color w:val="auto"/>
        </w:rPr>
        <w:t>Initial Global Development Plan</w:t>
      </w:r>
      <w:r>
        <w:rPr>
          <w:rFonts w:ascii="Times New Roman" w:cs="Times New Roman" w:eastAsia="Times New Roman" w:hAnsi="Times New Roman"/>
          <w:sz w:val="20"/>
          <w:szCs w:val="20"/>
          <w:color w:val="auto"/>
        </w:rPr>
        <w:t>” and as it may be modified in accordance with the terms and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jc w:val="both"/>
        <w:ind w:left="760"/>
        <w:spacing w:after="0" w:line="244" w:lineRule="auto"/>
        <w:rPr>
          <w:sz w:val="20"/>
          <w:szCs w:val="20"/>
          <w:color w:val="auto"/>
        </w:rPr>
      </w:pPr>
      <w:r>
        <w:rPr>
          <w:rFonts w:ascii="Times New Roman" w:cs="Times New Roman" w:eastAsia="Times New Roman" w:hAnsi="Times New Roman"/>
          <w:sz w:val="20"/>
          <w:szCs w:val="20"/>
          <w:color w:val="auto"/>
        </w:rPr>
        <w:t>of this Agreement, the “</w:t>
      </w:r>
      <w:r>
        <w:rPr>
          <w:rFonts w:ascii="Times New Roman" w:cs="Times New Roman" w:eastAsia="Times New Roman" w:hAnsi="Times New Roman"/>
          <w:sz w:val="20"/>
          <w:szCs w:val="20"/>
          <w:b w:val="1"/>
          <w:bCs w:val="1"/>
          <w:color w:val="auto"/>
        </w:rPr>
        <w:t>Global Development Plan</w:t>
      </w:r>
      <w:r>
        <w:rPr>
          <w:rFonts w:ascii="Times New Roman" w:cs="Times New Roman" w:eastAsia="Times New Roman" w:hAnsi="Times New Roman"/>
          <w:sz w:val="20"/>
          <w:szCs w:val="20"/>
          <w:color w:val="auto"/>
        </w:rPr>
        <w:t>” and such corresponding budget, the “</w:t>
      </w:r>
      <w:r>
        <w:rPr>
          <w:rFonts w:ascii="Times New Roman" w:cs="Times New Roman" w:eastAsia="Times New Roman" w:hAnsi="Times New Roman"/>
          <w:sz w:val="20"/>
          <w:szCs w:val="20"/>
          <w:b w:val="1"/>
          <w:bCs w:val="1"/>
          <w:color w:val="auto"/>
        </w:rPr>
        <w:t>Global Development Budget</w:t>
      </w:r>
      <w:r>
        <w:rPr>
          <w:rFonts w:ascii="Times New Roman" w:cs="Times New Roman" w:eastAsia="Times New Roman" w:hAnsi="Times New Roman"/>
          <w:sz w:val="20"/>
          <w:szCs w:val="20"/>
          <w:color w:val="auto"/>
        </w:rPr>
        <w:t>”). The Initial Global Development Plan includes (and will at all times include): (a) all Research and Development activities for the Licensed Compounds and Licensed Products other than (i) Research or Development activities that are solely intended to support obtaining or maintaining Regulatory Approval or label expansion of the Licensed Compounds and Licensed Products in the Sanofi Territory (such excluded Research and Development activities in clause (i), “</w:t>
      </w:r>
      <w:r>
        <w:rPr>
          <w:rFonts w:ascii="Times New Roman" w:cs="Times New Roman" w:eastAsia="Times New Roman" w:hAnsi="Times New Roman"/>
          <w:sz w:val="20"/>
          <w:szCs w:val="20"/>
          <w:b w:val="1"/>
          <w:bCs w:val="1"/>
          <w:color w:val="auto"/>
        </w:rPr>
        <w:t>Sanofi Independent Development Activities</w:t>
      </w:r>
      <w:r>
        <w:rPr>
          <w:rFonts w:ascii="Times New Roman" w:cs="Times New Roman" w:eastAsia="Times New Roman" w:hAnsi="Times New Roman"/>
          <w:sz w:val="20"/>
          <w:szCs w:val="20"/>
          <w:color w:val="auto"/>
        </w:rPr>
        <w:t>”) and</w:t>
      </w:r>
    </w:p>
    <w:p>
      <w:pPr>
        <w:spacing w:after="0" w:line="4" w:lineRule="exact"/>
        <w:rPr>
          <w:sz w:val="20"/>
          <w:szCs w:val="20"/>
          <w:color w:val="auto"/>
        </w:rPr>
      </w:pPr>
    </w:p>
    <w:p>
      <w:pPr>
        <w:jc w:val="both"/>
        <w:ind w:left="760" w:hanging="3"/>
        <w:spacing w:after="0"/>
        <w:tabs>
          <w:tab w:leader="none" w:pos="106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or Development activities that are solely intended to support obtaining or maintaining Regulatory Approval or label expansion of the Licensed Compounds and Licensed Products in the Fulcrum Territory (such excluded Research and Development activities in clause (ii), “</w:t>
      </w:r>
      <w:r>
        <w:rPr>
          <w:rFonts w:ascii="Times New Roman" w:cs="Times New Roman" w:eastAsia="Times New Roman" w:hAnsi="Times New Roman"/>
          <w:sz w:val="20"/>
          <w:szCs w:val="20"/>
          <w:b w:val="1"/>
          <w:bCs w:val="1"/>
          <w:color w:val="auto"/>
        </w:rPr>
        <w:t>Fulcrum Independent Development Activities</w:t>
      </w:r>
      <w:r>
        <w:rPr>
          <w:rFonts w:ascii="Times New Roman" w:cs="Times New Roman" w:eastAsia="Times New Roman" w:hAnsi="Times New Roman"/>
          <w:sz w:val="20"/>
          <w:szCs w:val="20"/>
          <w:color w:val="auto"/>
        </w:rPr>
        <w:t xml:space="preserve">”), (b) the allocation of responsibilities between the Parties for all activities under the Global Development Plan, and (c) the estimated timelines for all activities under the Global Development Plan. The Global Development Budget also includes (and will at all times include) a detailed written budget for the performance of the activities under the Global Development Plan for the current Calendar Year and at least [***] subsequent Calendar Years, broken down by Calendar Year;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the Global Development Budget included in the Initial Global Development Plan, the budget for the performance of any Clinical Trials that are identified as “Open Budget Studies” in the Global Development Budget included in the Initial Global Development Plan (each such Clinical Trial, an “</w:t>
      </w:r>
      <w:r>
        <w:rPr>
          <w:rFonts w:ascii="Times New Roman" w:cs="Times New Roman" w:eastAsia="Times New Roman" w:hAnsi="Times New Roman"/>
          <w:sz w:val="20"/>
          <w:szCs w:val="20"/>
          <w:b w:val="1"/>
          <w:bCs w:val="1"/>
          <w:color w:val="auto"/>
        </w:rPr>
        <w:t>Open Budget Study</w:t>
      </w:r>
      <w:r>
        <w:rPr>
          <w:rFonts w:ascii="Times New Roman" w:cs="Times New Roman" w:eastAsia="Times New Roman" w:hAnsi="Times New Roman"/>
          <w:sz w:val="20"/>
          <w:szCs w:val="20"/>
          <w:color w:val="auto"/>
        </w:rPr>
        <w:t>”) will be reviewed, discussed, and approved by the JSC promptly after the Effective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5.3  Changes to the Global Development Plan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5.3.1</w:t>
      </w:r>
      <w:r>
        <w:rPr>
          <w:sz w:val="20"/>
          <w:szCs w:val="20"/>
          <w:color w:val="auto"/>
        </w:rPr>
        <w:tab/>
      </w:r>
      <w:r>
        <w:rPr>
          <w:rFonts w:ascii="Times New Roman" w:cs="Times New Roman" w:eastAsia="Times New Roman" w:hAnsi="Times New Roman"/>
          <w:sz w:val="19"/>
          <w:szCs w:val="19"/>
          <w:b w:val="1"/>
          <w:bCs w:val="1"/>
          <w:color w:val="auto"/>
        </w:rPr>
        <w:t>Additional Activities under Global Development Plan</w:t>
      </w:r>
      <w:r>
        <w:rPr>
          <w:rFonts w:ascii="Times New Roman" w:cs="Times New Roman" w:eastAsia="Times New Roman" w:hAnsi="Times New Roman"/>
          <w:sz w:val="19"/>
          <w:szCs w:val="19"/>
          <w:color w:val="auto"/>
        </w:rPr>
        <w:t>. Except as otherwise set forth in Section 5.3.2 (</w:t>
      </w:r>
      <w:r>
        <w:rPr>
          <w:rFonts w:ascii="Times New Roman" w:cs="Times New Roman" w:eastAsia="Times New Roman" w:hAnsi="Times New Roman"/>
          <w:sz w:val="19"/>
          <w:szCs w:val="19"/>
          <w:i w:val="1"/>
          <w:iCs w:val="1"/>
          <w:color w:val="auto"/>
        </w:rPr>
        <w:t>Development of</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Additional Licensed Compounds</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2260" w:hanging="754"/>
        <w:spacing w:after="0" w:line="243" w:lineRule="auto"/>
        <w:tabs>
          <w:tab w:leader="none" w:pos="190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Either Party (the “ </w:t>
      </w:r>
      <w:r>
        <w:rPr>
          <w:rFonts w:ascii="Times New Roman" w:cs="Times New Roman" w:eastAsia="Times New Roman" w:hAnsi="Times New Roman"/>
          <w:sz w:val="20"/>
          <w:szCs w:val="20"/>
          <w:b w:val="1"/>
          <w:bCs w:val="1"/>
          <w:color w:val="auto"/>
        </w:rPr>
        <w:t>Proposing Party</w:t>
      </w:r>
      <w:r>
        <w:rPr>
          <w:rFonts w:ascii="Times New Roman" w:cs="Times New Roman" w:eastAsia="Times New Roman" w:hAnsi="Times New Roman"/>
          <w:sz w:val="20"/>
          <w:szCs w:val="20"/>
          <w:color w:val="auto"/>
        </w:rPr>
        <w:t>”) may, from time to time during the Term, submit to the JDC any proposed update to (i) the Global Development Plan to include additional Research and Development activities (or to otherwise update the Research and Development activities) for the Licensed Compounds and Licensed Products other than Sanofi Independent Development Activities or Fulcrum Independent Development Activities and (ii) the Global Development Budget to correspond with any changes to the Global Development Plan contemplated in the foregoing clause (i) (any such additional Research and Development activity, “</w:t>
      </w:r>
      <w:r>
        <w:rPr>
          <w:rFonts w:ascii="Times New Roman" w:cs="Times New Roman" w:eastAsia="Times New Roman" w:hAnsi="Times New Roman"/>
          <w:sz w:val="20"/>
          <w:szCs w:val="20"/>
          <w:b w:val="1"/>
          <w:bCs w:val="1"/>
          <w:color w:val="auto"/>
        </w:rPr>
        <w:t>Additional Activity</w:t>
      </w:r>
      <w:r>
        <w:rPr>
          <w:rFonts w:ascii="Times New Roman" w:cs="Times New Roman" w:eastAsia="Times New Roman" w:hAnsi="Times New Roman"/>
          <w:sz w:val="20"/>
          <w:szCs w:val="20"/>
          <w:color w:val="auto"/>
        </w:rPr>
        <w:t>”). The JDC will review, discuss, and determine whether to approve each update with respect to an Additional Activity to the Global Development Plan and the Global Development Budget and will submit any such update to the JSC to review, discuss, and determine whether to approve.</w:t>
      </w:r>
    </w:p>
    <w:p>
      <w:pPr>
        <w:spacing w:after="0" w:line="189" w:lineRule="exact"/>
        <w:rPr>
          <w:rFonts w:ascii="Times New Roman" w:cs="Times New Roman" w:eastAsia="Times New Roman" w:hAnsi="Times New Roman"/>
          <w:sz w:val="20"/>
          <w:szCs w:val="20"/>
          <w:color w:val="auto"/>
        </w:rPr>
      </w:pPr>
    </w:p>
    <w:p>
      <w:pPr>
        <w:ind w:left="2260" w:hanging="754"/>
        <w:spacing w:after="0" w:line="249" w:lineRule="auto"/>
        <w:tabs>
          <w:tab w:leader="none" w:pos="190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approved by the JDC and JSC (as applicable), each update with respect to the applicable Additional Activity to the Global Development Plan or the Global Development Budget will become effective and supersede the previous Global Development Plan or Global Development Budget, as applicable, as of the date of such approval or at such other time as decided by the JSC.</w:t>
      </w:r>
    </w:p>
    <w:p>
      <w:pPr>
        <w:spacing w:after="0" w:line="179" w:lineRule="exact"/>
        <w:rPr>
          <w:rFonts w:ascii="Times New Roman" w:cs="Times New Roman" w:eastAsia="Times New Roman" w:hAnsi="Times New Roman"/>
          <w:sz w:val="20"/>
          <w:szCs w:val="20"/>
          <w:color w:val="auto"/>
        </w:rPr>
      </w:pPr>
    </w:p>
    <w:p>
      <w:pPr>
        <w:ind w:left="1900" w:hanging="394"/>
        <w:spacing w:after="0"/>
        <w:tabs>
          <w:tab w:leader="none" w:pos="19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JDC and JSC (as applicable) do not approve an Additional Activity, then:</w:t>
      </w:r>
    </w:p>
    <w:p>
      <w:pPr>
        <w:spacing w:after="0" w:line="216" w:lineRule="exact"/>
        <w:rPr>
          <w:sz w:val="20"/>
          <w:szCs w:val="20"/>
          <w:color w:val="auto"/>
        </w:rPr>
      </w:pPr>
    </w:p>
    <w:p>
      <w:pPr>
        <w:ind w:left="3000" w:hanging="746"/>
        <w:spacing w:after="0" w:line="254" w:lineRule="auto"/>
        <w:tabs>
          <w:tab w:leader="none" w:pos="264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Proposing Party may conduct the Additional Activity, at its sole expense, as part of the Sanofi Independent Development Plan or Fulcrum Independent Development Plan,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2" w:name="page133"/>
    <w:bookmarkEnd w:id="132"/>
    <w:p>
      <w:pPr>
        <w:jc w:val="both"/>
        <w:ind w:left="3000"/>
        <w:spacing w:after="0" w:line="249" w:lineRule="auto"/>
        <w:rPr>
          <w:sz w:val="20"/>
          <w:szCs w:val="20"/>
          <w:color w:val="auto"/>
        </w:rPr>
      </w:pPr>
      <w:r>
        <w:rPr>
          <w:rFonts w:ascii="Times New Roman" w:cs="Times New Roman" w:eastAsia="Times New Roman" w:hAnsi="Times New Roman"/>
          <w:sz w:val="20"/>
          <w:szCs w:val="20"/>
          <w:color w:val="auto"/>
        </w:rPr>
        <w:t>Additional Activity is consistent at all times with the Global Development Plan, conducted in compliance with all Applicable Laws (including GLP, GCP, and GMP, as applicable), and would not have a Material Adverse Effect with respect to Sanofi if the Proposing Party is Fulcrum and Fulcrum if the Proposing Party is Sanofi.</w:t>
      </w:r>
    </w:p>
    <w:p>
      <w:pPr>
        <w:spacing w:after="0" w:line="180" w:lineRule="exact"/>
        <w:rPr>
          <w:sz w:val="20"/>
          <w:szCs w:val="20"/>
          <w:color w:val="auto"/>
        </w:rPr>
      </w:pPr>
    </w:p>
    <w:p>
      <w:pPr>
        <w:ind w:left="3000" w:hanging="746"/>
        <w:spacing w:after="0" w:line="254" w:lineRule="auto"/>
        <w:tabs>
          <w:tab w:leader="none" w:pos="264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Proposing Party shall keep the non-Proposing Party reasonably informed as to the progress of the Additional Activity, including by providing updates on the progress of such Additional Activity at each JDC meeting in accordance with Section 5.8 (</w:t>
      </w:r>
      <w:r>
        <w:rPr>
          <w:rFonts w:ascii="Times New Roman" w:cs="Times New Roman" w:eastAsia="Times New Roman" w:hAnsi="Times New Roman"/>
          <w:sz w:val="20"/>
          <w:szCs w:val="20"/>
          <w:i w:val="1"/>
          <w:iCs w:val="1"/>
          <w:color w:val="auto"/>
        </w:rPr>
        <w:t>Development Reports</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3000" w:hanging="746"/>
        <w:spacing w:after="0" w:line="249" w:lineRule="auto"/>
        <w:tabs>
          <w:tab w:leader="none" w:pos="264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information, data or other Know-How arising out of such Additional Activity will not be included as “Sanofi Know-How” under this Agreement if the Proposing Party is Sanofi or as “Fulcrum Know-How” if the Proposing Party is Fulcrum, in each case, unless the non-Proposing Party pays for such right under Section 5.3.1(c)(iv) (</w:t>
      </w:r>
      <w:r>
        <w:rPr>
          <w:rFonts w:ascii="Times New Roman" w:cs="Times New Roman" w:eastAsia="Times New Roman" w:hAnsi="Times New Roman"/>
          <w:sz w:val="20"/>
          <w:szCs w:val="20"/>
          <w:i w:val="1"/>
          <w:iCs w:val="1"/>
          <w:color w:val="auto"/>
        </w:rPr>
        <w:t>Additional Activities under Global Development Plan</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3000" w:hanging="746"/>
        <w:spacing w:after="0" w:line="245" w:lineRule="auto"/>
        <w:tabs>
          <w:tab w:leader="none" w:pos="264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non-Proposing Party will have the right, but not the obligation, to obtain access to and use of any information, data and other Know-How arising out of such Additional Activity on payment to the Proposing Party of an amount equal to [***] of its equal share of the actual Internal Costs and External Costs incurred by the Proposing Party or any of its Affiliates in connection with the Additional Activity (which costs, for clarity, shall thereafter be deemed Eligible Global Development Costs) as set forth in Section 5.7 (</w:t>
      </w:r>
      <w:r>
        <w:rPr>
          <w:rFonts w:ascii="Times New Roman" w:cs="Times New Roman" w:eastAsia="Times New Roman" w:hAnsi="Times New Roman"/>
          <w:sz w:val="20"/>
          <w:szCs w:val="20"/>
          <w:i w:val="1"/>
          <w:iCs w:val="1"/>
          <w:color w:val="auto"/>
        </w:rPr>
        <w:t>Development Cost Sharing</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1500" w:hanging="694"/>
        <w:spacing w:after="0" w:line="242" w:lineRule="auto"/>
        <w:tabs>
          <w:tab w:leader="none" w:pos="1480" w:val="left"/>
        </w:tabs>
        <w:rPr>
          <w:sz w:val="20"/>
          <w:szCs w:val="20"/>
          <w:color w:val="auto"/>
        </w:rPr>
      </w:pPr>
      <w:r>
        <w:rPr>
          <w:rFonts w:ascii="Times New Roman" w:cs="Times New Roman" w:eastAsia="Times New Roman" w:hAnsi="Times New Roman"/>
          <w:sz w:val="20"/>
          <w:szCs w:val="20"/>
          <w:color w:val="auto"/>
        </w:rPr>
        <w:t>5.3.2</w:t>
      </w:r>
      <w:r>
        <w:rPr>
          <w:sz w:val="20"/>
          <w:szCs w:val="20"/>
          <w:color w:val="auto"/>
        </w:rPr>
        <w:tab/>
      </w:r>
      <w:r>
        <w:rPr>
          <w:rFonts w:ascii="Times New Roman" w:cs="Times New Roman" w:eastAsia="Times New Roman" w:hAnsi="Times New Roman"/>
          <w:sz w:val="20"/>
          <w:szCs w:val="20"/>
          <w:b w:val="1"/>
          <w:bCs w:val="1"/>
          <w:color w:val="auto"/>
        </w:rPr>
        <w:t xml:space="preserve">Development of Additional Licensed Compounds. </w:t>
      </w:r>
      <w:r>
        <w:rPr>
          <w:rFonts w:ascii="Times New Roman" w:cs="Times New Roman" w:eastAsia="Times New Roman" w:hAnsi="Times New Roman"/>
          <w:sz w:val="20"/>
          <w:szCs w:val="20"/>
          <w:color w:val="auto"/>
        </w:rPr>
        <w:t>If at any time during the Term either Party or its Affiliates identifies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compound within its Control that it in good faith believes is reasonably likely to constitute a Licensed Compound (whether in the performance of its obligations under this Agreement or otherwise) (such compound, the “</w:t>
      </w:r>
      <w:r>
        <w:rPr>
          <w:rFonts w:ascii="Times New Roman" w:cs="Times New Roman" w:eastAsia="Times New Roman" w:hAnsi="Times New Roman"/>
          <w:sz w:val="20"/>
          <w:szCs w:val="20"/>
          <w:b w:val="1"/>
          <w:bCs w:val="1"/>
          <w:color w:val="auto"/>
        </w:rPr>
        <w:t>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Compound</w:t>
      </w:r>
      <w:r>
        <w:rPr>
          <w:rFonts w:ascii="Times New Roman" w:cs="Times New Roman" w:eastAsia="Times New Roman" w:hAnsi="Times New Roman"/>
          <w:sz w:val="20"/>
          <w:szCs w:val="20"/>
          <w:color w:val="auto"/>
        </w:rPr>
        <w:t>”), such Party shall promptly notify the JDC, which notice shall include a brief explanation as to how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 Compound was Developed and the basis of such Party’s belief that such Additional Compound may constitute a Licensed Compound. The JDC will review, discuss, and determine whether to amend (i) the Global Development Plan to add the Research and Development activities necessary to support further Research and Development of such Additional Compound and (ii) the Global Development Budget to correspond with any changes to the Global Development Plan contemplated in the foregoing clause (i) (such activities, the “</w:t>
      </w:r>
      <w:r>
        <w:rPr>
          <w:rFonts w:ascii="Times New Roman" w:cs="Times New Roman" w:eastAsia="Times New Roman" w:hAnsi="Times New Roman"/>
          <w:sz w:val="20"/>
          <w:szCs w:val="20"/>
          <w:b w:val="1"/>
          <w:bCs w:val="1"/>
          <w:color w:val="auto"/>
        </w:rPr>
        <w:t>Additional LC Activities</w:t>
      </w:r>
      <w:r>
        <w:rPr>
          <w:rFonts w:ascii="Times New Roman" w:cs="Times New Roman" w:eastAsia="Times New Roman" w:hAnsi="Times New Roman"/>
          <w:sz w:val="20"/>
          <w:szCs w:val="20"/>
          <w:color w:val="auto"/>
        </w:rPr>
        <w:t>”), and will submit any such updates to the JSC. The JSC will review, discuss, and determine whether to approve the inclusion of any such Additional LC Activities in the Global Development Plan and Global Development Budget.</w:t>
      </w:r>
    </w:p>
    <w:p>
      <w:pPr>
        <w:spacing w:after="0" w:line="190" w:lineRule="exact"/>
        <w:rPr>
          <w:sz w:val="20"/>
          <w:szCs w:val="20"/>
          <w:color w:val="auto"/>
        </w:rPr>
      </w:pPr>
    </w:p>
    <w:p>
      <w:pPr>
        <w:jc w:val="both"/>
        <w:ind w:left="760" w:hanging="748"/>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5.4 Sanofi Step-In Right under Global Development Plan. </w:t>
      </w:r>
      <w:r>
        <w:rPr>
          <w:rFonts w:ascii="Times New Roman" w:cs="Times New Roman" w:eastAsia="Times New Roman" w:hAnsi="Times New Roman"/>
          <w:sz w:val="19"/>
          <w:szCs w:val="19"/>
          <w:color w:val="auto"/>
        </w:rPr>
        <w:t>In the event that (a) Sanofi provides written notice to Fulcrum that (i) Sanofi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reasonably believes Fulcrum is in material breach of or Material Delay with respect to its obligations under the Global Development Plan as a whole (which notice shall describe in reasonable detail reasons and facts in support of such belief), and (ii) Fulcrum fails to cure such breach or delay (or provides reasonably satisfactory evidence showing that Fulcrum is not in such breach or delay) within [***] from the date of Sanofi’s notice of such breach or delay, or (b) [***], then Sanofi may elect by written notice to Fulcrum to assume the relevant activities originally assigned to Fulcrum under the Global Development Plan (the “</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jc w:val="both"/>
        <w:ind w:left="760"/>
        <w:spacing w:after="0" w:line="300" w:lineRule="auto"/>
        <w:rPr>
          <w:sz w:val="20"/>
          <w:szCs w:val="20"/>
          <w:color w:val="auto"/>
        </w:rPr>
      </w:pPr>
      <w:r>
        <w:rPr>
          <w:rFonts w:ascii="Times New Roman" w:cs="Times New Roman" w:eastAsia="Times New Roman" w:hAnsi="Times New Roman"/>
          <w:sz w:val="19"/>
          <w:szCs w:val="19"/>
          <w:b w:val="1"/>
          <w:bCs w:val="1"/>
          <w:color w:val="auto"/>
        </w:rPr>
        <w:t>Step-In Activities</w:t>
      </w:r>
      <w:r>
        <w:rPr>
          <w:rFonts w:ascii="Times New Roman" w:cs="Times New Roman" w:eastAsia="Times New Roman" w:hAnsi="Times New Roman"/>
          <w:sz w:val="19"/>
          <w:szCs w:val="19"/>
          <w:color w:val="auto"/>
        </w:rPr>
        <w:t>”). In such case, the Parties will coordinate on transfer activities necessary or reasonably useful to enable Sanofi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assume such Step-In Activities (with the reasonable External Costs of such transfer activities to be borne by Fulcrum), including:</w:t>
      </w:r>
    </w:p>
    <w:p>
      <w:pPr>
        <w:spacing w:after="0" w:line="133" w:lineRule="exact"/>
        <w:rPr>
          <w:sz w:val="20"/>
          <w:szCs w:val="20"/>
          <w:color w:val="auto"/>
        </w:rPr>
      </w:pPr>
    </w:p>
    <w:p>
      <w:pPr>
        <w:ind w:left="1500" w:right="40" w:hanging="694"/>
        <w:spacing w:after="0" w:line="269" w:lineRule="auto"/>
        <w:tabs>
          <w:tab w:leader="none" w:pos="1480" w:val="left"/>
        </w:tabs>
        <w:rPr>
          <w:sz w:val="20"/>
          <w:szCs w:val="20"/>
          <w:color w:val="auto"/>
        </w:rPr>
      </w:pPr>
      <w:r>
        <w:rPr>
          <w:rFonts w:ascii="Times New Roman" w:cs="Times New Roman" w:eastAsia="Times New Roman" w:hAnsi="Times New Roman"/>
          <w:sz w:val="20"/>
          <w:szCs w:val="20"/>
          <w:color w:val="auto"/>
        </w:rPr>
        <w:t>5.4.1</w:t>
        <w:tab/>
        <w:t>to the extent in Fulcrum’s possession, transferring any quantities of Licensed Compound or Licensed Product, and Fulcrum Materials, as needed,</w:t>
      </w:r>
    </w:p>
    <w:p>
      <w:pPr>
        <w:spacing w:after="0" w:line="159" w:lineRule="exact"/>
        <w:rPr>
          <w:sz w:val="20"/>
          <w:szCs w:val="20"/>
          <w:color w:val="auto"/>
        </w:rPr>
      </w:pPr>
    </w:p>
    <w:p>
      <w:pPr>
        <w:jc w:val="both"/>
        <w:ind w:left="1500" w:hanging="694"/>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5.4.2</w:t>
        <w:tab/>
        <w:t>to the extent in possession of any Affiliates or subcontractors acting on behalf of Fulcrum under this Agreement as of the Effective Date or during the Term, directing such Affiliates or subcontractors to transfer any quantities of Licensed Compound or Licensed Product, and Fulcrum Materials, as needed, and</w:t>
      </w:r>
    </w:p>
    <w:p>
      <w:pPr>
        <w:spacing w:after="0" w:line="174" w:lineRule="exact"/>
        <w:rPr>
          <w:sz w:val="20"/>
          <w:szCs w:val="20"/>
          <w:color w:val="auto"/>
        </w:rPr>
      </w:pPr>
    </w:p>
    <w:p>
      <w:pPr>
        <w:jc w:val="both"/>
        <w:ind w:left="1500" w:hanging="694"/>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5.4.3</w:t>
        <w:tab/>
        <w:t>making available to Sanofi copies of all Regulatory Submissions and all information, data or other Know-How Controlled by Fulcrum not already provided to Sanofi that would enable Sanofi or its designee to perform such Step-In Activities.</w:t>
      </w:r>
    </w:p>
    <w:p>
      <w:pPr>
        <w:spacing w:after="0" w:line="170" w:lineRule="exact"/>
        <w:rPr>
          <w:sz w:val="20"/>
          <w:szCs w:val="20"/>
          <w:color w:val="auto"/>
        </w:rPr>
      </w:pPr>
    </w:p>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In the event that Sanofi elects the step-in remedy pursuant to this Section 5.4 (</w:t>
      </w:r>
      <w:r>
        <w:rPr>
          <w:rFonts w:ascii="Times New Roman" w:cs="Times New Roman" w:eastAsia="Times New Roman" w:hAnsi="Times New Roman"/>
          <w:sz w:val="20"/>
          <w:szCs w:val="20"/>
          <w:i w:val="1"/>
          <w:iCs w:val="1"/>
          <w:color w:val="auto"/>
        </w:rPr>
        <w:t>Sanofi Step-In Right under Global Development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Plan</w:t>
      </w:r>
      <w:r>
        <w:rPr>
          <w:rFonts w:ascii="Times New Roman" w:cs="Times New Roman" w:eastAsia="Times New Roman" w:hAnsi="Times New Roman"/>
          <w:sz w:val="20"/>
          <w:szCs w:val="20"/>
          <w:color w:val="auto"/>
        </w:rPr>
        <w:t>), then such remedy will be Sanofi’s sole and exclusive remedy with respect to the applicable material breach or Material Delay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gave rise to Sanofi’s right to elect such remedy, except that amounts incurred by Sanofi or its Affiliates in connection with such Step-In Activities shall be subject to cost sharing in accordance with Section 5.7 (</w:t>
      </w:r>
      <w:r>
        <w:rPr>
          <w:rFonts w:ascii="Times New Roman" w:cs="Times New Roman" w:eastAsia="Times New Roman" w:hAnsi="Times New Roman"/>
          <w:sz w:val="20"/>
          <w:szCs w:val="20"/>
          <w:i w:val="1"/>
          <w:iCs w:val="1"/>
          <w:color w:val="auto"/>
        </w:rPr>
        <w:t>Development Cost Sharing</w:t>
      </w:r>
      <w:r>
        <w:rPr>
          <w:rFonts w:ascii="Times New Roman" w:cs="Times New Roman" w:eastAsia="Times New Roman" w:hAnsi="Times New Roman"/>
          <w:sz w:val="20"/>
          <w:szCs w:val="20"/>
          <w:color w:val="auto"/>
        </w:rPr>
        <w:t>) to the extent such amounts are consistent with the then-current Global Development Budget for such Step-In Activities. Notwithstanding the foregoing, any material breach by Fulcrum as a result of a Force Majeure Event will not trigger Sanofi’s step-in remedy under this Section 5.4 (</w:t>
      </w:r>
      <w:r>
        <w:rPr>
          <w:rFonts w:ascii="Times New Roman" w:cs="Times New Roman" w:eastAsia="Times New Roman" w:hAnsi="Times New Roman"/>
          <w:sz w:val="20"/>
          <w:szCs w:val="20"/>
          <w:i w:val="1"/>
          <w:iCs w:val="1"/>
          <w:color w:val="auto"/>
        </w:rPr>
        <w:t>Sanofi Step-In Right under Global Development Plan</w:t>
      </w:r>
      <w:r>
        <w:rPr>
          <w:rFonts w:ascii="Times New Roman" w:cs="Times New Roman" w:eastAsia="Times New Roman" w:hAnsi="Times New Roman"/>
          <w:sz w:val="20"/>
          <w:szCs w:val="20"/>
          <w:color w:val="auto"/>
        </w:rPr>
        <w:t>). For the purposes of Collaboration Technology ownership under this Agreement, all Collaboration Technology solely invented, developed or generated by or behalf of Sanofi or its Affiliates due to its exercise of the step-in right under this Section 5.4 (</w:t>
      </w:r>
      <w:r>
        <w:rPr>
          <w:rFonts w:ascii="Times New Roman" w:cs="Times New Roman" w:eastAsia="Times New Roman" w:hAnsi="Times New Roman"/>
          <w:sz w:val="20"/>
          <w:szCs w:val="20"/>
          <w:i w:val="1"/>
          <w:iCs w:val="1"/>
          <w:color w:val="auto"/>
        </w:rPr>
        <w:t>Sanofi Step-In Right under Global Development Plan</w:t>
      </w:r>
      <w:r>
        <w:rPr>
          <w:rFonts w:ascii="Times New Roman" w:cs="Times New Roman" w:eastAsia="Times New Roman" w:hAnsi="Times New Roman"/>
          <w:sz w:val="20"/>
          <w:szCs w:val="20"/>
          <w:color w:val="auto"/>
        </w:rPr>
        <w:t>) shall be owned by Sanofi, subject to Section 2.2 (</w:t>
      </w:r>
      <w:r>
        <w:rPr>
          <w:rFonts w:ascii="Times New Roman" w:cs="Times New Roman" w:eastAsia="Times New Roman" w:hAnsi="Times New Roman"/>
          <w:sz w:val="20"/>
          <w:szCs w:val="20"/>
          <w:i w:val="1"/>
          <w:iCs w:val="1"/>
          <w:color w:val="auto"/>
        </w:rPr>
        <w:t>License Grants to Fulcrum</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left="760" w:hanging="748"/>
        <w:spacing w:after="0" w:line="242" w:lineRule="auto"/>
        <w:rPr>
          <w:sz w:val="20"/>
          <w:szCs w:val="20"/>
          <w:color w:val="auto"/>
        </w:rPr>
      </w:pPr>
      <w:r>
        <w:rPr>
          <w:rFonts w:ascii="Times New Roman" w:cs="Times New Roman" w:eastAsia="Times New Roman" w:hAnsi="Times New Roman"/>
          <w:sz w:val="20"/>
          <w:szCs w:val="20"/>
          <w:b w:val="1"/>
          <w:bCs w:val="1"/>
          <w:color w:val="auto"/>
        </w:rPr>
        <w:t>5.5 Sanofi Independent Development Plan</w:t>
      </w:r>
      <w:r>
        <w:rPr>
          <w:rFonts w:ascii="Times New Roman" w:cs="Times New Roman" w:eastAsia="Times New Roman" w:hAnsi="Times New Roman"/>
          <w:sz w:val="20"/>
          <w:szCs w:val="20"/>
          <w:color w:val="auto"/>
        </w:rPr>
        <w:t>. Within [***] following the Effective Date, Sanofi will prepare and submit to the JDC a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setting forth (a) all Sanofi Independent Development Activities and (b) the estimated timelines for performing and completing such activities (the “</w:t>
      </w:r>
      <w:r>
        <w:rPr>
          <w:rFonts w:ascii="Times New Roman" w:cs="Times New Roman" w:eastAsia="Times New Roman" w:hAnsi="Times New Roman"/>
          <w:sz w:val="20"/>
          <w:szCs w:val="20"/>
          <w:b w:val="1"/>
          <w:bCs w:val="1"/>
          <w:color w:val="auto"/>
        </w:rPr>
        <w:t>Sanofi Independent Development Plan</w:t>
      </w:r>
      <w:r>
        <w:rPr>
          <w:rFonts w:ascii="Times New Roman" w:cs="Times New Roman" w:eastAsia="Times New Roman" w:hAnsi="Times New Roman"/>
          <w:sz w:val="20"/>
          <w:szCs w:val="20"/>
          <w:color w:val="auto"/>
        </w:rPr>
        <w:t>”). The JDC will review, discuss, and determine whether to approve the initial Sanofi Independent Development Plan. At least annually during the Term (and more frequently as may be necessary), Sanofi will prepare an update to the Sanofi Independent Development Plan to include the Sanofi Independent Development Activities to be conducted during the upcoming Calendar Year (or otherwise update such Research and Development activities). The JDC will review, discuss, and determine whether to approve each update to the Sanofi Independent Development Plan. Once approved by the JDC, the Sanofi Independent Development Plan and each update thereto will become effective and, in the case of an update, supersede the previous Sanofi Independent Development Plan as of the date of such approval or at such other time as decided by the JDC. Notwithstanding the foregoing or anything to the contrary in this Agreement, the Sanofi Independent Development Plan will not include Research and Development activities in the Global Development Plan.</w:t>
      </w:r>
    </w:p>
    <w:p>
      <w:pPr>
        <w:spacing w:after="0" w:line="190"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5.6 Fulcrum Independent Development Plan</w:t>
      </w:r>
      <w:r>
        <w:rPr>
          <w:rFonts w:ascii="Times New Roman" w:cs="Times New Roman" w:eastAsia="Times New Roman" w:hAnsi="Times New Roman"/>
          <w:sz w:val="20"/>
          <w:szCs w:val="20"/>
          <w:color w:val="auto"/>
        </w:rPr>
        <w:t>. Within [***] following the Effective Date, Fulcrum will prepare and submit to the JDC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setting forth (a) all Fulcrum Independent Development Activities and (b) the estimated timelines for performing and completing such activities (the “</w:t>
      </w:r>
      <w:r>
        <w:rPr>
          <w:rFonts w:ascii="Times New Roman" w:cs="Times New Roman" w:eastAsia="Times New Roman" w:hAnsi="Times New Roman"/>
          <w:sz w:val="20"/>
          <w:szCs w:val="20"/>
          <w:b w:val="1"/>
          <w:bCs w:val="1"/>
          <w:color w:val="auto"/>
        </w:rPr>
        <w:t>Fulcrum Independent Development Plan</w:t>
      </w:r>
      <w:r>
        <w:rPr>
          <w:rFonts w:ascii="Times New Roman" w:cs="Times New Roman" w:eastAsia="Times New Roman" w:hAnsi="Times New Roman"/>
          <w:sz w:val="20"/>
          <w:szCs w:val="20"/>
          <w:color w:val="auto"/>
        </w:rPr>
        <w:t>”). The JDC will review, discuss, and determine whether to approve the initial Fulcrum Independent Development Plan. At least annually during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4" w:name="page135"/>
    <w:bookmarkEnd w:id="134"/>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the Term (and more frequently as may be necessary), Fulcrum will prepare an update to the Fulcrum Independent Development Plan to include the Fulcrum Independent Development Activities to be conducted during the upcoming Calendar Year (or otherwise update such Research and Development activities). The JDC will review, discuss, and determine whether to approve each update to the Fulcrum Independent Development Plan. Once approved by the JDC, the Fulcrum Independent Development Plan and each update thereto will become effective and, in the case of an update, supersede the previous Fulcrum Independent Development Plan as of the date of such approval or at such other time as decided by the JDC. Notwithstanding the foregoing or anything to the contrary in this Agreement, the Fulcrum Independent Development Plan will not include Research and Development activities in the Global Development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5.7  Development Cost Sharing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5.7.1</w:t>
      </w:r>
      <w:r>
        <w:rPr>
          <w:sz w:val="20"/>
          <w:szCs w:val="20"/>
          <w:color w:val="auto"/>
        </w:rPr>
        <w:tab/>
      </w:r>
      <w:r>
        <w:rPr>
          <w:rFonts w:ascii="Times New Roman" w:cs="Times New Roman" w:eastAsia="Times New Roman" w:hAnsi="Times New Roman"/>
          <w:sz w:val="20"/>
          <w:szCs w:val="20"/>
          <w:b w:val="1"/>
          <w:bCs w:val="1"/>
          <w:color w:val="auto"/>
        </w:rPr>
        <w:t>Eligible Global Development Costs</w:t>
      </w:r>
      <w:r>
        <w:rPr>
          <w:rFonts w:ascii="Times New Roman" w:cs="Times New Roman" w:eastAsia="Times New Roman" w:hAnsi="Times New Roman"/>
          <w:sz w:val="20"/>
          <w:szCs w:val="20"/>
          <w:color w:val="auto"/>
        </w:rPr>
        <w:t>. The Parties [***] all Eligible Global Development Costs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procedures set forth in this Section 5.7.1 (</w:t>
      </w:r>
      <w:r>
        <w:rPr>
          <w:rFonts w:ascii="Times New Roman" w:cs="Times New Roman" w:eastAsia="Times New Roman" w:hAnsi="Times New Roman"/>
          <w:sz w:val="20"/>
          <w:szCs w:val="20"/>
          <w:i w:val="1"/>
          <w:iCs w:val="1"/>
          <w:color w:val="auto"/>
        </w:rPr>
        <w:t>Eligible Global Development Costs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if the Global Development Costs incurred by a Party in conducting an activity assigned to it in the Global Development Plan exceed the Eligible Global Development Costs (“</w:t>
      </w:r>
      <w:r>
        <w:rPr>
          <w:rFonts w:ascii="Times New Roman" w:cs="Times New Roman" w:eastAsia="Times New Roman" w:hAnsi="Times New Roman"/>
          <w:sz w:val="20"/>
          <w:szCs w:val="20"/>
          <w:b w:val="1"/>
          <w:bCs w:val="1"/>
          <w:color w:val="auto"/>
        </w:rPr>
        <w:t>Budget Overrun</w:t>
      </w:r>
      <w:r>
        <w:rPr>
          <w:rFonts w:ascii="Times New Roman" w:cs="Times New Roman" w:eastAsia="Times New Roman" w:hAnsi="Times New Roman"/>
          <w:sz w:val="20"/>
          <w:szCs w:val="20"/>
          <w:color w:val="auto"/>
        </w:rPr>
        <w:t>”), then such incurring Party will be solely responsible for the amount of Budget Overrun and such Budget Overrun shall be excluded from the Eligible Global Development Costs, unless the JDC otherwise agrees that the Parties will [***] amount. No later than [***] after the end of each Calendar Quarter, each Party will deliver to the other Party a written report of the Eligible Global Development Costs incurred by or on behalf of such Party during such Calendar Quarter, together with reasonable supporting documentation (for Fulcrum, the “</w:t>
      </w:r>
      <w:r>
        <w:rPr>
          <w:rFonts w:ascii="Times New Roman" w:cs="Times New Roman" w:eastAsia="Times New Roman" w:hAnsi="Times New Roman"/>
          <w:sz w:val="20"/>
          <w:szCs w:val="20"/>
          <w:b w:val="1"/>
          <w:bCs w:val="1"/>
          <w:color w:val="auto"/>
        </w:rPr>
        <w:t>Fulcrum Development Cost Share Notice</w:t>
      </w:r>
      <w:r>
        <w:rPr>
          <w:rFonts w:ascii="Times New Roman" w:cs="Times New Roman" w:eastAsia="Times New Roman" w:hAnsi="Times New Roman"/>
          <w:sz w:val="20"/>
          <w:szCs w:val="20"/>
          <w:color w:val="auto"/>
        </w:rPr>
        <w:t>” and for Sanofi, the “</w:t>
      </w:r>
      <w:r>
        <w:rPr>
          <w:rFonts w:ascii="Times New Roman" w:cs="Times New Roman" w:eastAsia="Times New Roman" w:hAnsi="Times New Roman"/>
          <w:sz w:val="20"/>
          <w:szCs w:val="20"/>
          <w:b w:val="1"/>
          <w:bCs w:val="1"/>
          <w:color w:val="auto"/>
        </w:rPr>
        <w:t>Sanofi Development Cost Share Notice</w:t>
      </w:r>
      <w:r>
        <w:rPr>
          <w:rFonts w:ascii="Times New Roman" w:cs="Times New Roman" w:eastAsia="Times New Roman" w:hAnsi="Times New Roman"/>
          <w:sz w:val="20"/>
          <w:szCs w:val="20"/>
          <w:color w:val="auto"/>
        </w:rPr>
        <w:t>”). For each Calendar Quarter:</w:t>
      </w:r>
    </w:p>
    <w:p>
      <w:pPr>
        <w:spacing w:after="0" w:line="182" w:lineRule="exact"/>
        <w:rPr>
          <w:sz w:val="20"/>
          <w:szCs w:val="20"/>
          <w:color w:val="auto"/>
        </w:rPr>
      </w:pPr>
    </w:p>
    <w:p>
      <w:pPr>
        <w:ind w:left="2260" w:hanging="754"/>
        <w:spacing w:after="0" w:line="244" w:lineRule="auto"/>
        <w:tabs>
          <w:tab w:leader="none" w:pos="190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Fulcrum True-Up</w:t>
      </w:r>
      <w:r>
        <w:rPr>
          <w:rFonts w:ascii="Times New Roman" w:cs="Times New Roman" w:eastAsia="Times New Roman" w:hAnsi="Times New Roman"/>
          <w:sz w:val="20"/>
          <w:szCs w:val="20"/>
          <w:color w:val="auto"/>
        </w:rPr>
        <w:t>. If the amount set forth in the Sanofi Development Cost Share Notice exceeds fifty percent (50%)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total Eligible Global Development Costs reported by both Parties in their respective cost share notices for a particular Calendar Quarter, then no later than [***] after Fulcrum’s receipt of the Sanofi Development Cost Share Notice for such Calendar Quarter and an invoice therefor, Fulcrum will make a balancing payment to Sanofi equal to [***] of the total Eligible Global Development Costs reported by both Parties in their respective cost share notices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amount set forth in Fulcrum Development Cost Share Notice, such that each Party bears [***]of the aggregate Eligible Global Development Costs incurred by or on behalf of the Parties in the performance of the Global Development Plan during such Calendar Quarter.</w:t>
      </w:r>
    </w:p>
    <w:p>
      <w:pPr>
        <w:spacing w:after="0" w:line="181" w:lineRule="exact"/>
        <w:rPr>
          <w:rFonts w:ascii="Times New Roman" w:cs="Times New Roman" w:eastAsia="Times New Roman" w:hAnsi="Times New Roman"/>
          <w:sz w:val="20"/>
          <w:szCs w:val="20"/>
          <w:color w:val="auto"/>
        </w:rPr>
      </w:pPr>
    </w:p>
    <w:p>
      <w:pPr>
        <w:jc w:val="right"/>
        <w:ind w:left="2260" w:hanging="754"/>
        <w:spacing w:after="0" w:line="256" w:lineRule="auto"/>
        <w:tabs>
          <w:tab w:leader="none" w:pos="1907"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Sanofi True-Up</w:t>
      </w:r>
      <w:r>
        <w:rPr>
          <w:rFonts w:ascii="Times New Roman" w:cs="Times New Roman" w:eastAsia="Times New Roman" w:hAnsi="Times New Roman"/>
          <w:sz w:val="19"/>
          <w:szCs w:val="19"/>
          <w:color w:val="auto"/>
        </w:rPr>
        <w:t>. If the amount set forth in the Fulcrum Development Cost Share Notice exceeds fifty percent (50%)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of the total Eligible Global Development Costs reported by both Parties in their respective cost share notices for a particular Calendar Quarter, then no later than [***] after Sanofi’s receipt of the Fulcrum Development Cost Share Notice for such Calendar Quarter and an invoice therefor, Sanofi will make a balancing payment to Fulcrum equal to [***] of the total Eligible Global Development Costs reported by both Parties in their respective cost share notices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the amount set forth in Sanofi Development Cost Share Notice, such that</w:t>
      </w:r>
    </w:p>
    <w:p>
      <w:pPr>
        <w:spacing w:after="0" w:line="4" w:lineRule="exact"/>
        <w:rPr>
          <w:rFonts w:ascii="Times New Roman" w:cs="Times New Roman" w:eastAsia="Times New Roman" w:hAnsi="Times New Roman"/>
          <w:sz w:val="19"/>
          <w:szCs w:val="19"/>
          <w:color w:val="auto"/>
        </w:rPr>
      </w:pPr>
    </w:p>
    <w:p>
      <w:pPr>
        <w:ind w:left="2260" w:hanging="6"/>
        <w:spacing w:after="0" w:line="246" w:lineRule="auto"/>
        <w:tabs>
          <w:tab w:leader="none" w:pos="2786"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aggregate Eligible Global Development Costs incurred by or on behalf of the Parties in the performance of the Global Development Plan during such Calendar Quarter.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jc w:val="both"/>
        <w:ind w:left="1500" w:hanging="694"/>
        <w:spacing w:after="0" w:line="256" w:lineRule="auto"/>
        <w:tabs>
          <w:tab w:leader="none" w:pos="1480" w:val="left"/>
        </w:tabs>
        <w:rPr>
          <w:sz w:val="20"/>
          <w:szCs w:val="20"/>
          <w:color w:val="auto"/>
        </w:rPr>
      </w:pPr>
      <w:r>
        <w:rPr>
          <w:rFonts w:ascii="Times New Roman" w:cs="Times New Roman" w:eastAsia="Times New Roman" w:hAnsi="Times New Roman"/>
          <w:sz w:val="20"/>
          <w:szCs w:val="20"/>
          <w:color w:val="auto"/>
        </w:rPr>
        <w:t>5.7.2</w:t>
      </w:r>
      <w:r>
        <w:rPr>
          <w:sz w:val="20"/>
          <w:szCs w:val="20"/>
          <w:color w:val="auto"/>
        </w:rPr>
        <w:tab/>
      </w:r>
      <w:r>
        <w:rPr>
          <w:rFonts w:ascii="Times New Roman" w:cs="Times New Roman" w:eastAsia="Times New Roman" w:hAnsi="Times New Roman"/>
          <w:sz w:val="20"/>
          <w:szCs w:val="20"/>
          <w:b w:val="1"/>
          <w:bCs w:val="1"/>
          <w:color w:val="auto"/>
        </w:rPr>
        <w:t>Sanofi Independent Development Activities</w:t>
      </w:r>
      <w:r>
        <w:rPr>
          <w:rFonts w:ascii="Times New Roman" w:cs="Times New Roman" w:eastAsia="Times New Roman" w:hAnsi="Times New Roman"/>
          <w:sz w:val="20"/>
          <w:szCs w:val="20"/>
          <w:color w:val="auto"/>
        </w:rPr>
        <w:t>. Subject to Section 5.3.1(c)(iii) (</w:t>
      </w:r>
      <w:r>
        <w:rPr>
          <w:rFonts w:ascii="Times New Roman" w:cs="Times New Roman" w:eastAsia="Times New Roman" w:hAnsi="Times New Roman"/>
          <w:sz w:val="20"/>
          <w:szCs w:val="20"/>
          <w:i w:val="1"/>
          <w:iCs w:val="1"/>
          <w:color w:val="auto"/>
        </w:rPr>
        <w:t>Additional Activities under Global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Development Plan</w:t>
      </w:r>
      <w:r>
        <w:rPr>
          <w:rFonts w:ascii="Times New Roman" w:cs="Times New Roman" w:eastAsia="Times New Roman" w:hAnsi="Times New Roman"/>
          <w:sz w:val="20"/>
          <w:szCs w:val="20"/>
          <w:color w:val="auto"/>
        </w:rPr>
        <w:t>), Sanofi will be solely responsible for all costs and expenses incurred in connection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of all Sanofi Independent Development Activities.</w:t>
      </w:r>
    </w:p>
    <w:p>
      <w:pPr>
        <w:spacing w:after="0" w:line="169" w:lineRule="exact"/>
        <w:rPr>
          <w:sz w:val="20"/>
          <w:szCs w:val="20"/>
          <w:color w:val="auto"/>
        </w:rPr>
      </w:pPr>
    </w:p>
    <w:p>
      <w:pPr>
        <w:jc w:val="both"/>
        <w:ind w:left="1500" w:hanging="694"/>
        <w:spacing w:after="0" w:line="256" w:lineRule="auto"/>
        <w:tabs>
          <w:tab w:leader="none" w:pos="1480" w:val="left"/>
        </w:tabs>
        <w:rPr>
          <w:sz w:val="20"/>
          <w:szCs w:val="20"/>
          <w:color w:val="auto"/>
        </w:rPr>
      </w:pPr>
      <w:r>
        <w:rPr>
          <w:rFonts w:ascii="Times New Roman" w:cs="Times New Roman" w:eastAsia="Times New Roman" w:hAnsi="Times New Roman"/>
          <w:sz w:val="20"/>
          <w:szCs w:val="20"/>
          <w:color w:val="auto"/>
        </w:rPr>
        <w:t>5.7.3</w:t>
      </w:r>
      <w:r>
        <w:rPr>
          <w:sz w:val="20"/>
          <w:szCs w:val="20"/>
          <w:color w:val="auto"/>
        </w:rPr>
        <w:tab/>
      </w:r>
      <w:r>
        <w:rPr>
          <w:rFonts w:ascii="Times New Roman" w:cs="Times New Roman" w:eastAsia="Times New Roman" w:hAnsi="Times New Roman"/>
          <w:sz w:val="20"/>
          <w:szCs w:val="20"/>
          <w:b w:val="1"/>
          <w:bCs w:val="1"/>
          <w:color w:val="auto"/>
        </w:rPr>
        <w:t>Fulcrum Independent Development Activities</w:t>
      </w:r>
      <w:r>
        <w:rPr>
          <w:rFonts w:ascii="Times New Roman" w:cs="Times New Roman" w:eastAsia="Times New Roman" w:hAnsi="Times New Roman"/>
          <w:sz w:val="20"/>
          <w:szCs w:val="20"/>
          <w:color w:val="auto"/>
        </w:rPr>
        <w:t>. Subject to Section 5.3.1(c)(iii) (</w:t>
      </w:r>
      <w:r>
        <w:rPr>
          <w:rFonts w:ascii="Times New Roman" w:cs="Times New Roman" w:eastAsia="Times New Roman" w:hAnsi="Times New Roman"/>
          <w:sz w:val="20"/>
          <w:szCs w:val="20"/>
          <w:i w:val="1"/>
          <w:iCs w:val="1"/>
          <w:color w:val="auto"/>
        </w:rPr>
        <w:t>Additional Activities under Global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Development Plan</w:t>
      </w:r>
      <w:r>
        <w:rPr>
          <w:rFonts w:ascii="Times New Roman" w:cs="Times New Roman" w:eastAsia="Times New Roman" w:hAnsi="Times New Roman"/>
          <w:sz w:val="20"/>
          <w:szCs w:val="20"/>
          <w:color w:val="auto"/>
        </w:rPr>
        <w:t>), Fulcrum will be solely responsible for all costs and expenses incurred in connection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of all Fulcrum Independent Development Activities.</w:t>
      </w:r>
    </w:p>
    <w:p>
      <w:pPr>
        <w:spacing w:after="0" w:line="169" w:lineRule="exact"/>
        <w:rPr>
          <w:sz w:val="20"/>
          <w:szCs w:val="20"/>
          <w:color w:val="auto"/>
        </w:rPr>
      </w:pPr>
    </w:p>
    <w:p>
      <w:pPr>
        <w:jc w:val="both"/>
        <w:ind w:left="760" w:hanging="748"/>
        <w:spacing w:after="0" w:line="244" w:lineRule="auto"/>
        <w:rPr>
          <w:sz w:val="20"/>
          <w:szCs w:val="20"/>
          <w:color w:val="auto"/>
        </w:rPr>
      </w:pPr>
      <w:r>
        <w:rPr>
          <w:rFonts w:ascii="Times New Roman" w:cs="Times New Roman" w:eastAsia="Times New Roman" w:hAnsi="Times New Roman"/>
          <w:sz w:val="20"/>
          <w:szCs w:val="20"/>
          <w:b w:val="1"/>
          <w:bCs w:val="1"/>
          <w:color w:val="auto"/>
        </w:rPr>
        <w:t>5.8 Development Reports</w:t>
      </w:r>
      <w:r>
        <w:rPr>
          <w:rFonts w:ascii="Times New Roman" w:cs="Times New Roman" w:eastAsia="Times New Roman" w:hAnsi="Times New Roman"/>
          <w:sz w:val="20"/>
          <w:szCs w:val="20"/>
          <w:color w:val="auto"/>
        </w:rPr>
        <w:t>. At each JDC meeting, Fulcrum and Sanofi will each provide the JDC with a written summary of the activities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conducted by or on behalf of such Party under, as applicable, the Global Development Program, the Sanofi Independent Development Program and the Fulcrum Independent Development Program since the last JDC meeting, including patient enrollment and the ongoing status of all Clinical Trials under the applicable plan. Each Party will also promptly provide written notice to the other Party, through the JDC or Alliance Managers, of any significant Research and Development events under the Global Development Program, the Sanofi Independent Development Program or the Fulcrum Independent Development Program that the reporting Party reasonably believes materially impacts the Research or Development activities of the other Party under this Agreement or is otherwise of interest to the other Party.</w:t>
      </w:r>
    </w:p>
    <w:p>
      <w:pPr>
        <w:spacing w:after="0" w:line="182" w:lineRule="exact"/>
        <w:rPr>
          <w:sz w:val="20"/>
          <w:szCs w:val="20"/>
          <w:color w:val="auto"/>
        </w:rPr>
      </w:pPr>
    </w:p>
    <w:p>
      <w:pPr>
        <w:jc w:val="both"/>
        <w:ind w:left="760" w:hanging="748"/>
        <w:spacing w:after="0" w:line="247" w:lineRule="auto"/>
        <w:rPr>
          <w:sz w:val="20"/>
          <w:szCs w:val="20"/>
          <w:color w:val="auto"/>
        </w:rPr>
      </w:pPr>
      <w:r>
        <w:rPr>
          <w:rFonts w:ascii="Times New Roman" w:cs="Times New Roman" w:eastAsia="Times New Roman" w:hAnsi="Times New Roman"/>
          <w:sz w:val="20"/>
          <w:szCs w:val="20"/>
          <w:b w:val="1"/>
          <w:bCs w:val="1"/>
          <w:color w:val="auto"/>
        </w:rPr>
        <w:t>5.9 Development Records</w:t>
      </w:r>
      <w:r>
        <w:rPr>
          <w:rFonts w:ascii="Times New Roman" w:cs="Times New Roman" w:eastAsia="Times New Roman" w:hAnsi="Times New Roman"/>
          <w:sz w:val="20"/>
          <w:szCs w:val="20"/>
          <w:color w:val="auto"/>
        </w:rPr>
        <w:t>. Each Party and its Affiliates will maintain written or electronic records, in sufficient detail, in a good scientific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manner (in accordance with GLP, GCP, and GMP, as applicable), and appropriate for regulatory and patent purposes, and that are complete and accurate in all material respects and reflect all Research and Development work performed and results achieved, in each case, by or on behalf of such Party and its Affiliates under the Global Development Program, the Sanofi Independent Development Program and the Fulcrum Independent Development Program.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REGULATORY AFFAIRS</w:t>
      </w:r>
    </w:p>
    <w:p>
      <w:pPr>
        <w:spacing w:after="0" w:line="190" w:lineRule="exact"/>
        <w:rPr>
          <w:sz w:val="20"/>
          <w:szCs w:val="20"/>
          <w:color w:val="auto"/>
        </w:rPr>
      </w:pPr>
    </w:p>
    <w:p>
      <w:pPr>
        <w:jc w:val="both"/>
        <w:ind w:left="760" w:hanging="748"/>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6.1 Regulatory Responsible Party </w:t>
      </w:r>
      <w:r>
        <w:rPr>
          <w:rFonts w:ascii="Times New Roman" w:cs="Times New Roman" w:eastAsia="Times New Roman" w:hAnsi="Times New Roman"/>
          <w:sz w:val="20"/>
          <w:szCs w:val="20"/>
          <w:color w:val="auto"/>
        </w:rPr>
        <w:t>. Prior to the Regulatory Responsibility Transfer Date, Fulcrum will be the Regulatory Responsible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Party for the Licensed Products in the Territory. On and after the Regulatory Responsibility Transfer Date, Fulcrum will be the Regulatory Responsible Party for Licensed Products in the Fulcrum Territory, and Sanofi will be the Regulatory Responsible Party for the Licensed Products in the Sanofi Territory;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if a Party or its Affiliate, Sublicensee or subcontractor is sponsoring a Clinical Trial, such Party will the Regulatory Responsible Party for such Clinical Trial and will own all Regulatory Submissions for such Clinical Trial, except that Fulcrum will transfer ownership of any Regulatory Submissions for Clinical Trials conducted in the Sanofi Territory under the Global Development Plan in accordance with the succeeding sentence. Promptly, but in any event no later than [***] after the Effective Date, on a Licensed Product-by-Licensed Product basis, (a) unless not permitted by Applicable Law, Fulcrum will transfer ownership to Sanofi of all Regulatory Submissions (including the IND) with respect to a Licensed Product in the Sanofi Territory (including by providing true, accurate and complete electronic copies thereof to Sanofi);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Fulcrum will not transfer ownership of any Regulatory Submissions required for the conduct of the Fulcrum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Sponsored Clinical Trials until, on a Clinical Trial-by-Clinical Trial basis, a Fulcrum Sponsored Clinical Trial is completed and Fulcrum’s ownership of such Regulatory Submissions is no longer reasonably necessary to conduct and complete such Fulcrum Sponsored Clinical Trial and (b) within [***] following the completion of all activities set forth in the foregoing clause (a), Fulcrum will send a letter to each</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6" w:name="page137"/>
    <w:bookmarkEnd w:id="136"/>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Regulatory Authority as applicable to a specific country or jurisdiction to record and notify such Regulatory Authority of the transfer of ownership to Sanofi of all Regulatory Submissions with respect to the relevant Licensed Product in the Sanofi Territory (the date when all activities set forth in the foregoing clauses (a) and (b) under this Section 6.1 (</w:t>
      </w:r>
      <w:r>
        <w:rPr>
          <w:rFonts w:ascii="Times New Roman" w:cs="Times New Roman" w:eastAsia="Times New Roman" w:hAnsi="Times New Roman"/>
          <w:sz w:val="20"/>
          <w:szCs w:val="20"/>
          <w:i w:val="1"/>
          <w:iCs w:val="1"/>
          <w:color w:val="auto"/>
        </w:rPr>
        <w:t>Regulatory Responsible Party</w:t>
      </w:r>
      <w:r>
        <w:rPr>
          <w:rFonts w:ascii="Times New Roman" w:cs="Times New Roman" w:eastAsia="Times New Roman" w:hAnsi="Times New Roman"/>
          <w:sz w:val="20"/>
          <w:szCs w:val="20"/>
          <w:color w:val="auto"/>
        </w:rPr>
        <w:t>) are completed, each, a “</w:t>
      </w:r>
      <w:r>
        <w:rPr>
          <w:rFonts w:ascii="Times New Roman" w:cs="Times New Roman" w:eastAsia="Times New Roman" w:hAnsi="Times New Roman"/>
          <w:sz w:val="20"/>
          <w:szCs w:val="20"/>
          <w:b w:val="1"/>
          <w:bCs w:val="1"/>
          <w:color w:val="auto"/>
        </w:rPr>
        <w:t>Regulatory Responsibility Transfer Date</w:t>
      </w:r>
      <w:r>
        <w:rPr>
          <w:rFonts w:ascii="Times New Roman" w:cs="Times New Roman" w:eastAsia="Times New Roman" w:hAnsi="Times New Roman"/>
          <w:sz w:val="20"/>
          <w:szCs w:val="20"/>
          <w:color w:val="auto"/>
        </w:rPr>
        <w:t>”). In the event the transfer of ownership or assignment of any Regulatory Submissions is not permitted under Applicable Law, Fulcrum will hold such Regulatory Submissions in trust for, or for the sole benefit of, Sanofi. Subject to this Section 6.1 (</w:t>
      </w:r>
      <w:r>
        <w:rPr>
          <w:rFonts w:ascii="Times New Roman" w:cs="Times New Roman" w:eastAsia="Times New Roman" w:hAnsi="Times New Roman"/>
          <w:sz w:val="20"/>
          <w:szCs w:val="20"/>
          <w:i w:val="1"/>
          <w:iCs w:val="1"/>
          <w:color w:val="auto"/>
        </w:rPr>
        <w:t>Regulatory Responsible</w:t>
      </w:r>
      <w:r>
        <w:rPr>
          <w:rFonts w:ascii="Times New Roman" w:cs="Times New Roman" w:eastAsia="Times New Roman" w:hAnsi="Times New Roman"/>
          <w:sz w:val="20"/>
          <w:szCs w:val="20"/>
          <w:color w:val="auto"/>
        </w:rPr>
        <w:t xml:space="preserve"> Party), effective from and after each Regulatory Responsibility Transfer Date, all Regulatory Submissions and Regulatory Approvals in the Sanofi Territory with respect to the relevant Licensed Product after the Regulatory Responsibility Transfer Date will be owned by and held in the name of Sanofi. For clarity, Fulcrum will not have any responsibility to transfer any Regulatory Submissions to Sanofi for any Clinical Trial conducted under the Fulcrum Independent Development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6.2  Collaboration With Respect to Regulatory Interactions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right"/>
        <w:ind w:left="820"/>
        <w:spacing w:after="0" w:line="253" w:lineRule="auto"/>
        <w:rPr>
          <w:sz w:val="20"/>
          <w:szCs w:val="20"/>
          <w:color w:val="auto"/>
        </w:rPr>
      </w:pPr>
      <w:r>
        <w:rPr>
          <w:rFonts w:ascii="Times New Roman" w:cs="Times New Roman" w:eastAsia="Times New Roman" w:hAnsi="Times New Roman"/>
          <w:sz w:val="20"/>
          <w:szCs w:val="20"/>
          <w:color w:val="auto"/>
        </w:rPr>
        <w:t xml:space="preserve">6.2.1    </w:t>
      </w:r>
      <w:r>
        <w:rPr>
          <w:rFonts w:ascii="Times New Roman" w:cs="Times New Roman" w:eastAsia="Times New Roman" w:hAnsi="Times New Roman"/>
          <w:sz w:val="20"/>
          <w:szCs w:val="20"/>
          <w:b w:val="1"/>
          <w:bCs w:val="1"/>
          <w:color w:val="auto"/>
        </w:rPr>
        <w:t>Correspondence</w:t>
      </w:r>
      <w:r>
        <w:rPr>
          <w:rFonts w:ascii="Times New Roman" w:cs="Times New Roman" w:eastAsia="Times New Roman" w:hAnsi="Times New Roman"/>
          <w:sz w:val="20"/>
          <w:szCs w:val="20"/>
          <w:color w:val="auto"/>
        </w:rPr>
        <w:t>. The Regulatory Responsible Party will provide the other Party with (a) copies of any material written correspondence submitted to or received from the EMA, national health authorities within the E.U., FDA and MHLW, and</w:t>
      </w:r>
    </w:p>
    <w:p>
      <w:pPr>
        <w:jc w:val="both"/>
        <w:ind w:left="1500" w:firstLine="6"/>
        <w:spacing w:after="0" w:line="241" w:lineRule="auto"/>
        <w:tabs>
          <w:tab w:leader="none" w:pos="179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summaries of any material oral communications with the EMA, national health authorities within the E.U., FDA and MHLW, in each case ((a) and (b)), relating to Regulatory Submissions for the Licensed Products in such jurisdiction or country, reasonably promptly after receipt or delivery by such Regulatory Responsible Party of such correspondence or communication, as the case may be (but in any event, no later than [***] after receipt or delivery).</w:t>
      </w:r>
    </w:p>
    <w:p>
      <w:pPr>
        <w:spacing w:after="0" w:line="184" w:lineRule="exact"/>
        <w:rPr>
          <w:sz w:val="20"/>
          <w:szCs w:val="20"/>
          <w:color w:val="auto"/>
        </w:rPr>
      </w:pPr>
    </w:p>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6.2.2</w:t>
      </w:r>
      <w:r>
        <w:rPr>
          <w:sz w:val="20"/>
          <w:szCs w:val="20"/>
          <w:color w:val="auto"/>
        </w:rPr>
        <w:tab/>
      </w:r>
      <w:r>
        <w:rPr>
          <w:rFonts w:ascii="Times New Roman" w:cs="Times New Roman" w:eastAsia="Times New Roman" w:hAnsi="Times New Roman"/>
          <w:sz w:val="20"/>
          <w:szCs w:val="20"/>
          <w:b w:val="1"/>
          <w:bCs w:val="1"/>
          <w:color w:val="auto"/>
        </w:rPr>
        <w:t>Regulatory Responsibility</w:t>
      </w:r>
      <w:r>
        <w:rPr>
          <w:rFonts w:ascii="Times New Roman" w:cs="Times New Roman" w:eastAsia="Times New Roman" w:hAnsi="Times New Roman"/>
          <w:sz w:val="20"/>
          <w:szCs w:val="20"/>
          <w:color w:val="auto"/>
        </w:rPr>
        <w:t>. The Regulatory Responsible Party will be responsible for, and will have final decision-making authority on the content of, all Regulatory Submissions, communications, and other dealings with the Regulatory Authorities relating to the Licensed Products in the applicable jurisdictions for which such Party is the Regulatory Responsible Party. The Regulatory Responsible Party will not be required to delay any submission, correspondence, or communication with any Regulatory Authorities in a manner that affects such Regulatory Responsible Party’s ability to comply with any Regulatory Authority requirement or deadline or Applicable Law in such jurisdiction.</w:t>
      </w:r>
    </w:p>
    <w:p>
      <w:pPr>
        <w:spacing w:after="0" w:line="179" w:lineRule="exact"/>
        <w:rPr>
          <w:sz w:val="20"/>
          <w:szCs w:val="20"/>
          <w:color w:val="auto"/>
        </w:rPr>
      </w:pPr>
    </w:p>
    <w:p>
      <w:pPr>
        <w:jc w:val="both"/>
        <w:ind w:left="760" w:hanging="748"/>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6.3 Regulatory Meetings </w:t>
      </w:r>
      <w:r>
        <w:rPr>
          <w:rFonts w:ascii="Times New Roman" w:cs="Times New Roman" w:eastAsia="Times New Roman" w:hAnsi="Times New Roman"/>
          <w:sz w:val="19"/>
          <w:szCs w:val="19"/>
          <w:color w:val="auto"/>
        </w:rPr>
        <w:t>. The applicable Regulatory Responsible Party will provide the other Party with as much advance notice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practicable under the circumstances, but in no event less than [***], to the extent practicable, notice for any meetings pertaining to Regulatory Submissions for the Licensed Products (to the extent such meetings are scheduled in advance) with the EMA, MHRA, FDA, and the MHLW, to the extent not prohibited by Applicable Law or the applicable Regulatory Authority. Unless otherwise prohibited under Applicable Law or by the relevant Regulatory Authority, the other Party will have the right to have its representatives attend all such meetings (other than any such meetings with the MHLW), with the specific number of representatives to be agreed upon by the Parties based on the agenda topics for such meetings and any requirements under Applicable Law, but in any event, no more than [***], with the goal of ensuring that the necessary subject matter experts from each Party attend any such meeting. Upon the other Party’s request, the Regulatory Responsible Party will include the other Party in the preparation and strategy for substantive meetings with the EMA, MHRA, FDA, and the MHLW and in any discussions and actions relating to the outcome thereof. The Regulatory Responsible Party will take the lead and be primarily responsible for interactions with Regulatory Authorities at any such meeting attended by representatives of each Party. The non-Regulatory Responsible Party</w:t>
      </w:r>
    </w:p>
    <w:p>
      <w:pPr>
        <w:spacing w:after="0" w:line="5" w:lineRule="exact"/>
        <w:rPr>
          <w:sz w:val="20"/>
          <w:szCs w:val="20"/>
          <w:color w:val="auto"/>
        </w:rPr>
      </w:pPr>
    </w:p>
    <w:p>
      <w:pPr>
        <w:ind w:left="5460" w:right="2260" w:hanging="4654"/>
        <w:spacing w:after="0" w:line="471" w:lineRule="auto"/>
        <w:tabs>
          <w:tab w:leader="none" w:pos="104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strictly follow the Regulatory Responsible Party’s instructions with respect to any such meeting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ind w:left="760"/>
        <w:spacing w:after="0" w:line="269" w:lineRule="auto"/>
        <w:rPr>
          <w:sz w:val="20"/>
          <w:szCs w:val="20"/>
          <w:color w:val="auto"/>
        </w:rPr>
      </w:pPr>
      <w:r>
        <w:rPr>
          <w:rFonts w:ascii="Times New Roman" w:cs="Times New Roman" w:eastAsia="Times New Roman" w:hAnsi="Times New Roman"/>
          <w:sz w:val="20"/>
          <w:szCs w:val="20"/>
          <w:color w:val="auto"/>
        </w:rPr>
        <w:t>that it attends and (ii) will not discuss the contents of any such meeting with any Third Party or Regulatory Authority except as required by Applicable Law or authorized by the Regulatory Responsible Party in writing.</w:t>
      </w:r>
    </w:p>
    <w:p>
      <w:pPr>
        <w:spacing w:after="0" w:line="155" w:lineRule="exact"/>
        <w:rPr>
          <w:sz w:val="20"/>
          <w:szCs w:val="20"/>
          <w:color w:val="auto"/>
        </w:rPr>
      </w:pPr>
    </w:p>
    <w:p>
      <w:pPr>
        <w:jc w:val="both"/>
        <w:ind w:left="760" w:hanging="748"/>
        <w:spacing w:after="0" w:line="242" w:lineRule="auto"/>
        <w:rPr>
          <w:sz w:val="20"/>
          <w:szCs w:val="20"/>
          <w:color w:val="auto"/>
        </w:rPr>
      </w:pPr>
      <w:r>
        <w:rPr>
          <w:rFonts w:ascii="Times New Roman" w:cs="Times New Roman" w:eastAsia="Times New Roman" w:hAnsi="Times New Roman"/>
          <w:sz w:val="20"/>
          <w:szCs w:val="20"/>
          <w:b w:val="1"/>
          <w:bCs w:val="1"/>
          <w:color w:val="auto"/>
        </w:rPr>
        <w:t>6.4 Regulatory Submissions</w:t>
      </w:r>
      <w:r>
        <w:rPr>
          <w:rFonts w:ascii="Times New Roman" w:cs="Times New Roman" w:eastAsia="Times New Roman" w:hAnsi="Times New Roman"/>
          <w:sz w:val="20"/>
          <w:szCs w:val="20"/>
          <w:color w:val="auto"/>
        </w:rPr>
        <w:t>. Each Party will provide the other Party with a copy of all proposed material Regulatory Submissions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filed with or submitted to EMA, national health authorities within the E.U., FDA and MHLW for the other Party’s review and comment sufficiently in advance of such Party’s filing or submission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Party will have the right to redact or remove from such Regulatory Submissions any business sensitive or proprietary information of such Party, its Affiliates or Sublicensees contained in such Regulatory Submissions), and the submitting Party will make a good faith effort to incorporate comments received from the other Party into such Regulatory Submissions. In addition, the Regulatory Responsible Party will provide the other Party with written notice of each of the following events with regard to each Licensed Product, within a reasonable period of time (and prior to public disclosure of such event by the Regulatory Responsible Party) following the occurrence of: (i) the submission of any MAA filings of such Licensed Product to any Regulatory Authority, and (ii) receipt of Regulatory Approval or denial of any MAA for such Licensed Product (or inquiries from the applicable Regulatory Authority related to the MAA process).</w:t>
      </w:r>
    </w:p>
    <w:p>
      <w:pPr>
        <w:spacing w:after="0" w:line="190" w:lineRule="exact"/>
        <w:rPr>
          <w:sz w:val="20"/>
          <w:szCs w:val="20"/>
          <w:color w:val="auto"/>
        </w:rPr>
      </w:pPr>
    </w:p>
    <w:p>
      <w:pPr>
        <w:jc w:val="both"/>
        <w:ind w:left="760" w:hanging="748"/>
        <w:spacing w:after="0" w:line="256" w:lineRule="auto"/>
        <w:rPr>
          <w:sz w:val="20"/>
          <w:szCs w:val="20"/>
          <w:color w:val="auto"/>
        </w:rPr>
      </w:pPr>
      <w:r>
        <w:rPr>
          <w:rFonts w:ascii="Times New Roman" w:cs="Times New Roman" w:eastAsia="Times New Roman" w:hAnsi="Times New Roman"/>
          <w:sz w:val="20"/>
          <w:szCs w:val="20"/>
          <w:b w:val="1"/>
          <w:bCs w:val="1"/>
          <w:color w:val="auto"/>
        </w:rPr>
        <w:t>6.5 Inspections</w:t>
      </w:r>
      <w:r>
        <w:rPr>
          <w:rFonts w:ascii="Times New Roman" w:cs="Times New Roman" w:eastAsia="Times New Roman" w:hAnsi="Times New Roman"/>
          <w:sz w:val="20"/>
          <w:szCs w:val="20"/>
          <w:color w:val="auto"/>
        </w:rPr>
        <w:t>. The Regulatory Responsible Party shall notify the other Party of any inspections of the Regulatory Responsible Party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of its Affiliates, Sublicensees or subcontractors conducted by any Regulatory Authority and any related findings to the extent that such inspections relate to the activities conducted under this Agreement.</w:t>
      </w:r>
    </w:p>
    <w:p>
      <w:pPr>
        <w:spacing w:after="0" w:line="169" w:lineRule="exact"/>
        <w:rPr>
          <w:sz w:val="20"/>
          <w:szCs w:val="20"/>
          <w:color w:val="auto"/>
        </w:rPr>
      </w:pPr>
    </w:p>
    <w:p>
      <w:pPr>
        <w:jc w:val="both"/>
        <w:ind w:left="760" w:hanging="748"/>
        <w:spacing w:after="0" w:line="243" w:lineRule="auto"/>
        <w:rPr>
          <w:sz w:val="20"/>
          <w:szCs w:val="20"/>
          <w:color w:val="auto"/>
        </w:rPr>
      </w:pPr>
      <w:r>
        <w:rPr>
          <w:rFonts w:ascii="Times New Roman" w:cs="Times New Roman" w:eastAsia="Times New Roman" w:hAnsi="Times New Roman"/>
          <w:sz w:val="20"/>
          <w:szCs w:val="20"/>
          <w:b w:val="1"/>
          <w:bCs w:val="1"/>
          <w:color w:val="auto"/>
        </w:rPr>
        <w:t>6.6 Cooperation</w:t>
      </w:r>
      <w:r>
        <w:rPr>
          <w:rFonts w:ascii="Times New Roman" w:cs="Times New Roman" w:eastAsia="Times New Roman" w:hAnsi="Times New Roman"/>
          <w:sz w:val="20"/>
          <w:szCs w:val="20"/>
          <w:color w:val="auto"/>
        </w:rPr>
        <w:t>. The Parties will cooperate with each other to achieve the regulatory objectives contemplated herein in a timely, accurate,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responsive manner. The non-Regulatory Responsible Party will assist the Regulatory Responsible Party, as is reasonably necessary in order for such Regulatory Responsible Party to obtain and maintain each applicable Marketing Authorization Application for the Licensed Products in the Regulatory Responsible Party’s Territory, including in connection with the preparation, filing, and submission of all Regulatory Submissions by such Regulatory Responsible Party, including by providing to the Regulatory Responsible Party, as soon as reasonably practicable, such information and documentation that is in the other Party’s possession and Control, to the extent such information and documentation is reasonably available and necessary or helpful for the Regulatory Responsible Party to prepare a response to an inquiry from a Regulatory Authority in the Regulatory Responsible Party’s purview with respect to a Licensed Product.</w:t>
      </w:r>
    </w:p>
    <w:p>
      <w:pPr>
        <w:spacing w:after="0" w:line="186"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6.7 Cost of Regulatory Activities </w:t>
      </w:r>
      <w:r>
        <w:rPr>
          <w:rFonts w:ascii="Times New Roman" w:cs="Times New Roman" w:eastAsia="Times New Roman" w:hAnsi="Times New Roman"/>
          <w:sz w:val="20"/>
          <w:szCs w:val="20"/>
          <w:color w:val="auto"/>
        </w:rPr>
        <w:t>.</w:t>
      </w:r>
      <w:r>
        <w:rPr>
          <w:sz w:val="20"/>
          <w:szCs w:val="20"/>
          <w:color w:val="auto"/>
        </w:rPr>
        <w:t xml:space="preserve"> </w:t>
      </w:r>
      <w:r>
        <w:rPr>
          <w:rFonts w:ascii="Times New Roman" w:cs="Times New Roman" w:eastAsia="Times New Roman" w:hAnsi="Times New Roman"/>
          <w:sz w:val="20"/>
          <w:szCs w:val="20"/>
          <w:color w:val="auto"/>
        </w:rPr>
        <w:t>The Parties will share equally (50:50) all External Costs solely relating to regulatory activities associated with the conduct of Clinical Trials for the Licensed Products included within the Eligible Global Development Costs, and otherwise, the applicable Regulatory Responsible Party will be responsible for the costs incurred by each Party and its Affiliates in connection with the preparation or maintenance of Regulatory Submissions and Regulatory Approvals with respect to the Licensed Products in a given jurisdiction, including any filing fees.</w:t>
      </w:r>
    </w:p>
    <w:p>
      <w:pPr>
        <w:spacing w:after="0" w:line="185" w:lineRule="exact"/>
        <w:rPr>
          <w:sz w:val="20"/>
          <w:szCs w:val="20"/>
          <w:color w:val="auto"/>
        </w:rPr>
      </w:pPr>
    </w:p>
    <w:p>
      <w:pPr>
        <w:jc w:val="both"/>
        <w:ind w:left="760" w:hanging="748"/>
        <w:spacing w:after="0" w:line="247" w:lineRule="auto"/>
        <w:rPr>
          <w:sz w:val="20"/>
          <w:szCs w:val="20"/>
          <w:color w:val="auto"/>
        </w:rPr>
      </w:pPr>
      <w:r>
        <w:rPr>
          <w:rFonts w:ascii="Times New Roman" w:cs="Times New Roman" w:eastAsia="Times New Roman" w:hAnsi="Times New Roman"/>
          <w:sz w:val="20"/>
          <w:szCs w:val="20"/>
          <w:b w:val="1"/>
          <w:bCs w:val="1"/>
          <w:color w:val="auto"/>
        </w:rPr>
        <w:t>6.8 Right of Reference</w:t>
      </w:r>
      <w:r>
        <w:rPr>
          <w:rFonts w:ascii="Times New Roman" w:cs="Times New Roman" w:eastAsia="Times New Roman" w:hAnsi="Times New Roman"/>
          <w:sz w:val="20"/>
          <w:szCs w:val="20"/>
          <w:color w:val="auto"/>
        </w:rPr>
        <w:t>. Subject to the rules of the relevant Regulatory Authority and the terms of this Agreement, each Party hereby grants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other Party a “Right of Reference,” as that term is defined in 21 C.F.R. § 314.3(b) (or any successor rule or analogous Applicable Law recognized outside of the United States) to, and a right to copy, access, and otherwise use, all information, data and other Know-How relating to the Licensed Compounds and Licensed Products that are included or referenced in any Regulatory Submission or Regulatory Approval Controlled by the grantor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jc w:val="both"/>
        <w:ind w:left="760"/>
        <w:spacing w:after="0" w:line="244" w:lineRule="auto"/>
        <w:rPr>
          <w:sz w:val="20"/>
          <w:szCs w:val="20"/>
          <w:color w:val="auto"/>
        </w:rPr>
      </w:pPr>
      <w:r>
        <w:rPr>
          <w:rFonts w:ascii="Times New Roman" w:cs="Times New Roman" w:eastAsia="Times New Roman" w:hAnsi="Times New Roman"/>
          <w:sz w:val="20"/>
          <w:szCs w:val="20"/>
          <w:color w:val="auto"/>
        </w:rPr>
        <w:t>Party during the Term, for the other Party’s or its Affiliates’ or Sublicensees’ use in the Development and Commercialization of the Licensed Compounds and Licensed Products and to otherwise enable such Party to fulfill its obligations or exercise its rights with respect to Licensed Compounds and Licensed Products, in each case, in accordance with this Agreement. All such information and data contained in any such Regulatory Submissions or Regulatory Approvals will be considered Confidential Information of the grantor Party and subject to the terms of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If requested by the grantee Party, the grantor Party will provide a signed statement to this effect in accordance with 21 C.F.R. § 314.50(g)(3) (or any successor rule or analogous Applicable Law outside of the United States) to give effect to the intent of this Section 6.8 (</w:t>
      </w:r>
      <w:r>
        <w:rPr>
          <w:rFonts w:ascii="Times New Roman" w:cs="Times New Roman" w:eastAsia="Times New Roman" w:hAnsi="Times New Roman"/>
          <w:sz w:val="20"/>
          <w:szCs w:val="20"/>
          <w:i w:val="1"/>
          <w:iCs w:val="1"/>
          <w:color w:val="auto"/>
        </w:rPr>
        <w:t>Right of Reference</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left="760" w:hanging="748"/>
        <w:spacing w:after="0" w:line="242" w:lineRule="auto"/>
        <w:rPr>
          <w:sz w:val="20"/>
          <w:szCs w:val="20"/>
          <w:color w:val="auto"/>
        </w:rPr>
      </w:pPr>
      <w:r>
        <w:rPr>
          <w:rFonts w:ascii="Times New Roman" w:cs="Times New Roman" w:eastAsia="Times New Roman" w:hAnsi="Times New Roman"/>
          <w:sz w:val="20"/>
          <w:szCs w:val="20"/>
          <w:b w:val="1"/>
          <w:bCs w:val="1"/>
          <w:color w:val="auto"/>
        </w:rPr>
        <w:t>6.9 Pharmacovigilance and Adverse Event Reporting</w:t>
      </w:r>
      <w:r>
        <w:rPr>
          <w:rFonts w:ascii="Times New Roman" w:cs="Times New Roman" w:eastAsia="Times New Roman" w:hAnsi="Times New Roman"/>
          <w:sz w:val="20"/>
          <w:szCs w:val="20"/>
          <w:color w:val="auto"/>
        </w:rPr>
        <w:t>. The Parties will cooperate with regard to the reporting and handling of safety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involving the Licensed Compounds and Licensed Products in accordance with Applicable Law, regulatory requirements, and regulations on pharmacovigilance and clinical safety. The Regulatory Responsible Party for the Licensed Products will be responsible for all processing of information related to any adverse events for such Licensed Product in the applicable jurisdiction, including any information regarding such adverse events that is received from a Third Party. Each Party will provide to the other Party in a timely manner the relevant safety information it receives (either directly or indirectly) related to the Licensed Compounds and Licensed Products. As soon as practicable after the Effective Date, the Parties will negotiate in good faith and enter into a Pharmacovigilance Agreement related to the Licensed Products, which will define the pharmacovigilance responsibilities of the Parties and include (a) safety data exchange procedures governing the exchange of information affecting the Licensed Products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Serious Adverse Events, emerging safety issues) to enable each Party to comply with all of its legal and regulatory obligations related to such Licensed Product and (b) the terms of transfer of the global safety database from Fulcrum to Sanofi pursuant to Section 6.10 (</w:t>
      </w:r>
      <w:r>
        <w:rPr>
          <w:rFonts w:ascii="Times New Roman" w:cs="Times New Roman" w:eastAsia="Times New Roman" w:hAnsi="Times New Roman"/>
          <w:sz w:val="20"/>
          <w:szCs w:val="20"/>
          <w:i w:val="1"/>
          <w:iCs w:val="1"/>
          <w:color w:val="auto"/>
        </w:rPr>
        <w:t>Global Safety Database</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760" w:hanging="748"/>
        <w:spacing w:after="0" w:line="256" w:lineRule="auto"/>
        <w:rPr>
          <w:sz w:val="20"/>
          <w:szCs w:val="20"/>
          <w:color w:val="auto"/>
        </w:rPr>
      </w:pPr>
      <w:r>
        <w:rPr>
          <w:rFonts w:ascii="Times New Roman" w:cs="Times New Roman" w:eastAsia="Times New Roman" w:hAnsi="Times New Roman"/>
          <w:sz w:val="20"/>
          <w:szCs w:val="20"/>
          <w:b w:val="1"/>
          <w:bCs w:val="1"/>
          <w:color w:val="auto"/>
        </w:rPr>
        <w:t>6.10 Global Safety Database</w:t>
      </w:r>
      <w:r>
        <w:rPr>
          <w:rFonts w:ascii="Times New Roman" w:cs="Times New Roman" w:eastAsia="Times New Roman" w:hAnsi="Times New Roman"/>
          <w:sz w:val="20"/>
          <w:szCs w:val="20"/>
          <w:color w:val="auto"/>
        </w:rPr>
        <w:t>. In accordance with the timeline set forth in the Pharmacovigilance Agreement, Fulcrum shall transfer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global safety database for the Licensed Products to Sanofi pursuant to the Pharmacovigilance Agreement. Thereafter, Sanofi will own and maintain the global safety database for the Licensed Products.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6.11 Recall, Withdrawal, or Field Alerts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2" w:lineRule="auto"/>
        <w:tabs>
          <w:tab w:leader="none" w:pos="1480" w:val="left"/>
        </w:tabs>
        <w:rPr>
          <w:sz w:val="20"/>
          <w:szCs w:val="20"/>
          <w:color w:val="auto"/>
        </w:rPr>
      </w:pPr>
      <w:r>
        <w:rPr>
          <w:rFonts w:ascii="Times New Roman" w:cs="Times New Roman" w:eastAsia="Times New Roman" w:hAnsi="Times New Roman"/>
          <w:sz w:val="20"/>
          <w:szCs w:val="20"/>
          <w:color w:val="auto"/>
        </w:rPr>
        <w:t>6.11.1</w:t>
      </w:r>
      <w:r>
        <w:rPr>
          <w:sz w:val="20"/>
          <w:szCs w:val="20"/>
          <w:color w:val="auto"/>
        </w:rPr>
        <w:tab/>
      </w:r>
      <w:r>
        <w:rPr>
          <w:rFonts w:ascii="Times New Roman" w:cs="Times New Roman" w:eastAsia="Times New Roman" w:hAnsi="Times New Roman"/>
          <w:sz w:val="20"/>
          <w:szCs w:val="20"/>
          <w:b w:val="1"/>
          <w:bCs w:val="1"/>
          <w:color w:val="auto"/>
        </w:rPr>
        <w:t>Notification and Determination</w:t>
      </w:r>
      <w:r>
        <w:rPr>
          <w:rFonts w:ascii="Times New Roman" w:cs="Times New Roman" w:eastAsia="Times New Roman" w:hAnsi="Times New Roman"/>
          <w:sz w:val="20"/>
          <w:szCs w:val="20"/>
          <w:color w:val="auto"/>
        </w:rPr>
        <w:t>. If any Governmental Authority threatens in writing or initiates any action to remove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Licensed Product from the market (in whole or in part), or if a Party determines that an event, incident or circumstance has occurred that may result in the need for a recall, withdrawal or field alert of a Licensed Product, then the Party initiating or receiving notice of such recall, withdrawal or field alert will notify the other Party of such communication immediately, but in no event later than [***] after receipt thereof. Notwithstanding the foregoing, in all cases the Regulatory Responsible Party for in a given jurisdiction will determine whether to initiate any recall, withdrawal, or field alert of the Licensed Products in such jurisdiction, including the scope of such recall or withdrawal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a full or partial recall, or a temporary or permanent recall) or field alert. Before the Regulatory Responsible Party in a certain jurisdiction initiates a recall, withdrawal, or field alert for such Licensed Product in such jurisdiction, the Parties will use reasonable efforts to promptly meet and discuss in good faith the reasons therefor,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discussions will not delay any action that such Regulatory Responsible Party reasonably believes should be taken in relation to any actual or potential recall, withdrawal, or field alert. In the event of any such recall, withdrawal, or field alert, the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jc w:val="both"/>
        <w:ind w:left="1500"/>
        <w:spacing w:after="0" w:line="241" w:lineRule="auto"/>
        <w:rPr>
          <w:sz w:val="20"/>
          <w:szCs w:val="20"/>
          <w:color w:val="auto"/>
        </w:rPr>
      </w:pPr>
      <w:r>
        <w:rPr>
          <w:rFonts w:ascii="Times New Roman" w:cs="Times New Roman" w:eastAsia="Times New Roman" w:hAnsi="Times New Roman"/>
          <w:sz w:val="20"/>
          <w:szCs w:val="20"/>
          <w:color w:val="auto"/>
        </w:rPr>
        <w:t>Regulatory Responsible Party in the applicable jurisdiction will determine the necessary actions to be taken and will implement such action. Without limiting the foregoing, either Party will have the right to propose that a recall, withdrawal, or field alert for a Licensed Product should be initiated by such Party, but the Regulatory Responsible Party in the applicable jurisdiction will have the right to make the final decision as to whether or not to initiate the recall, withdrawal, or field alert. Notwithstanding any provision to the contrary set forth in this Agreement, if Fulcrum notifies Sanofi of a Manufacturing issue related to a Licensed Product prior to the Sanofi Territory Manufacturing Handover Date that Fulcrum reasonably believes could give rise to a recall, withdrawal, or field alert, then Sanofi, if it is the Regulatory Responsible Party for the applicable Licensed Product in the applicable jurisdiction, will initiate such recall, withdrawal, or field alert in accordance with Fulcrum’s request. The Parties’ rights and obligations under this Section 6.11 (</w:t>
      </w:r>
      <w:r>
        <w:rPr>
          <w:rFonts w:ascii="Times New Roman" w:cs="Times New Roman" w:eastAsia="Times New Roman" w:hAnsi="Times New Roman"/>
          <w:sz w:val="20"/>
          <w:szCs w:val="20"/>
          <w:i w:val="1"/>
          <w:iCs w:val="1"/>
          <w:color w:val="auto"/>
        </w:rPr>
        <w:t>Recalls,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Withdrawal or Field Alerts</w:t>
      </w:r>
      <w:r>
        <w:rPr>
          <w:rFonts w:ascii="Times New Roman" w:cs="Times New Roman" w:eastAsia="Times New Roman" w:hAnsi="Times New Roman"/>
          <w:sz w:val="20"/>
          <w:szCs w:val="20"/>
          <w:color w:val="auto"/>
        </w:rPr>
        <w:t>) shall be subject to the terms of any applicable Pharmacovigilance Agreement entered into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between the Parties. In the event of a conflict between the provisions of any Pharmacovigilance Agreement, and this Section 6.11 (</w:t>
      </w:r>
      <w:r>
        <w:rPr>
          <w:rFonts w:ascii="Times New Roman" w:cs="Times New Roman" w:eastAsia="Times New Roman" w:hAnsi="Times New Roman"/>
          <w:sz w:val="20"/>
          <w:szCs w:val="20"/>
          <w:i w:val="1"/>
          <w:iCs w:val="1"/>
          <w:color w:val="auto"/>
        </w:rPr>
        <w:t>Recalls, Withdrawal or Field Alerts</w:t>
      </w:r>
      <w:r>
        <w:rPr>
          <w:rFonts w:ascii="Times New Roman" w:cs="Times New Roman" w:eastAsia="Times New Roman" w:hAnsi="Times New Roman"/>
          <w:sz w:val="20"/>
          <w:szCs w:val="20"/>
          <w:color w:val="auto"/>
        </w:rPr>
        <w:t>), the provisions of such Pharmacovigilance Agreement shall govern with respect to the subject matter in this Section 6.11 (</w:t>
      </w:r>
      <w:r>
        <w:rPr>
          <w:rFonts w:ascii="Times New Roman" w:cs="Times New Roman" w:eastAsia="Times New Roman" w:hAnsi="Times New Roman"/>
          <w:sz w:val="20"/>
          <w:szCs w:val="20"/>
          <w:i w:val="1"/>
          <w:iCs w:val="1"/>
          <w:color w:val="auto"/>
        </w:rPr>
        <w:t>Recalls, Withdrawal or Field Alerts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820"/>
        <w:spacing w:after="0"/>
        <w:tabs>
          <w:tab w:leader="none" w:pos="1600" w:val="left"/>
        </w:tabs>
        <w:rPr>
          <w:sz w:val="20"/>
          <w:szCs w:val="20"/>
          <w:color w:val="auto"/>
        </w:rPr>
      </w:pPr>
      <w:r>
        <w:rPr>
          <w:rFonts w:ascii="Times New Roman" w:cs="Times New Roman" w:eastAsia="Times New Roman" w:hAnsi="Times New Roman"/>
          <w:sz w:val="20"/>
          <w:szCs w:val="20"/>
          <w:color w:val="auto"/>
        </w:rPr>
        <w:t>6.11.2</w:t>
      </w:r>
      <w:r>
        <w:rPr>
          <w:sz w:val="20"/>
          <w:szCs w:val="20"/>
          <w:color w:val="auto"/>
        </w:rPr>
        <w:tab/>
      </w:r>
      <w:r>
        <w:rPr>
          <w:rFonts w:ascii="Times New Roman" w:cs="Times New Roman" w:eastAsia="Times New Roman" w:hAnsi="Times New Roman"/>
          <w:sz w:val="20"/>
          <w:szCs w:val="20"/>
          <w:b w:val="1"/>
          <w:bCs w:val="1"/>
          <w:color w:val="auto"/>
        </w:rPr>
        <w:t>Cost Allocation</w:t>
      </w:r>
      <w:r>
        <w:rPr>
          <w:rFonts w:ascii="Times New Roman" w:cs="Times New Roman" w:eastAsia="Times New Roman" w:hAnsi="Times New Roman"/>
          <w:sz w:val="20"/>
          <w:szCs w:val="20"/>
          <w:color w:val="auto"/>
        </w:rPr>
        <w:t>.  All costs directly associated with implementing a recall, withdrawal, or field alert with respect to a</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Licensed Product will be allocated between Fulcrum and Sanofi as follows:</w:t>
      </w:r>
    </w:p>
    <w:p>
      <w:pPr>
        <w:spacing w:after="0" w:line="194" w:lineRule="exact"/>
        <w:rPr>
          <w:sz w:val="20"/>
          <w:szCs w:val="20"/>
          <w:color w:val="auto"/>
        </w:rPr>
      </w:pPr>
    </w:p>
    <w:p>
      <w:pPr>
        <w:ind w:left="2260" w:right="20" w:hanging="754"/>
        <w:spacing w:after="0" w:line="269" w:lineRule="auto"/>
        <w:tabs>
          <w:tab w:leader="none" w:pos="190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and to the extent, that the recall, withdrawal, or field alert arises as a result of a material breach of this Agreement or other gross negligence by a Party, then such Party will bear all such costs and expenses; and</w:t>
      </w:r>
    </w:p>
    <w:p>
      <w:pPr>
        <w:spacing w:after="0" w:line="159" w:lineRule="exact"/>
        <w:rPr>
          <w:rFonts w:ascii="Times New Roman" w:cs="Times New Roman" w:eastAsia="Times New Roman" w:hAnsi="Times New Roman"/>
          <w:sz w:val="20"/>
          <w:szCs w:val="20"/>
          <w:color w:val="auto"/>
        </w:rPr>
      </w:pPr>
    </w:p>
    <w:p>
      <w:pPr>
        <w:ind w:left="2260" w:hanging="754"/>
        <w:spacing w:after="0" w:line="254" w:lineRule="auto"/>
        <w:tabs>
          <w:tab w:leader="none" w:pos="190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all other cases, Fulcrum will be responsible for such costs and expenses for such Licensed Product in the Fulcrum Territory and Sanofi will be responsible for such costs and expenses for such Licensed Product in the Sanofi Territory.</w:t>
      </w:r>
    </w:p>
    <w:p>
      <w:pPr>
        <w:spacing w:after="0" w:line="170" w:lineRule="exact"/>
        <w:rPr>
          <w:sz w:val="20"/>
          <w:szCs w:val="20"/>
          <w:color w:val="auto"/>
        </w:rPr>
      </w:pPr>
    </w:p>
    <w:p>
      <w:pPr>
        <w:jc w:val="both"/>
        <w:ind w:left="760" w:right="20" w:hanging="7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6.12 Additional Activities </w:t>
      </w:r>
      <w:r>
        <w:rPr>
          <w:rFonts w:ascii="Times New Roman" w:cs="Times New Roman" w:eastAsia="Times New Roman" w:hAnsi="Times New Roman"/>
          <w:sz w:val="20"/>
          <w:szCs w:val="20"/>
          <w:color w:val="auto"/>
        </w:rPr>
        <w:t>.</w:t>
      </w:r>
      <w:r>
        <w:rPr>
          <w:sz w:val="20"/>
          <w:szCs w:val="20"/>
          <w:color w:val="auto"/>
        </w:rPr>
        <w:t xml:space="preserve"> </w:t>
      </w:r>
      <w:r>
        <w:rPr>
          <w:rFonts w:ascii="Times New Roman" w:cs="Times New Roman" w:eastAsia="Times New Roman" w:hAnsi="Times New Roman"/>
          <w:sz w:val="20"/>
          <w:szCs w:val="20"/>
          <w:color w:val="auto"/>
        </w:rPr>
        <w:t>Notwithstanding anything contrary to this Agreement, the foregoing Sections 6.2.1 (</w:t>
      </w:r>
      <w:r>
        <w:rPr>
          <w:rFonts w:ascii="Times New Roman" w:cs="Times New Roman" w:eastAsia="Times New Roman" w:hAnsi="Times New Roman"/>
          <w:sz w:val="20"/>
          <w:szCs w:val="20"/>
          <w:i w:val="1"/>
          <w:iCs w:val="1"/>
          <w:color w:val="auto"/>
        </w:rPr>
        <w:t>Correspondence</w:t>
      </w:r>
      <w:r>
        <w:rPr>
          <w:rFonts w:ascii="Times New Roman" w:cs="Times New Roman" w:eastAsia="Times New Roman" w:hAnsi="Times New Roman"/>
          <w:sz w:val="20"/>
          <w:szCs w:val="20"/>
          <w:color w:val="auto"/>
        </w:rPr>
        <w:t>); 6.3 (</w:t>
      </w:r>
      <w:r>
        <w:rPr>
          <w:rFonts w:ascii="Times New Roman" w:cs="Times New Roman" w:eastAsia="Times New Roman" w:hAnsi="Times New Roman"/>
          <w:sz w:val="20"/>
          <w:szCs w:val="20"/>
          <w:i w:val="1"/>
          <w:iCs w:val="1"/>
          <w:color w:val="auto"/>
        </w:rPr>
        <w:t>Regulatory Meetings</w:t>
      </w:r>
      <w:r>
        <w:rPr>
          <w:rFonts w:ascii="Times New Roman" w:cs="Times New Roman" w:eastAsia="Times New Roman" w:hAnsi="Times New Roman"/>
          <w:sz w:val="20"/>
          <w:szCs w:val="20"/>
          <w:color w:val="auto"/>
        </w:rPr>
        <w:t>); 6.4 (</w:t>
      </w:r>
      <w:r>
        <w:rPr>
          <w:rFonts w:ascii="Times New Roman" w:cs="Times New Roman" w:eastAsia="Times New Roman" w:hAnsi="Times New Roman"/>
          <w:sz w:val="20"/>
          <w:szCs w:val="20"/>
          <w:i w:val="1"/>
          <w:iCs w:val="1"/>
          <w:color w:val="auto"/>
        </w:rPr>
        <w:t>Regulatory Submissions</w:t>
      </w:r>
      <w:r>
        <w:rPr>
          <w:rFonts w:ascii="Times New Roman" w:cs="Times New Roman" w:eastAsia="Times New Roman" w:hAnsi="Times New Roman"/>
          <w:sz w:val="20"/>
          <w:szCs w:val="20"/>
          <w:color w:val="auto"/>
        </w:rPr>
        <w:t>); and 6.8 (</w:t>
      </w:r>
      <w:r>
        <w:rPr>
          <w:rFonts w:ascii="Times New Roman" w:cs="Times New Roman" w:eastAsia="Times New Roman" w:hAnsi="Times New Roman"/>
          <w:sz w:val="20"/>
          <w:szCs w:val="20"/>
          <w:i w:val="1"/>
          <w:iCs w:val="1"/>
          <w:color w:val="auto"/>
        </w:rPr>
        <w:t>Right of Reference</w:t>
      </w:r>
      <w:r>
        <w:rPr>
          <w:rFonts w:ascii="Times New Roman" w:cs="Times New Roman" w:eastAsia="Times New Roman" w:hAnsi="Times New Roman"/>
          <w:sz w:val="20"/>
          <w:szCs w:val="20"/>
          <w:color w:val="auto"/>
        </w:rPr>
        <w:t>) shall not apply to any Additional Activity conducted as part of the Sanofi Independent Development Plan or Fulcrum Independent Development Plan.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COMMERCIALIZATION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7.1  Commercialization Responsibilities for Licensed Product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20"/>
          <w:szCs w:val="20"/>
          <w:b w:val="1"/>
          <w:bCs w:val="1"/>
          <w:color w:val="auto"/>
        </w:rPr>
        <w:t>Commercialization in the Fulcrum Territory</w:t>
      </w:r>
      <w:r>
        <w:rPr>
          <w:rFonts w:ascii="Times New Roman" w:cs="Times New Roman" w:eastAsia="Times New Roman" w:hAnsi="Times New Roman"/>
          <w:sz w:val="20"/>
          <w:szCs w:val="20"/>
          <w:color w:val="auto"/>
        </w:rPr>
        <w:t>. Subject to alignment on a Joint Commercialization Strategy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3.4.3(a) (</w:t>
      </w:r>
      <w:r>
        <w:rPr>
          <w:rFonts w:ascii="Times New Roman" w:cs="Times New Roman" w:eastAsia="Times New Roman" w:hAnsi="Times New Roman"/>
          <w:sz w:val="20"/>
          <w:szCs w:val="20"/>
          <w:i w:val="1"/>
          <w:iCs w:val="1"/>
          <w:color w:val="auto"/>
        </w:rPr>
        <w:t>Specific Responsibilities of the JCC</w:t>
      </w:r>
      <w:r>
        <w:rPr>
          <w:rFonts w:ascii="Times New Roman" w:cs="Times New Roman" w:eastAsia="Times New Roman" w:hAnsi="Times New Roman"/>
          <w:sz w:val="20"/>
          <w:szCs w:val="20"/>
          <w:color w:val="auto"/>
        </w:rPr>
        <w:t>), Section 3.1.5(d) (</w:t>
      </w:r>
      <w:r>
        <w:rPr>
          <w:rFonts w:ascii="Times New Roman" w:cs="Times New Roman" w:eastAsia="Times New Roman" w:hAnsi="Times New Roman"/>
          <w:sz w:val="20"/>
          <w:szCs w:val="20"/>
          <w:i w:val="1"/>
          <w:iCs w:val="1"/>
          <w:color w:val="auto"/>
        </w:rPr>
        <w:t>Specific Responsibilities of the JSC</w:t>
      </w:r>
      <w:r>
        <w:rPr>
          <w:rFonts w:ascii="Times New Roman" w:cs="Times New Roman" w:eastAsia="Times New Roman" w:hAnsi="Times New Roman"/>
          <w:sz w:val="20"/>
          <w:szCs w:val="20"/>
          <w:color w:val="auto"/>
        </w:rPr>
        <w:t>) and Section 3.8.2 (</w:t>
      </w:r>
      <w:r>
        <w:rPr>
          <w:rFonts w:ascii="Times New Roman" w:cs="Times New Roman" w:eastAsia="Times New Roman" w:hAnsi="Times New Roman"/>
          <w:sz w:val="20"/>
          <w:szCs w:val="20"/>
          <w:i w:val="1"/>
          <w:iCs w:val="1"/>
          <w:color w:val="auto"/>
        </w:rPr>
        <w:t>Final Decision-Making Authority</w:t>
      </w:r>
      <w:r>
        <w:rPr>
          <w:rFonts w:ascii="Times New Roman" w:cs="Times New Roman" w:eastAsia="Times New Roman" w:hAnsi="Times New Roman"/>
          <w:sz w:val="20"/>
          <w:szCs w:val="20"/>
          <w:color w:val="auto"/>
        </w:rPr>
        <w:t>), Fulcrum and its Affiliates will have sole control over and decision-making authority with respect to the Commercialization of the Licensed Products in the Fulcrum Territory, including, if applicable, whether to seek and maintain any Reimbursement Approval for the Licensed Products in the Fulcrum Territory, at its sole cost and expense.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20"/>
          <w:szCs w:val="20"/>
          <w:b w:val="1"/>
          <w:bCs w:val="1"/>
          <w:color w:val="auto"/>
        </w:rPr>
        <w:t>Commercialization in the Sanofi Territory</w:t>
      </w:r>
      <w:r>
        <w:rPr>
          <w:rFonts w:ascii="Times New Roman" w:cs="Times New Roman" w:eastAsia="Times New Roman" w:hAnsi="Times New Roman"/>
          <w:sz w:val="20"/>
          <w:szCs w:val="20"/>
          <w:color w:val="auto"/>
        </w:rPr>
        <w:t>. Subject to alignment on a Joint Commercialization Strategy under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3.4.3(a) (</w:t>
      </w:r>
      <w:r>
        <w:rPr>
          <w:rFonts w:ascii="Times New Roman" w:cs="Times New Roman" w:eastAsia="Times New Roman" w:hAnsi="Times New Roman"/>
          <w:sz w:val="20"/>
          <w:szCs w:val="20"/>
          <w:i w:val="1"/>
          <w:iCs w:val="1"/>
          <w:color w:val="auto"/>
        </w:rPr>
        <w:t>Specific Responsibilities of the JCC</w:t>
      </w:r>
      <w:r>
        <w:rPr>
          <w:rFonts w:ascii="Times New Roman" w:cs="Times New Roman" w:eastAsia="Times New Roman" w:hAnsi="Times New Roman"/>
          <w:sz w:val="20"/>
          <w:szCs w:val="20"/>
          <w:color w:val="auto"/>
        </w:rPr>
        <w:t>), Section 3.1.5(d) (</w:t>
      </w:r>
      <w:r>
        <w:rPr>
          <w:rFonts w:ascii="Times New Roman" w:cs="Times New Roman" w:eastAsia="Times New Roman" w:hAnsi="Times New Roman"/>
          <w:sz w:val="20"/>
          <w:szCs w:val="20"/>
          <w:i w:val="1"/>
          <w:iCs w:val="1"/>
          <w:color w:val="auto"/>
        </w:rPr>
        <w:t>Specific Responsibilities of the JSC</w:t>
      </w:r>
      <w:r>
        <w:rPr>
          <w:rFonts w:ascii="Times New Roman" w:cs="Times New Roman" w:eastAsia="Times New Roman" w:hAnsi="Times New Roman"/>
          <w:sz w:val="20"/>
          <w:szCs w:val="20"/>
          <w:color w:val="auto"/>
        </w:rPr>
        <w:t>) and Section 3.8.2 (</w:t>
      </w:r>
      <w:r>
        <w:rPr>
          <w:rFonts w:ascii="Times New Roman" w:cs="Times New Roman" w:eastAsia="Times New Roman" w:hAnsi="Times New Roman"/>
          <w:sz w:val="20"/>
          <w:szCs w:val="20"/>
          <w:i w:val="1"/>
          <w:iCs w:val="1"/>
          <w:color w:val="auto"/>
        </w:rPr>
        <w:t>Final Decision-Making Authority</w:t>
      </w:r>
      <w:r>
        <w:rPr>
          <w:rFonts w:ascii="Times New Roman" w:cs="Times New Roman" w:eastAsia="Times New Roman" w:hAnsi="Times New Roman"/>
          <w:sz w:val="20"/>
          <w:szCs w:val="20"/>
          <w:color w:val="auto"/>
        </w:rPr>
        <w:t>) and Section 7.3 (</w:t>
      </w:r>
      <w:r>
        <w:rPr>
          <w:rFonts w:ascii="Times New Roman" w:cs="Times New Roman" w:eastAsia="Times New Roman" w:hAnsi="Times New Roman"/>
          <w:sz w:val="20"/>
          <w:szCs w:val="20"/>
          <w:i w:val="1"/>
          <w:iCs w:val="1"/>
          <w:color w:val="auto"/>
        </w:rPr>
        <w:t>Sanofi Commercialization Diligence Obligations</w:t>
      </w:r>
      <w:r>
        <w:rPr>
          <w:rFonts w:ascii="Times New Roman" w:cs="Times New Roman" w:eastAsia="Times New Roman" w:hAnsi="Times New Roman"/>
          <w:sz w:val="20"/>
          <w:szCs w:val="20"/>
          <w:color w:val="auto"/>
        </w:rPr>
        <w:t>), Sanofi and its Affiliates will have sole control over and decision-making authority with respect to the Commercialization of the Licensed Products in the Sanofi Territory, including whether to seek and maintain any Reimbursement Approval for the Licensed Products in the Sanofi Territory, at its sole cost and expense.</w:t>
      </w:r>
    </w:p>
    <w:p>
      <w:pPr>
        <w:spacing w:after="0" w:line="179" w:lineRule="exact"/>
        <w:rPr>
          <w:sz w:val="20"/>
          <w:szCs w:val="20"/>
          <w:color w:val="auto"/>
        </w:rPr>
      </w:pPr>
    </w:p>
    <w:p>
      <w:pPr>
        <w:jc w:val="both"/>
        <w:ind w:left="1500" w:hanging="694"/>
        <w:spacing w:after="0" w:line="256" w:lineRule="auto"/>
        <w:tabs>
          <w:tab w:leader="none" w:pos="148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20"/>
          <w:szCs w:val="20"/>
          <w:b w:val="1"/>
          <w:bCs w:val="1"/>
          <w:color w:val="auto"/>
        </w:rPr>
        <w:t xml:space="preserve">Coordination of Commercialization Activities. </w:t>
      </w:r>
      <w:r>
        <w:rPr>
          <w:rFonts w:ascii="Times New Roman" w:cs="Times New Roman" w:eastAsia="Times New Roman" w:hAnsi="Times New Roman"/>
          <w:sz w:val="20"/>
          <w:szCs w:val="20"/>
          <w:color w:val="auto"/>
        </w:rPr>
        <w:t>The Parties will coordinate global Commercialization activities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Commercialization of the Licensed Products in each Party’s Territory through the JCC, as expressly set forth in Section 3.4 (</w:t>
      </w:r>
      <w:r>
        <w:rPr>
          <w:rFonts w:ascii="Times New Roman" w:cs="Times New Roman" w:eastAsia="Times New Roman" w:hAnsi="Times New Roman"/>
          <w:sz w:val="20"/>
          <w:szCs w:val="20"/>
          <w:i w:val="1"/>
          <w:iCs w:val="1"/>
          <w:color w:val="auto"/>
        </w:rPr>
        <w:t>Joint Commercialization Committee</w:t>
      </w:r>
      <w:r>
        <w:rPr>
          <w:rFonts w:ascii="Times New Roman" w:cs="Times New Roman" w:eastAsia="Times New Roman" w:hAnsi="Times New Roman"/>
          <w:sz w:val="20"/>
          <w:szCs w:val="20"/>
          <w:color w:val="auto"/>
        </w:rPr>
        <w:t>) and this Article 7 (</w:t>
      </w:r>
      <w:r>
        <w:rPr>
          <w:rFonts w:ascii="Times New Roman" w:cs="Times New Roman" w:eastAsia="Times New Roman" w:hAnsi="Times New Roman"/>
          <w:sz w:val="20"/>
          <w:szCs w:val="20"/>
          <w:i w:val="1"/>
          <w:iCs w:val="1"/>
          <w:color w:val="auto"/>
        </w:rPr>
        <w:t>Commercialization</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7.2 Pricing</w:t>
      </w:r>
      <w:r>
        <w:rPr>
          <w:rFonts w:ascii="Times New Roman" w:cs="Times New Roman" w:eastAsia="Times New Roman" w:hAnsi="Times New Roman"/>
          <w:sz w:val="20"/>
          <w:szCs w:val="20"/>
          <w:color w:val="auto"/>
        </w:rPr>
        <w:t>. All decisions for the Licensed Products related to list price, targeted net pricing, sales-weighted average discounts and rebates,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pricing strategy (including the approach to pricing with different types of accounts and plans, including types of discounts and rebates), and modifications to any of the foregoing, will be made by (a) Fulcrum in the Fulcrum Territory and (b) Sanofi in the Sanofi Territory.</w:t>
      </w:r>
    </w:p>
    <w:p>
      <w:pPr>
        <w:spacing w:after="0" w:line="176"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7.3 Sanofi Commercialization Diligence Obligations</w:t>
      </w:r>
      <w:r>
        <w:rPr>
          <w:rFonts w:ascii="Times New Roman" w:cs="Times New Roman" w:eastAsia="Times New Roman" w:hAnsi="Times New Roman"/>
          <w:sz w:val="20"/>
          <w:szCs w:val="20"/>
          <w:color w:val="auto"/>
        </w:rPr>
        <w:t>. Following receipt of Regulatory Approval for a Licensed Product in a Sanofi Major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Country, Sanofi will use Commercially Reasonable Efforts to [***]. Without limiting Fulcrum’s rights under Section 14.2 (</w:t>
      </w:r>
      <w:r>
        <w:rPr>
          <w:rFonts w:ascii="Times New Roman" w:cs="Times New Roman" w:eastAsia="Times New Roman" w:hAnsi="Times New Roman"/>
          <w:sz w:val="20"/>
          <w:szCs w:val="20"/>
          <w:i w:val="1"/>
          <w:iCs w:val="1"/>
          <w:color w:val="auto"/>
        </w:rPr>
        <w:t>Termination for Material Breach</w:t>
      </w:r>
      <w:r>
        <w:rPr>
          <w:rFonts w:ascii="Times New Roman" w:cs="Times New Roman" w:eastAsia="Times New Roman" w:hAnsi="Times New Roman"/>
          <w:sz w:val="20"/>
          <w:szCs w:val="20"/>
          <w:color w:val="auto"/>
        </w:rPr>
        <w:t>) to terminate this Agreement in its entirety but notwithstanding any other provision in this Agreement, [***].</w:t>
      </w:r>
    </w:p>
    <w:p>
      <w:pPr>
        <w:spacing w:after="0" w:line="176" w:lineRule="exact"/>
        <w:rPr>
          <w:sz w:val="20"/>
          <w:szCs w:val="20"/>
          <w:color w:val="auto"/>
        </w:rPr>
      </w:pPr>
    </w:p>
    <w:p>
      <w:pPr>
        <w:jc w:val="both"/>
        <w:ind w:left="760" w:hanging="7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7.4 Standards of Conduct; Compliance </w:t>
      </w:r>
      <w:r>
        <w:rPr>
          <w:rFonts w:ascii="Times New Roman" w:cs="Times New Roman" w:eastAsia="Times New Roman" w:hAnsi="Times New Roman"/>
          <w:sz w:val="20"/>
          <w:szCs w:val="20"/>
          <w:color w:val="auto"/>
        </w:rPr>
        <w:t>.</w:t>
      </w:r>
      <w:r>
        <w:rPr>
          <w:sz w:val="20"/>
          <w:szCs w:val="20"/>
          <w:color w:val="auto"/>
        </w:rPr>
        <w:t xml:space="preserve"> </w:t>
      </w:r>
      <w:r>
        <w:rPr>
          <w:rFonts w:ascii="Times New Roman" w:cs="Times New Roman" w:eastAsia="Times New Roman" w:hAnsi="Times New Roman"/>
          <w:sz w:val="20"/>
          <w:szCs w:val="20"/>
          <w:color w:val="auto"/>
        </w:rPr>
        <w:t>Each Party will perform, or will ensure that each of its Affiliates, Sublicensees, and subcontractors perform, all Commercialization activities in a professional and ethical business manner and in compliance with Applicable Law and applicable Professional Requirements.</w:t>
      </w:r>
    </w:p>
    <w:p>
      <w:pPr>
        <w:spacing w:after="0" w:line="174" w:lineRule="exact"/>
        <w:rPr>
          <w:sz w:val="20"/>
          <w:szCs w:val="20"/>
          <w:color w:val="auto"/>
        </w:rPr>
      </w:pPr>
    </w:p>
    <w:p>
      <w:pPr>
        <w:jc w:val="both"/>
        <w:ind w:left="760" w:hanging="748"/>
        <w:spacing w:after="0" w:line="244" w:lineRule="auto"/>
        <w:rPr>
          <w:sz w:val="20"/>
          <w:szCs w:val="20"/>
          <w:color w:val="auto"/>
        </w:rPr>
      </w:pPr>
      <w:r>
        <w:rPr>
          <w:rFonts w:ascii="Times New Roman" w:cs="Times New Roman" w:eastAsia="Times New Roman" w:hAnsi="Times New Roman"/>
          <w:sz w:val="20"/>
          <w:szCs w:val="20"/>
          <w:b w:val="1"/>
          <w:bCs w:val="1"/>
          <w:color w:val="auto"/>
        </w:rPr>
        <w:t>7.5 Diversion</w:t>
      </w:r>
      <w:r>
        <w:rPr>
          <w:rFonts w:ascii="Times New Roman" w:cs="Times New Roman" w:eastAsia="Times New Roman" w:hAnsi="Times New Roman"/>
          <w:sz w:val="20"/>
          <w:szCs w:val="20"/>
          <w:color w:val="auto"/>
        </w:rPr>
        <w:t>. Neither Party nor its Affiliates will, and each Party will take reasonable measures to ensure that its Third Party Sublicensees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subcontractors do not, either directly or indirectly, promote, market, distribute, import, sell, or have sold any Licensed Product to any Third Party or to any address or internet protocol address or the like outside of such Party’s Territory including via the Internet or mail order. Notwithstanding any provision to the contrary set forth in this Agreement, either Party will have the right to attend, or have its designees attend, conferences and meetings of congresses inside and outside of such Party’s Territory, subject to this Section 7.5 (</w:t>
      </w:r>
      <w:r>
        <w:rPr>
          <w:rFonts w:ascii="Times New Roman" w:cs="Times New Roman" w:eastAsia="Times New Roman" w:hAnsi="Times New Roman"/>
          <w:sz w:val="20"/>
          <w:szCs w:val="20"/>
          <w:i w:val="1"/>
          <w:iCs w:val="1"/>
          <w:color w:val="auto"/>
        </w:rPr>
        <w:t>Diversion</w:t>
      </w:r>
      <w:r>
        <w:rPr>
          <w:rFonts w:ascii="Times New Roman" w:cs="Times New Roman" w:eastAsia="Times New Roman" w:hAnsi="Times New Roman"/>
          <w:sz w:val="20"/>
          <w:szCs w:val="20"/>
          <w:color w:val="auto"/>
        </w:rPr>
        <w:t>). As applicable, (a) in the case of Sanofi, in any country or jurisdiction outside of the Sanofi Territory or in the Sanofi Territory outside of the Field, and (b) in the case of Fulcrum, in any country or jurisdiction outside of the Fulcrum Territory:</w:t>
      </w:r>
    </w:p>
    <w:p>
      <w:pPr>
        <w:spacing w:after="0" w:line="186" w:lineRule="exact"/>
        <w:rPr>
          <w:sz w:val="20"/>
          <w:szCs w:val="20"/>
          <w:color w:val="auto"/>
        </w:rPr>
      </w:pPr>
    </w:p>
    <w:p>
      <w:pPr>
        <w:jc w:val="both"/>
        <w:ind w:left="1500" w:hanging="694"/>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7.5.1</w:t>
        <w:tab/>
        <w:t>such Party and its Affiliates will not engage, nor permit its Third Party Sublicensees and subcontractors to engage, in any advertising or promotional activities relating to any Licensed Product for use directed primarily to customers or other buyers or users of a Licensed Product located in any such country or jurisdiction;</w:t>
      </w:r>
    </w:p>
    <w:p>
      <w:pPr>
        <w:spacing w:after="0" w:line="174" w:lineRule="exact"/>
        <w:rPr>
          <w:sz w:val="20"/>
          <w:szCs w:val="20"/>
          <w:color w:val="auto"/>
        </w:rPr>
      </w:pPr>
    </w:p>
    <w:p>
      <w:pPr>
        <w:ind w:left="1500" w:right="40" w:hanging="694"/>
        <w:spacing w:after="0" w:line="269" w:lineRule="auto"/>
        <w:tabs>
          <w:tab w:leader="none" w:pos="1480" w:val="left"/>
        </w:tabs>
        <w:rPr>
          <w:sz w:val="20"/>
          <w:szCs w:val="20"/>
          <w:color w:val="auto"/>
        </w:rPr>
      </w:pPr>
      <w:r>
        <w:rPr>
          <w:rFonts w:ascii="Times New Roman" w:cs="Times New Roman" w:eastAsia="Times New Roman" w:hAnsi="Times New Roman"/>
          <w:sz w:val="20"/>
          <w:szCs w:val="20"/>
          <w:color w:val="auto"/>
        </w:rPr>
        <w:t>7.5.2</w:t>
        <w:tab/>
        <w:t>such Party and its Affiliates will not solicit orders from any prospective purchaser located in any such country or jurisdiction;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1" w:name="page142"/>
    <w:bookmarkEnd w:id="141"/>
    <w:p>
      <w:pPr>
        <w:jc w:val="both"/>
        <w:ind w:left="1500" w:hanging="694"/>
        <w:spacing w:after="0" w:line="249" w:lineRule="auto"/>
        <w:tabs>
          <w:tab w:leader="none" w:pos="1480" w:val="left"/>
        </w:tabs>
        <w:rPr>
          <w:sz w:val="20"/>
          <w:szCs w:val="20"/>
          <w:color w:val="auto"/>
        </w:rPr>
      </w:pPr>
      <w:r>
        <w:rPr>
          <w:rFonts w:ascii="Times New Roman" w:cs="Times New Roman" w:eastAsia="Times New Roman" w:hAnsi="Times New Roman"/>
          <w:sz w:val="20"/>
          <w:szCs w:val="20"/>
          <w:color w:val="auto"/>
        </w:rPr>
        <w:t>7.5.3</w:t>
        <w:tab/>
        <w:t>such Party and its Affiliates may deliver, and shall cause its Third Party Sublicensees and subcontractors to deliver, Licensed Compounds or Licensed Products in such country or jurisdiction solely for Research and Development use as set forth in the Global Development Plan, and either the Sanofi Independent Development Plan or Fulcrum Independent Development Plan, as applicable;</w:t>
      </w:r>
    </w:p>
    <w:p>
      <w:pPr>
        <w:spacing w:after="0" w:line="180" w:lineRule="exact"/>
        <w:rPr>
          <w:sz w:val="20"/>
          <w:szCs w:val="20"/>
          <w:color w:val="auto"/>
        </w:rPr>
      </w:pPr>
    </w:p>
    <w:p>
      <w:pPr>
        <w:jc w:val="both"/>
        <w:ind w:left="1500" w:hanging="694"/>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7.5.4</w:t>
        <w:tab/>
        <w:t>such Party and its Affiliates will not, and will take reasonable measures to cause its Third Party Sublicensees and subcontractors to not, deliver or tender (or cause to be delivered or tendered) any Licensed Product to Third Parties for Commercialization in such country or jurisdiction; and</w:t>
      </w:r>
    </w:p>
    <w:p>
      <w:pPr>
        <w:spacing w:after="0" w:line="174" w:lineRule="exact"/>
        <w:rPr>
          <w:sz w:val="20"/>
          <w:szCs w:val="20"/>
          <w:color w:val="auto"/>
        </w:rPr>
      </w:pPr>
    </w:p>
    <w:p>
      <w:pPr>
        <w:jc w:val="both"/>
        <w:ind w:left="1500" w:hanging="694"/>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7.5.5</w:t>
        <w:tab/>
        <w:t>if either Party or its Affiliates or Sublicensees receive any order for any Licensed Product from a prospective purchaser located in any such country or jurisdiction, then such Party will immediately refer that order to the other Party or its designee and will not accept any such orders.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8.1  Responsibility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4" w:lineRule="auto"/>
        <w:tabs>
          <w:tab w:leader="none" w:pos="1480" w:val="left"/>
        </w:tabs>
        <w:rPr>
          <w:sz w:val="20"/>
          <w:szCs w:val="20"/>
          <w:color w:val="auto"/>
        </w:rPr>
      </w:pPr>
      <w:r>
        <w:rPr>
          <w:rFonts w:ascii="Times New Roman" w:cs="Times New Roman" w:eastAsia="Times New Roman" w:hAnsi="Times New Roman"/>
          <w:sz w:val="20"/>
          <w:szCs w:val="20"/>
          <w:color w:val="auto"/>
        </w:rPr>
        <w:t>8.1.1</w:t>
      </w:r>
      <w:r>
        <w:rPr>
          <w:sz w:val="20"/>
          <w:szCs w:val="20"/>
          <w:color w:val="auto"/>
        </w:rPr>
        <w:tab/>
      </w:r>
      <w:r>
        <w:rPr>
          <w:rFonts w:ascii="Times New Roman" w:cs="Times New Roman" w:eastAsia="Times New Roman" w:hAnsi="Times New Roman"/>
          <w:sz w:val="20"/>
          <w:szCs w:val="20"/>
          <w:b w:val="1"/>
          <w:bCs w:val="1"/>
          <w:color w:val="auto"/>
        </w:rPr>
        <w:t>Fulcrum Manufacturing</w:t>
      </w:r>
      <w:r>
        <w:rPr>
          <w:rFonts w:ascii="Times New Roman" w:cs="Times New Roman" w:eastAsia="Times New Roman" w:hAnsi="Times New Roman"/>
          <w:sz w:val="20"/>
          <w:szCs w:val="20"/>
          <w:color w:val="auto"/>
        </w:rPr>
        <w:t>. Fulcrum will have sole control over and decision-making authority with respect to, at its cost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expense, the Manufacture of (a) all supplies of the Licensed Compounds and Licensed Products required for Fulcrum’s activities under the Global Development Plan and the Fulcrum Independent Development Plan (including the activities of Fulcrum’s Affiliates and Sublicensees) and (b) all supplies of the Licensed Products for Commercialization purposes in the Fulcrum Territory. Additionally, and as set out more fully in the Global Development Plan, Fulcrum will develop drug substance and drug product processes for the Licensed Compounds and Licensed Products to enable Regulatory Approval from the EMA and other Regulatory Authorities in the Sanofi Territory and the Parties will share the costs of such activities in accordance with Section 5.7.1 (</w:t>
      </w:r>
      <w:r>
        <w:rPr>
          <w:rFonts w:ascii="Times New Roman" w:cs="Times New Roman" w:eastAsia="Times New Roman" w:hAnsi="Times New Roman"/>
          <w:sz w:val="20"/>
          <w:szCs w:val="20"/>
          <w:i w:val="1"/>
          <w:iCs w:val="1"/>
          <w:color w:val="auto"/>
        </w:rPr>
        <w:t>Eligible Global Development Costs</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left="1500" w:hanging="694"/>
        <w:spacing w:after="0" w:line="242" w:lineRule="auto"/>
        <w:tabs>
          <w:tab w:leader="none" w:pos="1480" w:val="left"/>
        </w:tabs>
        <w:rPr>
          <w:sz w:val="20"/>
          <w:szCs w:val="20"/>
          <w:color w:val="auto"/>
        </w:rPr>
      </w:pPr>
      <w:r>
        <w:rPr>
          <w:rFonts w:ascii="Times New Roman" w:cs="Times New Roman" w:eastAsia="Times New Roman" w:hAnsi="Times New Roman"/>
          <w:sz w:val="20"/>
          <w:szCs w:val="20"/>
          <w:color w:val="auto"/>
        </w:rPr>
        <w:t>8.1.2</w:t>
      </w:r>
      <w:r>
        <w:rPr>
          <w:sz w:val="20"/>
          <w:szCs w:val="20"/>
          <w:color w:val="auto"/>
        </w:rPr>
        <w:tab/>
      </w:r>
      <w:r>
        <w:rPr>
          <w:rFonts w:ascii="Times New Roman" w:cs="Times New Roman" w:eastAsia="Times New Roman" w:hAnsi="Times New Roman"/>
          <w:sz w:val="20"/>
          <w:szCs w:val="20"/>
          <w:b w:val="1"/>
          <w:bCs w:val="1"/>
          <w:color w:val="auto"/>
        </w:rPr>
        <w:t>Sanofi Manufacturing</w:t>
      </w:r>
      <w:r>
        <w:rPr>
          <w:rFonts w:ascii="Times New Roman" w:cs="Times New Roman" w:eastAsia="Times New Roman" w:hAnsi="Times New Roman"/>
          <w:sz w:val="20"/>
          <w:szCs w:val="20"/>
          <w:color w:val="auto"/>
        </w:rPr>
        <w:t>. From and after the date on which Sanofi’s Manufacturing facility (or the Manufacturing facility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 CMO engaged by Sanofi) is qualified to Manufacture the Licensed Products (such date, the “</w:t>
      </w:r>
      <w:r>
        <w:rPr>
          <w:rFonts w:ascii="Times New Roman" w:cs="Times New Roman" w:eastAsia="Times New Roman" w:hAnsi="Times New Roman"/>
          <w:sz w:val="20"/>
          <w:szCs w:val="20"/>
          <w:b w:val="1"/>
          <w:bCs w:val="1"/>
          <w:color w:val="auto"/>
        </w:rPr>
        <w:t>Sanofi Territory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Manufacturing Handover Date</w:t>
      </w:r>
      <w:r>
        <w:rPr>
          <w:rFonts w:ascii="Times New Roman" w:cs="Times New Roman" w:eastAsia="Times New Roman" w:hAnsi="Times New Roman"/>
          <w:sz w:val="20"/>
          <w:szCs w:val="20"/>
          <w:color w:val="auto"/>
        </w:rPr>
        <w:t>”), Sanofi will have sole responsibility for (subject to the Supply Agreement) control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decision-making authority with respect to, at its cost and expense, the Manufacture of (a) all supplies of the Licensed Compounds and Licensed Products required for Sanofi’s activities under the Global Development Plan and the Sanofi Independent Development Activities and (b) all supplies of the Licensed Products for Commercialization purposes in the Sanofi Territory. A Manufacturing facility will be deemed “qualified” under the preceding sentence only if (i) such facility has been approved by the EMA for Manufacture of Licensed Compounds and Licensed Products, and (ii) with respect to the Manufacturing facility of a CMO, that supply and quality agreements have been executed between Sanofi and such CMO. For clarity, until the Sanofi Territory Manufacturing Handover Date, Sanofi (itself or through Third Parties) may also conduct CMC activities with respect to Licensed Compounds and Licensed Products, at its sole cost and expense, and shall include in the Sanofi Independent Development Plan the start and projected end dates for such activities (but for clarity, not the details of such activities).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jc w:val="both"/>
        <w:ind w:left="760" w:hanging="748"/>
        <w:spacing w:after="0" w:line="242" w:lineRule="auto"/>
        <w:rPr>
          <w:sz w:val="20"/>
          <w:szCs w:val="20"/>
          <w:color w:val="auto"/>
        </w:rPr>
      </w:pPr>
      <w:r>
        <w:rPr>
          <w:rFonts w:ascii="Times New Roman" w:cs="Times New Roman" w:eastAsia="Times New Roman" w:hAnsi="Times New Roman"/>
          <w:sz w:val="20"/>
          <w:szCs w:val="20"/>
          <w:b w:val="1"/>
          <w:bCs w:val="1"/>
          <w:color w:val="auto"/>
        </w:rPr>
        <w:t>8.2 Supply Agreement</w:t>
      </w:r>
      <w:r>
        <w:rPr>
          <w:rFonts w:ascii="Times New Roman" w:cs="Times New Roman" w:eastAsia="Times New Roman" w:hAnsi="Times New Roman"/>
          <w:sz w:val="20"/>
          <w:szCs w:val="20"/>
          <w:color w:val="auto"/>
        </w:rPr>
        <w:t>. If Sanofi needs any Licensed Compound or Licensed Product for (a) Development activities assigned to it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Global Development Plan or the Sanofi Independent Development Plan prior to the Sanofi Territory Manufacturing Handover Date or, (b) Clinical Trials sponsored by Sanofi or its Affiliates under the Global Development Plan or the Sanofi Independent Development Plan following the Sanofi Territory Manufacturing Handover Date, or (c) Sanofi’s Commercialization of Licensed Compounds or Licensed Products in the Sanofi Territory until the Sanofi Territory Manufacturing Handover Date, then the Parties will negotiate in good faith and enter into a supply agreement on reasonable and customary terms under which Fulcrum will Manufacture and supply Sanofi with any Licensed Compound and Licensed Product in bulk unlabeled form that is necessary for Sanofi to conduct its activities under the Sanofi Independent Development Plan and Global Development Plan (if any) and Commercialize Licensed Compounds and Licensed Products in the Sanofi Territory until the Sanofi Territory Manufacturing Handover Date (the “</w:t>
      </w:r>
      <w:r>
        <w:rPr>
          <w:rFonts w:ascii="Times New Roman" w:cs="Times New Roman" w:eastAsia="Times New Roman" w:hAnsi="Times New Roman"/>
          <w:sz w:val="20"/>
          <w:szCs w:val="20"/>
          <w:b w:val="1"/>
          <w:bCs w:val="1"/>
          <w:color w:val="auto"/>
        </w:rPr>
        <w:t>Supply Agreement</w:t>
      </w:r>
      <w:r>
        <w:rPr>
          <w:rFonts w:ascii="Times New Roman" w:cs="Times New Roman" w:eastAsia="Times New Roman" w:hAnsi="Times New Roman"/>
          <w:sz w:val="20"/>
          <w:szCs w:val="20"/>
          <w:color w:val="auto"/>
        </w:rPr>
        <w:t xml:space="preserve">”), and a related quality agreement, which agreements will govern the terms and conditions of the Manufacturing and supply of the Licensed Compounds or Licensed Products. The Supply Agreement will contain terms and conditions consistent with the principles set forth on </w:t>
      </w:r>
      <w:r>
        <w:rPr>
          <w:rFonts w:ascii="Times New Roman" w:cs="Times New Roman" w:eastAsia="Times New Roman" w:hAnsi="Times New Roman"/>
          <w:sz w:val="20"/>
          <w:szCs w:val="20"/>
          <w:b w:val="1"/>
          <w:bCs w:val="1"/>
          <w:color w:val="auto"/>
        </w:rPr>
        <w:t>Schedule 8.2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Supply Agreement Term Sheet</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760" w:hanging="748"/>
        <w:spacing w:after="0" w:line="241" w:lineRule="auto"/>
        <w:rPr>
          <w:sz w:val="20"/>
          <w:szCs w:val="20"/>
          <w:color w:val="auto"/>
        </w:rPr>
      </w:pPr>
      <w:r>
        <w:rPr>
          <w:rFonts w:ascii="Times New Roman" w:cs="Times New Roman" w:eastAsia="Times New Roman" w:hAnsi="Times New Roman"/>
          <w:sz w:val="20"/>
          <w:szCs w:val="20"/>
          <w:b w:val="1"/>
          <w:bCs w:val="1"/>
          <w:color w:val="auto"/>
        </w:rPr>
        <w:t>8.3 Manufacturing Technology Transfer</w:t>
      </w:r>
      <w:r>
        <w:rPr>
          <w:rFonts w:ascii="Times New Roman" w:cs="Times New Roman" w:eastAsia="Times New Roman" w:hAnsi="Times New Roman"/>
          <w:sz w:val="20"/>
          <w:szCs w:val="20"/>
          <w:color w:val="auto"/>
        </w:rPr>
        <w:t>. At Sanofi’s request, Fulcrum will, and will cause its Affiliates to, no later than [***]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request, make available to Sanofi all Fulcrum Know-How and Fulcrum Materials (including analytical reference standards and raw data upon request of Sanofi) Controlled by Fulcrum or any of its Affiliates that are necessary or reasonably useful to enable Sanofi or its Affiliates to Manufacture (or have Manufactured) the Licensed Compounds and Licensed Products (such Fulcrum Know-How, the “</w:t>
      </w:r>
      <w:r>
        <w:rPr>
          <w:rFonts w:ascii="Times New Roman" w:cs="Times New Roman" w:eastAsia="Times New Roman" w:hAnsi="Times New Roman"/>
          <w:sz w:val="20"/>
          <w:szCs w:val="20"/>
          <w:b w:val="1"/>
          <w:bCs w:val="1"/>
          <w:color w:val="auto"/>
        </w:rPr>
        <w:t>Fulcrum Manufacturing Technology</w:t>
      </w:r>
      <w:r>
        <w:rPr>
          <w:rFonts w:ascii="Times New Roman" w:cs="Times New Roman" w:eastAsia="Times New Roman" w:hAnsi="Times New Roman"/>
          <w:sz w:val="20"/>
          <w:szCs w:val="20"/>
          <w:color w:val="auto"/>
        </w:rPr>
        <w:t>” and such activities, the “</w:t>
      </w:r>
      <w:r>
        <w:rPr>
          <w:rFonts w:ascii="Times New Roman" w:cs="Times New Roman" w:eastAsia="Times New Roman" w:hAnsi="Times New Roman"/>
          <w:sz w:val="20"/>
          <w:szCs w:val="20"/>
          <w:b w:val="1"/>
          <w:bCs w:val="1"/>
          <w:color w:val="auto"/>
        </w:rPr>
        <w:t>Manufacturing Technology Transfer</w:t>
      </w:r>
      <w:r>
        <w:rPr>
          <w:rFonts w:ascii="Times New Roman" w:cs="Times New Roman" w:eastAsia="Times New Roman" w:hAnsi="Times New Roman"/>
          <w:sz w:val="20"/>
          <w:szCs w:val="20"/>
          <w:color w:val="auto"/>
        </w:rPr>
        <w:t>”). Any materials provided by Fulcrum in connection with the transfer of the Fulcrum Manufacturing Technology will remain the sole property of Fulcrum, and Sanofi will (a) use such materials only in the fulfillment of obligations or exercise of rights under this Agreement, and (b) not use such Fulcrum Manufacturing Technology or materials or deliver the same to any Third Party, other than CMOs or permitted Sublicensees used in connection with Manufacturing, without Fulcrum’s prior written consent, not to be unreasonably withheld, conditioned, or delayed. For purposes of the transfer of the Fulcrum Manufacturing Technology, the Parties may enter into a manufacturing technology transfer agreement, which will also provide for reasonable technical assistance and support by Fulcrum to Sanofi to enable Sanofi to Manufacture, or have Manufactured by a CMO engaged by Sanofi, the Licensed Compounds and Licensed Products (“</w:t>
      </w:r>
      <w:r>
        <w:rPr>
          <w:rFonts w:ascii="Times New Roman" w:cs="Times New Roman" w:eastAsia="Times New Roman" w:hAnsi="Times New Roman"/>
          <w:sz w:val="20"/>
          <w:szCs w:val="20"/>
          <w:b w:val="1"/>
          <w:bCs w:val="1"/>
          <w:color w:val="auto"/>
        </w:rPr>
        <w:t>Manufacturing Technology Transfer Agreement</w:t>
      </w:r>
      <w:r>
        <w:rPr>
          <w:rFonts w:ascii="Times New Roman" w:cs="Times New Roman" w:eastAsia="Times New Roman" w:hAnsi="Times New Roman"/>
          <w:sz w:val="20"/>
          <w:szCs w:val="20"/>
          <w:color w:val="auto"/>
        </w:rPr>
        <w:t>”). Fulcrum will (i) conduct the Manufacturing Technology Transfer at Fulcrum’s sole cost and expense and (ii) provide support in connection with such Manufacturing Technology Transfer (including under any Manufacturing Technology Transfer Agreement), in each case ((i) and (ii)), at no cost to Sanofi for the [***] hours of activities and thereafter Fulcrum shall be reimbursed by Sanofi for all Internal Costs and External Costs it incurs in connection with such support within [***] of Sanofi’s receipt of invoice from Fulcrum.</w:t>
      </w:r>
    </w:p>
    <w:p>
      <w:pPr>
        <w:spacing w:after="0" w:line="192" w:lineRule="exact"/>
        <w:rPr>
          <w:sz w:val="20"/>
          <w:szCs w:val="20"/>
          <w:color w:val="auto"/>
        </w:rPr>
      </w:pPr>
    </w:p>
    <w:p>
      <w:pPr>
        <w:jc w:val="both"/>
        <w:ind w:left="760" w:hanging="748"/>
        <w:spacing w:after="0" w:line="245" w:lineRule="auto"/>
        <w:rPr>
          <w:sz w:val="20"/>
          <w:szCs w:val="20"/>
          <w:color w:val="auto"/>
        </w:rPr>
      </w:pPr>
      <w:r>
        <w:rPr>
          <w:rFonts w:ascii="Times New Roman" w:cs="Times New Roman" w:eastAsia="Times New Roman" w:hAnsi="Times New Roman"/>
          <w:sz w:val="20"/>
          <w:szCs w:val="20"/>
          <w:b w:val="1"/>
          <w:bCs w:val="1"/>
          <w:color w:val="auto"/>
        </w:rPr>
        <w:t>8.4 Manufacturing Audit Right by Sanofi</w:t>
      </w:r>
      <w:r>
        <w:rPr>
          <w:rFonts w:ascii="Times New Roman" w:cs="Times New Roman" w:eastAsia="Times New Roman" w:hAnsi="Times New Roman"/>
          <w:sz w:val="20"/>
          <w:szCs w:val="20"/>
          <w:color w:val="auto"/>
        </w:rPr>
        <w:t>. During normal business hours and upon reasonable written notice to Fulcrum, and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limiting Section 8.5 (</w:t>
      </w:r>
      <w:r>
        <w:rPr>
          <w:rFonts w:ascii="Times New Roman" w:cs="Times New Roman" w:eastAsia="Times New Roman" w:hAnsi="Times New Roman"/>
          <w:sz w:val="20"/>
          <w:szCs w:val="20"/>
          <w:i w:val="1"/>
          <w:iCs w:val="1"/>
          <w:color w:val="auto"/>
        </w:rPr>
        <w:t>Observation by Sanofi</w:t>
      </w:r>
      <w:r>
        <w:rPr>
          <w:rFonts w:ascii="Times New Roman" w:cs="Times New Roman" w:eastAsia="Times New Roman" w:hAnsi="Times New Roman"/>
          <w:sz w:val="20"/>
          <w:szCs w:val="20"/>
          <w:color w:val="auto"/>
        </w:rPr>
        <w:t>), (a) Fulcrum will, and will cause any of its CMOs to, provide Sanofi with the opportunity to inspect all records of Fulcrum or its Affiliates or CMOs (as applicable) that have been generated in connection with the Manufacture of Licensed Compounds and Licensed Products by or on behalf of Fulcrum, and (b) Fulcrum will, and will cause its Affiliates and CMOs to, provide Sanofi with the opportunity to visit the offices and laboratories of Fulcrum or any of its CMOs to discuss with Fulcrum (or such CMO) the Manufacture of Licensed Compounds and Licensed Products in further detail, in each case ((a) and (b)), for the sole purpose of conducting a technical manufacturing audit with respect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3" w:name="page144"/>
    <w:bookmarkEnd w:id="143"/>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to the Manufacture of the Licensed Compounds and Licensed Products. In the event that the results of such audit reveal any deficiencies or other areas of remediation with respect to the Manufacture of Licensed Compounds or Licensed Products, then Sanofi shall notify Fulcrum in writing of the foregoing, and Fulcrum will (and, to the extent applicable, will cause any of its CMOs to) use diligent efforts to remediate any such deficiencies within [***] after Fulcrum’s receipt of such notice. Notwithstanding the foregoing, any obligations that Fulcrum has under this Section 8.4 (</w:t>
      </w:r>
      <w:r>
        <w:rPr>
          <w:rFonts w:ascii="Times New Roman" w:cs="Times New Roman" w:eastAsia="Times New Roman" w:hAnsi="Times New Roman"/>
          <w:sz w:val="20"/>
          <w:szCs w:val="20"/>
          <w:i w:val="1"/>
          <w:iCs w:val="1"/>
          <w:color w:val="auto"/>
        </w:rPr>
        <w:t>Manufacturing Audit Right by Sanofi</w:t>
      </w:r>
      <w:r>
        <w:rPr>
          <w:rFonts w:ascii="Times New Roman" w:cs="Times New Roman" w:eastAsia="Times New Roman" w:hAnsi="Times New Roman"/>
          <w:sz w:val="20"/>
          <w:szCs w:val="20"/>
          <w:color w:val="auto"/>
        </w:rPr>
        <w:t xml:space="preserve">) with respect to any of its CMOs will be subject to Fulcrum’s rights and obligations under the applicable agreement between Fulcrum and such CMOs;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Fulcrum will use Commercially Reasonable Efforts to ensure that any such agreement executed after the Effective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for the Manufacture of commercial supply of Licensed Compounds or Licensed Products permits Sanofi to exercise the audit rights set forth in this Section 8.4 (</w:t>
      </w:r>
      <w:r>
        <w:rPr>
          <w:rFonts w:ascii="Times New Roman" w:cs="Times New Roman" w:eastAsia="Times New Roman" w:hAnsi="Times New Roman"/>
          <w:sz w:val="20"/>
          <w:szCs w:val="20"/>
          <w:i w:val="1"/>
          <w:iCs w:val="1"/>
          <w:color w:val="auto"/>
        </w:rPr>
        <w:t>Manufacturing Audit Right by Sanofi</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left="760" w:hanging="748"/>
        <w:spacing w:after="0" w:line="244" w:lineRule="auto"/>
        <w:rPr>
          <w:sz w:val="20"/>
          <w:szCs w:val="20"/>
          <w:color w:val="auto"/>
        </w:rPr>
      </w:pPr>
      <w:r>
        <w:rPr>
          <w:rFonts w:ascii="Times New Roman" w:cs="Times New Roman" w:eastAsia="Times New Roman" w:hAnsi="Times New Roman"/>
          <w:sz w:val="20"/>
          <w:szCs w:val="20"/>
          <w:b w:val="1"/>
          <w:bCs w:val="1"/>
          <w:color w:val="auto"/>
        </w:rPr>
        <w:t>8.5 Observation by Sanofi</w:t>
      </w:r>
      <w:r>
        <w:rPr>
          <w:rFonts w:ascii="Times New Roman" w:cs="Times New Roman" w:eastAsia="Times New Roman" w:hAnsi="Times New Roman"/>
          <w:sz w:val="20"/>
          <w:szCs w:val="20"/>
          <w:color w:val="auto"/>
        </w:rPr>
        <w:t>. In connection with the Manufacture of Licensed Products conducted by or on behalf of Fulcrum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Section 8.1.1 (</w:t>
      </w:r>
      <w:r>
        <w:rPr>
          <w:rFonts w:ascii="Times New Roman" w:cs="Times New Roman" w:eastAsia="Times New Roman" w:hAnsi="Times New Roman"/>
          <w:sz w:val="20"/>
          <w:szCs w:val="20"/>
          <w:i w:val="1"/>
          <w:iCs w:val="1"/>
          <w:color w:val="auto"/>
        </w:rPr>
        <w:t>Fulcrum Manufacturing</w:t>
      </w:r>
      <w:r>
        <w:rPr>
          <w:rFonts w:ascii="Times New Roman" w:cs="Times New Roman" w:eastAsia="Times New Roman" w:hAnsi="Times New Roman"/>
          <w:sz w:val="20"/>
          <w:szCs w:val="20"/>
          <w:color w:val="auto"/>
        </w:rPr>
        <w:t>), Fulcrum will provide Sanofi with the opportunity, upon Sanofi’s reasonable request, for Sanofi’s representatives to observe the Manufacturing processes and procedures for the Licensed Compounds and Licensed Products for the purpose of enabling Sanofi (or a CMO designated by Sanofi) to Manufacture the Licensed Compounds and Licensed Products pursuant to Section 8.3 (</w:t>
      </w:r>
      <w:r>
        <w:rPr>
          <w:rFonts w:ascii="Times New Roman" w:cs="Times New Roman" w:eastAsia="Times New Roman" w:hAnsi="Times New Roman"/>
          <w:sz w:val="20"/>
          <w:szCs w:val="20"/>
          <w:i w:val="1"/>
          <w:iCs w:val="1"/>
          <w:color w:val="auto"/>
        </w:rPr>
        <w:t>Manufacturing Technology Transfer</w:t>
      </w:r>
      <w:r>
        <w:rPr>
          <w:rFonts w:ascii="Times New Roman" w:cs="Times New Roman" w:eastAsia="Times New Roman" w:hAnsi="Times New Roman"/>
          <w:sz w:val="20"/>
          <w:szCs w:val="20"/>
          <w:color w:val="auto"/>
        </w:rPr>
        <w:t>). If Fulcrum utilizes a CMO for the Manufacture of any Licensed Compounds or Licensed Products, then Fulcrum will use commercially reasonable efforts to enable Sanofi to exercise its observational rights under this Section 8.5 (</w:t>
      </w:r>
      <w:r>
        <w:rPr>
          <w:rFonts w:ascii="Times New Roman" w:cs="Times New Roman" w:eastAsia="Times New Roman" w:hAnsi="Times New Roman"/>
          <w:sz w:val="20"/>
          <w:szCs w:val="20"/>
          <w:i w:val="1"/>
          <w:iCs w:val="1"/>
          <w:color w:val="auto"/>
        </w:rPr>
        <w:t>Observation by Sanofi</w:t>
      </w:r>
      <w:r>
        <w:rPr>
          <w:rFonts w:ascii="Times New Roman" w:cs="Times New Roman" w:eastAsia="Times New Roman" w:hAnsi="Times New Roman"/>
          <w:sz w:val="20"/>
          <w:szCs w:val="20"/>
          <w:color w:val="auto"/>
        </w:rPr>
        <w:t>) with respect to any Manufacturing activities for the Licensed Compounds and Licensed Products being conducted by such CMO.</w:t>
      </w:r>
    </w:p>
    <w:p>
      <w:pPr>
        <w:spacing w:after="0" w:line="18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PAYMENTS</w:t>
      </w:r>
    </w:p>
    <w:p>
      <w:pPr>
        <w:spacing w:after="0" w:line="190" w:lineRule="exact"/>
        <w:rPr>
          <w:sz w:val="20"/>
          <w:szCs w:val="20"/>
          <w:color w:val="auto"/>
        </w:rPr>
      </w:pPr>
    </w:p>
    <w:p>
      <w:pPr>
        <w:jc w:val="both"/>
        <w:ind w:left="760" w:hanging="748"/>
        <w:spacing w:after="0" w:line="247" w:lineRule="auto"/>
        <w:rPr>
          <w:sz w:val="20"/>
          <w:szCs w:val="20"/>
          <w:color w:val="auto"/>
        </w:rPr>
      </w:pPr>
      <w:r>
        <w:rPr>
          <w:rFonts w:ascii="Times New Roman" w:cs="Times New Roman" w:eastAsia="Times New Roman" w:hAnsi="Times New Roman"/>
          <w:sz w:val="20"/>
          <w:szCs w:val="20"/>
          <w:b w:val="1"/>
          <w:bCs w:val="1"/>
          <w:color w:val="auto"/>
        </w:rPr>
        <w:t>9.1 Upfront Payment</w:t>
      </w:r>
      <w:r>
        <w:rPr>
          <w:rFonts w:ascii="Times New Roman" w:cs="Times New Roman" w:eastAsia="Times New Roman" w:hAnsi="Times New Roman"/>
          <w:sz w:val="20"/>
          <w:szCs w:val="20"/>
          <w:color w:val="auto"/>
        </w:rPr>
        <w:t>. In consideration of the licenses, rights and privileges granted by Fulcrum to Sanofi hereunder and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 conditions of this Agreement, Fulcrum will invoice Sanofi promptly on or after the Effective Date, and Sanofi will pay to Fulcrum no later than [***] following the receipt of such invoice, by wire transfer of immediately available funds, a one-time, non-refundable, non-creditable upfront payment of Eighty Million Dollars ($80,000,000) (the “</w:t>
      </w:r>
      <w:r>
        <w:rPr>
          <w:rFonts w:ascii="Times New Roman" w:cs="Times New Roman" w:eastAsia="Times New Roman" w:hAnsi="Times New Roman"/>
          <w:sz w:val="20"/>
          <w:szCs w:val="20"/>
          <w:b w:val="1"/>
          <w:bCs w:val="1"/>
          <w:color w:val="auto"/>
        </w:rPr>
        <w:t>Upfront Payment</w:t>
      </w:r>
      <w:r>
        <w:rPr>
          <w:rFonts w:ascii="Times New Roman" w:cs="Times New Roman" w:eastAsia="Times New Roman" w:hAnsi="Times New Roman"/>
          <w:sz w:val="20"/>
          <w:szCs w:val="20"/>
          <w:color w:val="auto"/>
        </w:rPr>
        <w:t>”), in accordance with wire instructions to be provided by Fulcrum to Sanofi in writing together with such invoice.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9.2  Milestone Payments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9.2.1</w:t>
      </w:r>
      <w:r>
        <w:rPr>
          <w:sz w:val="20"/>
          <w:szCs w:val="20"/>
          <w:color w:val="auto"/>
        </w:rPr>
        <w:tab/>
      </w:r>
      <w:r>
        <w:rPr>
          <w:rFonts w:ascii="Times New Roman" w:cs="Times New Roman" w:eastAsia="Times New Roman" w:hAnsi="Times New Roman"/>
          <w:sz w:val="20"/>
          <w:szCs w:val="20"/>
          <w:b w:val="1"/>
          <w:bCs w:val="1"/>
          <w:color w:val="auto"/>
        </w:rPr>
        <w:t>Regulatory Milestones</w:t>
      </w:r>
      <w:r>
        <w:rPr>
          <w:rFonts w:ascii="Times New Roman" w:cs="Times New Roman" w:eastAsia="Times New Roman" w:hAnsi="Times New Roman"/>
          <w:sz w:val="20"/>
          <w:szCs w:val="20"/>
          <w:color w:val="auto"/>
        </w:rPr>
        <w:t>. No later than [***] after the earliest achievement of each regulatory milestone event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Table 9.2.1 below for the first Licensed Product, Sanofi will notify Fulcrum thereof. Following Fulcrum’s receipt of such notice from Sanofi, Fulcrum will invoice Sanofi for the corresponding regulatory milestone payment set forth in Table 9.2.1 (the regulatory milestone events set forth in Table 9.2.1, the “</w:t>
      </w:r>
      <w:r>
        <w:rPr>
          <w:rFonts w:ascii="Times New Roman" w:cs="Times New Roman" w:eastAsia="Times New Roman" w:hAnsi="Times New Roman"/>
          <w:sz w:val="20"/>
          <w:szCs w:val="20"/>
          <w:b w:val="1"/>
          <w:bCs w:val="1"/>
          <w:color w:val="auto"/>
        </w:rPr>
        <w:t>Regulatory Milestone Events</w:t>
      </w:r>
      <w:r>
        <w:rPr>
          <w:rFonts w:ascii="Times New Roman" w:cs="Times New Roman" w:eastAsia="Times New Roman" w:hAnsi="Times New Roman"/>
          <w:sz w:val="20"/>
          <w:szCs w:val="20"/>
          <w:color w:val="auto"/>
        </w:rPr>
        <w:t>” and the regulatory milestone payments set forth in Table 9.2.1, the “</w:t>
      </w:r>
      <w:r>
        <w:rPr>
          <w:rFonts w:ascii="Times New Roman" w:cs="Times New Roman" w:eastAsia="Times New Roman" w:hAnsi="Times New Roman"/>
          <w:sz w:val="20"/>
          <w:szCs w:val="20"/>
          <w:b w:val="1"/>
          <w:bCs w:val="1"/>
          <w:color w:val="auto"/>
        </w:rPr>
        <w:t>Regulatory Milestone Payments</w:t>
      </w:r>
      <w:r>
        <w:rPr>
          <w:rFonts w:ascii="Times New Roman" w:cs="Times New Roman" w:eastAsia="Times New Roman" w:hAnsi="Times New Roman"/>
          <w:sz w:val="20"/>
          <w:szCs w:val="20"/>
          <w:color w:val="auto"/>
        </w:rPr>
        <w:t>”), and Sanofi will pay to Fulcrum the applicable Regulatory Milestone Payment within [***] after receipt of such an undisputed invoice by wire transfer of immediately available funds. Each of the Regulatory Milestone Payments is payable only the first time the corresponding Regulatory Milestone Event is achieved, regardless of the number of times the applicable Regulatory Milestone Event is achieved. For clarity, no Regulatory Milestone Payment will be payable for subsequent or repeated achievements of the same Regulatory Milestone Event. If Sanofi achieves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jc w:val="both"/>
        <w:ind w:left="1500"/>
        <w:spacing w:after="0" w:line="244" w:lineRule="auto"/>
        <w:rPr>
          <w:sz w:val="20"/>
          <w:szCs w:val="20"/>
          <w:color w:val="auto"/>
        </w:rPr>
      </w:pPr>
      <w:r>
        <w:rPr>
          <w:rFonts w:ascii="Times New Roman" w:cs="Times New Roman" w:eastAsia="Times New Roman" w:hAnsi="Times New Roman"/>
          <w:sz w:val="20"/>
          <w:szCs w:val="20"/>
          <w:color w:val="auto"/>
        </w:rPr>
        <w:t>second or third Regulatory Milestone Event without the prior achievement of the first Regulatory Milestone Event, then Sanofi will pay to Fulcrum the first Regulatory Milestone Payment at the same time as Sanofi pays the applicable Regulatory Milestone Payment due upon achievement of such later Regulatory Milestone Event. For example, if Regulatory Milestone Event #1 in Table 9.2.1 has not been achieved at the time Regulatory Milestone Event #2 in Table 9.2.1 is achieved, then Sanofi will pay to Fulcrum the Regulatory Milestone Payment to be made with respect to such Regulatory Milestone Event #1 at the same time as Sanofi pays the Regulatory Milestone Payment due upon achievement of such Regulatory Milestone Event #2.</w:t>
      </w:r>
    </w:p>
    <w:p>
      <w:pPr>
        <w:spacing w:after="0" w:line="185" w:lineRule="exact"/>
        <w:rPr>
          <w:sz w:val="20"/>
          <w:szCs w:val="20"/>
          <w:color w:val="auto"/>
        </w:rPr>
      </w:pPr>
    </w:p>
    <w:tbl>
      <w:tblPr>
        <w:tblLayout w:type="fixed"/>
        <w:tblInd w:w="1510" w:type="dxa"/>
        <w:tblCellMar>
          <w:top w:w="0" w:type="dxa"/>
          <w:left w:w="0" w:type="dxa"/>
          <w:bottom w:w="0" w:type="dxa"/>
          <w:right w:w="0" w:type="dxa"/>
        </w:tblCellMar>
      </w:tblPr>
      <w:tr>
        <w:trPr>
          <w:trHeight w:val="257"/>
        </w:trPr>
        <w:tc>
          <w:tcPr>
            <w:tcW w:w="360" w:type="dxa"/>
            <w:vAlign w:val="bottom"/>
            <w:tcBorders>
              <w:top w:val="single" w:sz="8" w:color="auto"/>
              <w:left w:val="single" w:sz="8" w:color="auto"/>
              <w:bottom w:val="single" w:sz="8" w:color="auto"/>
            </w:tcBorders>
            <w:shd w:val="clear" w:color="auto" w:fill="8DB3E2"/>
          </w:tcPr>
          <w:p>
            <w:pPr>
              <w:spacing w:after="0"/>
              <w:rPr>
                <w:sz w:val="22"/>
                <w:szCs w:val="22"/>
                <w:color w:val="auto"/>
              </w:rPr>
            </w:pPr>
          </w:p>
        </w:tc>
        <w:tc>
          <w:tcPr>
            <w:tcW w:w="1200" w:type="dxa"/>
            <w:vAlign w:val="bottom"/>
            <w:tcBorders>
              <w:top w:val="single" w:sz="8" w:color="auto"/>
              <w:bottom w:val="single" w:sz="8" w:color="auto"/>
            </w:tcBorders>
            <w:shd w:val="clear" w:color="auto" w:fill="8DB3E2"/>
          </w:tcPr>
          <w:p>
            <w:pPr>
              <w:spacing w:after="0"/>
              <w:rPr>
                <w:sz w:val="22"/>
                <w:szCs w:val="22"/>
                <w:color w:val="auto"/>
              </w:rPr>
            </w:pPr>
          </w:p>
        </w:tc>
        <w:tc>
          <w:tcPr>
            <w:tcW w:w="4980" w:type="dxa"/>
            <w:vAlign w:val="bottom"/>
            <w:tcBorders>
              <w:top w:val="single" w:sz="8" w:color="auto"/>
              <w:bottom w:val="single" w:sz="8" w:color="auto"/>
              <w:right w:val="single" w:sz="8" w:color="8DB3E2"/>
            </w:tcBorders>
            <w:shd w:val="clear" w:color="auto" w:fill="8DB3E2"/>
          </w:tcPr>
          <w:p>
            <w:pPr>
              <w:ind w:left="1880"/>
              <w:spacing w:after="0"/>
              <w:rPr>
                <w:sz w:val="20"/>
                <w:szCs w:val="20"/>
                <w:color w:val="auto"/>
              </w:rPr>
            </w:pPr>
            <w:r>
              <w:rPr>
                <w:rFonts w:ascii="Times New Roman" w:cs="Times New Roman" w:eastAsia="Times New Roman" w:hAnsi="Times New Roman"/>
                <w:sz w:val="18"/>
                <w:szCs w:val="18"/>
                <w:b w:val="1"/>
                <w:bCs w:val="1"/>
                <w:color w:val="auto"/>
              </w:rPr>
              <w:t>Table 9.2.1 –Regulatory Milestones</w:t>
            </w:r>
          </w:p>
        </w:tc>
        <w:tc>
          <w:tcPr>
            <w:tcW w:w="3040" w:type="dxa"/>
            <w:vAlign w:val="bottom"/>
            <w:tcBorders>
              <w:top w:val="single" w:sz="8" w:color="auto"/>
              <w:bottom w:val="single" w:sz="8" w:color="auto"/>
              <w:right w:val="single" w:sz="8" w:color="auto"/>
            </w:tcBorders>
            <w:shd w:val="clear" w:color="auto" w:fill="8DB3E2"/>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 w:type="dxa"/>
            <w:vAlign w:val="bottom"/>
            <w:tcBorders>
              <w:left w:val="single" w:sz="8" w:color="C6D9F1"/>
            </w:tcBorders>
            <w:shd w:val="clear" w:color="auto" w:fill="C6D9F1"/>
          </w:tcPr>
          <w:p>
            <w:pPr>
              <w:spacing w:after="0"/>
              <w:rPr>
                <w:sz w:val="17"/>
                <w:szCs w:val="17"/>
                <w:color w:val="auto"/>
              </w:rPr>
            </w:pPr>
          </w:p>
        </w:tc>
        <w:tc>
          <w:tcPr>
            <w:tcW w:w="1200" w:type="dxa"/>
            <w:vAlign w:val="bottom"/>
            <w:shd w:val="clear" w:color="auto" w:fill="C6D9F1"/>
          </w:tcPr>
          <w:p>
            <w:pPr>
              <w:spacing w:after="0"/>
              <w:rPr>
                <w:sz w:val="17"/>
                <w:szCs w:val="17"/>
                <w:color w:val="auto"/>
              </w:rPr>
            </w:pPr>
          </w:p>
        </w:tc>
        <w:tc>
          <w:tcPr>
            <w:tcW w:w="4980" w:type="dxa"/>
            <w:vAlign w:val="bottom"/>
            <w:tcBorders>
              <w:right w:val="single" w:sz="8" w:color="auto"/>
            </w:tcBorders>
            <w:vMerge w:val="restart"/>
            <w:shd w:val="clear" w:color="auto" w:fill="C6D9F1"/>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Regulatory Milestone Event</w:t>
            </w:r>
          </w:p>
        </w:tc>
        <w:tc>
          <w:tcPr>
            <w:tcW w:w="3040" w:type="dxa"/>
            <w:vAlign w:val="bottom"/>
            <w:tcBorders>
              <w:right w:val="single" w:sz="8" w:color="auto"/>
            </w:tcBorders>
            <w:shd w:val="clear" w:color="auto" w:fill="C6D9F1"/>
          </w:tcPr>
          <w:p>
            <w:pPr>
              <w:jc w:val="center"/>
              <w:ind w:right="10"/>
              <w:spacing w:after="0" w:line="204" w:lineRule="exact"/>
              <w:rPr>
                <w:sz w:val="20"/>
                <w:szCs w:val="20"/>
                <w:color w:val="auto"/>
              </w:rPr>
            </w:pPr>
            <w:r>
              <w:rPr>
                <w:rFonts w:ascii="Times New Roman" w:cs="Times New Roman" w:eastAsia="Times New Roman" w:hAnsi="Times New Roman"/>
                <w:sz w:val="18"/>
                <w:szCs w:val="18"/>
                <w:b w:val="1"/>
                <w:bCs w:val="1"/>
                <w:i w:val="1"/>
                <w:iCs w:val="1"/>
                <w:color w:val="auto"/>
                <w:w w:val="99"/>
              </w:rPr>
              <w:t>Regulatory Milestone Payment (in</w:t>
            </w:r>
          </w:p>
        </w:tc>
        <w:tc>
          <w:tcPr>
            <w:tcW w:w="0" w:type="dxa"/>
            <w:vAlign w:val="bottom"/>
          </w:tcPr>
          <w:p>
            <w:pPr>
              <w:spacing w:after="0"/>
              <w:rPr>
                <w:sz w:val="1"/>
                <w:szCs w:val="1"/>
                <w:color w:val="auto"/>
              </w:rPr>
            </w:pPr>
          </w:p>
        </w:tc>
      </w:tr>
      <w:tr>
        <w:trPr>
          <w:trHeight w:val="130"/>
        </w:trPr>
        <w:tc>
          <w:tcPr>
            <w:tcW w:w="360" w:type="dxa"/>
            <w:vAlign w:val="bottom"/>
            <w:tcBorders>
              <w:left w:val="single" w:sz="8" w:color="C6D9F1"/>
            </w:tcBorders>
            <w:shd w:val="clear" w:color="auto" w:fill="C6D9F1"/>
          </w:tcPr>
          <w:p>
            <w:pPr>
              <w:spacing w:after="0"/>
              <w:rPr>
                <w:sz w:val="11"/>
                <w:szCs w:val="11"/>
                <w:color w:val="auto"/>
              </w:rPr>
            </w:pPr>
          </w:p>
        </w:tc>
        <w:tc>
          <w:tcPr>
            <w:tcW w:w="1200" w:type="dxa"/>
            <w:vAlign w:val="bottom"/>
            <w:shd w:val="clear" w:color="auto" w:fill="C6D9F1"/>
          </w:tcPr>
          <w:p>
            <w:pPr>
              <w:spacing w:after="0"/>
              <w:rPr>
                <w:sz w:val="11"/>
                <w:szCs w:val="11"/>
                <w:color w:val="auto"/>
              </w:rPr>
            </w:pPr>
          </w:p>
        </w:tc>
        <w:tc>
          <w:tcPr>
            <w:tcW w:w="4980" w:type="dxa"/>
            <w:vAlign w:val="bottom"/>
            <w:tcBorders>
              <w:right w:val="single" w:sz="8" w:color="auto"/>
            </w:tcBorders>
            <w:vMerge w:val="continue"/>
            <w:shd w:val="clear" w:color="auto" w:fill="C6D9F1"/>
          </w:tcPr>
          <w:p>
            <w:pPr>
              <w:spacing w:after="0"/>
              <w:rPr>
                <w:sz w:val="11"/>
                <w:szCs w:val="11"/>
                <w:color w:val="auto"/>
              </w:rPr>
            </w:pPr>
          </w:p>
        </w:tc>
        <w:tc>
          <w:tcPr>
            <w:tcW w:w="3040" w:type="dxa"/>
            <w:vAlign w:val="bottom"/>
            <w:tcBorders>
              <w:right w:val="single" w:sz="8" w:color="auto"/>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U.S. Dollars)</w:t>
            </w:r>
          </w:p>
        </w:tc>
        <w:tc>
          <w:tcPr>
            <w:tcW w:w="0" w:type="dxa"/>
            <w:vAlign w:val="bottom"/>
          </w:tcPr>
          <w:p>
            <w:pPr>
              <w:spacing w:after="0"/>
              <w:rPr>
                <w:sz w:val="1"/>
                <w:szCs w:val="1"/>
                <w:color w:val="auto"/>
              </w:rPr>
            </w:pPr>
          </w:p>
        </w:tc>
      </w:tr>
      <w:tr>
        <w:trPr>
          <w:trHeight w:val="108"/>
        </w:trPr>
        <w:tc>
          <w:tcPr>
            <w:tcW w:w="360" w:type="dxa"/>
            <w:vAlign w:val="bottom"/>
            <w:tcBorders>
              <w:left w:val="single" w:sz="8" w:color="C6D9F1"/>
            </w:tcBorders>
            <w:shd w:val="clear" w:color="auto" w:fill="C6D9F1"/>
          </w:tcPr>
          <w:p>
            <w:pPr>
              <w:spacing w:after="0"/>
              <w:rPr>
                <w:sz w:val="9"/>
                <w:szCs w:val="9"/>
                <w:color w:val="auto"/>
              </w:rPr>
            </w:pPr>
          </w:p>
        </w:tc>
        <w:tc>
          <w:tcPr>
            <w:tcW w:w="1200" w:type="dxa"/>
            <w:vAlign w:val="bottom"/>
            <w:shd w:val="clear" w:color="auto" w:fill="C6D9F1"/>
          </w:tcPr>
          <w:p>
            <w:pPr>
              <w:spacing w:after="0"/>
              <w:rPr>
                <w:sz w:val="9"/>
                <w:szCs w:val="9"/>
                <w:color w:val="auto"/>
              </w:rPr>
            </w:pPr>
          </w:p>
        </w:tc>
        <w:tc>
          <w:tcPr>
            <w:tcW w:w="4980" w:type="dxa"/>
            <w:vAlign w:val="bottom"/>
            <w:tcBorders>
              <w:right w:val="single" w:sz="8" w:color="auto"/>
            </w:tcBorders>
            <w:shd w:val="clear" w:color="auto" w:fill="C6D9F1"/>
          </w:tcPr>
          <w:p>
            <w:pPr>
              <w:spacing w:after="0"/>
              <w:rPr>
                <w:sz w:val="9"/>
                <w:szCs w:val="9"/>
                <w:color w:val="auto"/>
              </w:rPr>
            </w:pPr>
          </w:p>
        </w:tc>
        <w:tc>
          <w:tcPr>
            <w:tcW w:w="3040" w:type="dxa"/>
            <w:vAlign w:val="bottom"/>
            <w:tcBorders>
              <w:right w:val="single" w:sz="8" w:color="auto"/>
            </w:tcBorders>
            <w:vMerge w:val="continue"/>
            <w:shd w:val="clear" w:color="auto" w:fill="C6D9F1"/>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C6D9F1"/>
              <w:bottom w:val="single" w:sz="8" w:color="auto"/>
            </w:tcBorders>
            <w:shd w:val="clear" w:color="auto" w:fill="C6D9F1"/>
          </w:tcPr>
          <w:p>
            <w:pPr>
              <w:spacing w:after="0"/>
              <w:rPr>
                <w:sz w:val="5"/>
                <w:szCs w:val="5"/>
                <w:color w:val="auto"/>
              </w:rPr>
            </w:pPr>
          </w:p>
        </w:tc>
        <w:tc>
          <w:tcPr>
            <w:tcW w:w="1200" w:type="dxa"/>
            <w:vAlign w:val="bottom"/>
            <w:tcBorders>
              <w:bottom w:val="single" w:sz="8" w:color="auto"/>
            </w:tcBorders>
            <w:shd w:val="clear" w:color="auto" w:fill="C6D9F1"/>
          </w:tcPr>
          <w:p>
            <w:pPr>
              <w:spacing w:after="0"/>
              <w:rPr>
                <w:sz w:val="5"/>
                <w:szCs w:val="5"/>
                <w:color w:val="auto"/>
              </w:rPr>
            </w:pPr>
          </w:p>
        </w:tc>
        <w:tc>
          <w:tcPr>
            <w:tcW w:w="4980" w:type="dxa"/>
            <w:vAlign w:val="bottom"/>
            <w:tcBorders>
              <w:bottom w:val="single" w:sz="8" w:color="auto"/>
              <w:right w:val="single" w:sz="8" w:color="auto"/>
            </w:tcBorders>
            <w:shd w:val="clear" w:color="auto" w:fill="C6D9F1"/>
          </w:tcPr>
          <w:p>
            <w:pPr>
              <w:spacing w:after="0"/>
              <w:rPr>
                <w:sz w:val="5"/>
                <w:szCs w:val="5"/>
                <w:color w:val="auto"/>
              </w:rPr>
            </w:pPr>
          </w:p>
        </w:tc>
        <w:tc>
          <w:tcPr>
            <w:tcW w:w="3040" w:type="dxa"/>
            <w:vAlign w:val="bottom"/>
            <w:tcBorders>
              <w:bottom w:val="single" w:sz="8" w:color="auto"/>
              <w:right w:val="single" w:sz="8" w:color="auto"/>
            </w:tcBorders>
            <w:shd w:val="clear" w:color="auto" w:fill="C6D9F1"/>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4980" w:type="dxa"/>
            <w:vAlign w:val="bottom"/>
            <w:tcBorders>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4980" w:type="dxa"/>
            <w:vAlign w:val="bottom"/>
            <w:tcBorders>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4980" w:type="dxa"/>
            <w:vAlign w:val="bottom"/>
            <w:tcBorders>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1500" w:hanging="694"/>
        <w:spacing w:after="0" w:line="242" w:lineRule="auto"/>
        <w:tabs>
          <w:tab w:leader="none" w:pos="1480" w:val="left"/>
        </w:tabs>
        <w:rPr>
          <w:sz w:val="20"/>
          <w:szCs w:val="20"/>
          <w:color w:val="auto"/>
        </w:rPr>
      </w:pPr>
      <w:r>
        <w:rPr>
          <w:rFonts w:ascii="Times New Roman" w:cs="Times New Roman" w:eastAsia="Times New Roman" w:hAnsi="Times New Roman"/>
          <w:sz w:val="20"/>
          <w:szCs w:val="20"/>
          <w:color w:val="auto"/>
        </w:rPr>
        <w:t>9.2.2</w:t>
      </w:r>
      <w:r>
        <w:rPr>
          <w:sz w:val="20"/>
          <w:szCs w:val="20"/>
          <w:color w:val="auto"/>
        </w:rPr>
        <w:tab/>
      </w:r>
      <w:r>
        <w:rPr>
          <w:rFonts w:ascii="Times New Roman" w:cs="Times New Roman" w:eastAsia="Times New Roman" w:hAnsi="Times New Roman"/>
          <w:sz w:val="20"/>
          <w:szCs w:val="20"/>
          <w:b w:val="1"/>
          <w:bCs w:val="1"/>
          <w:color w:val="auto"/>
        </w:rPr>
        <w:t>Sales Milestones</w:t>
      </w:r>
      <w:r>
        <w:rPr>
          <w:rFonts w:ascii="Times New Roman" w:cs="Times New Roman" w:eastAsia="Times New Roman" w:hAnsi="Times New Roman"/>
          <w:sz w:val="20"/>
          <w:szCs w:val="20"/>
          <w:color w:val="auto"/>
        </w:rPr>
        <w:t>. No later than [***] after each Calendar Year in which one or more sales milestone events set forth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is achieved based on the Net Sales for all Licensed Products, in the aggregate, in the Sanofi Territory, Sanofi will notify Fulcrum thereof in the last Royalty Report for such Calendar Year as described in Section 9.3.3(a) (</w:t>
      </w:r>
      <w:r>
        <w:rPr>
          <w:rFonts w:ascii="Times New Roman" w:cs="Times New Roman" w:eastAsia="Times New Roman" w:hAnsi="Times New Roman"/>
          <w:sz w:val="20"/>
          <w:szCs w:val="20"/>
          <w:i w:val="1"/>
          <w:iCs w:val="1"/>
          <w:color w:val="auto"/>
        </w:rPr>
        <w:t>Royalty Report</w:t>
      </w:r>
      <w:r>
        <w:rPr>
          <w:rFonts w:ascii="Times New Roman" w:cs="Times New Roman" w:eastAsia="Times New Roman" w:hAnsi="Times New Roman"/>
          <w:sz w:val="20"/>
          <w:szCs w:val="20"/>
          <w:color w:val="auto"/>
        </w:rPr>
        <w:t>). Following Fulcrum’s receipt of such notice, Fulcrum will invoice Sanofi for the corresponding sales milestone payment, as set forth below (the sales milestone events set forth in Table 9.2.2, the “</w:t>
      </w:r>
      <w:r>
        <w:rPr>
          <w:rFonts w:ascii="Times New Roman" w:cs="Times New Roman" w:eastAsia="Times New Roman" w:hAnsi="Times New Roman"/>
          <w:sz w:val="20"/>
          <w:szCs w:val="20"/>
          <w:b w:val="1"/>
          <w:bCs w:val="1"/>
          <w:color w:val="auto"/>
        </w:rPr>
        <w:t>Sales Milestone Events</w:t>
      </w:r>
      <w:r>
        <w:rPr>
          <w:rFonts w:ascii="Times New Roman" w:cs="Times New Roman" w:eastAsia="Times New Roman" w:hAnsi="Times New Roman"/>
          <w:sz w:val="20"/>
          <w:szCs w:val="20"/>
          <w:color w:val="auto"/>
        </w:rPr>
        <w:t>” and the sales milestone payments set forth in Table 9.2.2, the “</w:t>
      </w:r>
      <w:r>
        <w:rPr>
          <w:rFonts w:ascii="Times New Roman" w:cs="Times New Roman" w:eastAsia="Times New Roman" w:hAnsi="Times New Roman"/>
          <w:sz w:val="20"/>
          <w:szCs w:val="20"/>
          <w:b w:val="1"/>
          <w:bCs w:val="1"/>
          <w:color w:val="auto"/>
        </w:rPr>
        <w:t>Sales Milestone Payments</w:t>
      </w:r>
      <w:r>
        <w:rPr>
          <w:rFonts w:ascii="Times New Roman" w:cs="Times New Roman" w:eastAsia="Times New Roman" w:hAnsi="Times New Roman"/>
          <w:sz w:val="20"/>
          <w:szCs w:val="20"/>
          <w:color w:val="auto"/>
        </w:rPr>
        <w:t>”), and Sanofi will pay the applicable Sales Milestone Payment within [***] after receipt of such an undisputed invoice by wire transfer of immediately available funds. Each of the Sales Milestone Payments is payable only the first time the corresponding Sales Milestone Event is achieved, regardless of the number of times the applicable Sales Milestone Event is achieved. For clarity, no Sales Milestone Payment will be payable for subsequent or repeated achievements of the same Sales Milestone Event. If in a given Calendar Year during the Term more than one of the Sales Milestone Events is achieved, then Sanofi will pay to Fulcrum a separate Sales Milestone Payment with respect to each such Sales Milestone Event that is achieved for the first time in such Calendar Year.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1540" w:type="dxa"/>
            <w:vAlign w:val="bottom"/>
            <w:tcBorders>
              <w:right w:val="single" w:sz="8" w:color="auto"/>
            </w:tcBorders>
          </w:tcPr>
          <w:p>
            <w:pPr>
              <w:spacing w:after="0"/>
              <w:rPr>
                <w:sz w:val="24"/>
                <w:szCs w:val="24"/>
                <w:color w:val="auto"/>
              </w:rPr>
            </w:pPr>
          </w:p>
        </w:tc>
        <w:tc>
          <w:tcPr>
            <w:tcW w:w="1600" w:type="dxa"/>
            <w:vAlign w:val="bottom"/>
            <w:tcBorders>
              <w:top w:val="single" w:sz="8" w:color="auto"/>
              <w:bottom w:val="single" w:sz="8" w:color="8DB3E2"/>
            </w:tcBorders>
            <w:shd w:val="clear" w:color="auto" w:fill="8DB3E2"/>
          </w:tcPr>
          <w:p>
            <w:pPr>
              <w:spacing w:after="0"/>
              <w:rPr>
                <w:sz w:val="24"/>
                <w:szCs w:val="24"/>
                <w:color w:val="auto"/>
              </w:rPr>
            </w:pPr>
          </w:p>
        </w:tc>
        <w:tc>
          <w:tcPr>
            <w:tcW w:w="5460" w:type="dxa"/>
            <w:vAlign w:val="bottom"/>
            <w:tcBorders>
              <w:top w:val="single" w:sz="8" w:color="auto"/>
              <w:bottom w:val="single" w:sz="8" w:color="8DB3E2"/>
              <w:right w:val="single" w:sz="8" w:color="8DB3E2"/>
            </w:tcBorders>
            <w:shd w:val="clear" w:color="auto" w:fill="8DB3E2"/>
          </w:tcPr>
          <w:p>
            <w:pPr>
              <w:jc w:val="right"/>
              <w:ind w:right="1207"/>
              <w:spacing w:after="0"/>
              <w:rPr>
                <w:sz w:val="20"/>
                <w:szCs w:val="20"/>
                <w:color w:val="auto"/>
              </w:rPr>
            </w:pPr>
            <w:r>
              <w:rPr>
                <w:rFonts w:ascii="Times New Roman" w:cs="Times New Roman" w:eastAsia="Times New Roman" w:hAnsi="Times New Roman"/>
                <w:sz w:val="18"/>
                <w:szCs w:val="18"/>
                <w:b w:val="1"/>
                <w:bCs w:val="1"/>
                <w:color w:val="auto"/>
              </w:rPr>
              <w:t>Table 9.2.2 – Sales Milestones</w:t>
            </w:r>
          </w:p>
        </w:tc>
        <w:tc>
          <w:tcPr>
            <w:tcW w:w="2240" w:type="dxa"/>
            <w:vAlign w:val="bottom"/>
            <w:tcBorders>
              <w:top w:val="single" w:sz="8" w:color="auto"/>
              <w:bottom w:val="single" w:sz="8" w:color="8DB3E2"/>
              <w:right w:val="single" w:sz="8" w:color="auto"/>
            </w:tcBorders>
            <w:shd w:val="clear" w:color="auto" w:fill="8DB3E2"/>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540" w:type="dxa"/>
            <w:vAlign w:val="bottom"/>
            <w:tcBorders>
              <w:right w:val="single" w:sz="8" w:color="auto"/>
            </w:tcBorders>
          </w:tcPr>
          <w:p>
            <w:pPr>
              <w:spacing w:after="0"/>
              <w:rPr>
                <w:sz w:val="20"/>
                <w:szCs w:val="20"/>
                <w:color w:val="auto"/>
              </w:rPr>
            </w:pPr>
          </w:p>
        </w:tc>
        <w:tc>
          <w:tcPr>
            <w:tcW w:w="1600" w:type="dxa"/>
            <w:vAlign w:val="bottom"/>
            <w:tcBorders>
              <w:top w:val="single" w:sz="8" w:color="auto"/>
            </w:tcBorders>
            <w:shd w:val="clear" w:color="auto" w:fill="C6D9F1"/>
          </w:tcPr>
          <w:p>
            <w:pPr>
              <w:spacing w:after="0"/>
              <w:rPr>
                <w:sz w:val="20"/>
                <w:szCs w:val="20"/>
                <w:color w:val="auto"/>
              </w:rPr>
            </w:pPr>
          </w:p>
        </w:tc>
        <w:tc>
          <w:tcPr>
            <w:tcW w:w="5460" w:type="dxa"/>
            <w:vAlign w:val="bottom"/>
            <w:tcBorders>
              <w:top w:val="single" w:sz="8" w:color="auto"/>
              <w:right w:val="single" w:sz="8" w:color="auto"/>
            </w:tcBorders>
            <w:vMerge w:val="restart"/>
            <w:shd w:val="clear" w:color="auto" w:fill="C6D9F1"/>
          </w:tcPr>
          <w:p>
            <w:pPr>
              <w:jc w:val="right"/>
              <w:ind w:right="2647"/>
              <w:spacing w:after="0"/>
              <w:rPr>
                <w:sz w:val="20"/>
                <w:szCs w:val="20"/>
                <w:color w:val="auto"/>
              </w:rPr>
            </w:pPr>
            <w:r>
              <w:rPr>
                <w:rFonts w:ascii="Times New Roman" w:cs="Times New Roman" w:eastAsia="Times New Roman" w:hAnsi="Times New Roman"/>
                <w:sz w:val="18"/>
                <w:szCs w:val="18"/>
                <w:b w:val="1"/>
                <w:bCs w:val="1"/>
                <w:i w:val="1"/>
                <w:iCs w:val="1"/>
                <w:color w:val="auto"/>
              </w:rPr>
              <w:t>Sales Milestone Event</w:t>
            </w:r>
          </w:p>
        </w:tc>
        <w:tc>
          <w:tcPr>
            <w:tcW w:w="2240" w:type="dxa"/>
            <w:vAlign w:val="bottom"/>
            <w:tcBorders>
              <w:top w:val="single" w:sz="8" w:color="auto"/>
              <w:right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Sales Milestone Payment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1540" w:type="dxa"/>
            <w:vAlign w:val="bottom"/>
            <w:tcBorders>
              <w:right w:val="single" w:sz="8" w:color="auto"/>
            </w:tcBorders>
          </w:tcPr>
          <w:p>
            <w:pPr>
              <w:spacing w:after="0"/>
              <w:rPr>
                <w:sz w:val="10"/>
                <w:szCs w:val="10"/>
                <w:color w:val="auto"/>
              </w:rPr>
            </w:pPr>
          </w:p>
        </w:tc>
        <w:tc>
          <w:tcPr>
            <w:tcW w:w="1600" w:type="dxa"/>
            <w:vAlign w:val="bottom"/>
            <w:shd w:val="clear" w:color="auto" w:fill="C6D9F1"/>
          </w:tcPr>
          <w:p>
            <w:pPr>
              <w:spacing w:after="0"/>
              <w:rPr>
                <w:sz w:val="10"/>
                <w:szCs w:val="10"/>
                <w:color w:val="auto"/>
              </w:rPr>
            </w:pPr>
          </w:p>
        </w:tc>
        <w:tc>
          <w:tcPr>
            <w:tcW w:w="5460" w:type="dxa"/>
            <w:vAlign w:val="bottom"/>
            <w:tcBorders>
              <w:right w:val="single" w:sz="8" w:color="auto"/>
            </w:tcBorders>
            <w:vMerge w:val="continue"/>
            <w:shd w:val="clear" w:color="auto" w:fill="C6D9F1"/>
          </w:tcPr>
          <w:p>
            <w:pPr>
              <w:spacing w:after="0"/>
              <w:rPr>
                <w:sz w:val="10"/>
                <w:szCs w:val="10"/>
                <w:color w:val="auto"/>
              </w:rPr>
            </w:pPr>
          </w:p>
        </w:tc>
        <w:tc>
          <w:tcPr>
            <w:tcW w:w="2240" w:type="dxa"/>
            <w:vAlign w:val="bottom"/>
            <w:tcBorders>
              <w:right w:val="single" w:sz="8" w:color="auto"/>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U.S. Dollars)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tcBorders>
              <w:right w:val="single" w:sz="8" w:color="auto"/>
            </w:tcBorders>
          </w:tcPr>
          <w:p>
            <w:pPr>
              <w:spacing w:after="0"/>
              <w:rPr>
                <w:sz w:val="11"/>
                <w:szCs w:val="11"/>
                <w:color w:val="auto"/>
              </w:rPr>
            </w:pPr>
          </w:p>
        </w:tc>
        <w:tc>
          <w:tcPr>
            <w:tcW w:w="1600" w:type="dxa"/>
            <w:vAlign w:val="bottom"/>
            <w:shd w:val="clear" w:color="auto" w:fill="C6D9F1"/>
          </w:tcPr>
          <w:p>
            <w:pPr>
              <w:spacing w:after="0"/>
              <w:rPr>
                <w:sz w:val="11"/>
                <w:szCs w:val="11"/>
                <w:color w:val="auto"/>
              </w:rPr>
            </w:pPr>
          </w:p>
        </w:tc>
        <w:tc>
          <w:tcPr>
            <w:tcW w:w="5460" w:type="dxa"/>
            <w:vAlign w:val="bottom"/>
            <w:tcBorders>
              <w:right w:val="single" w:sz="8" w:color="auto"/>
            </w:tcBorders>
            <w:shd w:val="clear" w:color="auto" w:fill="C6D9F1"/>
          </w:tcPr>
          <w:p>
            <w:pPr>
              <w:spacing w:after="0"/>
              <w:rPr>
                <w:sz w:val="11"/>
                <w:szCs w:val="11"/>
                <w:color w:val="auto"/>
              </w:rPr>
            </w:pPr>
          </w:p>
        </w:tc>
        <w:tc>
          <w:tcPr>
            <w:tcW w:w="2240" w:type="dxa"/>
            <w:vAlign w:val="bottom"/>
            <w:tcBorders>
              <w:right w:val="single" w:sz="8" w:color="auto"/>
            </w:tcBorders>
            <w:vMerge w:val="continue"/>
            <w:shd w:val="clear" w:color="auto" w:fill="C6D9F1"/>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540" w:type="dxa"/>
            <w:vAlign w:val="bottom"/>
            <w:tcBorders>
              <w:right w:val="single" w:sz="8" w:color="auto"/>
            </w:tcBorders>
          </w:tcPr>
          <w:p>
            <w:pPr>
              <w:spacing w:after="0"/>
              <w:rPr>
                <w:sz w:val="5"/>
                <w:szCs w:val="5"/>
                <w:color w:val="auto"/>
              </w:rPr>
            </w:pPr>
          </w:p>
        </w:tc>
        <w:tc>
          <w:tcPr>
            <w:tcW w:w="1600" w:type="dxa"/>
            <w:vAlign w:val="bottom"/>
            <w:tcBorders>
              <w:bottom w:val="single" w:sz="8" w:color="auto"/>
            </w:tcBorders>
            <w:shd w:val="clear" w:color="auto" w:fill="C6D9F1"/>
          </w:tcPr>
          <w:p>
            <w:pPr>
              <w:spacing w:after="0"/>
              <w:rPr>
                <w:sz w:val="5"/>
                <w:szCs w:val="5"/>
                <w:color w:val="auto"/>
              </w:rPr>
            </w:pPr>
          </w:p>
        </w:tc>
        <w:tc>
          <w:tcPr>
            <w:tcW w:w="5460" w:type="dxa"/>
            <w:vAlign w:val="bottom"/>
            <w:tcBorders>
              <w:bottom w:val="single" w:sz="8" w:color="auto"/>
              <w:right w:val="single" w:sz="8" w:color="auto"/>
            </w:tcBorders>
            <w:shd w:val="clear" w:color="auto" w:fill="C6D9F1"/>
          </w:tcPr>
          <w:p>
            <w:pPr>
              <w:spacing w:after="0"/>
              <w:rPr>
                <w:sz w:val="5"/>
                <w:szCs w:val="5"/>
                <w:color w:val="auto"/>
              </w:rPr>
            </w:pPr>
          </w:p>
        </w:tc>
        <w:tc>
          <w:tcPr>
            <w:tcW w:w="2240" w:type="dxa"/>
            <w:vAlign w:val="bottom"/>
            <w:tcBorders>
              <w:bottom w:val="single" w:sz="8" w:color="auto"/>
              <w:right w:val="single" w:sz="8" w:color="auto"/>
            </w:tcBorders>
            <w:shd w:val="clear" w:color="auto" w:fill="C6D9F1"/>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1540" w:type="dxa"/>
            <w:vAlign w:val="bottom"/>
            <w:tcBorders>
              <w:right w:val="single" w:sz="8" w:color="auto"/>
            </w:tcBorders>
          </w:tcPr>
          <w:p>
            <w:pPr>
              <w:spacing w:after="0"/>
              <w:rPr>
                <w:sz w:val="21"/>
                <w:szCs w:val="21"/>
                <w:color w:val="auto"/>
              </w:rPr>
            </w:pPr>
          </w:p>
        </w:tc>
        <w:tc>
          <w:tcPr>
            <w:tcW w:w="16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546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9"/>
                <w:szCs w:val="19"/>
                <w:color w:val="auto"/>
                <w:w w:val="98"/>
              </w:rPr>
              <w:t>***</w:t>
            </w:r>
            <w:r>
              <w:rPr>
                <w:rFonts w:ascii="Times New Roman" w:cs="Times New Roman" w:eastAsia="Times New Roman" w:hAnsi="Times New Roman"/>
                <w:sz w:val="18"/>
                <w:szCs w:val="18"/>
                <w:color w:val="auto"/>
                <w:w w:val="98"/>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540" w:type="dxa"/>
            <w:vAlign w:val="bottom"/>
            <w:tcBorders>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540" w:type="dxa"/>
            <w:vAlign w:val="bottom"/>
            <w:tcBorders>
              <w:right w:val="single" w:sz="8" w:color="auto"/>
            </w:tcBorders>
          </w:tcPr>
          <w:p>
            <w:pPr>
              <w:spacing w:after="0"/>
              <w:rPr>
                <w:sz w:val="21"/>
                <w:szCs w:val="21"/>
                <w:color w:val="auto"/>
              </w:rPr>
            </w:pPr>
          </w:p>
        </w:tc>
        <w:tc>
          <w:tcPr>
            <w:tcW w:w="16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546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9"/>
                <w:szCs w:val="19"/>
                <w:color w:val="auto"/>
                <w:w w:val="98"/>
              </w:rPr>
              <w:t>***</w:t>
            </w:r>
            <w:r>
              <w:rPr>
                <w:rFonts w:ascii="Times New Roman" w:cs="Times New Roman" w:eastAsia="Times New Roman" w:hAnsi="Times New Roman"/>
                <w:sz w:val="18"/>
                <w:szCs w:val="18"/>
                <w:color w:val="auto"/>
                <w:w w:val="98"/>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540" w:type="dxa"/>
            <w:vAlign w:val="bottom"/>
            <w:tcBorders>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540" w:type="dxa"/>
            <w:vAlign w:val="bottom"/>
            <w:tcBorders>
              <w:right w:val="single" w:sz="8" w:color="auto"/>
            </w:tcBorders>
          </w:tcPr>
          <w:p>
            <w:pPr>
              <w:spacing w:after="0"/>
              <w:rPr>
                <w:sz w:val="23"/>
                <w:szCs w:val="23"/>
                <w:color w:val="auto"/>
              </w:rPr>
            </w:pPr>
          </w:p>
        </w:tc>
        <w:tc>
          <w:tcPr>
            <w:tcW w:w="16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546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9"/>
                <w:szCs w:val="19"/>
                <w:color w:val="auto"/>
                <w:w w:val="98"/>
              </w:rPr>
              <w:t>***</w:t>
            </w:r>
            <w:r>
              <w:rPr>
                <w:rFonts w:ascii="Times New Roman" w:cs="Times New Roman" w:eastAsia="Times New Roman" w:hAnsi="Times New Roman"/>
                <w:sz w:val="18"/>
                <w:szCs w:val="18"/>
                <w:color w:val="auto"/>
                <w:w w:val="98"/>
              </w:rPr>
              <w:t>]</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
        </w:trPr>
        <w:tc>
          <w:tcPr>
            <w:tcW w:w="1540" w:type="dxa"/>
            <w:vAlign w:val="bottom"/>
            <w:tcBorders>
              <w:right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54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1540" w:type="dxa"/>
            <w:vAlign w:val="bottom"/>
            <w:tcBorders>
              <w:right w:val="single" w:sz="8" w:color="auto"/>
            </w:tcBorders>
          </w:tcPr>
          <w:p>
            <w:pPr>
              <w:spacing w:after="0"/>
              <w:rPr>
                <w:sz w:val="21"/>
                <w:szCs w:val="21"/>
                <w:color w:val="auto"/>
              </w:rPr>
            </w:pPr>
          </w:p>
        </w:tc>
        <w:tc>
          <w:tcPr>
            <w:tcW w:w="16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546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9"/>
                <w:szCs w:val="19"/>
                <w:color w:val="auto"/>
                <w:w w:val="98"/>
              </w:rPr>
              <w:t>***</w:t>
            </w:r>
            <w:r>
              <w:rPr>
                <w:rFonts w:ascii="Times New Roman" w:cs="Times New Roman" w:eastAsia="Times New Roman" w:hAnsi="Times New Roman"/>
                <w:sz w:val="18"/>
                <w:szCs w:val="18"/>
                <w:color w:val="auto"/>
                <w:w w:val="98"/>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540" w:type="dxa"/>
            <w:vAlign w:val="bottom"/>
            <w:tcBorders>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540" w:type="dxa"/>
            <w:vAlign w:val="bottom"/>
            <w:tcBorders>
              <w:right w:val="single" w:sz="8" w:color="auto"/>
            </w:tcBorders>
          </w:tcPr>
          <w:p>
            <w:pPr>
              <w:spacing w:after="0"/>
              <w:rPr>
                <w:sz w:val="21"/>
                <w:szCs w:val="21"/>
                <w:color w:val="auto"/>
              </w:rPr>
            </w:pPr>
          </w:p>
        </w:tc>
        <w:tc>
          <w:tcPr>
            <w:tcW w:w="16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546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9"/>
                <w:szCs w:val="19"/>
                <w:color w:val="auto"/>
                <w:w w:val="98"/>
              </w:rPr>
              <w:t>***</w:t>
            </w:r>
            <w:r>
              <w:rPr>
                <w:rFonts w:ascii="Times New Roman" w:cs="Times New Roman" w:eastAsia="Times New Roman" w:hAnsi="Times New Roman"/>
                <w:sz w:val="18"/>
                <w:szCs w:val="18"/>
                <w:color w:val="auto"/>
                <w:w w:val="98"/>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540" w:type="dxa"/>
            <w:vAlign w:val="bottom"/>
            <w:tcBorders>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540" w:type="dxa"/>
            <w:vAlign w:val="bottom"/>
            <w:tcBorders>
              <w:right w:val="single" w:sz="8" w:color="auto"/>
            </w:tcBorders>
          </w:tcPr>
          <w:p>
            <w:pPr>
              <w:spacing w:after="0"/>
              <w:rPr>
                <w:sz w:val="21"/>
                <w:szCs w:val="21"/>
                <w:color w:val="auto"/>
              </w:rPr>
            </w:pPr>
          </w:p>
        </w:tc>
        <w:tc>
          <w:tcPr>
            <w:tcW w:w="16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546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9"/>
                <w:szCs w:val="19"/>
                <w:color w:val="auto"/>
                <w:w w:val="98"/>
              </w:rPr>
              <w:t>***</w:t>
            </w:r>
            <w:r>
              <w:rPr>
                <w:rFonts w:ascii="Times New Roman" w:cs="Times New Roman" w:eastAsia="Times New Roman" w:hAnsi="Times New Roman"/>
                <w:sz w:val="18"/>
                <w:szCs w:val="18"/>
                <w:color w:val="auto"/>
                <w:w w:val="98"/>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540" w:type="dxa"/>
            <w:vAlign w:val="bottom"/>
            <w:tcBorders>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540" w:type="dxa"/>
            <w:vAlign w:val="bottom"/>
            <w:tcBorders>
              <w:right w:val="single" w:sz="8" w:color="auto"/>
            </w:tcBorders>
          </w:tcPr>
          <w:p>
            <w:pPr>
              <w:spacing w:after="0"/>
              <w:rPr>
                <w:sz w:val="21"/>
                <w:szCs w:val="21"/>
                <w:color w:val="auto"/>
              </w:rPr>
            </w:pPr>
          </w:p>
        </w:tc>
        <w:tc>
          <w:tcPr>
            <w:tcW w:w="16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546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9"/>
                <w:szCs w:val="19"/>
                <w:color w:val="auto"/>
                <w:w w:val="98"/>
              </w:rPr>
              <w:t>***</w:t>
            </w:r>
            <w:r>
              <w:rPr>
                <w:rFonts w:ascii="Times New Roman" w:cs="Times New Roman" w:eastAsia="Times New Roman" w:hAnsi="Times New Roman"/>
                <w:sz w:val="18"/>
                <w:szCs w:val="18"/>
                <w:color w:val="auto"/>
                <w:w w:val="98"/>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540" w:type="dxa"/>
            <w:vAlign w:val="bottom"/>
            <w:tcBorders>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5"/>
        </w:trPr>
        <w:tc>
          <w:tcPr>
            <w:tcW w:w="1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60" w:type="dxa"/>
            <w:vAlign w:val="bottom"/>
          </w:tcPr>
          <w:p>
            <w:pPr>
              <w:jc w:val="right"/>
              <w:ind w:right="2727"/>
              <w:spacing w:after="0"/>
              <w:rPr>
                <w:sz w:val="20"/>
                <w:szCs w:val="20"/>
                <w:color w:val="auto"/>
              </w:rPr>
            </w:pPr>
            <w:r>
              <w:rPr>
                <w:rFonts w:ascii="Times New Roman" w:cs="Times New Roman" w:eastAsia="Times New Roman" w:hAnsi="Times New Roman"/>
                <w:sz w:val="20"/>
                <w:szCs w:val="20"/>
                <w:color w:val="auto"/>
              </w:rPr>
              <w:t>-58-</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2"/>
        </w:trPr>
        <w:tc>
          <w:tcPr>
            <w:tcW w:w="15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color w:val="auto"/>
        </w:rPr>
        <w:t>9.3  Royalties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9.3.1</w:t>
      </w:r>
      <w:r>
        <w:rPr>
          <w:sz w:val="20"/>
          <w:szCs w:val="20"/>
          <w:color w:val="auto"/>
        </w:rPr>
        <w:tab/>
      </w:r>
      <w:r>
        <w:rPr>
          <w:rFonts w:ascii="Times New Roman" w:cs="Times New Roman" w:eastAsia="Times New Roman" w:hAnsi="Times New Roman"/>
          <w:sz w:val="20"/>
          <w:szCs w:val="20"/>
          <w:b w:val="1"/>
          <w:bCs w:val="1"/>
          <w:color w:val="auto"/>
        </w:rPr>
        <w:t>Royalty Payments</w:t>
      </w:r>
      <w:r>
        <w:rPr>
          <w:rFonts w:ascii="Times New Roman" w:cs="Times New Roman" w:eastAsia="Times New Roman" w:hAnsi="Times New Roman"/>
          <w:sz w:val="20"/>
          <w:szCs w:val="20"/>
          <w:color w:val="auto"/>
        </w:rPr>
        <w:t>. In consideration of the licenses, rights and privileges granted by Fulcrum to Sanofi hereunder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terms and conditions of this Agreement, Sanofi will pay to Fulcrum, on a Licensed Product-by-Licensed Product and country-by-country basis, royalties based on the Net Sales of a Licensed Product by Sanofi and its Affiliates and Sublicensees in the Sanofi Territory at the rates set forth in Table 9.3.1 below (the “</w:t>
      </w:r>
      <w:r>
        <w:rPr>
          <w:rFonts w:ascii="Times New Roman" w:cs="Times New Roman" w:eastAsia="Times New Roman" w:hAnsi="Times New Roman"/>
          <w:sz w:val="20"/>
          <w:szCs w:val="20"/>
          <w:b w:val="1"/>
          <w:bCs w:val="1"/>
          <w:color w:val="auto"/>
        </w:rPr>
        <w:t>Royalties</w:t>
      </w:r>
      <w:r>
        <w:rPr>
          <w:rFonts w:ascii="Times New Roman" w:cs="Times New Roman" w:eastAsia="Times New Roman" w:hAnsi="Times New Roman"/>
          <w:sz w:val="20"/>
          <w:szCs w:val="20"/>
          <w:color w:val="auto"/>
        </w:rPr>
        <w:t>”) during the Royalty Term (the royalty payments made pursuant to this Section 9.3.1 (</w:t>
      </w:r>
      <w:r>
        <w:rPr>
          <w:rFonts w:ascii="Times New Roman" w:cs="Times New Roman" w:eastAsia="Times New Roman" w:hAnsi="Times New Roman"/>
          <w:sz w:val="20"/>
          <w:szCs w:val="20"/>
          <w:i w:val="1"/>
          <w:iCs w:val="1"/>
          <w:color w:val="auto"/>
        </w:rPr>
        <w:t>Royalty Payments</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Royalty Payments</w:t>
      </w:r>
      <w:r>
        <w:rPr>
          <w:rFonts w:ascii="Times New Roman" w:cs="Times New Roman" w:eastAsia="Times New Roman" w:hAnsi="Times New Roman"/>
          <w:sz w:val="20"/>
          <w:szCs w:val="20"/>
          <w:color w:val="auto"/>
        </w:rPr>
        <w:t>,” and the rates set forth in Table 9.3.1, the “</w:t>
      </w:r>
      <w:r>
        <w:rPr>
          <w:rFonts w:ascii="Times New Roman" w:cs="Times New Roman" w:eastAsia="Times New Roman" w:hAnsi="Times New Roman"/>
          <w:sz w:val="20"/>
          <w:szCs w:val="20"/>
          <w:b w:val="1"/>
          <w:bCs w:val="1"/>
          <w:color w:val="auto"/>
        </w:rPr>
        <w:t>Royalty Rates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128270</wp:posOffset>
            </wp:positionV>
            <wp:extent cx="5987415" cy="1758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5987415" cy="175895"/>
                    </a:xfrm>
                    <a:prstGeom prst="rect">
                      <a:avLst/>
                    </a:prstGeom>
                    <a:noFill/>
                  </pic:spPr>
                </pic:pic>
              </a:graphicData>
            </a:graphic>
          </wp:anchor>
        </w:drawing>
      </w:r>
    </w:p>
    <w:p>
      <w:pPr>
        <w:spacing w:after="0" w:line="19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Table 9.3.1– Royalty Rates for the Licensed Products</w:t>
      </w:r>
    </w:p>
    <w:p>
      <w:pPr>
        <w:spacing w:after="0" w:line="31" w:lineRule="exact"/>
        <w:rPr>
          <w:sz w:val="20"/>
          <w:szCs w:val="20"/>
          <w:color w:val="auto"/>
        </w:rPr>
      </w:pPr>
    </w:p>
    <w:tbl>
      <w:tblPr>
        <w:tblLayout w:type="fixed"/>
        <w:tblInd w:w="1370" w:type="dxa"/>
        <w:tblCellMar>
          <w:top w:w="0" w:type="dxa"/>
          <w:left w:w="0" w:type="dxa"/>
          <w:bottom w:w="0" w:type="dxa"/>
          <w:right w:w="0" w:type="dxa"/>
        </w:tblCellMar>
      </w:tblPr>
      <w:tr>
        <w:trPr>
          <w:trHeight w:val="249"/>
        </w:trPr>
        <w:tc>
          <w:tcPr>
            <w:tcW w:w="7880" w:type="dxa"/>
            <w:vAlign w:val="bottom"/>
            <w:tcBorders>
              <w:top w:val="single" w:sz="8" w:color="auto"/>
              <w:left w:val="single" w:sz="8" w:color="auto"/>
              <w:bottom w:val="single" w:sz="8" w:color="auto"/>
              <w:right w:val="single" w:sz="8" w:color="auto"/>
            </w:tcBorders>
            <w:shd w:val="clear" w:color="auto" w:fill="C6D9F0"/>
          </w:tcPr>
          <w:p>
            <w:pPr>
              <w:jc w:val="right"/>
              <w:ind w:right="1270"/>
              <w:spacing w:after="0"/>
              <w:rPr>
                <w:sz w:val="20"/>
                <w:szCs w:val="20"/>
                <w:color w:val="auto"/>
              </w:rPr>
            </w:pPr>
            <w:r>
              <w:rPr>
                <w:rFonts w:ascii="Times New Roman" w:cs="Times New Roman" w:eastAsia="Times New Roman" w:hAnsi="Times New Roman"/>
                <w:sz w:val="18"/>
                <w:szCs w:val="18"/>
                <w:b w:val="1"/>
                <w:bCs w:val="1"/>
                <w:i w:val="1"/>
                <w:iCs w:val="1"/>
                <w:color w:val="auto"/>
              </w:rPr>
              <w:t>Calendar Year Net Sales of a Licensed Product in the Sanofi Territory</w:t>
            </w:r>
          </w:p>
        </w:tc>
        <w:tc>
          <w:tcPr>
            <w:tcW w:w="1540" w:type="dxa"/>
            <w:vAlign w:val="bottom"/>
            <w:tcBorders>
              <w:top w:val="single" w:sz="8" w:color="auto"/>
              <w:bottom w:val="single" w:sz="8" w:color="auto"/>
              <w:right w:val="single" w:sz="8" w:color="auto"/>
            </w:tcBorders>
            <w:shd w:val="clear" w:color="auto" w:fill="C6D9F0"/>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Royalty Rate</w:t>
            </w:r>
          </w:p>
        </w:tc>
      </w:tr>
      <w:tr>
        <w:trPr>
          <w:trHeight w:val="251"/>
        </w:trPr>
        <w:tc>
          <w:tcPr>
            <w:tcW w:w="7880" w:type="dxa"/>
            <w:vAlign w:val="bottom"/>
            <w:tcBorders>
              <w:left w:val="single" w:sz="8" w:color="auto"/>
              <w:bottom w:val="single" w:sz="8" w:color="auto"/>
              <w:right w:val="single" w:sz="8" w:color="auto"/>
            </w:tcBorders>
          </w:tcPr>
          <w:p>
            <w:pPr>
              <w:jc w:val="right"/>
              <w:ind w:right="727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r>
      <w:tr>
        <w:trPr>
          <w:trHeight w:val="250"/>
        </w:trPr>
        <w:tc>
          <w:tcPr>
            <w:tcW w:w="7880" w:type="dxa"/>
            <w:vAlign w:val="bottom"/>
            <w:tcBorders>
              <w:left w:val="single" w:sz="8" w:color="auto"/>
              <w:bottom w:val="single" w:sz="8" w:color="auto"/>
              <w:right w:val="single" w:sz="8" w:color="auto"/>
            </w:tcBorders>
          </w:tcPr>
          <w:p>
            <w:pPr>
              <w:jc w:val="right"/>
              <w:ind w:right="727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r>
      <w:tr>
        <w:trPr>
          <w:trHeight w:val="250"/>
        </w:trPr>
        <w:tc>
          <w:tcPr>
            <w:tcW w:w="7880" w:type="dxa"/>
            <w:vAlign w:val="bottom"/>
            <w:tcBorders>
              <w:left w:val="single" w:sz="8" w:color="auto"/>
              <w:bottom w:val="single" w:sz="8" w:color="auto"/>
              <w:right w:val="single" w:sz="8" w:color="auto"/>
            </w:tcBorders>
          </w:tcPr>
          <w:p>
            <w:pPr>
              <w:jc w:val="right"/>
              <w:ind w:right="727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r>
      <w:tr>
        <w:trPr>
          <w:trHeight w:val="250"/>
        </w:trPr>
        <w:tc>
          <w:tcPr>
            <w:tcW w:w="7880" w:type="dxa"/>
            <w:vAlign w:val="bottom"/>
            <w:tcBorders>
              <w:left w:val="single" w:sz="8" w:color="auto"/>
              <w:bottom w:val="single" w:sz="8" w:color="auto"/>
              <w:right w:val="single" w:sz="8" w:color="auto"/>
            </w:tcBorders>
          </w:tcPr>
          <w:p>
            <w:pPr>
              <w:jc w:val="right"/>
              <w:ind w:right="727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left="1500" w:right="20"/>
        <w:spacing w:after="0" w:line="269" w:lineRule="auto"/>
        <w:rPr>
          <w:sz w:val="20"/>
          <w:szCs w:val="20"/>
          <w:color w:val="auto"/>
        </w:rPr>
      </w:pPr>
      <w:r>
        <w:rPr>
          <w:rFonts w:ascii="Times New Roman" w:cs="Times New Roman" w:eastAsia="Times New Roman" w:hAnsi="Times New Roman"/>
          <w:sz w:val="20"/>
          <w:szCs w:val="20"/>
          <w:color w:val="auto"/>
        </w:rPr>
        <w:t>By way of example only, if Sanofi receives [***] in Net Sales of a Licensed Product during a given Calendar Year, then Sanofi would owe Fulcrum a royalty of [***].</w:t>
      </w:r>
    </w:p>
    <w:p>
      <w:pPr>
        <w:spacing w:after="0" w:line="155"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9.3.2</w:t>
      </w:r>
      <w:r>
        <w:rPr>
          <w:sz w:val="20"/>
          <w:szCs w:val="20"/>
          <w:color w:val="auto"/>
        </w:rPr>
        <w:tab/>
      </w:r>
      <w:r>
        <w:rPr>
          <w:rFonts w:ascii="Times New Roman" w:cs="Times New Roman" w:eastAsia="Times New Roman" w:hAnsi="Times New Roman"/>
          <w:sz w:val="19"/>
          <w:szCs w:val="19"/>
          <w:b w:val="1"/>
          <w:bCs w:val="1"/>
          <w:color w:val="auto"/>
        </w:rPr>
        <w:t>Royalty Reduction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260" w:hanging="754"/>
        <w:spacing w:after="0" w:line="247" w:lineRule="auto"/>
        <w:tabs>
          <w:tab w:leader="none" w:pos="194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Patent Expiration Step-Down</w:t>
      </w:r>
      <w:r>
        <w:rPr>
          <w:rFonts w:ascii="Times New Roman" w:cs="Times New Roman" w:eastAsia="Times New Roman" w:hAnsi="Times New Roman"/>
          <w:sz w:val="20"/>
          <w:szCs w:val="20"/>
          <w:color w:val="auto"/>
        </w:rPr>
        <w:t>. Subject to Section 9.3.2(d) (</w:t>
      </w:r>
      <w:r>
        <w:rPr>
          <w:rFonts w:ascii="Times New Roman" w:cs="Times New Roman" w:eastAsia="Times New Roman" w:hAnsi="Times New Roman"/>
          <w:sz w:val="20"/>
          <w:szCs w:val="20"/>
          <w:i w:val="1"/>
          <w:iCs w:val="1"/>
          <w:color w:val="auto"/>
        </w:rPr>
        <w:t>Royalty Reductions Floor; Carry Forward</w:t>
      </w:r>
      <w:r>
        <w:rPr>
          <w:rFonts w:ascii="Times New Roman" w:cs="Times New Roman" w:eastAsia="Times New Roman" w:hAnsi="Times New Roman"/>
          <w:sz w:val="20"/>
          <w:szCs w:val="20"/>
          <w:color w:val="auto"/>
        </w:rPr>
        <w:t>), on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Licensed Product-by-Licensed Product and country-by-country basis, if a Licensed Product is sold in a country in the Sanofi Territory during the applicable Royalty Term at a time when there is no Valid Claim of a Royalty Bearing Patent in such country, the Royalties payable by Sanofi with respect to the Net Sales of such Licensed Product in such country will be reduced by [***].</w:t>
      </w:r>
    </w:p>
    <w:p>
      <w:pPr>
        <w:spacing w:after="0" w:line="152" w:lineRule="exact"/>
        <w:rPr>
          <w:rFonts w:ascii="Times New Roman" w:cs="Times New Roman" w:eastAsia="Times New Roman" w:hAnsi="Times New Roman"/>
          <w:sz w:val="20"/>
          <w:szCs w:val="20"/>
          <w:color w:val="auto"/>
        </w:rPr>
      </w:pPr>
    </w:p>
    <w:p>
      <w:pPr>
        <w:jc w:val="right"/>
        <w:ind w:left="2260" w:hanging="754"/>
        <w:spacing w:after="0" w:line="246" w:lineRule="exact"/>
        <w:tabs>
          <w:tab w:leader="none" w:pos="1961"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Generic Competition</w:t>
      </w:r>
      <w:r>
        <w:rPr>
          <w:rFonts w:ascii="Times New Roman" w:cs="Times New Roman" w:eastAsia="Times New Roman" w:hAnsi="Times New Roman"/>
          <w:sz w:val="19"/>
          <w:szCs w:val="19"/>
          <w:color w:val="auto"/>
        </w:rPr>
        <w:t>. On a Licensed Product-by-Licensed Product and country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country basis, during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Royalty Term for such Licensed Product, if in a Calendar Quarter following the first Calendar Quarter in which Generic Competition first occurs in such country (such first Calendar Quarter, the “</w:t>
      </w:r>
      <w:r>
        <w:rPr>
          <w:rFonts w:ascii="Times New Roman" w:cs="Times New Roman" w:eastAsia="Times New Roman" w:hAnsi="Times New Roman"/>
          <w:sz w:val="19"/>
          <w:szCs w:val="19"/>
          <w:b w:val="1"/>
          <w:bCs w:val="1"/>
          <w:color w:val="auto"/>
        </w:rPr>
        <w:t>Launch Quarter</w:t>
      </w:r>
      <w:r>
        <w:rPr>
          <w:rFonts w:ascii="Times New Roman" w:cs="Times New Roman" w:eastAsia="Times New Roman" w:hAnsi="Times New Roman"/>
          <w:sz w:val="19"/>
          <w:szCs w:val="19"/>
          <w:color w:val="auto"/>
        </w:rPr>
        <w:t>”) the average quarterly Net Sales of such Licensed Product in such country decline by the percentage set forth in</w:t>
      </w:r>
    </w:p>
    <w:p>
      <w:pPr>
        <w:spacing w:after="0" w:line="2" w:lineRule="exact"/>
        <w:rPr>
          <w:rFonts w:ascii="Times New Roman" w:cs="Times New Roman" w:eastAsia="Times New Roman" w:hAnsi="Times New Roman"/>
          <w:sz w:val="19"/>
          <w:szCs w:val="19"/>
          <w:color w:val="auto"/>
        </w:rPr>
      </w:pPr>
    </w:p>
    <w:p>
      <w:pPr>
        <w:jc w:val="both"/>
        <w:ind w:left="2260"/>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 in Table 9.3.2(b) below in this Section 9.3.2(b) (</w:t>
      </w:r>
      <w:r>
        <w:rPr>
          <w:rFonts w:ascii="Times New Roman" w:cs="Times New Roman" w:eastAsia="Times New Roman" w:hAnsi="Times New Roman"/>
          <w:sz w:val="19"/>
          <w:szCs w:val="19"/>
          <w:i w:val="1"/>
          <w:iCs w:val="1"/>
          <w:color w:val="auto"/>
        </w:rPr>
        <w:t>Generic Competition</w:t>
      </w:r>
      <w:r>
        <w:rPr>
          <w:rFonts w:ascii="Times New Roman" w:cs="Times New Roman" w:eastAsia="Times New Roman" w:hAnsi="Times New Roman"/>
          <w:sz w:val="19"/>
          <w:szCs w:val="19"/>
          <w:color w:val="auto"/>
        </w:rPr>
        <w:t>) relative to the average Net Sales of such Licensed Product in such country occurring during the [***] consecutive Calendar Quarters immediately preceding the Launch Quarter, then, thereafter, the then-applicable Royalty Rate payable with respect to annual Net Sales of such Licensed Product pursuant to this Section 9.3 (</w:t>
      </w:r>
      <w:r>
        <w:rPr>
          <w:rFonts w:ascii="Times New Roman" w:cs="Times New Roman" w:eastAsia="Times New Roman" w:hAnsi="Times New Roman"/>
          <w:sz w:val="19"/>
          <w:szCs w:val="19"/>
          <w:i w:val="1"/>
          <w:iCs w:val="1"/>
          <w:color w:val="auto"/>
        </w:rPr>
        <w:t>Royalties</w:t>
      </w:r>
      <w:r>
        <w:rPr>
          <w:rFonts w:ascii="Times New Roman" w:cs="Times New Roman" w:eastAsia="Times New Roman" w:hAnsi="Times New Roman"/>
          <w:sz w:val="19"/>
          <w:szCs w:val="19"/>
          <w:color w:val="auto"/>
        </w:rPr>
        <w:t>) in such country in the Sanofi Territory will be permanently reduced by the percentage described in Table 9.3.2(b) below in this Section</w:t>
      </w:r>
    </w:p>
    <w:p>
      <w:pPr>
        <w:ind w:left="22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9.3.2(b) (</w:t>
      </w:r>
      <w:r>
        <w:rPr>
          <w:rFonts w:ascii="Times New Roman" w:cs="Times New Roman" w:eastAsia="Times New Roman" w:hAnsi="Times New Roman"/>
          <w:sz w:val="20"/>
          <w:szCs w:val="20"/>
          <w:i w:val="1"/>
          <w:iCs w:val="1"/>
          <w:color w:val="auto"/>
        </w:rPr>
        <w:t>Generic Competition</w:t>
      </w:r>
      <w:r>
        <w:rPr>
          <w:rFonts w:ascii="Times New Roman" w:cs="Times New Roman" w:eastAsia="Times New Roman" w:hAnsi="Times New Roman"/>
          <w:sz w:val="20"/>
          <w:szCs w:val="20"/>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400" w:type="dxa"/>
            <w:vAlign w:val="bottom"/>
            <w:tcBorders>
              <w:right w:val="single" w:sz="8" w:color="auto"/>
            </w:tcBorders>
          </w:tcPr>
          <w:p>
            <w:pPr>
              <w:spacing w:after="0"/>
              <w:rPr>
                <w:sz w:val="22"/>
                <w:szCs w:val="22"/>
                <w:color w:val="auto"/>
              </w:rPr>
            </w:pPr>
          </w:p>
        </w:tc>
        <w:tc>
          <w:tcPr>
            <w:tcW w:w="1520" w:type="dxa"/>
            <w:vAlign w:val="bottom"/>
            <w:tcBorders>
              <w:top w:val="single" w:sz="8" w:color="auto"/>
              <w:bottom w:val="single" w:sz="8" w:color="auto"/>
            </w:tcBorders>
            <w:shd w:val="clear" w:color="auto" w:fill="9CC2E5"/>
          </w:tcPr>
          <w:p>
            <w:pPr>
              <w:spacing w:after="0"/>
              <w:rPr>
                <w:sz w:val="22"/>
                <w:szCs w:val="22"/>
                <w:color w:val="auto"/>
              </w:rPr>
            </w:pPr>
          </w:p>
        </w:tc>
        <w:tc>
          <w:tcPr>
            <w:tcW w:w="6320" w:type="dxa"/>
            <w:vAlign w:val="bottom"/>
            <w:tcBorders>
              <w:top w:val="single" w:sz="8" w:color="auto"/>
              <w:bottom w:val="single" w:sz="8" w:color="auto"/>
              <w:right w:val="single" w:sz="8" w:color="9CC2E5"/>
            </w:tcBorders>
            <w:shd w:val="clear" w:color="auto" w:fill="9CC2E5"/>
          </w:tcPr>
          <w:p>
            <w:pPr>
              <w:jc w:val="right"/>
              <w:ind w:right="987"/>
              <w:spacing w:after="0"/>
              <w:rPr>
                <w:sz w:val="20"/>
                <w:szCs w:val="20"/>
                <w:color w:val="auto"/>
              </w:rPr>
            </w:pPr>
            <w:r>
              <w:rPr>
                <w:rFonts w:ascii="Times New Roman" w:cs="Times New Roman" w:eastAsia="Times New Roman" w:hAnsi="Times New Roman"/>
                <w:sz w:val="18"/>
                <w:szCs w:val="18"/>
                <w:b w:val="1"/>
                <w:bCs w:val="1"/>
                <w:color w:val="auto"/>
              </w:rPr>
              <w:t>Table 9.3.2(b)– Royalty Rates for Generic Competition</w:t>
            </w:r>
          </w:p>
        </w:tc>
        <w:tc>
          <w:tcPr>
            <w:tcW w:w="1560" w:type="dxa"/>
            <w:vAlign w:val="bottom"/>
            <w:tcBorders>
              <w:top w:val="single" w:sz="8" w:color="auto"/>
              <w:bottom w:val="single" w:sz="8" w:color="auto"/>
              <w:right w:val="single" w:sz="8" w:color="auto"/>
            </w:tcBorders>
            <w:shd w:val="clear" w:color="auto" w:fill="9CC2E5"/>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400" w:type="dxa"/>
            <w:vAlign w:val="bottom"/>
            <w:tcBorders>
              <w:right w:val="single" w:sz="8" w:color="auto"/>
            </w:tcBorders>
          </w:tcPr>
          <w:p>
            <w:pPr>
              <w:spacing w:after="0"/>
              <w:rPr>
                <w:sz w:val="17"/>
                <w:szCs w:val="17"/>
                <w:color w:val="auto"/>
              </w:rPr>
            </w:pPr>
          </w:p>
        </w:tc>
        <w:tc>
          <w:tcPr>
            <w:tcW w:w="1520" w:type="dxa"/>
            <w:vAlign w:val="bottom"/>
            <w:shd w:val="clear" w:color="auto" w:fill="DEEBF6"/>
          </w:tcPr>
          <w:p>
            <w:pPr>
              <w:spacing w:after="0"/>
              <w:rPr>
                <w:sz w:val="17"/>
                <w:szCs w:val="17"/>
                <w:color w:val="auto"/>
              </w:rPr>
            </w:pPr>
          </w:p>
        </w:tc>
        <w:tc>
          <w:tcPr>
            <w:tcW w:w="6320" w:type="dxa"/>
            <w:vAlign w:val="bottom"/>
            <w:tcBorders>
              <w:right w:val="single" w:sz="8" w:color="auto"/>
            </w:tcBorders>
            <w:vMerge w:val="restart"/>
            <w:shd w:val="clear" w:color="auto" w:fill="DEEBF6"/>
          </w:tcPr>
          <w:p>
            <w:pPr>
              <w:jc w:val="right"/>
              <w:ind w:right="2807"/>
              <w:spacing w:after="0"/>
              <w:rPr>
                <w:sz w:val="20"/>
                <w:szCs w:val="20"/>
                <w:color w:val="auto"/>
              </w:rPr>
            </w:pPr>
            <w:r>
              <w:rPr>
                <w:rFonts w:ascii="Times New Roman" w:cs="Times New Roman" w:eastAsia="Times New Roman" w:hAnsi="Times New Roman"/>
                <w:sz w:val="18"/>
                <w:szCs w:val="18"/>
                <w:b w:val="1"/>
                <w:bCs w:val="1"/>
                <w:i w:val="1"/>
                <w:iCs w:val="1"/>
                <w:color w:val="auto"/>
              </w:rPr>
              <w:t>Decline in Annual Net Sales</w:t>
            </w:r>
          </w:p>
        </w:tc>
        <w:tc>
          <w:tcPr>
            <w:tcW w:w="1560" w:type="dxa"/>
            <w:vAlign w:val="bottom"/>
            <w:tcBorders>
              <w:right w:val="single" w:sz="8" w:color="auto"/>
            </w:tcBorders>
            <w:shd w:val="clear" w:color="auto" w:fill="DEEBF6"/>
          </w:tcPr>
          <w:p>
            <w:pPr>
              <w:jc w:val="center"/>
              <w:spacing w:after="0" w:line="204" w:lineRule="exact"/>
              <w:rPr>
                <w:sz w:val="20"/>
                <w:szCs w:val="20"/>
                <w:color w:val="auto"/>
              </w:rPr>
            </w:pPr>
            <w:r>
              <w:rPr>
                <w:rFonts w:ascii="Times New Roman" w:cs="Times New Roman" w:eastAsia="Times New Roman" w:hAnsi="Times New Roman"/>
                <w:sz w:val="18"/>
                <w:szCs w:val="18"/>
                <w:b w:val="1"/>
                <w:bCs w:val="1"/>
                <w:i w:val="1"/>
                <w:iCs w:val="1"/>
                <w:color w:val="auto"/>
                <w:w w:val="99"/>
              </w:rPr>
              <w:t>Royalty</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400" w:type="dxa"/>
            <w:vAlign w:val="bottom"/>
            <w:tcBorders>
              <w:right w:val="single" w:sz="8" w:color="auto"/>
            </w:tcBorders>
          </w:tcPr>
          <w:p>
            <w:pPr>
              <w:spacing w:after="0"/>
              <w:rPr>
                <w:sz w:val="11"/>
                <w:szCs w:val="11"/>
                <w:color w:val="auto"/>
              </w:rPr>
            </w:pPr>
          </w:p>
        </w:tc>
        <w:tc>
          <w:tcPr>
            <w:tcW w:w="1520" w:type="dxa"/>
            <w:vAlign w:val="bottom"/>
            <w:shd w:val="clear" w:color="auto" w:fill="DEEBF6"/>
          </w:tcPr>
          <w:p>
            <w:pPr>
              <w:spacing w:after="0"/>
              <w:rPr>
                <w:sz w:val="11"/>
                <w:szCs w:val="11"/>
                <w:color w:val="auto"/>
              </w:rPr>
            </w:pPr>
          </w:p>
        </w:tc>
        <w:tc>
          <w:tcPr>
            <w:tcW w:w="6320" w:type="dxa"/>
            <w:vAlign w:val="bottom"/>
            <w:tcBorders>
              <w:right w:val="single" w:sz="8" w:color="auto"/>
            </w:tcBorders>
            <w:vMerge w:val="continue"/>
            <w:shd w:val="clear" w:color="auto" w:fill="DEEBF6"/>
          </w:tcPr>
          <w:p>
            <w:pPr>
              <w:spacing w:after="0"/>
              <w:rPr>
                <w:sz w:val="11"/>
                <w:szCs w:val="11"/>
                <w:color w:val="auto"/>
              </w:rPr>
            </w:pPr>
          </w:p>
        </w:tc>
        <w:tc>
          <w:tcPr>
            <w:tcW w:w="1560" w:type="dxa"/>
            <w:vAlign w:val="bottom"/>
            <w:tcBorders>
              <w:right w:val="single" w:sz="8" w:color="auto"/>
            </w:tcBorders>
            <w:vMerge w:val="restart"/>
            <w:shd w:val="clear" w:color="auto" w:fill="DEEBF6"/>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Reduction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400" w:type="dxa"/>
            <w:vAlign w:val="bottom"/>
            <w:tcBorders>
              <w:right w:val="single" w:sz="8" w:color="auto"/>
            </w:tcBorders>
          </w:tcPr>
          <w:p>
            <w:pPr>
              <w:spacing w:after="0"/>
              <w:rPr>
                <w:sz w:val="10"/>
                <w:szCs w:val="10"/>
                <w:color w:val="auto"/>
              </w:rPr>
            </w:pPr>
          </w:p>
        </w:tc>
        <w:tc>
          <w:tcPr>
            <w:tcW w:w="1520" w:type="dxa"/>
            <w:vAlign w:val="bottom"/>
            <w:tcBorders>
              <w:bottom w:val="single" w:sz="8" w:color="auto"/>
            </w:tcBorders>
            <w:shd w:val="clear" w:color="auto" w:fill="DEEBF6"/>
          </w:tcPr>
          <w:p>
            <w:pPr>
              <w:spacing w:after="0"/>
              <w:rPr>
                <w:sz w:val="10"/>
                <w:szCs w:val="10"/>
                <w:color w:val="auto"/>
              </w:rPr>
            </w:pPr>
          </w:p>
        </w:tc>
        <w:tc>
          <w:tcPr>
            <w:tcW w:w="6320" w:type="dxa"/>
            <w:vAlign w:val="bottom"/>
            <w:tcBorders>
              <w:bottom w:val="single" w:sz="8" w:color="auto"/>
              <w:right w:val="single" w:sz="8" w:color="auto"/>
            </w:tcBorders>
            <w:shd w:val="clear" w:color="auto" w:fill="DEEBF6"/>
          </w:tcPr>
          <w:p>
            <w:pPr>
              <w:spacing w:after="0"/>
              <w:rPr>
                <w:sz w:val="10"/>
                <w:szCs w:val="10"/>
                <w:color w:val="auto"/>
              </w:rPr>
            </w:pPr>
          </w:p>
        </w:tc>
        <w:tc>
          <w:tcPr>
            <w:tcW w:w="1560" w:type="dxa"/>
            <w:vAlign w:val="bottom"/>
            <w:tcBorders>
              <w:bottom w:val="single" w:sz="8" w:color="auto"/>
              <w:right w:val="single" w:sz="8" w:color="auto"/>
            </w:tcBorders>
            <w:vMerge w:val="continue"/>
            <w:shd w:val="clear" w:color="auto" w:fill="DEEBF6"/>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400" w:type="dxa"/>
            <w:vAlign w:val="bottom"/>
            <w:tcBorders>
              <w:right w:val="single" w:sz="8" w:color="auto"/>
            </w:tcBorders>
          </w:tcPr>
          <w:p>
            <w:pPr>
              <w:spacing w:after="0"/>
              <w:rPr>
                <w:sz w:val="22"/>
                <w:szCs w:val="22"/>
                <w:color w:val="auto"/>
              </w:rPr>
            </w:pPr>
          </w:p>
        </w:tc>
        <w:tc>
          <w:tcPr>
            <w:tcW w:w="15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6320" w:type="dxa"/>
            <w:vAlign w:val="bottom"/>
            <w:tcBorders>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400" w:type="dxa"/>
            <w:vAlign w:val="bottom"/>
            <w:tcBorders>
              <w:right w:val="single" w:sz="8" w:color="auto"/>
            </w:tcBorders>
          </w:tcPr>
          <w:p>
            <w:pPr>
              <w:spacing w:after="0"/>
              <w:rPr>
                <w:sz w:val="21"/>
                <w:szCs w:val="21"/>
                <w:color w:val="auto"/>
              </w:rPr>
            </w:pPr>
          </w:p>
        </w:tc>
        <w:tc>
          <w:tcPr>
            <w:tcW w:w="15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632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0" w:type="dxa"/>
            <w:vAlign w:val="bottom"/>
            <w:tcBorders>
              <w:right w:val="single" w:sz="8" w:color="auto"/>
            </w:tcBorders>
          </w:tcPr>
          <w:p>
            <w:pPr>
              <w:spacing w:after="0"/>
              <w:rPr>
                <w:sz w:val="21"/>
                <w:szCs w:val="21"/>
                <w:color w:val="auto"/>
              </w:rPr>
            </w:pPr>
          </w:p>
        </w:tc>
        <w:tc>
          <w:tcPr>
            <w:tcW w:w="15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632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320" w:type="dxa"/>
            <w:vAlign w:val="bottom"/>
          </w:tcPr>
          <w:p>
            <w:pPr>
              <w:jc w:val="right"/>
              <w:ind w:right="3367"/>
              <w:spacing w:after="0"/>
              <w:rPr>
                <w:sz w:val="20"/>
                <w:szCs w:val="20"/>
                <w:color w:val="auto"/>
              </w:rPr>
            </w:pPr>
            <w:r>
              <w:rPr>
                <w:rFonts w:ascii="Times New Roman" w:cs="Times New Roman" w:eastAsia="Times New Roman" w:hAnsi="Times New Roman"/>
                <w:sz w:val="20"/>
                <w:szCs w:val="20"/>
                <w:color w:val="auto"/>
              </w:rPr>
              <w:t>-59-</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3"/>
        </w:trPr>
        <w:tc>
          <w:tcPr>
            <w:tcW w:w="14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6" w:name="page147"/>
    <w:bookmarkEnd w:id="146"/>
    <w:p>
      <w:pPr>
        <w:spacing w:after="0" w:line="185" w:lineRule="exact"/>
        <w:rPr>
          <w:sz w:val="20"/>
          <w:szCs w:val="20"/>
          <w:color w:val="auto"/>
        </w:rPr>
      </w:pPr>
    </w:p>
    <w:p>
      <w:pPr>
        <w:ind w:left="1080" w:hanging="394"/>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Royalty Stacking</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right"/>
        <w:ind w:left="2180" w:hanging="746"/>
        <w:spacing w:after="0" w:line="244" w:lineRule="auto"/>
        <w:tabs>
          <w:tab w:leader="none" w:pos="1827"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By Sanofi</w:t>
      </w:r>
      <w:r>
        <w:rPr>
          <w:rFonts w:ascii="Times New Roman" w:cs="Times New Roman" w:eastAsia="Times New Roman" w:hAnsi="Times New Roman"/>
          <w:sz w:val="20"/>
          <w:szCs w:val="20"/>
          <w:color w:val="auto"/>
        </w:rPr>
        <w:t>. If Sanofi or any of its Affiliates or Sublicensees obtain in an arms-length transaction a right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 under any Patent Rights or Know-How that are necessary to Exploit a Licensed Compound or Licensed Product that results in any payment(s) to such Third Party as a result of such right or license by Sanofi, its Affiliates or its Sublicensees, as applicable (“</w:t>
      </w:r>
      <w:r>
        <w:rPr>
          <w:rFonts w:ascii="Times New Roman" w:cs="Times New Roman" w:eastAsia="Times New Roman" w:hAnsi="Times New Roman"/>
          <w:sz w:val="20"/>
          <w:szCs w:val="20"/>
          <w:b w:val="1"/>
          <w:bCs w:val="1"/>
          <w:color w:val="auto"/>
        </w:rPr>
        <w:t>Third Party Payments</w:t>
      </w:r>
      <w:r>
        <w:rPr>
          <w:rFonts w:ascii="Times New Roman" w:cs="Times New Roman" w:eastAsia="Times New Roman" w:hAnsi="Times New Roman"/>
          <w:sz w:val="20"/>
          <w:szCs w:val="20"/>
          <w:color w:val="auto"/>
        </w:rPr>
        <w:t>”), then Sanofi may, subject to Section 9.3.2(d) (</w:t>
      </w:r>
      <w:r>
        <w:rPr>
          <w:rFonts w:ascii="Times New Roman" w:cs="Times New Roman" w:eastAsia="Times New Roman" w:hAnsi="Times New Roman"/>
          <w:sz w:val="20"/>
          <w:szCs w:val="20"/>
          <w:i w:val="1"/>
          <w:iCs w:val="1"/>
          <w:color w:val="auto"/>
        </w:rPr>
        <w:t>Royalty Reductions Floor; Carry Forward</w:t>
      </w:r>
      <w:r>
        <w:rPr>
          <w:rFonts w:ascii="Times New Roman" w:cs="Times New Roman" w:eastAsia="Times New Roman" w:hAnsi="Times New Roman"/>
          <w:sz w:val="20"/>
          <w:szCs w:val="20"/>
          <w:color w:val="auto"/>
        </w:rPr>
        <w:t>), deduct from any and all royalties under this Agreement that would otherwise have been due to Fulcrum an amount equal to</w:t>
      </w:r>
    </w:p>
    <w:p>
      <w:pPr>
        <w:ind w:left="2180" w:right="20" w:firstLine="3"/>
        <w:spacing w:after="0" w:line="246" w:lineRule="auto"/>
        <w:tabs>
          <w:tab w:leader="none" w:pos="2697"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amount of any such Third Party Payments paid by Sanofi or any of its Affiliates or Sublicensees to such Third Party for such right or license or the exercise thereof.</w:t>
      </w:r>
    </w:p>
    <w:p>
      <w:pPr>
        <w:spacing w:after="0" w:line="177" w:lineRule="exact"/>
        <w:rPr>
          <w:rFonts w:ascii="Times New Roman" w:cs="Times New Roman" w:eastAsia="Times New Roman" w:hAnsi="Times New Roman"/>
          <w:sz w:val="20"/>
          <w:szCs w:val="20"/>
          <w:color w:val="auto"/>
        </w:rPr>
      </w:pPr>
    </w:p>
    <w:p>
      <w:pPr>
        <w:ind w:left="2180" w:hanging="746"/>
        <w:spacing w:after="0" w:line="256" w:lineRule="auto"/>
        <w:tabs>
          <w:tab w:leader="none" w:pos="185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By Fulcrum</w:t>
      </w:r>
      <w:r>
        <w:rPr>
          <w:rFonts w:ascii="Times New Roman" w:cs="Times New Roman" w:eastAsia="Times New Roman" w:hAnsi="Times New Roman"/>
          <w:sz w:val="20"/>
          <w:szCs w:val="20"/>
          <w:color w:val="auto"/>
        </w:rPr>
        <w:t>. Fulcrum will be solely responsible for all payment(s) owed or otherwise arising from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Existing Third Party IP Agreements. All such payments shall be made promptly by Fulcrum in accordance with the terms of the applicable Existing Third Party IP Agreement.</w:t>
      </w:r>
    </w:p>
    <w:p>
      <w:pPr>
        <w:spacing w:after="0" w:line="168" w:lineRule="exact"/>
        <w:rPr>
          <w:rFonts w:ascii="Times New Roman" w:cs="Times New Roman" w:eastAsia="Times New Roman" w:hAnsi="Times New Roman"/>
          <w:sz w:val="20"/>
          <w:szCs w:val="20"/>
          <w:color w:val="auto"/>
        </w:rPr>
      </w:pPr>
    </w:p>
    <w:p>
      <w:pPr>
        <w:ind w:left="1440" w:hanging="754"/>
        <w:spacing w:after="0" w:line="242" w:lineRule="auto"/>
        <w:tabs>
          <w:tab w:leader="none" w:pos="108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Royalty Reductions Floor; Carry Forward</w:t>
      </w:r>
      <w:r>
        <w:rPr>
          <w:rFonts w:ascii="Times New Roman" w:cs="Times New Roman" w:eastAsia="Times New Roman" w:hAnsi="Times New Roman"/>
          <w:sz w:val="20"/>
          <w:szCs w:val="20"/>
          <w:color w:val="auto"/>
        </w:rPr>
        <w:t>. Notwithstanding the reductions set forth in this Section 9.3.2 (</w:t>
      </w:r>
      <w:r>
        <w:rPr>
          <w:rFonts w:ascii="Times New Roman" w:cs="Times New Roman" w:eastAsia="Times New Roman" w:hAnsi="Times New Roman"/>
          <w:sz w:val="20"/>
          <w:szCs w:val="20"/>
          <w:i w:val="1"/>
          <w:iCs w:val="1"/>
          <w:color w:val="auto"/>
        </w:rPr>
        <w:t>Royalty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Reduction</w:t>
      </w:r>
      <w:r>
        <w:rPr>
          <w:rFonts w:ascii="Times New Roman" w:cs="Times New Roman" w:eastAsia="Times New Roman" w:hAnsi="Times New Roman"/>
          <w:sz w:val="20"/>
          <w:szCs w:val="20"/>
          <w:color w:val="auto"/>
        </w:rPr>
        <w:t>), in no event will the Royalties due to Fulcrum for a Licensed Product in a country in the Sanofi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Territory in any given Calendar Quarter during the Royalty Term for such Licensed Product in such country be reduced under this Section 9.3.2 (</w:t>
      </w:r>
      <w:r>
        <w:rPr>
          <w:rFonts w:ascii="Times New Roman" w:cs="Times New Roman" w:eastAsia="Times New Roman" w:hAnsi="Times New Roman"/>
          <w:sz w:val="20"/>
          <w:szCs w:val="20"/>
          <w:i w:val="1"/>
          <w:iCs w:val="1"/>
          <w:color w:val="auto"/>
        </w:rPr>
        <w:t>Royalty Reduction</w:t>
      </w:r>
      <w:r>
        <w:rPr>
          <w:rFonts w:ascii="Times New Roman" w:cs="Times New Roman" w:eastAsia="Times New Roman" w:hAnsi="Times New Roman"/>
          <w:sz w:val="20"/>
          <w:szCs w:val="20"/>
          <w:color w:val="auto"/>
        </w:rPr>
        <w:t>) by more than [***] of the amount that otherwise would have been due and payable to Fulcrum in such Calendar Quarter for such Licensed Product in such country but for the reductions set forth in this Section 9.3.2 (</w:t>
      </w:r>
      <w:r>
        <w:rPr>
          <w:rFonts w:ascii="Times New Roman" w:cs="Times New Roman" w:eastAsia="Times New Roman" w:hAnsi="Times New Roman"/>
          <w:sz w:val="20"/>
          <w:szCs w:val="20"/>
          <w:i w:val="1"/>
          <w:iCs w:val="1"/>
          <w:color w:val="auto"/>
        </w:rPr>
        <w:t>Royalty Reduction</w:t>
      </w:r>
      <w:r>
        <w:rPr>
          <w:rFonts w:ascii="Times New Roman" w:cs="Times New Roman" w:eastAsia="Times New Roman" w:hAnsi="Times New Roman"/>
          <w:sz w:val="20"/>
          <w:szCs w:val="20"/>
          <w:color w:val="auto"/>
        </w:rPr>
        <w:t>), Sanofi may carry forward any such reductions permitted under this Section 9.3.2 (</w:t>
      </w:r>
      <w:r>
        <w:rPr>
          <w:rFonts w:ascii="Times New Roman" w:cs="Times New Roman" w:eastAsia="Times New Roman" w:hAnsi="Times New Roman"/>
          <w:sz w:val="20"/>
          <w:szCs w:val="20"/>
          <w:i w:val="1"/>
          <w:iCs w:val="1"/>
          <w:color w:val="auto"/>
        </w:rPr>
        <w:t>Royalty Reduction</w:t>
      </w:r>
      <w:r>
        <w:rPr>
          <w:rFonts w:ascii="Times New Roman" w:cs="Times New Roman" w:eastAsia="Times New Roman" w:hAnsi="Times New Roman"/>
          <w:sz w:val="20"/>
          <w:szCs w:val="20"/>
          <w:color w:val="auto"/>
        </w:rPr>
        <w:t>) that are incurred or accrued in a Calendar Quarter but are not applied against royalties due to Fulcrum in such Calendar Quarter as a result of the foregoing floor and apply such amounts against royalties due to Fulcrum in any subsequent Calendar Quarter (subject to the minimum floor set forth in this Section 9.3.2(d) (</w:t>
      </w:r>
      <w:r>
        <w:rPr>
          <w:rFonts w:ascii="Times New Roman" w:cs="Times New Roman" w:eastAsia="Times New Roman" w:hAnsi="Times New Roman"/>
          <w:sz w:val="20"/>
          <w:szCs w:val="20"/>
          <w:i w:val="1"/>
          <w:iCs w:val="1"/>
          <w:color w:val="auto"/>
        </w:rPr>
        <w:t>Royalty Reductions Floor; Carry Forward</w:t>
      </w:r>
      <w:r>
        <w:rPr>
          <w:rFonts w:ascii="Times New Roman" w:cs="Times New Roman" w:eastAsia="Times New Roman" w:hAnsi="Times New Roman"/>
          <w:sz w:val="20"/>
          <w:szCs w:val="20"/>
          <w:color w:val="auto"/>
        </w:rPr>
        <w:t>)) until the amount of such reduction has been fully applied against royalties due to Fulcrum.</w:t>
      </w:r>
    </w:p>
    <w:p>
      <w:pPr>
        <w:spacing w:after="0" w:line="19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9.3.3</w:t>
      </w:r>
      <w:r>
        <w:rPr>
          <w:sz w:val="20"/>
          <w:szCs w:val="20"/>
          <w:color w:val="auto"/>
        </w:rPr>
        <w:tab/>
      </w:r>
      <w:r>
        <w:rPr>
          <w:rFonts w:ascii="Times New Roman" w:cs="Times New Roman" w:eastAsia="Times New Roman" w:hAnsi="Times New Roman"/>
          <w:sz w:val="19"/>
          <w:szCs w:val="19"/>
          <w:b w:val="1"/>
          <w:bCs w:val="1"/>
          <w:color w:val="auto"/>
        </w:rPr>
        <w:t>Royalty Payments and Reports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440" w:hanging="754"/>
        <w:spacing w:after="0" w:line="243" w:lineRule="auto"/>
        <w:tabs>
          <w:tab w:leader="none" w:pos="110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Royalty Report</w:t>
      </w:r>
      <w:r>
        <w:rPr>
          <w:rFonts w:ascii="Times New Roman" w:cs="Times New Roman" w:eastAsia="Times New Roman" w:hAnsi="Times New Roman"/>
          <w:sz w:val="20"/>
          <w:szCs w:val="20"/>
          <w:color w:val="auto"/>
        </w:rPr>
        <w:t>. Commencing with the Calendar Quarter during which the First Commercial Sale of a Licensed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 is made anywhere in the Sanofi Territory, within [***] after the end of each Calendar Quarter, Sanofi will provide to Fulcrum a written report (each, a “</w:t>
      </w:r>
      <w:r>
        <w:rPr>
          <w:rFonts w:ascii="Times New Roman" w:cs="Times New Roman" w:eastAsia="Times New Roman" w:hAnsi="Times New Roman"/>
          <w:sz w:val="20"/>
          <w:szCs w:val="20"/>
          <w:b w:val="1"/>
          <w:bCs w:val="1"/>
          <w:color w:val="auto"/>
        </w:rPr>
        <w:t>Royalty Report</w:t>
      </w:r>
      <w:r>
        <w:rPr>
          <w:rFonts w:ascii="Times New Roman" w:cs="Times New Roman" w:eastAsia="Times New Roman" w:hAnsi="Times New Roman"/>
          <w:sz w:val="20"/>
          <w:szCs w:val="20"/>
          <w:color w:val="auto"/>
        </w:rPr>
        <w:t>”) setting forth in reasonable detail: (a) the aggregate Net Sales of the Licensed Products sold by Sanofi or its Affiliates or Sublicensees in the Sanofi Territory in such Calendar Quarter; (b) all deductions and reductions used to determine the Net Sales of the Licensed Products for such Calendar Quarter or the Royalties payable with respect to the Licensed Products for such Calendar Quarter, including any reduction pursuant to Section 9.3.2 (</w:t>
      </w:r>
      <w:r>
        <w:rPr>
          <w:rFonts w:ascii="Times New Roman" w:cs="Times New Roman" w:eastAsia="Times New Roman" w:hAnsi="Times New Roman"/>
          <w:sz w:val="20"/>
          <w:szCs w:val="20"/>
          <w:i w:val="1"/>
          <w:iCs w:val="1"/>
          <w:color w:val="auto"/>
        </w:rPr>
        <w:t>Royalty Reduction</w:t>
      </w:r>
      <w:r>
        <w:rPr>
          <w:rFonts w:ascii="Times New Roman" w:cs="Times New Roman" w:eastAsia="Times New Roman" w:hAnsi="Times New Roman"/>
          <w:sz w:val="20"/>
          <w:szCs w:val="20"/>
          <w:color w:val="auto"/>
        </w:rPr>
        <w:t>); (c) the exchange rates used to calculate the Royalties payable in U.S. Dollars; and (d) any withholding taxes required to be made from such Royalties. The Parties will seek to resolve any questions or issues related to a Royalty Report within [***] following receipt by Fulcrum of each Royalty Report.</w:t>
      </w:r>
    </w:p>
    <w:p>
      <w:pPr>
        <w:spacing w:after="0" w:line="18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764540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140" w:top="1440" w:right="339" w:bottom="1440" w:gutter="0" w:footer="0" w:header="0"/>
        </w:sectPr>
      </w:pPr>
    </w:p>
    <w:bookmarkStart w:id="147" w:name="page148"/>
    <w:bookmarkEnd w:id="147"/>
    <w:p>
      <w:pPr>
        <w:ind w:left="2260"/>
        <w:spacing w:after="0" w:line="269" w:lineRule="auto"/>
        <w:rPr>
          <w:sz w:val="20"/>
          <w:szCs w:val="20"/>
          <w:color w:val="auto"/>
        </w:rPr>
      </w:pPr>
      <w:r>
        <w:rPr>
          <w:rFonts w:ascii="Times New Roman" w:cs="Times New Roman" w:eastAsia="Times New Roman" w:hAnsi="Times New Roman"/>
          <w:sz w:val="20"/>
          <w:szCs w:val="20"/>
          <w:color w:val="auto"/>
        </w:rPr>
        <w:t>Sanofi will provide such Royalty Reports for so long as any Royalty Term remains in effect for a given Licensed Product.</w:t>
      </w:r>
    </w:p>
    <w:p>
      <w:pPr>
        <w:spacing w:after="0" w:line="155" w:lineRule="exact"/>
        <w:rPr>
          <w:sz w:val="20"/>
          <w:szCs w:val="20"/>
          <w:color w:val="auto"/>
        </w:rPr>
      </w:pPr>
    </w:p>
    <w:p>
      <w:pPr>
        <w:jc w:val="right"/>
        <w:ind w:left="2260" w:hanging="754"/>
        <w:spacing w:after="0" w:line="259" w:lineRule="auto"/>
        <w:tabs>
          <w:tab w:leader="none" w:pos="1907"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Royalty Payments</w:t>
      </w:r>
      <w:r>
        <w:rPr>
          <w:rFonts w:ascii="Times New Roman" w:cs="Times New Roman" w:eastAsia="Times New Roman" w:hAnsi="Times New Roman"/>
          <w:sz w:val="19"/>
          <w:szCs w:val="19"/>
          <w:color w:val="auto"/>
        </w:rPr>
        <w:t>. The information contained in each Royalty Report will be considered Confidential Information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Sanofi. Following Fulcrum’s receipt of each Royalty Report, Fulcrum will invoice Sanofi for the royalty amounts due for such Calendar Quarter and Sanofi will pay to Fulcrum such amounts, less any applicable withholding tax that is required by Applicable Law in accordance with Section 9.11.2 (</w:t>
      </w:r>
      <w:r>
        <w:rPr>
          <w:rFonts w:ascii="Times New Roman" w:cs="Times New Roman" w:eastAsia="Times New Roman" w:hAnsi="Times New Roman"/>
          <w:sz w:val="19"/>
          <w:szCs w:val="19"/>
          <w:i w:val="1"/>
          <w:iCs w:val="1"/>
          <w:color w:val="auto"/>
        </w:rPr>
        <w:t>Withholding Tax</w:t>
      </w:r>
      <w:r>
        <w:rPr>
          <w:rFonts w:ascii="Times New Roman" w:cs="Times New Roman" w:eastAsia="Times New Roman" w:hAnsi="Times New Roman"/>
          <w:sz w:val="19"/>
          <w:szCs w:val="19"/>
          <w:color w:val="auto"/>
        </w:rPr>
        <w:t>), within</w:t>
      </w:r>
    </w:p>
    <w:p>
      <w:pPr>
        <w:ind w:left="2260" w:hanging="6"/>
        <w:spacing w:after="0" w:line="246" w:lineRule="auto"/>
        <w:tabs>
          <w:tab w:leader="none" w:pos="274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receipt of such an undisputed invoice in immediately available funds by wire transfer, in accordance with wire instructions to be provided by Fulcrum to Sanofi together with such invoice.</w:t>
      </w:r>
    </w:p>
    <w:p>
      <w:pPr>
        <w:spacing w:after="0" w:line="178" w:lineRule="exact"/>
        <w:rPr>
          <w:sz w:val="20"/>
          <w:szCs w:val="20"/>
          <w:color w:val="auto"/>
        </w:rPr>
      </w:pPr>
    </w:p>
    <w:p>
      <w:pPr>
        <w:jc w:val="both"/>
        <w:ind w:left="760" w:hanging="748"/>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9.4 Other Amounts Payable </w:t>
      </w:r>
      <w:r>
        <w:rPr>
          <w:rFonts w:ascii="Times New Roman" w:cs="Times New Roman" w:eastAsia="Times New Roman" w:hAnsi="Times New Roman"/>
          <w:sz w:val="20"/>
          <w:szCs w:val="20"/>
          <w:color w:val="auto"/>
        </w:rPr>
        <w:t>. With respect to any amounts owed under this Agreement by one Party to the other for which no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invoicing and payment procedure is specified hereunder, within [***] after the end of each Calendar Quarter, each Party will provide an invoice, together with reasonable supporting documentation, to the other Party for such amounts owed in respect of such Calendar Quarter. The owing Party will pay any undisputed invoiced amounts within [***] after receipt of the invoice, and any disputed amounts owed by a Party will be paid within [***] following resolution of the dispute.</w:t>
      </w:r>
    </w:p>
    <w:p>
      <w:pPr>
        <w:spacing w:after="0" w:line="180"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9.5 Invoices</w:t>
      </w:r>
      <w:r>
        <w:rPr>
          <w:rFonts w:ascii="Times New Roman" w:cs="Times New Roman" w:eastAsia="Times New Roman" w:hAnsi="Times New Roman"/>
          <w:sz w:val="20"/>
          <w:szCs w:val="20"/>
          <w:color w:val="auto"/>
        </w:rPr>
        <w:t>. Notwithstanding any provision to the contrary in this Agreement, Fulcrum will deliver an invoice to Sanofi for all payments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owed by Sanofi to Fulcrum under this Agreement. Except where a different timeframe is expressly provided in another section of this Agreement, Sanofi will make all payments owed to Fulcrum within [***] after the date on which Sanofi receives an undisputed invoice for such owed amount.</w:t>
      </w:r>
    </w:p>
    <w:p>
      <w:pPr>
        <w:spacing w:after="0" w:line="176" w:lineRule="exact"/>
        <w:rPr>
          <w:sz w:val="20"/>
          <w:szCs w:val="20"/>
          <w:color w:val="auto"/>
        </w:rPr>
      </w:pPr>
    </w:p>
    <w:p>
      <w:pPr>
        <w:jc w:val="both"/>
        <w:ind w:left="760" w:hanging="748"/>
        <w:spacing w:after="0" w:line="247" w:lineRule="auto"/>
        <w:rPr>
          <w:sz w:val="20"/>
          <w:szCs w:val="20"/>
          <w:color w:val="auto"/>
        </w:rPr>
      </w:pPr>
      <w:r>
        <w:rPr>
          <w:rFonts w:ascii="Times New Roman" w:cs="Times New Roman" w:eastAsia="Times New Roman" w:hAnsi="Times New Roman"/>
          <w:sz w:val="20"/>
          <w:szCs w:val="20"/>
          <w:b w:val="1"/>
          <w:bCs w:val="1"/>
          <w:color w:val="auto"/>
        </w:rPr>
        <w:t>9.6 General Right to Reconcile Payments</w:t>
      </w:r>
      <w:r>
        <w:rPr>
          <w:rFonts w:ascii="Times New Roman" w:cs="Times New Roman" w:eastAsia="Times New Roman" w:hAnsi="Times New Roman"/>
          <w:sz w:val="20"/>
          <w:szCs w:val="20"/>
          <w:color w:val="auto"/>
        </w:rPr>
        <w:t>. To the extent permitted under Applicable Law, each Party will have the right to offset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owed to it by the other Party under or in connection with this Agreement which obligation is not being disputed by such owing Party in good faith, including in connection with any breach or indemnification obligation by such owing Party, against any payments owed by such Party to the other Party under this Agreement. Such offsets will be in addition to any other rights or remedies available under this Agreement or Applicable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9.7  Financial Records and Audits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7" w:lineRule="auto"/>
        <w:tabs>
          <w:tab w:leader="none" w:pos="1480" w:val="left"/>
        </w:tabs>
        <w:rPr>
          <w:sz w:val="20"/>
          <w:szCs w:val="20"/>
          <w:color w:val="auto"/>
        </w:rPr>
      </w:pPr>
      <w:r>
        <w:rPr>
          <w:rFonts w:ascii="Times New Roman" w:cs="Times New Roman" w:eastAsia="Times New Roman" w:hAnsi="Times New Roman"/>
          <w:sz w:val="20"/>
          <w:szCs w:val="20"/>
          <w:color w:val="auto"/>
        </w:rPr>
        <w:t>9.7.1</w:t>
      </w:r>
      <w:r>
        <w:rPr>
          <w:sz w:val="20"/>
          <w:szCs w:val="20"/>
          <w:color w:val="auto"/>
        </w:rPr>
        <w:tab/>
      </w:r>
      <w:r>
        <w:rPr>
          <w:rFonts w:ascii="Times New Roman" w:cs="Times New Roman" w:eastAsia="Times New Roman" w:hAnsi="Times New Roman"/>
          <w:sz w:val="20"/>
          <w:szCs w:val="20"/>
          <w:b w:val="1"/>
          <w:bCs w:val="1"/>
          <w:color w:val="auto"/>
        </w:rPr>
        <w:t>Financial Records</w:t>
      </w:r>
      <w:r>
        <w:rPr>
          <w:rFonts w:ascii="Times New Roman" w:cs="Times New Roman" w:eastAsia="Times New Roman" w:hAnsi="Times New Roman"/>
          <w:sz w:val="20"/>
          <w:szCs w:val="20"/>
          <w:color w:val="auto"/>
        </w:rPr>
        <w:t>. Each Party will, and will require its Affiliates, Sublicensees and subcontractors to, maintain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complete, true and accurate records in accordance with such Party’s Accounting Standards in relation to this Agreement, including (as applicable) any Eligible Global Development Costs, Royalties, Milestone Payments and Net Sales. Each Party will keep such records for at least [***] following the Calendar Year to which they pertain or for such longer period of time as required under any Applicable Law.</w:t>
      </w:r>
    </w:p>
    <w:p>
      <w:pPr>
        <w:spacing w:after="0" w:line="180" w:lineRule="exact"/>
        <w:rPr>
          <w:sz w:val="20"/>
          <w:szCs w:val="20"/>
          <w:color w:val="auto"/>
        </w:rPr>
      </w:pPr>
    </w:p>
    <w:p>
      <w:pPr>
        <w:jc w:val="both"/>
        <w:ind w:left="1500" w:hanging="694"/>
        <w:spacing w:after="0" w:line="245" w:lineRule="auto"/>
        <w:tabs>
          <w:tab w:leader="none" w:pos="1480" w:val="left"/>
        </w:tabs>
        <w:rPr>
          <w:sz w:val="20"/>
          <w:szCs w:val="20"/>
          <w:color w:val="auto"/>
        </w:rPr>
      </w:pPr>
      <w:r>
        <w:rPr>
          <w:rFonts w:ascii="Times New Roman" w:cs="Times New Roman" w:eastAsia="Times New Roman" w:hAnsi="Times New Roman"/>
          <w:sz w:val="20"/>
          <w:szCs w:val="20"/>
          <w:color w:val="auto"/>
        </w:rPr>
        <w:t>9.7.2</w:t>
      </w:r>
      <w:r>
        <w:rPr>
          <w:sz w:val="20"/>
          <w:szCs w:val="20"/>
          <w:color w:val="auto"/>
        </w:rPr>
        <w:tab/>
      </w:r>
      <w:r>
        <w:rPr>
          <w:rFonts w:ascii="Times New Roman" w:cs="Times New Roman" w:eastAsia="Times New Roman" w:hAnsi="Times New Roman"/>
          <w:sz w:val="20"/>
          <w:szCs w:val="20"/>
          <w:b w:val="1"/>
          <w:bCs w:val="1"/>
          <w:color w:val="auto"/>
        </w:rPr>
        <w:t>Audit Rights</w:t>
      </w:r>
      <w:r>
        <w:rPr>
          <w:rFonts w:ascii="Times New Roman" w:cs="Times New Roman" w:eastAsia="Times New Roman" w:hAnsi="Times New Roman"/>
          <w:sz w:val="20"/>
          <w:szCs w:val="20"/>
          <w:color w:val="auto"/>
        </w:rPr>
        <w:t>. During the Term, upon at least [***] prior written notice, each Party agrees to permit such records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open during regular business hours for examination by an independent, nationally-recognized certified public accountant selected by the auditing Party at the auditing Party’s expense and reasonably acceptable to the audited Party (the “</w:t>
      </w:r>
      <w:r>
        <w:rPr>
          <w:rFonts w:ascii="Times New Roman" w:cs="Times New Roman" w:eastAsia="Times New Roman" w:hAnsi="Times New Roman"/>
          <w:sz w:val="20"/>
          <w:szCs w:val="20"/>
          <w:b w:val="1"/>
          <w:bCs w:val="1"/>
          <w:color w:val="auto"/>
        </w:rPr>
        <w:t>Auditor</w:t>
      </w:r>
      <w:r>
        <w:rPr>
          <w:rFonts w:ascii="Times New Roman" w:cs="Times New Roman" w:eastAsia="Times New Roman" w:hAnsi="Times New Roman"/>
          <w:sz w:val="20"/>
          <w:szCs w:val="20"/>
          <w:color w:val="auto"/>
        </w:rPr>
        <w:t>”) for the sole purpose of verifying the accuracy of the financial reports furnished by the audited Party pursuant to this Agreement or of any payments made, or required to be made, by the audited Party pursuant to this Section 9.7 (</w:t>
      </w:r>
      <w:r>
        <w:rPr>
          <w:rFonts w:ascii="Times New Roman" w:cs="Times New Roman" w:eastAsia="Times New Roman" w:hAnsi="Times New Roman"/>
          <w:sz w:val="20"/>
          <w:szCs w:val="20"/>
          <w:i w:val="1"/>
          <w:iCs w:val="1"/>
          <w:color w:val="auto"/>
        </w:rPr>
        <w:t>Financial Records and Audits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the Auditor is subject to written obligations of confidentiality and non-use applicable to each Party’s Confidential Information that are at least as stringent as those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jc w:val="both"/>
        <w:ind w:left="1500"/>
        <w:spacing w:after="0" w:line="241" w:lineRule="auto"/>
        <w:rPr>
          <w:sz w:val="20"/>
          <w:szCs w:val="20"/>
          <w:color w:val="auto"/>
        </w:rPr>
      </w:pPr>
      <w:r>
        <w:rPr>
          <w:rFonts w:ascii="Times New Roman" w:cs="Times New Roman" w:eastAsia="Times New Roman" w:hAnsi="Times New Roman"/>
          <w:sz w:val="20"/>
          <w:szCs w:val="20"/>
          <w:color w:val="auto"/>
        </w:rPr>
        <w:t>set forth in Article 12 (</w:t>
      </w:r>
      <w:r>
        <w:rPr>
          <w:rFonts w:ascii="Times New Roman" w:cs="Times New Roman" w:eastAsia="Times New Roman" w:hAnsi="Times New Roman"/>
          <w:sz w:val="20"/>
          <w:szCs w:val="20"/>
          <w:i w:val="1"/>
          <w:iCs w:val="1"/>
          <w:color w:val="auto"/>
        </w:rPr>
        <w:t>Confidentialit</w:t>
      </w:r>
      <w:r>
        <w:rPr>
          <w:rFonts w:ascii="Times New Roman" w:cs="Times New Roman" w:eastAsia="Times New Roman" w:hAnsi="Times New Roman"/>
          <w:sz w:val="20"/>
          <w:szCs w:val="20"/>
          <w:color w:val="auto"/>
        </w:rPr>
        <w:t>y) and that limit the disclosure and use of such information by such Auditor to authorized representatives of the Parties and the purposes germane to this Section 9.7 (</w:t>
      </w:r>
      <w:r>
        <w:rPr>
          <w:rFonts w:ascii="Times New Roman" w:cs="Times New Roman" w:eastAsia="Times New Roman" w:hAnsi="Times New Roman"/>
          <w:sz w:val="20"/>
          <w:szCs w:val="20"/>
          <w:i w:val="1"/>
          <w:iCs w:val="1"/>
          <w:color w:val="auto"/>
        </w:rPr>
        <w:t>Financial Records and Audits</w:t>
      </w:r>
      <w:r>
        <w:rPr>
          <w:rFonts w:ascii="Times New Roman" w:cs="Times New Roman" w:eastAsia="Times New Roman" w:hAnsi="Times New Roman"/>
          <w:sz w:val="20"/>
          <w:szCs w:val="20"/>
          <w:color w:val="auto"/>
        </w:rPr>
        <w:t>), except that the term of such obligations will be customary for such recipient of Confidential Information, (b) such audit right will not apply to records beyond [***] from the end of the Calendar Year to which they pertain, and (c) such audit will not be (i) performed more frequently than once per [***] period, or (ii) repeated for any Calendar Year or with respect to the same set of records (in each case, unless a material discrepancy with respect to such records is discovered during a prior audit). The Auditor will report to the auditing Party only whether the particular amount being audited was accurate and, if not, the amount of any discrepancy and a reasonable summary of the reason for such discrepancy, and the Auditor will not report any other information to the auditing Party. The auditing Party will treat the results of the Auditor’s review of the audited Party’s records as Confidential Information of the audited Party subject to the terms of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In the event such audit leads to the discovery of a discrepancy to the auditing Party’s detriment, the audited Party will pay any amounts shown to be owed to the auditing Party but unpaid within [***] after the Auditor’s report. If such examination of records reveals any overpayment by a Party, then the other Party will credit the amount overpaid against future amounts due to the other Party by the overpaying Party. The auditing Party will bear the full cost of such audit unless such audit reveals an underpayment by the audited Party of more than [***] of the amount actually due for the time period being audited, in which case the audited Party will reimburse the auditing Party for the reasonable audit fees for such examination. Any undisputed overpayments by the audited Party revealed by an examination will be paid by the auditing Party within [***] of the auditing Party’s receipt of the applicable report.</w:t>
      </w:r>
    </w:p>
    <w:p>
      <w:pPr>
        <w:spacing w:after="0" w:line="190"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9.8 Accounting Standards</w:t>
      </w:r>
      <w:r>
        <w:rPr>
          <w:rFonts w:ascii="Times New Roman" w:cs="Times New Roman" w:eastAsia="Times New Roman" w:hAnsi="Times New Roman"/>
          <w:sz w:val="20"/>
          <w:szCs w:val="20"/>
          <w:color w:val="auto"/>
        </w:rPr>
        <w:t>. If a Party changes its general accounting principles from its then-current Accounting Standard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GAAP to IFRS) at any time during the Term, then at least [***] prior to adopting such change in principles, such Party will provide written notice to the other Party of such change. A Party may not change its general accounting principles to any accounting standard other than GAAP or IFRS without the prior written approval of the other Party.</w:t>
      </w:r>
    </w:p>
    <w:p>
      <w:pPr>
        <w:spacing w:after="0" w:line="176" w:lineRule="exact"/>
        <w:rPr>
          <w:sz w:val="20"/>
          <w:szCs w:val="20"/>
          <w:color w:val="auto"/>
        </w:rPr>
      </w:pPr>
    </w:p>
    <w:p>
      <w:pPr>
        <w:jc w:val="both"/>
        <w:ind w:left="760" w:hanging="748"/>
        <w:spacing w:after="0" w:line="247" w:lineRule="auto"/>
        <w:rPr>
          <w:sz w:val="20"/>
          <w:szCs w:val="20"/>
          <w:color w:val="auto"/>
        </w:rPr>
      </w:pPr>
      <w:r>
        <w:rPr>
          <w:rFonts w:ascii="Times New Roman" w:cs="Times New Roman" w:eastAsia="Times New Roman" w:hAnsi="Times New Roman"/>
          <w:sz w:val="20"/>
          <w:szCs w:val="20"/>
          <w:b w:val="1"/>
          <w:bCs w:val="1"/>
          <w:color w:val="auto"/>
        </w:rPr>
        <w:t>9.9 Method of Payment; Exchange Rate</w:t>
      </w:r>
      <w:r>
        <w:rPr>
          <w:rFonts w:ascii="Times New Roman" w:cs="Times New Roman" w:eastAsia="Times New Roman" w:hAnsi="Times New Roman"/>
          <w:sz w:val="20"/>
          <w:szCs w:val="20"/>
          <w:color w:val="auto"/>
        </w:rPr>
        <w:t>. All payments to be made by Sanofi to Fulcrum or Fulcrum to Sanofi under this Agreement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made in Dollars by electronic funds transfer in immediately available funds to a bank account designated in writing by Fulcrum or Sanofi, as applicable. Conversion of Net Sales recorded in local currencies will be converted to Dollars in a manner consistent with the Accounting Standard and the normal practices used by the Party owing or making a payment under this Agreement to prepare its audited financial statements.</w:t>
      </w:r>
    </w:p>
    <w:p>
      <w:pPr>
        <w:spacing w:after="0" w:line="180" w:lineRule="exact"/>
        <w:rPr>
          <w:sz w:val="20"/>
          <w:szCs w:val="20"/>
          <w:color w:val="auto"/>
        </w:rPr>
      </w:pPr>
    </w:p>
    <w:p>
      <w:pPr>
        <w:jc w:val="both"/>
        <w:ind w:left="760" w:hanging="748"/>
        <w:spacing w:after="0" w:line="245" w:lineRule="auto"/>
        <w:rPr>
          <w:sz w:val="20"/>
          <w:szCs w:val="20"/>
          <w:color w:val="auto"/>
        </w:rPr>
      </w:pPr>
      <w:r>
        <w:rPr>
          <w:rFonts w:ascii="Times New Roman" w:cs="Times New Roman" w:eastAsia="Times New Roman" w:hAnsi="Times New Roman"/>
          <w:sz w:val="20"/>
          <w:szCs w:val="20"/>
          <w:b w:val="1"/>
          <w:bCs w:val="1"/>
          <w:color w:val="auto"/>
        </w:rPr>
        <w:t>9.10 Blocked Payments</w:t>
      </w:r>
      <w:r>
        <w:rPr>
          <w:rFonts w:ascii="Times New Roman" w:cs="Times New Roman" w:eastAsia="Times New Roman" w:hAnsi="Times New Roman"/>
          <w:sz w:val="20"/>
          <w:szCs w:val="20"/>
          <w:color w:val="auto"/>
        </w:rPr>
        <w:t>. If by reason of Applicable Law in any country or jurisdiction, it becomes impossible or illegal for a Party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 or have transferred on its behalf, payments owed the other Party hereunder, then such Party will promptly notify the other Party of the conditions preventing such transfer and use reasonable efforts to deposit such payments in Dollars. If, after using reasonable efforts, such Party is not able to deposit such payments in Dollars, then such payments will be deposited in local currency in the relevant country to the credit of the other Party in a recognized banking institution designated by the other Party or, if none is designated by the other Party within a period of [***], in a recognized banking institution selected by the transferring Party, as the case may be, and identified in a written notice given to the other Party.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b w:val="1"/>
          <w:bCs w:val="1"/>
          <w:color w:val="auto"/>
        </w:rPr>
        <w:t>9.11 Taxes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73" w:lineRule="auto"/>
        <w:tabs>
          <w:tab w:leader="none" w:pos="1480" w:val="left"/>
        </w:tabs>
        <w:rPr>
          <w:sz w:val="20"/>
          <w:szCs w:val="20"/>
          <w:color w:val="auto"/>
        </w:rPr>
      </w:pPr>
      <w:r>
        <w:rPr>
          <w:rFonts w:ascii="Times New Roman" w:cs="Times New Roman" w:eastAsia="Times New Roman" w:hAnsi="Times New Roman"/>
          <w:sz w:val="20"/>
          <w:szCs w:val="20"/>
          <w:color w:val="auto"/>
        </w:rPr>
        <w:t>9.11.1</w:t>
      </w:r>
      <w:r>
        <w:rPr>
          <w:sz w:val="20"/>
          <w:szCs w:val="20"/>
          <w:color w:val="auto"/>
        </w:rPr>
        <w:tab/>
      </w:r>
      <w:r>
        <w:rPr>
          <w:rFonts w:ascii="Times New Roman" w:cs="Times New Roman" w:eastAsia="Times New Roman" w:hAnsi="Times New Roman"/>
          <w:sz w:val="20"/>
          <w:szCs w:val="20"/>
          <w:b w:val="1"/>
          <w:bCs w:val="1"/>
          <w:color w:val="auto"/>
        </w:rPr>
        <w:t>Taxes on Income</w:t>
      </w:r>
      <w:r>
        <w:rPr>
          <w:rFonts w:ascii="Times New Roman" w:cs="Times New Roman" w:eastAsia="Times New Roman" w:hAnsi="Times New Roman"/>
          <w:sz w:val="20"/>
          <w:szCs w:val="20"/>
          <w:color w:val="auto"/>
        </w:rPr>
        <w:t>. Each Party will be solely responsible for the payment of any and all income Taxes levied on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all payments it receives under this Agreement.</w:t>
      </w:r>
    </w:p>
    <w:p>
      <w:pPr>
        <w:spacing w:after="0" w:line="152"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9.11.2</w:t>
      </w:r>
      <w:r>
        <w:rPr>
          <w:sz w:val="20"/>
          <w:szCs w:val="20"/>
          <w:color w:val="auto"/>
        </w:rPr>
        <w:tab/>
      </w:r>
      <w:r>
        <w:rPr>
          <w:rFonts w:ascii="Times New Roman" w:cs="Times New Roman" w:eastAsia="Times New Roman" w:hAnsi="Times New Roman"/>
          <w:sz w:val="20"/>
          <w:szCs w:val="20"/>
          <w:b w:val="1"/>
          <w:bCs w:val="1"/>
          <w:color w:val="auto"/>
        </w:rPr>
        <w:t>Withholding Tax</w:t>
      </w:r>
      <w:r>
        <w:rPr>
          <w:rFonts w:ascii="Times New Roman" w:cs="Times New Roman" w:eastAsia="Times New Roman" w:hAnsi="Times New Roman"/>
          <w:sz w:val="20"/>
          <w:szCs w:val="20"/>
          <w:color w:val="auto"/>
        </w:rPr>
        <w:t>. Any and all payments made pursuant to this Agreement will be paid without deduction or withholding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any Taxes, except as required by Applicable Law. To the extent a Party is required by Applicable Law to deduct or withhold Taxes on any payment to the other Party (the “</w:t>
      </w:r>
      <w:r>
        <w:rPr>
          <w:rFonts w:ascii="Times New Roman" w:cs="Times New Roman" w:eastAsia="Times New Roman" w:hAnsi="Times New Roman"/>
          <w:sz w:val="20"/>
          <w:szCs w:val="20"/>
          <w:b w:val="1"/>
          <w:bCs w:val="1"/>
          <w:color w:val="auto"/>
        </w:rPr>
        <w:t>Withheld Amount</w:t>
      </w:r>
      <w:r>
        <w:rPr>
          <w:rFonts w:ascii="Times New Roman" w:cs="Times New Roman" w:eastAsia="Times New Roman" w:hAnsi="Times New Roman"/>
          <w:sz w:val="20"/>
          <w:szCs w:val="20"/>
          <w:color w:val="auto"/>
        </w:rPr>
        <w:t>”), such Party will remit such Withheld Amount to the proper Governmental Authority in a timely manner and promptly transmit to the other Party an official Tax certificate or other evidence of any withholding sufficient to enable the other Party to claim available credits for such Withheld Amount. The withholding Party will have the right to deduct such Withheld Amount from payment due to the other Party. For the avoidance of doubt, to the extent such Withheld Amount is so withheld and remitted in accordance with this Section 9.11.2 (</w:t>
      </w:r>
      <w:r>
        <w:rPr>
          <w:rFonts w:ascii="Times New Roman" w:cs="Times New Roman" w:eastAsia="Times New Roman" w:hAnsi="Times New Roman"/>
          <w:sz w:val="20"/>
          <w:szCs w:val="20"/>
          <w:i w:val="1"/>
          <w:iCs w:val="1"/>
          <w:color w:val="auto"/>
        </w:rPr>
        <w:t>Withholding Tax</w:t>
      </w:r>
      <w:r>
        <w:rPr>
          <w:rFonts w:ascii="Times New Roman" w:cs="Times New Roman" w:eastAsia="Times New Roman" w:hAnsi="Times New Roman"/>
          <w:sz w:val="20"/>
          <w:szCs w:val="20"/>
          <w:color w:val="auto"/>
        </w:rPr>
        <w:t>), such Withheld Amount will be treated for all purposes of this Agreement as having been paid to the other Party.</w:t>
      </w:r>
    </w:p>
    <w:p>
      <w:pPr>
        <w:spacing w:after="0" w:line="186" w:lineRule="exact"/>
        <w:rPr>
          <w:sz w:val="20"/>
          <w:szCs w:val="20"/>
          <w:color w:val="auto"/>
        </w:rPr>
      </w:pPr>
    </w:p>
    <w:p>
      <w:pPr>
        <w:jc w:val="both"/>
        <w:ind w:left="1500" w:hanging="694"/>
        <w:spacing w:after="0" w:line="242" w:lineRule="auto"/>
        <w:tabs>
          <w:tab w:leader="none" w:pos="1480" w:val="left"/>
        </w:tabs>
        <w:rPr>
          <w:sz w:val="20"/>
          <w:szCs w:val="20"/>
          <w:color w:val="auto"/>
        </w:rPr>
      </w:pPr>
      <w:r>
        <w:rPr>
          <w:rFonts w:ascii="Times New Roman" w:cs="Times New Roman" w:eastAsia="Times New Roman" w:hAnsi="Times New Roman"/>
          <w:sz w:val="20"/>
          <w:szCs w:val="20"/>
          <w:color w:val="auto"/>
        </w:rPr>
        <w:t>9.11.3</w:t>
      </w:r>
      <w:r>
        <w:rPr>
          <w:sz w:val="20"/>
          <w:szCs w:val="20"/>
          <w:color w:val="auto"/>
        </w:rPr>
        <w:tab/>
      </w:r>
      <w:r>
        <w:rPr>
          <w:rFonts w:ascii="Times New Roman" w:cs="Times New Roman" w:eastAsia="Times New Roman" w:hAnsi="Times New Roman"/>
          <w:sz w:val="20"/>
          <w:szCs w:val="20"/>
          <w:b w:val="1"/>
          <w:bCs w:val="1"/>
          <w:color w:val="auto"/>
        </w:rPr>
        <w:t>Tax Cooperation</w:t>
      </w:r>
      <w:r>
        <w:rPr>
          <w:rFonts w:ascii="Times New Roman" w:cs="Times New Roman" w:eastAsia="Times New Roman" w:hAnsi="Times New Roman"/>
          <w:sz w:val="20"/>
          <w:szCs w:val="20"/>
          <w:color w:val="auto"/>
        </w:rPr>
        <w:t>. The Parties agree to cooperate with one another in accordance with Applicable Law and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efforts to mitigate or reduce Tax withholding or similar obligations in respect of payments made by each Party to the other Party under this Agreement. Without limiting the generality of the foregoing, each Party will provide the other with any Tax forms and other information that may be reasonably necessary to reduce withholding based on an applicable treaty or otherwise, including a properly completed Internal Revenue Service (“</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Form W-9 or appropriate IRS Form W-8, as applicable, before a payment is made. If any Tax form or other information a Party previously delivered expires or becomes obsolete or inaccurate in any respect, such Party will provide the other Party with an updated version of such form or certification or promptly notify the other Party in writing of its legal inability to do so. Each Party will provide the other Party with reasonable assistance to enable the recovery, as permitted by Applicable Law, of withholding Taxes or similar obligations resulting from payments made under this Agreement, such recovery to be for the benefit of the Party bearing such withholding Tax.</w:t>
      </w:r>
    </w:p>
    <w:p>
      <w:pPr>
        <w:spacing w:after="0" w:line="190" w:lineRule="exact"/>
        <w:rPr>
          <w:sz w:val="20"/>
          <w:szCs w:val="20"/>
          <w:color w:val="auto"/>
        </w:rPr>
      </w:pPr>
    </w:p>
    <w:p>
      <w:pPr>
        <w:jc w:val="both"/>
        <w:ind w:left="1500" w:hanging="694"/>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9.11.4</w:t>
      </w:r>
      <w:r>
        <w:rPr>
          <w:sz w:val="20"/>
          <w:szCs w:val="20"/>
          <w:color w:val="auto"/>
        </w:rPr>
        <w:tab/>
      </w:r>
      <w:r>
        <w:rPr>
          <w:rFonts w:ascii="Times New Roman" w:cs="Times New Roman" w:eastAsia="Times New Roman" w:hAnsi="Times New Roman"/>
          <w:sz w:val="20"/>
          <w:szCs w:val="20"/>
          <w:b w:val="1"/>
          <w:bCs w:val="1"/>
          <w:color w:val="auto"/>
        </w:rPr>
        <w:t>Changes in Domicile</w:t>
      </w:r>
      <w:r>
        <w:rPr>
          <w:rFonts w:ascii="Times New Roman" w:cs="Times New Roman" w:eastAsia="Times New Roman" w:hAnsi="Times New Roman"/>
          <w:sz w:val="20"/>
          <w:szCs w:val="20"/>
          <w:color w:val="auto"/>
        </w:rPr>
        <w:t>. Notwithstanding any provision to the contrary in this Agreement, including Section 9.11.2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Withholding Tax</w:t>
      </w:r>
      <w:r>
        <w:rPr>
          <w:rFonts w:ascii="Times New Roman" w:cs="Times New Roman" w:eastAsia="Times New Roman" w:hAnsi="Times New Roman"/>
          <w:sz w:val="20"/>
          <w:szCs w:val="20"/>
          <w:color w:val="auto"/>
        </w:rPr>
        <w:t>), if as a result of a Party assigning, transferring, or conveying rights under this Agreement to an Affiliate or changing its domicile, additional Taxes become due that would not otherwise have been due hereunder with respect to payments under this Agreement, then such Party will be responsible for all such additional withholding Taxes.</w:t>
      </w:r>
    </w:p>
    <w:p>
      <w:pPr>
        <w:spacing w:after="0" w:line="176"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0"/>
          <w:szCs w:val="20"/>
          <w:b w:val="1"/>
          <w:bCs w:val="1"/>
          <w:color w:val="auto"/>
        </w:rPr>
        <w:t>9.12 Late Payments; Disputed Payments</w:t>
      </w:r>
      <w:r>
        <w:rPr>
          <w:rFonts w:ascii="Times New Roman" w:cs="Times New Roman" w:eastAsia="Times New Roman" w:hAnsi="Times New Roman"/>
          <w:sz w:val="20"/>
          <w:szCs w:val="20"/>
          <w:color w:val="auto"/>
        </w:rPr>
        <w:t>. Any undisputed payments or portions thereof due hereunder that are not paid on or before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such payments are due under this Agreement will bear interest from the due date until the date of payment at a per-annum rate equal to the lesser of: (a) [***] above the [***] Secured Overnight Financing Rate (SOFR) as published by the Federal Reserve Bank of New York; or (b) the maximum rate permitted by Applicable Law. If a Party disputes an invoice or other payment obligation under this Agreement, then such Party will timely pay the undisputed amount of the invoice or other payment obligation, and the Parties will resolve such dispute in accordance with Article 15 (</w:t>
      </w:r>
      <w:r>
        <w:rPr>
          <w:rFonts w:ascii="Times New Roman" w:cs="Times New Roman" w:eastAsia="Times New Roman" w:hAnsi="Times New Roman"/>
          <w:sz w:val="20"/>
          <w:szCs w:val="20"/>
          <w:i w:val="1"/>
          <w:iCs w:val="1"/>
          <w:color w:val="auto"/>
        </w:rPr>
        <w:t>Dispute Resolution; Governing Law</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10.1 Inventions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5" w:lineRule="auto"/>
        <w:tabs>
          <w:tab w:leader="none" w:pos="14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b w:val="1"/>
          <w:bCs w:val="1"/>
          <w:color w:val="auto"/>
        </w:rPr>
        <w:t>Ownership of Background Technology</w:t>
      </w:r>
      <w:r>
        <w:rPr>
          <w:rFonts w:ascii="Times New Roman" w:cs="Times New Roman" w:eastAsia="Times New Roman" w:hAnsi="Times New Roman"/>
          <w:sz w:val="20"/>
          <w:szCs w:val="20"/>
          <w:color w:val="auto"/>
        </w:rPr>
        <w:t>. As between the Parties, each Party will retain all of its rights, title and interests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and to all Patent Rights, Know-How and other intellectual property rights that are Controlled by such Party or its Affiliates prior to the Effective Date or are otherwise conceived, discovered, developed, invented, created or otherwise made or acquired by such Party or its Affiliates outside the performance of activities under this Agreement (such Patent Rights with respect to a Party, “</w:t>
      </w:r>
      <w:r>
        <w:rPr>
          <w:rFonts w:ascii="Times New Roman" w:cs="Times New Roman" w:eastAsia="Times New Roman" w:hAnsi="Times New Roman"/>
          <w:sz w:val="20"/>
          <w:szCs w:val="20"/>
          <w:b w:val="1"/>
          <w:bCs w:val="1"/>
          <w:color w:val="auto"/>
        </w:rPr>
        <w:t>Background Patents</w:t>
      </w:r>
      <w:r>
        <w:rPr>
          <w:rFonts w:ascii="Times New Roman" w:cs="Times New Roman" w:eastAsia="Times New Roman" w:hAnsi="Times New Roman"/>
          <w:sz w:val="20"/>
          <w:szCs w:val="20"/>
          <w:color w:val="auto"/>
        </w:rPr>
        <w:t>,” such Know-How with respect to a Party, “</w:t>
      </w:r>
      <w:r>
        <w:rPr>
          <w:rFonts w:ascii="Times New Roman" w:cs="Times New Roman" w:eastAsia="Times New Roman" w:hAnsi="Times New Roman"/>
          <w:sz w:val="20"/>
          <w:szCs w:val="20"/>
          <w:b w:val="1"/>
          <w:bCs w:val="1"/>
          <w:color w:val="auto"/>
        </w:rPr>
        <w:t>Background Know-How</w:t>
      </w:r>
      <w:r>
        <w:rPr>
          <w:rFonts w:ascii="Times New Roman" w:cs="Times New Roman" w:eastAsia="Times New Roman" w:hAnsi="Times New Roman"/>
          <w:sz w:val="20"/>
          <w:szCs w:val="20"/>
          <w:color w:val="auto"/>
        </w:rPr>
        <w:t>,” and the Background Patents and Background Know-How collectively, “</w:t>
      </w:r>
      <w:r>
        <w:rPr>
          <w:rFonts w:ascii="Times New Roman" w:cs="Times New Roman" w:eastAsia="Times New Roman" w:hAnsi="Times New Roman"/>
          <w:sz w:val="20"/>
          <w:szCs w:val="20"/>
          <w:b w:val="1"/>
          <w:bCs w:val="1"/>
          <w:color w:val="auto"/>
        </w:rPr>
        <w:t>Background Technology</w:t>
      </w:r>
      <w:r>
        <w:rPr>
          <w:rFonts w:ascii="Times New Roman" w:cs="Times New Roman" w:eastAsia="Times New Roman" w:hAnsi="Times New Roman"/>
          <w:sz w:val="20"/>
          <w:szCs w:val="20"/>
          <w:color w:val="auto"/>
        </w:rPr>
        <w:t>”), subject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or licenses expressly granted by such Party to the other Party under this Agreement.</w:t>
      </w:r>
    </w:p>
    <w:p>
      <w:pPr>
        <w:spacing w:after="0" w:line="179" w:lineRule="exact"/>
        <w:rPr>
          <w:sz w:val="20"/>
          <w:szCs w:val="20"/>
          <w:color w:val="auto"/>
        </w:rPr>
      </w:pPr>
    </w:p>
    <w:p>
      <w:pPr>
        <w:jc w:val="both"/>
        <w:ind w:left="1500" w:hanging="694"/>
        <w:spacing w:after="0" w:line="256" w:lineRule="auto"/>
        <w:tabs>
          <w:tab w:leader="none" w:pos="148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b w:val="1"/>
          <w:bCs w:val="1"/>
          <w:color w:val="auto"/>
        </w:rPr>
        <w:t>Ownership of Foreground Intellectual Property</w:t>
      </w:r>
      <w:r>
        <w:rPr>
          <w:rFonts w:ascii="Times New Roman" w:cs="Times New Roman" w:eastAsia="Times New Roman" w:hAnsi="Times New Roman"/>
          <w:sz w:val="20"/>
          <w:szCs w:val="20"/>
          <w:color w:val="auto"/>
        </w:rPr>
        <w:t>. As between the Parties, subject to any rights or licenses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granted by one Party to the other Party under this Agreement, ownership of all Collaboration Technology will be as follows:</w:t>
      </w:r>
    </w:p>
    <w:p>
      <w:pPr>
        <w:spacing w:after="0" w:line="173" w:lineRule="exact"/>
        <w:rPr>
          <w:sz w:val="20"/>
          <w:szCs w:val="20"/>
          <w:color w:val="auto"/>
        </w:rPr>
      </w:pPr>
    </w:p>
    <w:p>
      <w:pPr>
        <w:ind w:left="2260" w:hanging="754"/>
        <w:spacing w:after="0" w:line="243" w:lineRule="auto"/>
        <w:tabs>
          <w:tab w:leader="none" w:pos="190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Fulcrum is and will be the sole owner of all Collaboration Patent Rights solely invented by or on behalf of Fulcrum or its Affiliates in the performance of activities under this Agreement. Fulcrum is and will be the sole owner of all other Collaboration Know-How solely conceived, discovered, developed, invented or otherwise made by Fulcrum or its Affiliates in the performance of activities under this Agreement. With respect to any Collaboration Know-How conceived, discovered, developed, invented or otherwise made by Fulcrum’s Sublicensees or Collaboration Patent Rights invented by Fulcrum’s Sublicensees, Fulcrum or its Affiliates will have and maintain sufficient rights, if any, under such Collaboration Know-How and Collaboration Patent Rights, so that such are Fulcrum Know-How or Fulcrum Patent Rights, as applicable, under this Agreement.</w:t>
      </w:r>
    </w:p>
    <w:p>
      <w:pPr>
        <w:spacing w:after="0" w:line="189" w:lineRule="exact"/>
        <w:rPr>
          <w:rFonts w:ascii="Times New Roman" w:cs="Times New Roman" w:eastAsia="Times New Roman" w:hAnsi="Times New Roman"/>
          <w:sz w:val="20"/>
          <w:szCs w:val="20"/>
          <w:color w:val="auto"/>
        </w:rPr>
      </w:pPr>
    </w:p>
    <w:p>
      <w:pPr>
        <w:ind w:left="2260" w:hanging="754"/>
        <w:spacing w:after="0" w:line="243" w:lineRule="auto"/>
        <w:tabs>
          <w:tab w:leader="none" w:pos="190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Sanofi is and will be the sole owner of all Collaboration Patent Rights solely invented by or on behalf of Sanofi or its Affiliates in the performance of activities under this Agreement. Sanofi is and will be the sole owner of all other Collaboration Know-How solely conceived, discovered, developed, invented or otherwise made by Sanofi or its Affiliates in the performance of activities under this Agreement. With respect to any Collaboration Know-How conceived, discovered, developed, invented or otherwise made by Sanofi’s Sublicensees or Collaboration Patent Rights invented by Sanofi’s Sublicensees, Sanofi or its Affiliates will have and maintain sufficient rights, if any, under such Collaboration Know-How and Collaboration Patent Rights, so that such are Sanofi Know-How or Sanofi Patent Rights, as applicable, under this Agreement.</w:t>
      </w:r>
    </w:p>
    <w:p>
      <w:pPr>
        <w:spacing w:after="0" w:line="189" w:lineRule="exact"/>
        <w:rPr>
          <w:rFonts w:ascii="Times New Roman" w:cs="Times New Roman" w:eastAsia="Times New Roman" w:hAnsi="Times New Roman"/>
          <w:sz w:val="20"/>
          <w:szCs w:val="20"/>
          <w:color w:val="auto"/>
        </w:rPr>
      </w:pPr>
    </w:p>
    <w:p>
      <w:pPr>
        <w:ind w:left="1900" w:hanging="394"/>
        <w:spacing w:after="0"/>
        <w:tabs>
          <w:tab w:leader="none" w:pos="19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Fulcrum and Sanofi will jointly own all Joint Collaboration Technology on an equal and undivided basis.</w:t>
      </w:r>
    </w:p>
    <w:p>
      <w:pPr>
        <w:spacing w:after="0" w:line="212"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19"/>
          <w:szCs w:val="19"/>
          <w:b w:val="1"/>
          <w:bCs w:val="1"/>
          <w:color w:val="auto"/>
        </w:rPr>
        <w:t>Disclosure; Inventorship</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260" w:hanging="754"/>
        <w:spacing w:after="0" w:line="273" w:lineRule="auto"/>
        <w:tabs>
          <w:tab w:leader="none" w:pos="194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Invention Disclosure</w:t>
      </w:r>
      <w:r>
        <w:rPr>
          <w:rFonts w:ascii="Times New Roman" w:cs="Times New Roman" w:eastAsia="Times New Roman" w:hAnsi="Times New Roman"/>
          <w:sz w:val="20"/>
          <w:szCs w:val="20"/>
          <w:color w:val="auto"/>
        </w:rPr>
        <w:t>. Each Party will promptly disclose to the other Party all potential Inventions within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Collaboration Technology, in each case, no later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1" w:name="page152"/>
    <w:bookmarkEnd w:id="151"/>
    <w:p>
      <w:pPr>
        <w:jc w:val="both"/>
        <w:ind w:left="1140"/>
        <w:spacing w:after="0" w:line="266" w:lineRule="auto"/>
        <w:rPr>
          <w:sz w:val="20"/>
          <w:szCs w:val="20"/>
          <w:color w:val="auto"/>
        </w:rPr>
      </w:pPr>
      <w:r>
        <w:rPr>
          <w:rFonts w:ascii="Times New Roman" w:cs="Times New Roman" w:eastAsia="Times New Roman" w:hAnsi="Times New Roman"/>
          <w:sz w:val="19"/>
          <w:szCs w:val="19"/>
          <w:color w:val="auto"/>
        </w:rPr>
        <w:t>than [***] after the applicable Party’s intellectual property department receives notice of such potential Invention and in any event as soon as practicable prior to any intended public disclosure of such potential Invention under Section 12.5 (</w:t>
      </w:r>
      <w:r>
        <w:rPr>
          <w:rFonts w:ascii="Times New Roman" w:cs="Times New Roman" w:eastAsia="Times New Roman" w:hAnsi="Times New Roman"/>
          <w:sz w:val="19"/>
          <w:szCs w:val="19"/>
          <w:i w:val="1"/>
          <w:iCs w:val="1"/>
          <w:color w:val="auto"/>
        </w:rPr>
        <w:t>Joint Publication Strategy</w:t>
      </w:r>
      <w:r>
        <w:rPr>
          <w:rFonts w:ascii="Times New Roman" w:cs="Times New Roman" w:eastAsia="Times New Roman" w:hAnsi="Times New Roman"/>
          <w:sz w:val="19"/>
          <w:szCs w:val="19"/>
          <w:color w:val="auto"/>
        </w:rPr>
        <w:t>) and prior to the filing of a patent application thereon. Each Party will also promptly respond to reasonable requests from the other Party for additional information relating thereto.</w:t>
      </w:r>
    </w:p>
    <w:p>
      <w:pPr>
        <w:spacing w:after="0" w:line="161" w:lineRule="exact"/>
        <w:rPr>
          <w:sz w:val="20"/>
          <w:szCs w:val="20"/>
          <w:color w:val="auto"/>
        </w:rPr>
      </w:pPr>
    </w:p>
    <w:p>
      <w:pPr>
        <w:ind w:left="1140" w:hanging="754"/>
        <w:spacing w:after="0" w:line="256" w:lineRule="auto"/>
        <w:tabs>
          <w:tab w:leader="none" w:pos="82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Inventions by a Party</w:t>
      </w:r>
      <w:r>
        <w:rPr>
          <w:rFonts w:ascii="Times New Roman" w:cs="Times New Roman" w:eastAsia="Times New Roman" w:hAnsi="Times New Roman"/>
          <w:sz w:val="20"/>
          <w:szCs w:val="20"/>
          <w:color w:val="auto"/>
        </w:rPr>
        <w:t>. Inventorship for Inventions and discoveries (including Know-How) first invented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developed during the course of the performance of activities under this Agreement will be determined in accordance with United States patent law.</w:t>
      </w:r>
    </w:p>
    <w:p>
      <w:pPr>
        <w:spacing w:after="0" w:line="168" w:lineRule="exact"/>
        <w:rPr>
          <w:rFonts w:ascii="Times New Roman" w:cs="Times New Roman" w:eastAsia="Times New Roman" w:hAnsi="Times New Roman"/>
          <w:sz w:val="20"/>
          <w:szCs w:val="20"/>
          <w:color w:val="auto"/>
        </w:rPr>
      </w:pPr>
    </w:p>
    <w:p>
      <w:pPr>
        <w:ind w:left="1140" w:hanging="754"/>
        <w:spacing w:after="0" w:line="245" w:lineRule="auto"/>
        <w:tabs>
          <w:tab w:leader="none" w:pos="787"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CREATE Act</w:t>
      </w:r>
      <w:r>
        <w:rPr>
          <w:rFonts w:ascii="Times New Roman" w:cs="Times New Roman" w:eastAsia="Times New Roman" w:hAnsi="Times New Roman"/>
          <w:sz w:val="20"/>
          <w:szCs w:val="20"/>
          <w:color w:val="auto"/>
        </w:rPr>
        <w:t>. Notwithstanding any provision to the contrary set forth in this Agreement, neither Party may invoke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Cooperative Research and Technology Enhancement Act, 35 U.S.C. § 102(c) (the “</w:t>
      </w:r>
      <w:r>
        <w:rPr>
          <w:rFonts w:ascii="Times New Roman" w:cs="Times New Roman" w:eastAsia="Times New Roman" w:hAnsi="Times New Roman"/>
          <w:sz w:val="20"/>
          <w:szCs w:val="20"/>
          <w:b w:val="1"/>
          <w:bCs w:val="1"/>
          <w:color w:val="auto"/>
        </w:rPr>
        <w:t>CREATE Act</w:t>
      </w:r>
      <w:r>
        <w:rPr>
          <w:rFonts w:ascii="Times New Roman" w:cs="Times New Roman" w:eastAsia="Times New Roman" w:hAnsi="Times New Roman"/>
          <w:sz w:val="20"/>
          <w:szCs w:val="20"/>
          <w:color w:val="auto"/>
        </w:rPr>
        <w:t>”) when exercising its rights under this Agreement without the prior written approval of the other Party. If a Party intends to invoke the CREATE Act, then it will notify the other Party and if agreed by the Parties the other Party will cooperate and coordinate its activities with such Party with respect to any filings or other activities in support thereof. The Parties acknowledge and agree that this Agreement is a “joint research agreement” as defined in the CREATE Act.</w:t>
      </w:r>
    </w:p>
    <w:p>
      <w:pPr>
        <w:spacing w:after="0" w:line="179" w:lineRule="exact"/>
        <w:rPr>
          <w:sz w:val="20"/>
          <w:szCs w:val="20"/>
          <w:color w:val="auto"/>
        </w:rPr>
      </w:pPr>
    </w:p>
    <w:p>
      <w:pPr>
        <w:jc w:val="both"/>
        <w:ind w:left="380" w:hanging="694"/>
        <w:spacing w:after="0" w:line="242" w:lineRule="auto"/>
        <w:tabs>
          <w:tab w:leader="none" w:pos="36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b w:val="1"/>
          <w:bCs w:val="1"/>
          <w:color w:val="auto"/>
        </w:rPr>
        <w:t>Employee Assignment</w:t>
      </w:r>
      <w:r>
        <w:rPr>
          <w:rFonts w:ascii="Times New Roman" w:cs="Times New Roman" w:eastAsia="Times New Roman" w:hAnsi="Times New Roman"/>
          <w:sz w:val="20"/>
          <w:szCs w:val="20"/>
          <w:color w:val="auto"/>
        </w:rPr>
        <w:t>. Each Party and its Affiliates will, and will cause its Sublicensees and subcontractors to, enter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an agreement or employment policy with each of its employees performing activities under this Agreement that (a) compels prompt disclosure to such Party (or its Sublicensee or its subcontractor, as applicable) of all Collaboration Know-How and Collaboration Patent Rights discovered or developed, invented, or filed by such employee during any performance under this Agreement; and (b) automatically assigns to such Party (or its Sublicensee or its subcontractor, as applicable) all rights, title, and interests in and to all Collaboration Know-How and Collaboration Patent Rights, and requires each employee to execute all documents and take such other actions as may be necessary to effectuate such assignment. In addition, each Party shall require its employees and contractors who are inventors on any such Collaboration Know-How or Collaboration Patent Rights to cooperate and provide assistance to its employer or its Affiliate in relevant intellectual property-related matters, including by executing all appropriate documents, cooperating in discovery and, if legally required to continue any such enforcement activities, joining as a party to any action or providing a power of attorney solely for such purpose.</w:t>
      </w:r>
    </w:p>
    <w:p>
      <w:pPr>
        <w:spacing w:after="0" w:line="187" w:lineRule="exact"/>
        <w:rPr>
          <w:sz w:val="20"/>
          <w:szCs w:val="20"/>
          <w:color w:val="auto"/>
        </w:rPr>
      </w:pPr>
    </w:p>
    <w:p>
      <w:pPr>
        <w:jc w:val="both"/>
        <w:ind w:left="380" w:hanging="694"/>
        <w:spacing w:after="0" w:line="243" w:lineRule="auto"/>
        <w:tabs>
          <w:tab w:leader="none" w:pos="36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b w:val="1"/>
          <w:bCs w:val="1"/>
          <w:color w:val="auto"/>
        </w:rPr>
        <w:t>Practice Under and Other Use of Joint Collaboration Technology</w:t>
      </w:r>
      <w:r>
        <w:rPr>
          <w:rFonts w:ascii="Times New Roman" w:cs="Times New Roman" w:eastAsia="Times New Roman" w:hAnsi="Times New Roman"/>
          <w:sz w:val="20"/>
          <w:szCs w:val="20"/>
          <w:color w:val="auto"/>
        </w:rPr>
        <w:t>. Subject to the rights granted under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restrictions set forth in this Agreement (including the licenses granted under Article 2 (</w:t>
      </w:r>
      <w:r>
        <w:rPr>
          <w:rFonts w:ascii="Times New Roman" w:cs="Times New Roman" w:eastAsia="Times New Roman" w:hAnsi="Times New Roman"/>
          <w:sz w:val="20"/>
          <w:szCs w:val="20"/>
          <w:i w:val="1"/>
          <w:iCs w:val="1"/>
          <w:color w:val="auto"/>
        </w:rPr>
        <w:t>Licenses</w:t>
      </w:r>
      <w:r>
        <w:rPr>
          <w:rFonts w:ascii="Times New Roman" w:cs="Times New Roman" w:eastAsia="Times New Roman" w:hAnsi="Times New Roman"/>
          <w:sz w:val="20"/>
          <w:szCs w:val="20"/>
          <w:color w:val="auto"/>
        </w:rPr>
        <w:t>) and the restrictions set forth in Section 2.7 (</w:t>
      </w:r>
      <w:r>
        <w:rPr>
          <w:rFonts w:ascii="Times New Roman" w:cs="Times New Roman" w:eastAsia="Times New Roman" w:hAnsi="Times New Roman"/>
          <w:sz w:val="20"/>
          <w:szCs w:val="20"/>
          <w:i w:val="1"/>
          <w:iCs w:val="1"/>
          <w:color w:val="auto"/>
        </w:rPr>
        <w:t>Exclusivity</w:t>
      </w:r>
      <w:r>
        <w:rPr>
          <w:rFonts w:ascii="Times New Roman" w:cs="Times New Roman" w:eastAsia="Times New Roman" w:hAnsi="Times New Roman"/>
          <w:sz w:val="20"/>
          <w:szCs w:val="20"/>
          <w:color w:val="auto"/>
        </w:rPr>
        <w:t>)), each Party will be entitled to the free use and enjoyment of all Joint Collaboration Technology, and neither Party will have any obligation to account to the other Party for profits, or to obtain any approval of the other Party to license, assign, or otherwise exploit any Joint Collaboration Technology by reason of joint ownership thereof. Each Party hereby waives, and agrees to waive, any right it may have under the Applicable Law of any jurisdiction to require any such approval or accounting. To the extent any further consent is required to enable a Party to so license or exploit its interest in the Joint Collaboration Technology, the other Party will grant consent promptly upon request. Without limitation, each Party will cooperate with the other Party if the Parties determine</w:t>
      </w:r>
    </w:p>
    <w:p>
      <w:pPr>
        <w:spacing w:after="0" w:line="19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764540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52" w:name="page153"/>
    <w:bookmarkEnd w:id="152"/>
    <w:p>
      <w:pPr>
        <w:ind w:left="1500"/>
        <w:spacing w:after="0" w:line="269" w:lineRule="auto"/>
        <w:rPr>
          <w:sz w:val="20"/>
          <w:szCs w:val="20"/>
          <w:color w:val="auto"/>
        </w:rPr>
      </w:pPr>
      <w:r>
        <w:rPr>
          <w:rFonts w:ascii="Times New Roman" w:cs="Times New Roman" w:eastAsia="Times New Roman" w:hAnsi="Times New Roman"/>
          <w:sz w:val="20"/>
          <w:szCs w:val="20"/>
          <w:color w:val="auto"/>
        </w:rPr>
        <w:t>to apply for U.S. or foreign patent protection for any Joint Collaboration Technology and will obtain the cooperation of the individual inventors of any such Joint Collaboration Technology.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10.2 Patent Prosecution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19"/>
          <w:szCs w:val="19"/>
          <w:b w:val="1"/>
          <w:bCs w:val="1"/>
          <w:color w:val="auto"/>
        </w:rPr>
        <w:t>Fulcrum Patent Rights and Joint Collaboration Patent Rights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260" w:hanging="754"/>
        <w:spacing w:after="0" w:line="247" w:lineRule="auto"/>
        <w:tabs>
          <w:tab w:leader="none" w:pos="190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to Prosecute</w:t>
      </w:r>
      <w:r>
        <w:rPr>
          <w:rFonts w:ascii="Times New Roman" w:cs="Times New Roman" w:eastAsia="Times New Roman" w:hAnsi="Times New Roman"/>
          <w:sz w:val="20"/>
          <w:szCs w:val="20"/>
          <w:color w:val="auto"/>
        </w:rPr>
        <w:t>. As between the Parties, Fulcrum will have the first right to control the Patent Prosecution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Collaboration Patent Rights in the Fulcrum Territory and the sole right, in its sole discretion, to control the Patent Prosecution of all Fulcrum Patent Rights in the Fulcrum Territory (the “</w:t>
      </w:r>
      <w:r>
        <w:rPr>
          <w:rFonts w:ascii="Times New Roman" w:cs="Times New Roman" w:eastAsia="Times New Roman" w:hAnsi="Times New Roman"/>
          <w:sz w:val="20"/>
          <w:szCs w:val="20"/>
          <w:b w:val="1"/>
          <w:bCs w:val="1"/>
          <w:color w:val="auto"/>
        </w:rPr>
        <w:t>Fulcrum Prosecuted Patent Rights</w:t>
      </w:r>
      <w:r>
        <w:rPr>
          <w:rFonts w:ascii="Times New Roman" w:cs="Times New Roman" w:eastAsia="Times New Roman" w:hAnsi="Times New Roman"/>
          <w:sz w:val="20"/>
          <w:szCs w:val="20"/>
          <w:color w:val="auto"/>
        </w:rPr>
        <w:t>”). Fulcrum will be responsible for [***] of the costs and expenses incurred with respect to the Patent Prosecution of such Patent Rights in the Fulcrum Territory.</w:t>
      </w:r>
    </w:p>
    <w:p>
      <w:pPr>
        <w:spacing w:after="0" w:line="180" w:lineRule="exact"/>
        <w:rPr>
          <w:rFonts w:ascii="Times New Roman" w:cs="Times New Roman" w:eastAsia="Times New Roman" w:hAnsi="Times New Roman"/>
          <w:sz w:val="20"/>
          <w:szCs w:val="20"/>
          <w:color w:val="auto"/>
        </w:rPr>
      </w:pPr>
    </w:p>
    <w:p>
      <w:pPr>
        <w:ind w:left="2260" w:hanging="754"/>
        <w:spacing w:after="0" w:line="256" w:lineRule="auto"/>
        <w:tabs>
          <w:tab w:leader="none" w:pos="1921"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Review and Consult</w:t>
      </w:r>
      <w:r>
        <w:rPr>
          <w:rFonts w:ascii="Times New Roman" w:cs="Times New Roman" w:eastAsia="Times New Roman" w:hAnsi="Times New Roman"/>
          <w:sz w:val="19"/>
          <w:szCs w:val="19"/>
          <w:color w:val="auto"/>
        </w:rPr>
        <w:t>. Fulcrum will consult with Sanofi and keep Sanofi reasonably informed regarding the Patent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Prosecution of the Fulcrum Prosecuted Patent Rights and will provide Sanofi with all material, substantive correspondence received from any patent authority in the Fulcrum Territory in connection therewith no later than [***] after receipt thereof. In addition, Fulcrum will provide Sanofi with drafts of proposed substantive filings in the Fulcrum Territory and correspondence to any patent authority in the Fulcrum Territory in connection with the Patent Prosecution of the Fulcrum Prosecuted Patent Rights for Sanofi’s review and comment at least [***] prior to the submission of such proposed filings and correspondence, which comments (if any) Sanofi must provide no later than [***] after receipt of the applicable filing or correspondence. Fulcrum will consider in good faith Sanofi’s reasonable comments on the Patent Prosecution of the Fulcrum Prosecuted Patent Rights in the Fulcrum Territory, but Fulcrum will have final decision-making authority regarding Patent Prosecution of such Patent Rights under this Section 10.2.1(b) (</w:t>
      </w:r>
      <w:r>
        <w:rPr>
          <w:rFonts w:ascii="Times New Roman" w:cs="Times New Roman" w:eastAsia="Times New Roman" w:hAnsi="Times New Roman"/>
          <w:sz w:val="19"/>
          <w:szCs w:val="19"/>
          <w:i w:val="1"/>
          <w:iCs w:val="1"/>
          <w:color w:val="auto"/>
        </w:rPr>
        <w:t>Review and Consult</w:t>
      </w:r>
      <w:r>
        <w:rPr>
          <w:rFonts w:ascii="Times New Roman" w:cs="Times New Roman" w:eastAsia="Times New Roman" w:hAnsi="Times New Roman"/>
          <w:sz w:val="19"/>
          <w:szCs w:val="19"/>
          <w:color w:val="auto"/>
        </w:rPr>
        <w:t>). Sanofi will be responsible for [***] of the costs and expenses incurred with respect to its review and consultation under this Section 10.2.1(b) (</w:t>
      </w:r>
      <w:r>
        <w:rPr>
          <w:rFonts w:ascii="Times New Roman" w:cs="Times New Roman" w:eastAsia="Times New Roman" w:hAnsi="Times New Roman"/>
          <w:sz w:val="19"/>
          <w:szCs w:val="19"/>
          <w:i w:val="1"/>
          <w:iCs w:val="1"/>
          <w:color w:val="auto"/>
        </w:rPr>
        <w:t>Review and Consult</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ind w:left="2260" w:hanging="754"/>
        <w:spacing w:after="0" w:line="246" w:lineRule="auto"/>
        <w:tabs>
          <w:tab w:leader="none" w:pos="193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Abandonment</w:t>
      </w:r>
      <w:r>
        <w:rPr>
          <w:rFonts w:ascii="Times New Roman" w:cs="Times New Roman" w:eastAsia="Times New Roman" w:hAnsi="Times New Roman"/>
          <w:sz w:val="20"/>
          <w:szCs w:val="20"/>
          <w:color w:val="auto"/>
        </w:rPr>
        <w:t>. If, at any time during the Term, Fulcrum decides to cease the Patent Prosecution of a particular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Collaboration Patent Right solely or jointly owned by Sanofi in the Fulcrum Territory, Fulcrum will notify Sanofi of such decision at least [***] prior to the date that such applicable Collaboration Patent Right will become abandoned, and then, unless Fulcrum has a Strategic Business Rationale for ceasing such Patent Prosecution, Sanofi may, upon written notice to Fulcrum, assume the Patent Prosecution of any such Patent Right at Sanofi’s sole cost and expense.</w:t>
      </w:r>
    </w:p>
    <w:p>
      <w:pPr>
        <w:spacing w:after="0" w:line="179"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19"/>
          <w:szCs w:val="19"/>
          <w:b w:val="1"/>
          <w:bCs w:val="1"/>
          <w:color w:val="auto"/>
        </w:rPr>
        <w:t>Sanofi Patent Rights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260" w:hanging="754"/>
        <w:spacing w:after="0" w:line="250" w:lineRule="auto"/>
        <w:tabs>
          <w:tab w:leader="none" w:pos="190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to Prosecute</w:t>
      </w:r>
      <w:r>
        <w:rPr>
          <w:rFonts w:ascii="Times New Roman" w:cs="Times New Roman" w:eastAsia="Times New Roman" w:hAnsi="Times New Roman"/>
          <w:sz w:val="20"/>
          <w:szCs w:val="20"/>
          <w:color w:val="auto"/>
        </w:rPr>
        <w:t>. As between the Parties, Sanofi will have the first right, in its sole discretion, to control the Patent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Prosecution of all Fulcrum Patent Rights and Collaboration Patent Rights in the Sanofi Territory (the “</w:t>
      </w:r>
      <w:r>
        <w:rPr>
          <w:rFonts w:ascii="Times New Roman" w:cs="Times New Roman" w:eastAsia="Times New Roman" w:hAnsi="Times New Roman"/>
          <w:sz w:val="20"/>
          <w:szCs w:val="20"/>
          <w:b w:val="1"/>
          <w:bCs w:val="1"/>
          <w:color w:val="auto"/>
        </w:rPr>
        <w:t>Sanofi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Prosecuted Patent Rights</w:t>
      </w:r>
      <w:r>
        <w:rPr>
          <w:rFonts w:ascii="Times New Roman" w:cs="Times New Roman" w:eastAsia="Times New Roman" w:hAnsi="Times New Roman"/>
          <w:sz w:val="20"/>
          <w:szCs w:val="20"/>
          <w:color w:val="auto"/>
        </w:rPr>
        <w:t>”). Sanofi will be responsible for [***] of the costs and expenses incurred with respect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Patent Prosecution of such Patent Rights.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ind w:left="2260" w:hanging="754"/>
        <w:spacing w:after="0" w:line="242" w:lineRule="auto"/>
        <w:tabs>
          <w:tab w:leader="none" w:pos="190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Review and Consult</w:t>
      </w:r>
      <w:r>
        <w:rPr>
          <w:rFonts w:ascii="Times New Roman" w:cs="Times New Roman" w:eastAsia="Times New Roman" w:hAnsi="Times New Roman"/>
          <w:sz w:val="20"/>
          <w:szCs w:val="20"/>
          <w:color w:val="auto"/>
        </w:rPr>
        <w:t>. Sanofi will consult with Fulcrum and keep Fulcrum reasonably informed regarding the Patent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Prosecution of the Sanofi Prosecuted Patent Rights and will provide Fulcrum with all material, substantive correspondence received from the European Patent Office (“</w:t>
      </w:r>
      <w:r>
        <w:rPr>
          <w:rFonts w:ascii="Times New Roman" w:cs="Times New Roman" w:eastAsia="Times New Roman" w:hAnsi="Times New Roman"/>
          <w:sz w:val="20"/>
          <w:szCs w:val="20"/>
          <w:b w:val="1"/>
          <w:bCs w:val="1"/>
          <w:color w:val="auto"/>
        </w:rPr>
        <w:t>EPO</w:t>
      </w:r>
      <w:r>
        <w:rPr>
          <w:rFonts w:ascii="Times New Roman" w:cs="Times New Roman" w:eastAsia="Times New Roman" w:hAnsi="Times New Roman"/>
          <w:sz w:val="20"/>
          <w:szCs w:val="20"/>
          <w:color w:val="auto"/>
        </w:rPr>
        <w:t>”) in connection therewith no later than [***] after receipt thereof. In addition, Sanofi will provide Fulcrum with drafts of all proposed substantive filings and correspondence to the EPO in connection with the Patent Prosecution of the Sanofi Prosecuted Patent Rights for Fulcrum’s review and comment at least [***] prior to the submission of such proposed filings and correspondence, which comments (if any) Fulcrum must provide no later than [***] after receipt of the applicable filing or correspondence. Sanofi will consider in good faith Fulcrum’s reasonable comments on the Patent Prosecution of the Sanofi Prosecuted Patent Rights, but Sanofi will have final decision-making authority regarding Patent Prosecution of such Patent Rights under this Section 10.2.2(b) (</w:t>
      </w:r>
      <w:r>
        <w:rPr>
          <w:rFonts w:ascii="Times New Roman" w:cs="Times New Roman" w:eastAsia="Times New Roman" w:hAnsi="Times New Roman"/>
          <w:sz w:val="20"/>
          <w:szCs w:val="20"/>
          <w:i w:val="1"/>
          <w:iCs w:val="1"/>
          <w:color w:val="auto"/>
        </w:rPr>
        <w:t>Review and Consult</w:t>
      </w:r>
      <w:r>
        <w:rPr>
          <w:rFonts w:ascii="Times New Roman" w:cs="Times New Roman" w:eastAsia="Times New Roman" w:hAnsi="Times New Roman"/>
          <w:sz w:val="20"/>
          <w:szCs w:val="20"/>
          <w:color w:val="auto"/>
        </w:rPr>
        <w:t>). Fulcrum will be responsible for [***] of the costs and expenses incurred with respect to its review and consultation under this Section 10.2.2(b) (</w:t>
      </w:r>
      <w:r>
        <w:rPr>
          <w:rFonts w:ascii="Times New Roman" w:cs="Times New Roman" w:eastAsia="Times New Roman" w:hAnsi="Times New Roman"/>
          <w:sz w:val="20"/>
          <w:szCs w:val="20"/>
          <w:i w:val="1"/>
          <w:iCs w:val="1"/>
          <w:color w:val="auto"/>
        </w:rPr>
        <w:t>Review and Consult</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ind w:left="2260" w:hanging="754"/>
        <w:spacing w:after="0" w:line="246" w:lineRule="auto"/>
        <w:tabs>
          <w:tab w:leader="none" w:pos="194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Abandonment</w:t>
      </w:r>
      <w:r>
        <w:rPr>
          <w:rFonts w:ascii="Times New Roman" w:cs="Times New Roman" w:eastAsia="Times New Roman" w:hAnsi="Times New Roman"/>
          <w:sz w:val="20"/>
          <w:szCs w:val="20"/>
          <w:color w:val="auto"/>
        </w:rPr>
        <w:t>. If, at any time during the Term, Sanofi ceases the Patent Prosecution of a particular Sanofi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Prosecuted Patent Right solely or jointly owned by Fulcrum in the Sanofi Territory, then, Sanofi will notify Fulcrum of such decision at least [***] prior to the date on which such Patent Right will become abandoned, and then, unless Sanofi has a Strategic Business Rationale for ceasing such Patent Prosecution, Fulcrum may, upon written notice to Sanofi, assume the Patent Prosecution of any such Patent Right at Fulcrum’s sole cost and expense.</w:t>
      </w:r>
    </w:p>
    <w:p>
      <w:pPr>
        <w:spacing w:after="0" w:line="179" w:lineRule="exact"/>
        <w:rPr>
          <w:sz w:val="20"/>
          <w:szCs w:val="20"/>
          <w:color w:val="auto"/>
        </w:rPr>
      </w:pPr>
    </w:p>
    <w:p>
      <w:pPr>
        <w:jc w:val="both"/>
        <w:ind w:left="1500" w:hanging="694"/>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b w:val="1"/>
          <w:bCs w:val="1"/>
          <w:color w:val="auto"/>
        </w:rPr>
        <w:t xml:space="preserve">First Priority and PCT Applications. </w:t>
      </w:r>
      <w:r>
        <w:rPr>
          <w:rFonts w:ascii="Times New Roman" w:cs="Times New Roman" w:eastAsia="Times New Roman" w:hAnsi="Times New Roman"/>
          <w:sz w:val="20"/>
          <w:szCs w:val="20"/>
          <w:color w:val="auto"/>
        </w:rPr>
        <w:t>Notwithstanding the foregoing, following discussion and coordination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the Parties will jointly control the filing of any first priority application (i.e., a U.S. provisional application or other patent application establishing the first priority date of an Invention) or international patent applications under the Patent Cooperation Treaty claiming a Collaboration Patent Right.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10.3 Enforcement Against Third Party Infringement or Misappropriation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5" w:lineRule="auto"/>
        <w:tabs>
          <w:tab w:leader="none" w:pos="148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b w:val="1"/>
          <w:bCs w:val="1"/>
          <w:color w:val="auto"/>
        </w:rPr>
        <w:t>Notice of Infringement or Misappropriation</w:t>
      </w:r>
      <w:r>
        <w:rPr>
          <w:rFonts w:ascii="Times New Roman" w:cs="Times New Roman" w:eastAsia="Times New Roman" w:hAnsi="Times New Roman"/>
          <w:sz w:val="20"/>
          <w:szCs w:val="20"/>
          <w:color w:val="auto"/>
        </w:rPr>
        <w:t>. Each Party will promptly notify the other of any apparent, threatened,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actual Third Party infringement, misappropriation or other violation of any potentially enforceable intellectual property right within the Fulcrum Technology or the Collaboration Technology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by reason of the making, using, offering to sell, selling, or importing of a compound, product, method, or process that would be competitive with a Licensed Product in the Field) (a “</w:t>
      </w:r>
      <w:r>
        <w:rPr>
          <w:rFonts w:ascii="Times New Roman" w:cs="Times New Roman" w:eastAsia="Times New Roman" w:hAnsi="Times New Roman"/>
          <w:sz w:val="20"/>
          <w:szCs w:val="20"/>
          <w:b w:val="1"/>
          <w:bCs w:val="1"/>
          <w:color w:val="auto"/>
        </w:rPr>
        <w:t>Competitive Infringement</w:t>
      </w:r>
      <w:r>
        <w:rPr>
          <w:rFonts w:ascii="Times New Roman" w:cs="Times New Roman" w:eastAsia="Times New Roman" w:hAnsi="Times New Roman"/>
          <w:sz w:val="20"/>
          <w:szCs w:val="20"/>
          <w:color w:val="auto"/>
        </w:rPr>
        <w:t>”) of which it becomes aware. The Parties will promptly discuss the Competitive Infringement and the course of action to be taken in connection therewith, including a coordinated plan for all related jurisdictions, claims, and counterclaims.</w:t>
      </w:r>
    </w:p>
    <w:p>
      <w:pPr>
        <w:spacing w:after="0" w:line="179" w:lineRule="exact"/>
        <w:rPr>
          <w:sz w:val="20"/>
          <w:szCs w:val="20"/>
          <w:color w:val="auto"/>
        </w:rPr>
      </w:pPr>
    </w:p>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b w:val="1"/>
          <w:bCs w:val="1"/>
          <w:color w:val="auto"/>
        </w:rPr>
        <w:t xml:space="preserve">Enforcement in the Sanofi Territory. </w:t>
      </w:r>
      <w:r>
        <w:rPr>
          <w:rFonts w:ascii="Times New Roman" w:cs="Times New Roman" w:eastAsia="Times New Roman" w:hAnsi="Times New Roman"/>
          <w:sz w:val="20"/>
          <w:szCs w:val="20"/>
          <w:color w:val="auto"/>
        </w:rPr>
        <w:t>Subject to the terms of any applicable license pursuant to which Fulcrum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Controls any Patent Right or Know-How included within the Fulcrum Patent Rights or Fulcrum Know-How, as between the Parties, Sanofi will have the first right, but not the obligation, to bring and control any legal action (including settlements thereof) or take such other actions as it deems appropriate in connection with any Competitive Infringement in the Sanofi Territory;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Fulcrum will be entitled to attend any material and substantive meetings, hearings, or other proceedings related to such infringement or misappropriation suit (together with its own counsel, at its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4" w:name="page155"/>
    <w:bookmarkEnd w:id="154"/>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own expense). If Sanofi fails to timely abate any such Competitive Infringement or initiate a suit or take other action to abate any such Competitive Infringement without a Strategic Business Rationale, Fulcrum will have the second right, but not the obligation, to attempt to resolve such Competitive Infringement if such Competitive Infringement relates to any intellectual property right within the Fulcrum Technology or any Collaboration Technology that is solely or jointly owned by Fulcrum, at its own expense, including the filing of an infringement or misappropriation suit, as applicable, to enforce the applicable Patent Rights or Know-How using counsel of its own choice. Any recovery (including any settlement) received as a result of any action under this Section 10.3.2 (</w:t>
      </w:r>
      <w:r>
        <w:rPr>
          <w:rFonts w:ascii="Times New Roman" w:cs="Times New Roman" w:eastAsia="Times New Roman" w:hAnsi="Times New Roman"/>
          <w:sz w:val="20"/>
          <w:szCs w:val="20"/>
          <w:i w:val="1"/>
          <w:iCs w:val="1"/>
          <w:color w:val="auto"/>
        </w:rPr>
        <w:t>Enforcement in the Sanofi Territory</w:t>
      </w:r>
      <w:r>
        <w:rPr>
          <w:rFonts w:ascii="Times New Roman" w:cs="Times New Roman" w:eastAsia="Times New Roman" w:hAnsi="Times New Roman"/>
          <w:sz w:val="20"/>
          <w:szCs w:val="20"/>
          <w:color w:val="auto"/>
        </w:rPr>
        <w:t>) will be allocated in the following order: (a) first, to reimburse Sanofi for the costs and expenses (including attorneys’ and professional fees) that Sanofi incurred in connection with such action, to the extent not previously reimbursed; (b) second, to reimburse Fulcrum, where it joins a legal action as provided under Section 10.5.4 (</w:t>
      </w:r>
      <w:r>
        <w:rPr>
          <w:rFonts w:ascii="Times New Roman" w:cs="Times New Roman" w:eastAsia="Times New Roman" w:hAnsi="Times New Roman"/>
          <w:sz w:val="20"/>
          <w:szCs w:val="20"/>
          <w:i w:val="1"/>
          <w:iCs w:val="1"/>
          <w:color w:val="auto"/>
        </w:rPr>
        <w:t>Cooperation</w:t>
      </w:r>
      <w:r>
        <w:rPr>
          <w:rFonts w:ascii="Times New Roman" w:cs="Times New Roman" w:eastAsia="Times New Roman" w:hAnsi="Times New Roman"/>
          <w:sz w:val="20"/>
          <w:szCs w:val="20"/>
          <w:color w:val="auto"/>
        </w:rPr>
        <w:t>), for the reasonable and documented costs and expenses (including attorneys’ and professional fees) that Fulcrum incurred in connection with such action, to the extent not previously reimbursed; and (c) third, any remaining amounts will be retained by Sanofi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remainder shall be subject to royalty payments to Fulcrum as if such remainder constituted Net Sales under this Agreement). Fulcrum will have the right to consult and comment upon any such enforcement action in the Sanofi Territory in accordance with Section 10.5.4 (</w:t>
      </w:r>
      <w:r>
        <w:rPr>
          <w:rFonts w:ascii="Times New Roman" w:cs="Times New Roman" w:eastAsia="Times New Roman" w:hAnsi="Times New Roman"/>
          <w:sz w:val="20"/>
          <w:szCs w:val="20"/>
          <w:i w:val="1"/>
          <w:iCs w:val="1"/>
          <w:color w:val="auto"/>
        </w:rPr>
        <w:t>Cooperation</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380" w:hanging="694"/>
        <w:spacing w:after="0" w:line="242" w:lineRule="auto"/>
        <w:tabs>
          <w:tab w:leader="none" w:pos="36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b w:val="1"/>
          <w:bCs w:val="1"/>
          <w:color w:val="auto"/>
        </w:rPr>
        <w:t>Enforcement in the Fulcrum Territory</w:t>
      </w:r>
      <w:r>
        <w:rPr>
          <w:rFonts w:ascii="Times New Roman" w:cs="Times New Roman" w:eastAsia="Times New Roman" w:hAnsi="Times New Roman"/>
          <w:sz w:val="20"/>
          <w:szCs w:val="20"/>
          <w:color w:val="auto"/>
        </w:rPr>
        <w:t>. As between the Parties, Fulcrum will have the sole right, but not the obligation,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bring and control any legal action (including settlements thereof) or take such other actions as it deems appropriate in connection with any Competitive Infringement in the Fulcrum Territory. Any recovery (including any settlement) received as a result of any action under this Section 10.3.3 (</w:t>
      </w:r>
      <w:r>
        <w:rPr>
          <w:rFonts w:ascii="Times New Roman" w:cs="Times New Roman" w:eastAsia="Times New Roman" w:hAnsi="Times New Roman"/>
          <w:sz w:val="20"/>
          <w:szCs w:val="20"/>
          <w:i w:val="1"/>
          <w:iCs w:val="1"/>
          <w:color w:val="auto"/>
        </w:rPr>
        <w:t>Enforcement in the Fulcrum Territory</w:t>
      </w:r>
      <w:r>
        <w:rPr>
          <w:rFonts w:ascii="Times New Roman" w:cs="Times New Roman" w:eastAsia="Times New Roman" w:hAnsi="Times New Roman"/>
          <w:sz w:val="20"/>
          <w:szCs w:val="20"/>
          <w:color w:val="auto"/>
        </w:rPr>
        <w:t>) will be allocated in the following order: (a) first, to reimburse Fulcrum for the costs and expenses (including attorneys’ and professional fees) that Fulcrum incurred in connection with such action, to the extent not previously reimbursed; (b) second, to reimburse Sanofi, where it joins a legal action as provided under Section 10.5.4 (</w:t>
      </w:r>
      <w:r>
        <w:rPr>
          <w:rFonts w:ascii="Times New Roman" w:cs="Times New Roman" w:eastAsia="Times New Roman" w:hAnsi="Times New Roman"/>
          <w:sz w:val="20"/>
          <w:szCs w:val="20"/>
          <w:i w:val="1"/>
          <w:iCs w:val="1"/>
          <w:color w:val="auto"/>
        </w:rPr>
        <w:t>Cooperation</w:t>
      </w:r>
      <w:r>
        <w:rPr>
          <w:rFonts w:ascii="Times New Roman" w:cs="Times New Roman" w:eastAsia="Times New Roman" w:hAnsi="Times New Roman"/>
          <w:sz w:val="20"/>
          <w:szCs w:val="20"/>
          <w:color w:val="auto"/>
        </w:rPr>
        <w:t>), for the reasonable and documented costs and expenses (including attorneys’ and professional fees) that Sanofi incurred in connection with such action, to the extent not previously reimbursed; and (c) third, any remaining amounts will be retained by Fulcrum. Sanofi will have the right to consult and comment upon any such enforcement action in the Fulcrum Territory in accordance with Section 10.5.4 (</w:t>
      </w:r>
      <w:r>
        <w:rPr>
          <w:rFonts w:ascii="Times New Roman" w:cs="Times New Roman" w:eastAsia="Times New Roman" w:hAnsi="Times New Roman"/>
          <w:sz w:val="20"/>
          <w:szCs w:val="20"/>
          <w:i w:val="1"/>
          <w:iCs w:val="1"/>
          <w:color w:val="auto"/>
        </w:rPr>
        <w:t>Cooperation</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380" w:hanging="694"/>
        <w:spacing w:after="0" w:line="243" w:lineRule="auto"/>
        <w:tabs>
          <w:tab w:leader="none" w:pos="36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Subject to Section 10.3.2 (</w:t>
      </w:r>
      <w:r>
        <w:rPr>
          <w:rFonts w:ascii="Times New Roman" w:cs="Times New Roman" w:eastAsia="Times New Roman" w:hAnsi="Times New Roman"/>
          <w:sz w:val="20"/>
          <w:szCs w:val="20"/>
          <w:i w:val="1"/>
          <w:iCs w:val="1"/>
          <w:color w:val="auto"/>
        </w:rPr>
        <w:t>Enforcement in the Sanofi Territory</w:t>
      </w:r>
      <w:r>
        <w:rPr>
          <w:rFonts w:ascii="Times New Roman" w:cs="Times New Roman" w:eastAsia="Times New Roman" w:hAnsi="Times New Roman"/>
          <w:sz w:val="20"/>
          <w:szCs w:val="20"/>
          <w:color w:val="auto"/>
        </w:rPr>
        <w:t>) and Section 10.3.3 (</w:t>
      </w:r>
      <w:r>
        <w:rPr>
          <w:rFonts w:ascii="Times New Roman" w:cs="Times New Roman" w:eastAsia="Times New Roman" w:hAnsi="Times New Roman"/>
          <w:sz w:val="20"/>
          <w:szCs w:val="20"/>
          <w:i w:val="1"/>
          <w:iCs w:val="1"/>
          <w:color w:val="auto"/>
        </w:rPr>
        <w:t>Enforcement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Fulcrum Territory</w:t>
      </w:r>
      <w:r>
        <w:rPr>
          <w:rFonts w:ascii="Times New Roman" w:cs="Times New Roman" w:eastAsia="Times New Roman" w:hAnsi="Times New Roman"/>
          <w:sz w:val="20"/>
          <w:szCs w:val="20"/>
          <w:color w:val="auto"/>
        </w:rPr>
        <w:t>), the Party that is responsible for the applicable enforcement action (the “</w:t>
      </w:r>
      <w:r>
        <w:rPr>
          <w:rFonts w:ascii="Times New Roman" w:cs="Times New Roman" w:eastAsia="Times New Roman" w:hAnsi="Times New Roman"/>
          <w:sz w:val="20"/>
          <w:szCs w:val="20"/>
          <w:b w:val="1"/>
          <w:bCs w:val="1"/>
          <w:color w:val="auto"/>
        </w:rPr>
        <w:t>Enforcing Party</w:t>
      </w:r>
      <w:r>
        <w:rPr>
          <w:rFonts w:ascii="Times New Roman" w:cs="Times New Roman" w:eastAsia="Times New Roman" w:hAnsi="Times New Roman"/>
          <w:sz w:val="20"/>
          <w:szCs w:val="20"/>
          <w:color w:val="auto"/>
        </w:rPr>
        <w:t>”) will keep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other Party (the “</w:t>
      </w:r>
      <w:r>
        <w:rPr>
          <w:rFonts w:ascii="Times New Roman" w:cs="Times New Roman" w:eastAsia="Times New Roman" w:hAnsi="Times New Roman"/>
          <w:sz w:val="20"/>
          <w:szCs w:val="20"/>
          <w:b w:val="1"/>
          <w:bCs w:val="1"/>
          <w:color w:val="auto"/>
        </w:rPr>
        <w:t>Non-Enforcing Party</w:t>
      </w:r>
      <w:r>
        <w:rPr>
          <w:rFonts w:ascii="Times New Roman" w:cs="Times New Roman" w:eastAsia="Times New Roman" w:hAnsi="Times New Roman"/>
          <w:sz w:val="20"/>
          <w:szCs w:val="20"/>
          <w:color w:val="auto"/>
        </w:rPr>
        <w:t>”) reasonably informed of the status and progress of such enforcement action. The Enforcing Party will reasonably consult with the Non-Enforcing Party, including using reasonable efforts to take the Non-Enforcing Party’s reasonable and timely comments into good faith consideration with respect to such enforcement action, including the infringement or claim construction of any claim in the applicable Patent Right. The Non-Enforcing Party will also provide reasonable assistance in connection with such enforcement action, including by executing reasonably appropriate documents, cooperating in discovery and joining as a party to the action if required. Each Party will bear its own costs and expenses under this Section 10.3 (</w:t>
      </w:r>
      <w:r>
        <w:rPr>
          <w:rFonts w:ascii="Times New Roman" w:cs="Times New Roman" w:eastAsia="Times New Roman" w:hAnsi="Times New Roman"/>
          <w:sz w:val="20"/>
          <w:szCs w:val="20"/>
          <w:i w:val="1"/>
          <w:iCs w:val="1"/>
          <w:color w:val="auto"/>
        </w:rPr>
        <w:t>Enforcement Against Third Party Infringement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Misappropriation</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764540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55" w:name="page156"/>
    <w:bookmarkEnd w:id="155"/>
    <w:p>
      <w:pPr>
        <w:jc w:val="both"/>
        <w:ind w:left="760" w:hanging="7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10.4 Defense of Third Party Patent Challenges. </w:t>
      </w:r>
      <w:r>
        <w:rPr>
          <w:rFonts w:ascii="Times New Roman" w:cs="Times New Roman" w:eastAsia="Times New Roman" w:hAnsi="Times New Roman"/>
          <w:sz w:val="20"/>
          <w:szCs w:val="20"/>
          <w:color w:val="auto"/>
        </w:rPr>
        <w:t>Each Party will notify the other Party in writing promptly upon becoming aware of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actual or threatened Patent Challenge by a Third Party of any Fulcrum Patent Right or Collaboration Patent Right (each, a “</w:t>
      </w:r>
      <w:r>
        <w:rPr>
          <w:rFonts w:ascii="Times New Roman" w:cs="Times New Roman" w:eastAsia="Times New Roman" w:hAnsi="Times New Roman"/>
          <w:sz w:val="20"/>
          <w:szCs w:val="20"/>
          <w:b w:val="1"/>
          <w:bCs w:val="1"/>
          <w:color w:val="auto"/>
        </w:rPr>
        <w:t>Third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Party Patent Challenge</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left="1500" w:hanging="694"/>
        <w:spacing w:after="0" w:line="256" w:lineRule="auto"/>
        <w:tabs>
          <w:tab w:leader="none" w:pos="1480" w:val="left"/>
        </w:tabs>
        <w:rPr>
          <w:sz w:val="20"/>
          <w:szCs w:val="20"/>
          <w:color w:val="auto"/>
        </w:rPr>
      </w:pPr>
      <w:r>
        <w:rPr>
          <w:rFonts w:ascii="Times New Roman" w:cs="Times New Roman" w:eastAsia="Times New Roman" w:hAnsi="Times New Roman"/>
          <w:sz w:val="20"/>
          <w:szCs w:val="20"/>
          <w:color w:val="auto"/>
        </w:rPr>
        <w:t>10.4.1</w:t>
      </w:r>
      <w:r>
        <w:rPr>
          <w:sz w:val="20"/>
          <w:szCs w:val="20"/>
          <w:color w:val="auto"/>
        </w:rPr>
        <w:tab/>
      </w:r>
      <w:r>
        <w:rPr>
          <w:rFonts w:ascii="Times New Roman" w:cs="Times New Roman" w:eastAsia="Times New Roman" w:hAnsi="Times New Roman"/>
          <w:sz w:val="19"/>
          <w:szCs w:val="19"/>
          <w:b w:val="1"/>
          <w:bCs w:val="1"/>
          <w:color w:val="auto"/>
        </w:rPr>
        <w:t>Defense of Third Party Patent Challenges in the Sanofi Territory</w:t>
      </w:r>
      <w:r>
        <w:rPr>
          <w:rFonts w:ascii="Times New Roman" w:cs="Times New Roman" w:eastAsia="Times New Roman" w:hAnsi="Times New Roman"/>
          <w:sz w:val="19"/>
          <w:szCs w:val="19"/>
          <w:color w:val="auto"/>
        </w:rPr>
        <w:t>. Subject to the terms of Section 10.4.3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Cooperation; Procedures</w:t>
      </w:r>
      <w:r>
        <w:rPr>
          <w:rFonts w:ascii="Times New Roman" w:cs="Times New Roman" w:eastAsia="Times New Roman" w:hAnsi="Times New Roman"/>
          <w:sz w:val="19"/>
          <w:szCs w:val="19"/>
          <w:color w:val="auto"/>
        </w:rPr>
        <w:t xml:space="preserve">), Sanofi will have the first right, but not the obligation, to control the defense of any Third Party Patent Challenge relating to a Fulcrum Patent Right, Sanofi Patent Right or Collaboration Patent Right in the Sanofi Territory and to compromise, litigate, settle, or otherwise dispose of any such challenge, in each case at its own expense using counsel of its own choice;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Fulcrum will be entitled to attend any material and substantive meetings, hearings, or other proceedings related to such Third Party Patent Challenge (together with its own counsel, at its own expense) and to review and comment on all substantive documents related to such Third Party Patent Challenge. If Sanofi fails to initiate or continue the defense of such Third Party Patent Challenge of a Sanofi Prosecuted Patent Right solely or jointly owned by Fulcrum without a Strategic Business Rationale within [***] after the notice provided under Section 10.4 (</w:t>
      </w:r>
      <w:r>
        <w:rPr>
          <w:rFonts w:ascii="Times New Roman" w:cs="Times New Roman" w:eastAsia="Times New Roman" w:hAnsi="Times New Roman"/>
          <w:sz w:val="19"/>
          <w:szCs w:val="19"/>
          <w:i w:val="1"/>
          <w:iCs w:val="1"/>
          <w:color w:val="auto"/>
        </w:rPr>
        <w:t>Defense of Third Party Patent Challenges</w:t>
      </w:r>
      <w:r>
        <w:rPr>
          <w:rFonts w:ascii="Times New Roman" w:cs="Times New Roman" w:eastAsia="Times New Roman" w:hAnsi="Times New Roman"/>
          <w:sz w:val="19"/>
          <w:szCs w:val="19"/>
          <w:color w:val="auto"/>
        </w:rPr>
        <w:t>), or otherwise abandons or elects not to continue any such defense once initiated without a Strategic Business Rationale, then Fulcrum will have the second right, but not the obligation, to control the defense of such Third Party Patent Challenge at its own expense using counsel of its own choice.</w:t>
      </w:r>
    </w:p>
    <w:p>
      <w:pPr>
        <w:spacing w:after="0" w:line="174" w:lineRule="exact"/>
        <w:rPr>
          <w:sz w:val="20"/>
          <w:szCs w:val="20"/>
          <w:color w:val="auto"/>
        </w:rPr>
      </w:pPr>
    </w:p>
    <w:p>
      <w:pPr>
        <w:jc w:val="both"/>
        <w:ind w:left="1500" w:hanging="694"/>
        <w:spacing w:after="0" w:line="242" w:lineRule="auto"/>
        <w:tabs>
          <w:tab w:leader="none" w:pos="1480" w:val="left"/>
        </w:tabs>
        <w:rPr>
          <w:sz w:val="20"/>
          <w:szCs w:val="20"/>
          <w:color w:val="auto"/>
        </w:rPr>
      </w:pPr>
      <w:r>
        <w:rPr>
          <w:rFonts w:ascii="Times New Roman" w:cs="Times New Roman" w:eastAsia="Times New Roman" w:hAnsi="Times New Roman"/>
          <w:sz w:val="20"/>
          <w:szCs w:val="20"/>
          <w:color w:val="auto"/>
        </w:rPr>
        <w:t>10.4.2</w:t>
      </w:r>
      <w:r>
        <w:rPr>
          <w:sz w:val="20"/>
          <w:szCs w:val="20"/>
          <w:color w:val="auto"/>
        </w:rPr>
        <w:tab/>
      </w:r>
      <w:r>
        <w:rPr>
          <w:rFonts w:ascii="Times New Roman" w:cs="Times New Roman" w:eastAsia="Times New Roman" w:hAnsi="Times New Roman"/>
          <w:sz w:val="20"/>
          <w:szCs w:val="20"/>
          <w:b w:val="1"/>
          <w:bCs w:val="1"/>
          <w:color w:val="auto"/>
        </w:rPr>
        <w:t>Defense of Third Party Patent Challenges in the Fulcrum Territory</w:t>
      </w:r>
      <w:r>
        <w:rPr>
          <w:rFonts w:ascii="Times New Roman" w:cs="Times New Roman" w:eastAsia="Times New Roman" w:hAnsi="Times New Roman"/>
          <w:sz w:val="20"/>
          <w:szCs w:val="20"/>
          <w:color w:val="auto"/>
        </w:rPr>
        <w:t>. Subject to the terms of Section 10.4.3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Cooperation; Procedures</w:t>
      </w:r>
      <w:r>
        <w:rPr>
          <w:rFonts w:ascii="Times New Roman" w:cs="Times New Roman" w:eastAsia="Times New Roman" w:hAnsi="Times New Roman"/>
          <w:sz w:val="20"/>
          <w:szCs w:val="20"/>
          <w:color w:val="auto"/>
        </w:rPr>
        <w:t xml:space="preserve">), Fulcrum will have the first right, but not the obligation, to control the defense of any Third Party Patent Challenge relating to a Fulcrum Patent Right or Collaboration Patent Right in the Fulcrum Territory and to compromise, litigate, settle, or otherwise dispose of any such challenge, in each case at its own expense using counsel of its own choice;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Sanofi will be entitled to attend any material and substantive meetings, hearings, or other proceedings related to such Third Party Patent Challenge (together with its own counsel, at its own expense) and to review and comment on all substantive documents related to such Third Party Patent Challenge. If Fulcrum fails to initiate or continue the defense of such Third Party Patent Challenge of a Collaboration Patent Right solely or jointly owned by Sanofi without a Strategic Business Rationale within [***] after the notice provided under Section 10.4 (</w:t>
      </w:r>
      <w:r>
        <w:rPr>
          <w:rFonts w:ascii="Times New Roman" w:cs="Times New Roman" w:eastAsia="Times New Roman" w:hAnsi="Times New Roman"/>
          <w:sz w:val="20"/>
          <w:szCs w:val="20"/>
          <w:i w:val="1"/>
          <w:iCs w:val="1"/>
          <w:color w:val="auto"/>
        </w:rPr>
        <w:t>Defense of Third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Party Patent Challenges</w:t>
      </w:r>
      <w:r>
        <w:rPr>
          <w:rFonts w:ascii="Times New Roman" w:cs="Times New Roman" w:eastAsia="Times New Roman" w:hAnsi="Times New Roman"/>
          <w:sz w:val="20"/>
          <w:szCs w:val="20"/>
          <w:color w:val="auto"/>
        </w:rPr>
        <w:t>), or otherwise abandons or elects not to continue any such defense once initiated without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reasonable reason, then Sanofi will have the second right, but not the obligation, to control the defense of such Third Party Patent Challenge at its own expense using counsel of its own choice.</w:t>
      </w:r>
    </w:p>
    <w:p>
      <w:pPr>
        <w:spacing w:after="0" w:line="187"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10.4.3</w:t>
      </w:r>
      <w:r>
        <w:rPr>
          <w:sz w:val="20"/>
          <w:szCs w:val="20"/>
          <w:color w:val="auto"/>
        </w:rPr>
        <w:tab/>
      </w:r>
      <w:r>
        <w:rPr>
          <w:rFonts w:ascii="Times New Roman" w:cs="Times New Roman" w:eastAsia="Times New Roman" w:hAnsi="Times New Roman"/>
          <w:sz w:val="20"/>
          <w:szCs w:val="20"/>
          <w:b w:val="1"/>
          <w:bCs w:val="1"/>
          <w:color w:val="auto"/>
        </w:rPr>
        <w:t>Cooperation; Procedures</w:t>
      </w:r>
      <w:r>
        <w:rPr>
          <w:rFonts w:ascii="Times New Roman" w:cs="Times New Roman" w:eastAsia="Times New Roman" w:hAnsi="Times New Roman"/>
          <w:sz w:val="20"/>
          <w:szCs w:val="20"/>
          <w:color w:val="auto"/>
        </w:rPr>
        <w:t>. At the request and expense of the Party controlling the defense of any Third Party Patent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Challenge under this Section 10.4 (</w:t>
      </w:r>
      <w:r>
        <w:rPr>
          <w:rFonts w:ascii="Times New Roman" w:cs="Times New Roman" w:eastAsia="Times New Roman" w:hAnsi="Times New Roman"/>
          <w:sz w:val="20"/>
          <w:szCs w:val="20"/>
          <w:i w:val="1"/>
          <w:iCs w:val="1"/>
          <w:color w:val="auto"/>
        </w:rPr>
        <w:t>Defense of Third Party Patent Challenges</w:t>
      </w:r>
      <w:r>
        <w:rPr>
          <w:rFonts w:ascii="Times New Roman" w:cs="Times New Roman" w:eastAsia="Times New Roman" w:hAnsi="Times New Roman"/>
          <w:sz w:val="20"/>
          <w:szCs w:val="20"/>
          <w:color w:val="auto"/>
        </w:rPr>
        <w:t>), the other Party will provide reasonable assistance and cooperation in any such action. In addition, the Party controlling the defense of any Third Party Patent Challenge under this Section 10.4 (</w:t>
      </w:r>
      <w:r>
        <w:rPr>
          <w:rFonts w:ascii="Times New Roman" w:cs="Times New Roman" w:eastAsia="Times New Roman" w:hAnsi="Times New Roman"/>
          <w:sz w:val="20"/>
          <w:szCs w:val="20"/>
          <w:i w:val="1"/>
          <w:iCs w:val="1"/>
          <w:color w:val="auto"/>
        </w:rPr>
        <w:t>Defense of Third Party Patent Challenges</w:t>
      </w:r>
      <w:r>
        <w:rPr>
          <w:rFonts w:ascii="Times New Roman" w:cs="Times New Roman" w:eastAsia="Times New Roman" w:hAnsi="Times New Roman"/>
          <w:sz w:val="20"/>
          <w:szCs w:val="20"/>
          <w:color w:val="auto"/>
        </w:rPr>
        <w:t>) will provide the other Party with copies of all material and substantive pleadings and other documents to be filed with the court and will consider reasonable and timely input from the other Party during the course of the action. Sanofi may not settle any action or proceeding brought or defended under this Section 10.4 (</w:t>
      </w:r>
      <w:r>
        <w:rPr>
          <w:rFonts w:ascii="Times New Roman" w:cs="Times New Roman" w:eastAsia="Times New Roman" w:hAnsi="Times New Roman"/>
          <w:sz w:val="20"/>
          <w:szCs w:val="20"/>
          <w:i w:val="1"/>
          <w:iCs w:val="1"/>
          <w:color w:val="auto"/>
        </w:rPr>
        <w:t>Defense of Third Party Patent Challenges</w:t>
      </w:r>
      <w:r>
        <w:rPr>
          <w:rFonts w:ascii="Times New Roman" w:cs="Times New Roman" w:eastAsia="Times New Roman" w:hAnsi="Times New Roman"/>
          <w:sz w:val="20"/>
          <w:szCs w:val="20"/>
          <w:color w:val="auto"/>
        </w:rPr>
        <w:t>) or knowingly take any other action in the course thereof without Fulcrum’s prior consent, unless such action or proceeding solely concerns the Sanofi Patent Rights, such consent not to be unreasonably withheld, delayed or conditioned. Fulcrum may not settle any action or proceeding brought or defended under this Section 10.4 (</w:t>
      </w:r>
      <w:r>
        <w:rPr>
          <w:rFonts w:ascii="Times New Roman" w:cs="Times New Roman" w:eastAsia="Times New Roman" w:hAnsi="Times New Roman"/>
          <w:sz w:val="20"/>
          <w:szCs w:val="20"/>
          <w:i w:val="1"/>
          <w:iCs w:val="1"/>
          <w:color w:val="auto"/>
        </w:rPr>
        <w:t>Defense of Third Party Patent Challenges</w:t>
      </w:r>
      <w:r>
        <w:rPr>
          <w:rFonts w:ascii="Times New Roman" w:cs="Times New Roman" w:eastAsia="Times New Roman" w:hAnsi="Times New Roman"/>
          <w:sz w:val="20"/>
          <w:szCs w:val="20"/>
          <w:color w:val="auto"/>
        </w:rPr>
        <w:t>) 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6" w:name="page157"/>
    <w:bookmarkEnd w:id="156"/>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knowingly take any other action in the course thereof without Sanofi’s prior consent with respect to the Sanofi Territory, such consent not to be unreasonably withheld, delayed or conditioned. The Parties will reasonably assist each other and cooperate with each other, at their own expense, in any such investigation, pre-litigation preparation, or litigation to ensure that there is an aligned global litigation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10.5 Third Party Infringement Claims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10.5.1</w:t>
      </w:r>
      <w:r>
        <w:rPr>
          <w:sz w:val="20"/>
          <w:szCs w:val="20"/>
          <w:color w:val="auto"/>
        </w:rPr>
        <w:tab/>
      </w:r>
      <w:r>
        <w:rPr>
          <w:rFonts w:ascii="Times New Roman" w:cs="Times New Roman" w:eastAsia="Times New Roman" w:hAnsi="Times New Roman"/>
          <w:sz w:val="20"/>
          <w:szCs w:val="20"/>
          <w:b w:val="1"/>
          <w:bCs w:val="1"/>
          <w:color w:val="auto"/>
        </w:rPr>
        <w:t xml:space="preserve">Notification. </w:t>
      </w:r>
      <w:r>
        <w:rPr>
          <w:rFonts w:ascii="Times New Roman" w:cs="Times New Roman" w:eastAsia="Times New Roman" w:hAnsi="Times New Roman"/>
          <w:sz w:val="20"/>
          <w:szCs w:val="20"/>
          <w:color w:val="auto"/>
        </w:rPr>
        <w:t>Each Party will promptly notify the other Party of any claim alleging that the Research, Development,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Manufacture, Commercialization or other Exploitation of the Licensed Compounds or Licensed Products in the Territory infringes, misappropriates or otherwise violates any Patent Rights, Know-How or other intellectual property rights of any Third Party (“</w:t>
      </w:r>
      <w:r>
        <w:rPr>
          <w:rFonts w:ascii="Times New Roman" w:cs="Times New Roman" w:eastAsia="Times New Roman" w:hAnsi="Times New Roman"/>
          <w:sz w:val="20"/>
          <w:szCs w:val="20"/>
          <w:b w:val="1"/>
          <w:bCs w:val="1"/>
          <w:color w:val="auto"/>
        </w:rPr>
        <w:t>Third Party Infringement</w:t>
      </w:r>
      <w:r>
        <w:rPr>
          <w:rFonts w:ascii="Times New Roman" w:cs="Times New Roman" w:eastAsia="Times New Roman" w:hAnsi="Times New Roman"/>
          <w:sz w:val="20"/>
          <w:szCs w:val="20"/>
          <w:color w:val="auto"/>
        </w:rPr>
        <w:t>”). The Parties will promptly discuss the Third Party Infringement and the course of action to be taken in connection therewith, including a coordinated plan for all related jurisdictions, claims, and counterclaims.</w:t>
      </w:r>
    </w:p>
    <w:p>
      <w:pPr>
        <w:spacing w:after="0" w:line="179"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10.5.2</w:t>
      </w:r>
      <w:r>
        <w:rPr>
          <w:sz w:val="20"/>
          <w:szCs w:val="20"/>
          <w:color w:val="auto"/>
        </w:rPr>
        <w:tab/>
      </w:r>
      <w:r>
        <w:rPr>
          <w:rFonts w:ascii="Times New Roman" w:cs="Times New Roman" w:eastAsia="Times New Roman" w:hAnsi="Times New Roman"/>
          <w:sz w:val="20"/>
          <w:szCs w:val="20"/>
          <w:b w:val="1"/>
          <w:bCs w:val="1"/>
          <w:color w:val="auto"/>
        </w:rPr>
        <w:t xml:space="preserve">Right to Defend in the Sanofi Territory. </w:t>
      </w:r>
      <w:r>
        <w:rPr>
          <w:rFonts w:ascii="Times New Roman" w:cs="Times New Roman" w:eastAsia="Times New Roman" w:hAnsi="Times New Roman"/>
          <w:sz w:val="20"/>
          <w:szCs w:val="20"/>
          <w:color w:val="auto"/>
        </w:rPr>
        <w:t>Sanofi will have the sole right, but not the obligation, to defend, and take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actions (including to settle), with respect to any such claim of Third Party Infringement in the Sanofi Territory, at Sanofi’s sole discretion, and Fulcrum will have the right to be represented in any such action by counsel of its own choice. Any recovery (including any settlement) received as a result of any action under this Section 10.5.2 (</w:t>
      </w:r>
      <w:r>
        <w:rPr>
          <w:rFonts w:ascii="Times New Roman" w:cs="Times New Roman" w:eastAsia="Times New Roman" w:hAnsi="Times New Roman"/>
          <w:sz w:val="20"/>
          <w:szCs w:val="20"/>
          <w:i w:val="1"/>
          <w:iCs w:val="1"/>
          <w:color w:val="auto"/>
        </w:rPr>
        <w:t>Right to Defend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the Sanofi Territory) </w:t>
      </w:r>
      <w:r>
        <w:rPr>
          <w:rFonts w:ascii="Times New Roman" w:cs="Times New Roman" w:eastAsia="Times New Roman" w:hAnsi="Times New Roman"/>
          <w:sz w:val="20"/>
          <w:szCs w:val="20"/>
          <w:color w:val="auto"/>
        </w:rPr>
        <w:t>will be allocated in the following order: (a) first, to reimburse Sanofi for the costs and expenses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attorneys’ and professional fees) that Sanofi incurred in connection with such action, to the extent not previously reimbursed; (b) second, to reimburse Fulcrum, where it joins a legal action as provided under this Section 10.5.2 (</w:t>
      </w:r>
      <w:r>
        <w:rPr>
          <w:rFonts w:ascii="Times New Roman" w:cs="Times New Roman" w:eastAsia="Times New Roman" w:hAnsi="Times New Roman"/>
          <w:sz w:val="20"/>
          <w:szCs w:val="20"/>
          <w:i w:val="1"/>
          <w:iCs w:val="1"/>
          <w:color w:val="auto"/>
        </w:rPr>
        <w:t>Right to Defend in the Sanofi Territory</w:t>
      </w:r>
      <w:r>
        <w:rPr>
          <w:rFonts w:ascii="Times New Roman" w:cs="Times New Roman" w:eastAsia="Times New Roman" w:hAnsi="Times New Roman"/>
          <w:sz w:val="20"/>
          <w:szCs w:val="20"/>
          <w:color w:val="auto"/>
        </w:rPr>
        <w:t>) or Section 10.5.4 (</w:t>
      </w:r>
      <w:r>
        <w:rPr>
          <w:rFonts w:ascii="Times New Roman" w:cs="Times New Roman" w:eastAsia="Times New Roman" w:hAnsi="Times New Roman"/>
          <w:sz w:val="20"/>
          <w:szCs w:val="20"/>
          <w:i w:val="1"/>
          <w:iCs w:val="1"/>
          <w:color w:val="auto"/>
        </w:rPr>
        <w:t>Cooperation</w:t>
      </w:r>
      <w:r>
        <w:rPr>
          <w:rFonts w:ascii="Times New Roman" w:cs="Times New Roman" w:eastAsia="Times New Roman" w:hAnsi="Times New Roman"/>
          <w:sz w:val="20"/>
          <w:szCs w:val="20"/>
          <w:color w:val="auto"/>
        </w:rPr>
        <w:t>), for the reasonable and documented costs and expenses (including attorneys’ and professional fees) that Fulcrum incurred in connection with such action, to the extent not previously reimbursed; and (c) third, any remaining amounts will be retained by Sanofi.</w:t>
      </w:r>
    </w:p>
    <w:p>
      <w:pPr>
        <w:spacing w:after="0" w:line="182"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10.5.3</w:t>
      </w:r>
      <w:r>
        <w:rPr>
          <w:sz w:val="20"/>
          <w:szCs w:val="20"/>
          <w:color w:val="auto"/>
        </w:rPr>
        <w:tab/>
      </w:r>
      <w:r>
        <w:rPr>
          <w:rFonts w:ascii="Times New Roman" w:cs="Times New Roman" w:eastAsia="Times New Roman" w:hAnsi="Times New Roman"/>
          <w:sz w:val="20"/>
          <w:szCs w:val="20"/>
          <w:b w:val="1"/>
          <w:bCs w:val="1"/>
          <w:color w:val="auto"/>
        </w:rPr>
        <w:t xml:space="preserve">Right to Defend in the Fulcrum Territory. </w:t>
      </w:r>
      <w:r>
        <w:rPr>
          <w:rFonts w:ascii="Times New Roman" w:cs="Times New Roman" w:eastAsia="Times New Roman" w:hAnsi="Times New Roman"/>
          <w:sz w:val="20"/>
          <w:szCs w:val="20"/>
          <w:color w:val="auto"/>
        </w:rPr>
        <w:t>Fulcrum will have the sole right, but not the obligation, to defend, and take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actions (including to settle), with respect to any such claim of Third Party Infringement in the Fulcrum Territory, at Fulcrum’s sole discretion, and Sanofi will have the right to be represented in any such action by counsel of its own choice. Any recovery (including any settlement) received as a result of any action under this Section 10.5.3 (</w:t>
      </w:r>
      <w:r>
        <w:rPr>
          <w:rFonts w:ascii="Times New Roman" w:cs="Times New Roman" w:eastAsia="Times New Roman" w:hAnsi="Times New Roman"/>
          <w:sz w:val="20"/>
          <w:szCs w:val="20"/>
          <w:i w:val="1"/>
          <w:iCs w:val="1"/>
          <w:color w:val="auto"/>
        </w:rPr>
        <w:t>Right to Defend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Fulcrum Territory</w:t>
      </w:r>
      <w:r>
        <w:rPr>
          <w:rFonts w:ascii="Times New Roman" w:cs="Times New Roman" w:eastAsia="Times New Roman" w:hAnsi="Times New Roman"/>
          <w:sz w:val="20"/>
          <w:szCs w:val="20"/>
          <w:color w:val="auto"/>
        </w:rPr>
        <w:t>) will be allocated in the following order: (a) first, to reimburse Fulcrum for the costs and expenses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attorneys’ and professional fees) that Fulcrum incurred in connection with such action, to the extent not previously reimbursed; (b) second, to reimburse Sanofi, where it joins a legal action as provided under this Section 10.5.3 (</w:t>
      </w:r>
      <w:r>
        <w:rPr>
          <w:rFonts w:ascii="Times New Roman" w:cs="Times New Roman" w:eastAsia="Times New Roman" w:hAnsi="Times New Roman"/>
          <w:sz w:val="20"/>
          <w:szCs w:val="20"/>
          <w:i w:val="1"/>
          <w:iCs w:val="1"/>
          <w:color w:val="auto"/>
        </w:rPr>
        <w:t>Right to Defend in the Fulcrum Territory</w:t>
      </w:r>
      <w:r>
        <w:rPr>
          <w:rFonts w:ascii="Times New Roman" w:cs="Times New Roman" w:eastAsia="Times New Roman" w:hAnsi="Times New Roman"/>
          <w:sz w:val="20"/>
          <w:szCs w:val="20"/>
          <w:color w:val="auto"/>
        </w:rPr>
        <w:t>) or Section 10.5.4 (</w:t>
      </w:r>
      <w:r>
        <w:rPr>
          <w:rFonts w:ascii="Times New Roman" w:cs="Times New Roman" w:eastAsia="Times New Roman" w:hAnsi="Times New Roman"/>
          <w:sz w:val="20"/>
          <w:szCs w:val="20"/>
          <w:i w:val="1"/>
          <w:iCs w:val="1"/>
          <w:color w:val="auto"/>
        </w:rPr>
        <w:t>Cooperation</w:t>
      </w:r>
      <w:r>
        <w:rPr>
          <w:rFonts w:ascii="Times New Roman" w:cs="Times New Roman" w:eastAsia="Times New Roman" w:hAnsi="Times New Roman"/>
          <w:sz w:val="20"/>
          <w:szCs w:val="20"/>
          <w:color w:val="auto"/>
        </w:rPr>
        <w:t>), for the reasonable and documented costs and expenses (including attorneys’ and professional fees) that Sanofi incurred in connection with such action, to the extent not previously reimbursed; and (c) third, any remaining amounts will be retained by Fulcrum.</w:t>
      </w:r>
    </w:p>
    <w:p>
      <w:pPr>
        <w:spacing w:after="0" w:line="182" w:lineRule="exact"/>
        <w:rPr>
          <w:sz w:val="20"/>
          <w:szCs w:val="20"/>
          <w:color w:val="auto"/>
        </w:rPr>
      </w:pPr>
    </w:p>
    <w:p>
      <w:pPr>
        <w:jc w:val="both"/>
        <w:ind w:left="1500" w:hanging="694"/>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10.5.4</w:t>
      </w:r>
      <w:r>
        <w:rPr>
          <w:sz w:val="20"/>
          <w:szCs w:val="20"/>
          <w:color w:val="auto"/>
        </w:rPr>
        <w:tab/>
      </w: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Subject to Section 10.5.2 (</w:t>
      </w:r>
      <w:r>
        <w:rPr>
          <w:rFonts w:ascii="Times New Roman" w:cs="Times New Roman" w:eastAsia="Times New Roman" w:hAnsi="Times New Roman"/>
          <w:sz w:val="20"/>
          <w:szCs w:val="20"/>
          <w:i w:val="1"/>
          <w:iCs w:val="1"/>
          <w:color w:val="auto"/>
        </w:rPr>
        <w:t>Right to Defend in the Sanofi Territory</w:t>
      </w:r>
      <w:r>
        <w:rPr>
          <w:rFonts w:ascii="Times New Roman" w:cs="Times New Roman" w:eastAsia="Times New Roman" w:hAnsi="Times New Roman"/>
          <w:sz w:val="20"/>
          <w:szCs w:val="20"/>
          <w:color w:val="auto"/>
        </w:rPr>
        <w:t>) and Section 10.5.3 (</w:t>
      </w:r>
      <w:r>
        <w:rPr>
          <w:rFonts w:ascii="Times New Roman" w:cs="Times New Roman" w:eastAsia="Times New Roman" w:hAnsi="Times New Roman"/>
          <w:sz w:val="20"/>
          <w:szCs w:val="20"/>
          <w:i w:val="1"/>
          <w:iCs w:val="1"/>
          <w:color w:val="auto"/>
        </w:rPr>
        <w:t>Right to Defend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the Fulcrum Territory</w:t>
      </w:r>
      <w:r>
        <w:rPr>
          <w:rFonts w:ascii="Times New Roman" w:cs="Times New Roman" w:eastAsia="Times New Roman" w:hAnsi="Times New Roman"/>
          <w:sz w:val="20"/>
          <w:szCs w:val="20"/>
          <w:color w:val="auto"/>
        </w:rPr>
        <w:t>), the Party that is responsible for the applicable defense (the “</w:t>
      </w:r>
      <w:r>
        <w:rPr>
          <w:rFonts w:ascii="Times New Roman" w:cs="Times New Roman" w:eastAsia="Times New Roman" w:hAnsi="Times New Roman"/>
          <w:sz w:val="20"/>
          <w:szCs w:val="20"/>
          <w:b w:val="1"/>
          <w:bCs w:val="1"/>
          <w:color w:val="auto"/>
        </w:rPr>
        <w:t>Defending Party</w:t>
      </w:r>
      <w:r>
        <w:rPr>
          <w:rFonts w:ascii="Times New Roman" w:cs="Times New Roman" w:eastAsia="Times New Roman" w:hAnsi="Times New Roman"/>
          <w:sz w:val="20"/>
          <w:szCs w:val="20"/>
          <w:color w:val="auto"/>
        </w:rPr>
        <w:t>”) will keep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Party (the “</w:t>
      </w:r>
      <w:r>
        <w:rPr>
          <w:rFonts w:ascii="Times New Roman" w:cs="Times New Roman" w:eastAsia="Times New Roman" w:hAnsi="Times New Roman"/>
          <w:sz w:val="20"/>
          <w:szCs w:val="20"/>
          <w:b w:val="1"/>
          <w:bCs w:val="1"/>
          <w:color w:val="auto"/>
        </w:rPr>
        <w:t>Co-Defending Party</w:t>
      </w:r>
      <w:r>
        <w:rPr>
          <w:rFonts w:ascii="Times New Roman" w:cs="Times New Roman" w:eastAsia="Times New Roman" w:hAnsi="Times New Roman"/>
          <w:sz w:val="20"/>
          <w:szCs w:val="20"/>
          <w:color w:val="auto"/>
        </w:rPr>
        <w:t>”) reasonably informed of the status and progress of such defense. The Defending Party will reasonably consult with the Co-Defending Party, including using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jc w:val="both"/>
        <w:ind w:left="1500"/>
        <w:spacing w:after="0" w:line="266" w:lineRule="auto"/>
        <w:rPr>
          <w:sz w:val="20"/>
          <w:szCs w:val="20"/>
          <w:color w:val="auto"/>
        </w:rPr>
      </w:pPr>
      <w:r>
        <w:rPr>
          <w:rFonts w:ascii="Times New Roman" w:cs="Times New Roman" w:eastAsia="Times New Roman" w:hAnsi="Times New Roman"/>
          <w:sz w:val="19"/>
          <w:szCs w:val="19"/>
          <w:color w:val="auto"/>
        </w:rPr>
        <w:t>reasonable efforts to take the Co-Defending Party’s reasonable and timely comments into good faith consideration with respect to such defense. The Co-Defending Party will also provide reasonable assistance in connection with such defense, including by executing reasonably appropriate documents, cooperating in discovery and joining as a party to the action if required. Each Party will bear its own costs and expenses under this Section 10.5 (</w:t>
      </w:r>
      <w:r>
        <w:rPr>
          <w:rFonts w:ascii="Times New Roman" w:cs="Times New Roman" w:eastAsia="Times New Roman" w:hAnsi="Times New Roman"/>
          <w:sz w:val="19"/>
          <w:szCs w:val="19"/>
          <w:i w:val="1"/>
          <w:iCs w:val="1"/>
          <w:color w:val="auto"/>
        </w:rPr>
        <w:t>Third Party Infringement Claims</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10.6 Patent Challenges of Third Party Patent Rights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10.6.1</w:t>
      </w:r>
      <w:r>
        <w:rPr>
          <w:sz w:val="20"/>
          <w:szCs w:val="20"/>
          <w:color w:val="auto"/>
        </w:rPr>
        <w:tab/>
      </w:r>
      <w:r>
        <w:rPr>
          <w:rFonts w:ascii="Times New Roman" w:cs="Times New Roman" w:eastAsia="Times New Roman" w:hAnsi="Times New Roman"/>
          <w:sz w:val="20"/>
          <w:szCs w:val="20"/>
          <w:b w:val="1"/>
          <w:bCs w:val="1"/>
          <w:color w:val="auto"/>
        </w:rPr>
        <w:t>Notice of Third Party Patent Right</w:t>
      </w:r>
      <w:r>
        <w:rPr>
          <w:rFonts w:ascii="Times New Roman" w:cs="Times New Roman" w:eastAsia="Times New Roman" w:hAnsi="Times New Roman"/>
          <w:sz w:val="20"/>
          <w:szCs w:val="20"/>
          <w:color w:val="auto"/>
        </w:rPr>
        <w:t>. If either Party becomes aware of a Third Party Patent Right that might form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basis for a claim that the Exploitation of a Licensed Product anywhere in the world infringes, or will infringe, such Patent Right, then the Party first obtaining knowledge of such Patent Right will promptly notify the other Party, with and the Parties will promptly meet to discuss the matter.</w:t>
      </w:r>
    </w:p>
    <w:p>
      <w:pPr>
        <w:spacing w:after="0" w:line="176"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10.6.2</w:t>
      </w:r>
      <w:r>
        <w:rPr>
          <w:sz w:val="20"/>
          <w:szCs w:val="20"/>
          <w:color w:val="auto"/>
        </w:rPr>
        <w:tab/>
      </w:r>
      <w:r>
        <w:rPr>
          <w:rFonts w:ascii="Times New Roman" w:cs="Times New Roman" w:eastAsia="Times New Roman" w:hAnsi="Times New Roman"/>
          <w:sz w:val="19"/>
          <w:szCs w:val="19"/>
          <w:b w:val="1"/>
          <w:bCs w:val="1"/>
          <w:color w:val="auto"/>
        </w:rPr>
        <w:t>Patent Challenges of Third Party Patents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2260" w:hanging="754"/>
        <w:spacing w:after="0" w:line="246" w:lineRule="auto"/>
        <w:tabs>
          <w:tab w:leader="none" w:pos="190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Fulcrum will have the first right, but not the obligation, to prosecute a Patent Challenge of such Third Party Patent Right in the Fulcrum Territory using counsel of its choosing,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if Fulcrum chooses not to initiate such a Patent Challenge without a strategic reason, Sanofi will have the second right, but not the obligation, to do so. Following discussion and coordination by the Parties, Sanofi may prosecute a parallel Patent Challenge of such Third Party Patent Right in the Fulcrum Territory using counsel of its choosing.</w:t>
      </w:r>
    </w:p>
    <w:p>
      <w:pPr>
        <w:spacing w:after="0" w:line="184" w:lineRule="exact"/>
        <w:rPr>
          <w:rFonts w:ascii="Times New Roman" w:cs="Times New Roman" w:eastAsia="Times New Roman" w:hAnsi="Times New Roman"/>
          <w:sz w:val="20"/>
          <w:szCs w:val="20"/>
          <w:color w:val="auto"/>
        </w:rPr>
      </w:pPr>
    </w:p>
    <w:p>
      <w:pPr>
        <w:ind w:left="2260" w:hanging="754"/>
        <w:spacing w:after="0" w:line="246" w:lineRule="auto"/>
        <w:tabs>
          <w:tab w:leader="none" w:pos="190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Sanofi will have the first right, but not the obligation, to initiate a Patent Challenge of such Third Party Patent Right in the Sanofi Territory using counsel of its choosing,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if Sanofi chooses not to initiate such a Patent Challenge without a strategic reason, Fulcrum will have the second right, but not the obligation, to do so. Following discussion and coordination by the Parties, Fulcrum may prosecute a parallel Patent Challenge of such Third Party Patent Right in the Sanofi Territory using counsel of its choosing.</w:t>
      </w:r>
    </w:p>
    <w:p>
      <w:pPr>
        <w:spacing w:after="0" w:line="184" w:lineRule="exact"/>
        <w:rPr>
          <w:rFonts w:ascii="Times New Roman" w:cs="Times New Roman" w:eastAsia="Times New Roman" w:hAnsi="Times New Roman"/>
          <w:sz w:val="20"/>
          <w:szCs w:val="20"/>
          <w:color w:val="auto"/>
        </w:rPr>
      </w:pPr>
    </w:p>
    <w:p>
      <w:pPr>
        <w:ind w:left="2260" w:hanging="754"/>
        <w:spacing w:after="0" w:line="243" w:lineRule="auto"/>
        <w:tabs>
          <w:tab w:leader="none" w:pos="190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Party initiating such Patent Challenge will (i) keep the other Party reasonably informed regarding any such Patent Challenge, including by providing the other Party with copies of all material and substantive pleadings and other documents filed in any proceeding relating to such Patent Challenge, (ii) consider timely and reasonable input from the other Party during the course of the Patent Challenge, and (iii) provide the other Party with the opportunity to attend any material substantive meetings, hearings, or other proceedings related to such Patent Challenge (together with its own counsel, at its own expense) and to review and comment on all substantive documents related to such Patent Challenge prior to filing or submission of such documents. The Parties will reasonably assist each other and cooperate and share information with respect to any such Patent Challenge. Each Party will bear its own costs and expenses with respect to any such Patent Challenge.</w:t>
      </w:r>
    </w:p>
    <w:p>
      <w:pPr>
        <w:spacing w:after="0" w:line="182" w:lineRule="exact"/>
        <w:rPr>
          <w:sz w:val="20"/>
          <w:szCs w:val="20"/>
          <w:color w:val="auto"/>
        </w:rPr>
      </w:pPr>
    </w:p>
    <w:p>
      <w:pPr>
        <w:jc w:val="both"/>
        <w:ind w:left="760" w:hanging="7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10.7 Restrictions on Settlement. </w:t>
      </w:r>
      <w:r>
        <w:rPr>
          <w:rFonts w:ascii="Times New Roman" w:cs="Times New Roman" w:eastAsia="Times New Roman" w:hAnsi="Times New Roman"/>
          <w:sz w:val="20"/>
          <w:szCs w:val="20"/>
          <w:color w:val="auto"/>
        </w:rPr>
        <w:t>Neither Party may (a) stipulate or otherwise agree that any Fulcrum Patent Right or Collaboration Patent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 is invalid or unenforceable; (b) stipulate or otherwise agree that any Licensed Compound or Licensed Product infringes or otherwise violates any Third Party intellectual property; or (c) incur any costs or liability of the other Party with respect to any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ind w:left="760" w:right="20"/>
        <w:spacing w:after="0" w:line="269" w:lineRule="auto"/>
        <w:rPr>
          <w:sz w:val="20"/>
          <w:szCs w:val="20"/>
          <w:color w:val="auto"/>
        </w:rPr>
      </w:pPr>
      <w:r>
        <w:rPr>
          <w:rFonts w:ascii="Times New Roman" w:cs="Times New Roman" w:eastAsia="Times New Roman" w:hAnsi="Times New Roman"/>
          <w:sz w:val="20"/>
          <w:szCs w:val="20"/>
          <w:color w:val="auto"/>
        </w:rPr>
        <w:t>action taken with respect to Third Party intellectual property, in each case (a), (b) or (c), without the other Party’s prior written consent, which consent may not be unreasonably withheld, conditioned or delayed</w:t>
      </w:r>
      <w:r>
        <w:rPr>
          <w:rFonts w:ascii="Times New Roman" w:cs="Times New Roman" w:eastAsia="Times New Roman" w:hAnsi="Times New Roman"/>
          <w:sz w:val="20"/>
          <w:szCs w:val="20"/>
          <w:b w:val="1"/>
          <w:bCs w:val="1"/>
          <w:i w:val="1"/>
          <w:iCs w:val="1"/>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10.8 Patent Term Extensions; Patent Listings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10.8.1</w:t>
      </w:r>
      <w:r>
        <w:rPr>
          <w:sz w:val="20"/>
          <w:szCs w:val="20"/>
          <w:color w:val="auto"/>
        </w:rPr>
        <w:tab/>
      </w:r>
      <w:r>
        <w:rPr>
          <w:rFonts w:ascii="Times New Roman" w:cs="Times New Roman" w:eastAsia="Times New Roman" w:hAnsi="Times New Roman"/>
          <w:sz w:val="20"/>
          <w:szCs w:val="20"/>
          <w:b w:val="1"/>
          <w:bCs w:val="1"/>
          <w:color w:val="auto"/>
        </w:rPr>
        <w:t>Patent Term Extensions</w:t>
      </w:r>
      <w:r>
        <w:rPr>
          <w:rFonts w:ascii="Times New Roman" w:cs="Times New Roman" w:eastAsia="Times New Roman" w:hAnsi="Times New Roman"/>
          <w:sz w:val="20"/>
          <w:szCs w:val="20"/>
          <w:color w:val="auto"/>
        </w:rPr>
        <w:t>. With respect to any system for extending the term of Patent Rights in the Sanofi Territory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during the Term that is similar to the patent term extension system in the U.S., Sanofi will be solely responsible for making all decisions regarding patent term extensions in the Sanofi Territory with respect to the Licensed Products, including supplementary protection certificates and any other extensions that are now or become available in the future, that are applicable to Fulcrum Patent Rights or Collaboration Patent Rights licensed hereunder and that become available directly as a result of the Regulatory Approval of a Licensed Product in the Sanofi Territory;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Sanofi will consult with Fulcrum with respect to such decisions and consider in good faith the timely and reasonable comments and concerns of Fulcrum. Fulcrum and Sanofi will cooperate in connection with all such activities. For clarity, Fulcrum will be solely responsible for making all decisions regarding patent term extensions with respect to Licensed Products in the Fulcrum Territory.</w:t>
      </w:r>
    </w:p>
    <w:p>
      <w:pPr>
        <w:spacing w:after="0" w:line="182" w:lineRule="exact"/>
        <w:rPr>
          <w:sz w:val="20"/>
          <w:szCs w:val="20"/>
          <w:color w:val="auto"/>
        </w:rPr>
      </w:pPr>
    </w:p>
    <w:p>
      <w:pPr>
        <w:jc w:val="both"/>
        <w:ind w:left="1500" w:hanging="694"/>
        <w:spacing w:after="0" w:line="244" w:lineRule="auto"/>
        <w:tabs>
          <w:tab w:leader="none" w:pos="1480" w:val="left"/>
        </w:tabs>
        <w:rPr>
          <w:sz w:val="20"/>
          <w:szCs w:val="20"/>
          <w:color w:val="auto"/>
        </w:rPr>
      </w:pPr>
      <w:r>
        <w:rPr>
          <w:rFonts w:ascii="Times New Roman" w:cs="Times New Roman" w:eastAsia="Times New Roman" w:hAnsi="Times New Roman"/>
          <w:sz w:val="20"/>
          <w:szCs w:val="20"/>
          <w:color w:val="auto"/>
        </w:rPr>
        <w:t>10.8.2</w:t>
      </w:r>
      <w:r>
        <w:rPr>
          <w:sz w:val="20"/>
          <w:szCs w:val="20"/>
          <w:color w:val="auto"/>
        </w:rPr>
        <w:tab/>
      </w:r>
      <w:r>
        <w:rPr>
          <w:rFonts w:ascii="Times New Roman" w:cs="Times New Roman" w:eastAsia="Times New Roman" w:hAnsi="Times New Roman"/>
          <w:sz w:val="20"/>
          <w:szCs w:val="20"/>
          <w:b w:val="1"/>
          <w:bCs w:val="1"/>
          <w:color w:val="auto"/>
        </w:rPr>
        <w:t>Patent Listings</w:t>
      </w:r>
      <w:r>
        <w:rPr>
          <w:rFonts w:ascii="Times New Roman" w:cs="Times New Roman" w:eastAsia="Times New Roman" w:hAnsi="Times New Roman"/>
          <w:sz w:val="20"/>
          <w:szCs w:val="20"/>
          <w:color w:val="auto"/>
        </w:rPr>
        <w:t>. As between the Parties, (a) Sanofi will have the sole and exclusive right to make all patent listings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Patent Rights or other Patent Right-related submissions with Regulatory Authorities for the Licensed Compounds and Licensed Products with respect to the Sanofi Technology (as well as any other intellectual property owned or Controlled by Sanofi); and (b) Fulcrum will have the sole and exclusive right to make all patent listings of Patent Rights or other Patent Right-related submissions with Regulatory Authorities for the Licensed Compounds and Licensed Products with respect to the Fulcrum Technology (as well as any other intellectual property owned or Controlled by Fulcrum). If applicable, the non-submitting Party will cooperate with the submitting Party’s reasonable requests in connection therewith, including meeting any submission deadlines, to the extent required or permitted by Applicable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10.9 Unified Patent Court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10.9.1</w:t>
      </w:r>
      <w:r>
        <w:rPr>
          <w:sz w:val="20"/>
          <w:szCs w:val="20"/>
          <w:color w:val="auto"/>
        </w:rPr>
        <w:tab/>
      </w: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Capitalized terms in this Section 10.9 (</w:t>
      </w:r>
      <w:r>
        <w:rPr>
          <w:rFonts w:ascii="Times New Roman" w:cs="Times New Roman" w:eastAsia="Times New Roman" w:hAnsi="Times New Roman"/>
          <w:sz w:val="20"/>
          <w:szCs w:val="20"/>
          <w:i w:val="1"/>
          <w:iCs w:val="1"/>
          <w:color w:val="auto"/>
        </w:rPr>
        <w:t>Unified Patent Court</w:t>
      </w:r>
      <w:r>
        <w:rPr>
          <w:rFonts w:ascii="Times New Roman" w:cs="Times New Roman" w:eastAsia="Times New Roman" w:hAnsi="Times New Roman"/>
          <w:sz w:val="20"/>
          <w:szCs w:val="20"/>
          <w:color w:val="auto"/>
        </w:rPr>
        <w:t>) will have the meaning given to such terms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Rules of Procedure of the Unified Patent Court as adopted by decision of the Administrative Committee on 8 July 2022 and established by the Agreement on a Unified Patent Court of 19 February 2013 (OJ C 175, 20.6.2013, p. 1) (including any subsequent amendments).</w:t>
      </w:r>
    </w:p>
    <w:p>
      <w:pPr>
        <w:spacing w:after="0" w:line="176" w:lineRule="exact"/>
        <w:rPr>
          <w:sz w:val="20"/>
          <w:szCs w:val="20"/>
          <w:color w:val="auto"/>
        </w:rPr>
      </w:pPr>
    </w:p>
    <w:p>
      <w:pPr>
        <w:jc w:val="both"/>
        <w:ind w:left="1500" w:hanging="694"/>
        <w:spacing w:after="0" w:line="273" w:lineRule="auto"/>
        <w:tabs>
          <w:tab w:leader="none" w:pos="1480" w:val="left"/>
        </w:tabs>
        <w:rPr>
          <w:sz w:val="20"/>
          <w:szCs w:val="20"/>
          <w:color w:val="auto"/>
        </w:rPr>
      </w:pPr>
      <w:r>
        <w:rPr>
          <w:rFonts w:ascii="Times New Roman" w:cs="Times New Roman" w:eastAsia="Times New Roman" w:hAnsi="Times New Roman"/>
          <w:sz w:val="20"/>
          <w:szCs w:val="20"/>
          <w:color w:val="auto"/>
        </w:rPr>
        <w:t>10.9.2</w:t>
      </w:r>
      <w:r>
        <w:rPr>
          <w:sz w:val="20"/>
          <w:szCs w:val="20"/>
          <w:color w:val="auto"/>
        </w:rPr>
        <w:tab/>
      </w: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Sanofi will be solely responsible for making all decisions regarding the opting-out or opting-in of existing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Patent Rights into the jurisdiction of the Unified Patent Court or the registration of Patent Rights with Unitary Effect.</w:t>
      </w:r>
    </w:p>
    <w:p>
      <w:pPr>
        <w:spacing w:after="0" w:line="152" w:lineRule="exact"/>
        <w:rPr>
          <w:sz w:val="20"/>
          <w:szCs w:val="20"/>
          <w:color w:val="auto"/>
        </w:rPr>
      </w:pPr>
    </w:p>
    <w:p>
      <w:pPr>
        <w:jc w:val="both"/>
        <w:ind w:left="1500" w:right="20" w:hanging="694"/>
        <w:spacing w:after="0" w:line="273" w:lineRule="auto"/>
        <w:tabs>
          <w:tab w:leader="none" w:pos="1480" w:val="left"/>
        </w:tabs>
        <w:rPr>
          <w:sz w:val="20"/>
          <w:szCs w:val="20"/>
          <w:color w:val="auto"/>
        </w:rPr>
      </w:pPr>
      <w:r>
        <w:rPr>
          <w:rFonts w:ascii="Times New Roman" w:cs="Times New Roman" w:eastAsia="Times New Roman" w:hAnsi="Times New Roman"/>
          <w:sz w:val="20"/>
          <w:szCs w:val="20"/>
          <w:color w:val="auto"/>
        </w:rPr>
        <w:t>10.9.3</w:t>
      </w:r>
      <w:r>
        <w:rPr>
          <w:sz w:val="20"/>
          <w:szCs w:val="20"/>
          <w:color w:val="auto"/>
        </w:rPr>
        <w:tab/>
      </w:r>
      <w:r>
        <w:rPr>
          <w:rFonts w:ascii="Times New Roman" w:cs="Times New Roman" w:eastAsia="Times New Roman" w:hAnsi="Times New Roman"/>
          <w:sz w:val="20"/>
          <w:szCs w:val="20"/>
          <w:b w:val="1"/>
          <w:bCs w:val="1"/>
          <w:color w:val="auto"/>
        </w:rPr>
        <w:t>Opt-Out and Withdrawal of Opt-Out</w:t>
      </w:r>
      <w:r>
        <w:rPr>
          <w:rFonts w:ascii="Times New Roman" w:cs="Times New Roman" w:eastAsia="Times New Roman" w:hAnsi="Times New Roman"/>
          <w:sz w:val="20"/>
          <w:szCs w:val="20"/>
          <w:color w:val="auto"/>
        </w:rPr>
        <w:t>. Notwithstanding any provision to the contrary hereunder, Sanofi will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rights:</w:t>
      </w:r>
    </w:p>
    <w:p>
      <w:pPr>
        <w:spacing w:after="0" w:line="156" w:lineRule="exact"/>
        <w:rPr>
          <w:sz w:val="20"/>
          <w:szCs w:val="20"/>
          <w:color w:val="auto"/>
        </w:rPr>
      </w:pPr>
    </w:p>
    <w:p>
      <w:pPr>
        <w:ind w:left="2260" w:hanging="754"/>
        <w:spacing w:after="0" w:line="254" w:lineRule="auto"/>
        <w:tabs>
          <w:tab w:leader="none" w:pos="190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Patent Rights that are co-owned by Sanofi and Fulcrum, Sanofi shall have the sole right (but not the obligation), at its sole expense and sole discretion, to (i) file an application to Opt-Out any European Patent from the exclusive competence of the Unified Patent Court or (ii) lodge an application to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jc w:val="both"/>
        <w:ind w:left="2260"/>
        <w:spacing w:after="0" w:line="249" w:lineRule="auto"/>
        <w:rPr>
          <w:sz w:val="20"/>
          <w:szCs w:val="20"/>
          <w:color w:val="auto"/>
        </w:rPr>
      </w:pPr>
      <w:r>
        <w:rPr>
          <w:rFonts w:ascii="Times New Roman" w:cs="Times New Roman" w:eastAsia="Times New Roman" w:hAnsi="Times New Roman"/>
          <w:sz w:val="20"/>
          <w:szCs w:val="20"/>
          <w:color w:val="auto"/>
        </w:rPr>
        <w:t>Withdraw an Opt-Out with respect to any European Patent from the exclusive competence of the Unified Patent Court, in accordance with Applicable Laws (including Article 83 of Unified Patent Court Agreement and Rule 8 of the Rules of Procedure of the Unified Patent Court). Fulcrum will provide on request any evidence or signed document needed for a valid Opt-Out, or a valid Withdrawal of an Opt-Out;</w:t>
      </w:r>
    </w:p>
    <w:p>
      <w:pPr>
        <w:spacing w:after="0" w:line="180" w:lineRule="exact"/>
        <w:rPr>
          <w:sz w:val="20"/>
          <w:szCs w:val="20"/>
          <w:color w:val="auto"/>
        </w:rPr>
      </w:pPr>
    </w:p>
    <w:p>
      <w:pPr>
        <w:ind w:left="2260" w:hanging="754"/>
        <w:spacing w:after="0" w:line="242" w:lineRule="auto"/>
        <w:tabs>
          <w:tab w:leader="none" w:pos="190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Patent Rights owned by Fulcrum, Fulcrum will, at Sanofi’s sole discretion, cost and expense, as soon as reasonably practicable after a request by Sanofi, and no later than [***] after the request, (i) file an application to Opt-Out any European Patent specified by Sanofi from the exclusive competence of the Unified Patent Court, pay any prescribed fee, and take any action as may be necessary or useful to secure the Opt-Out, or (ii) lodge an application to Withdraw an Opt-Out with respect to any European Patent specified by Sanofi from the exclusive competence of the Unified Patent Court, pay any prescribed fee, and take any action as may be necessary or useful to secure the Withdrawal, in accordance with Applicable Laws (including Article 83 of Unified Patent Court Agreement and Rule 5 of the Rules of Procedure of the Unified Patent Court). Sanofi shall provide on request any evidence or signed document needed for a valid Opt-Out, or a valid Withdrawal of an Opt-Out.</w:t>
      </w:r>
    </w:p>
    <w:p>
      <w:pPr>
        <w:spacing w:after="0" w:line="188" w:lineRule="exact"/>
        <w:rPr>
          <w:sz w:val="20"/>
          <w:szCs w:val="20"/>
          <w:color w:val="auto"/>
        </w:rPr>
      </w:pPr>
    </w:p>
    <w:p>
      <w:pPr>
        <w:ind w:left="1500" w:hanging="694"/>
        <w:spacing w:after="0" w:line="273" w:lineRule="auto"/>
        <w:tabs>
          <w:tab w:leader="none" w:pos="1480" w:val="left"/>
        </w:tabs>
        <w:rPr>
          <w:sz w:val="20"/>
          <w:szCs w:val="20"/>
          <w:color w:val="auto"/>
        </w:rPr>
      </w:pPr>
      <w:r>
        <w:rPr>
          <w:rFonts w:ascii="Times New Roman" w:cs="Times New Roman" w:eastAsia="Times New Roman" w:hAnsi="Times New Roman"/>
          <w:sz w:val="20"/>
          <w:szCs w:val="20"/>
          <w:color w:val="auto"/>
        </w:rPr>
        <w:t>10.9.4</w:t>
      </w:r>
      <w:r>
        <w:rPr>
          <w:sz w:val="20"/>
          <w:szCs w:val="20"/>
          <w:color w:val="auto"/>
        </w:rPr>
        <w:tab/>
      </w:r>
      <w:r>
        <w:rPr>
          <w:rFonts w:ascii="Times New Roman" w:cs="Times New Roman" w:eastAsia="Times New Roman" w:hAnsi="Times New Roman"/>
          <w:sz w:val="20"/>
          <w:szCs w:val="20"/>
          <w:b w:val="1"/>
          <w:bCs w:val="1"/>
          <w:color w:val="auto"/>
        </w:rPr>
        <w:t>Unitary Patents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Request for Unitary Effect. </w:t>
      </w:r>
      <w:r>
        <w:rPr>
          <w:rFonts w:ascii="Times New Roman" w:cs="Times New Roman" w:eastAsia="Times New Roman" w:hAnsi="Times New Roman"/>
          <w:sz w:val="20"/>
          <w:szCs w:val="20"/>
          <w:color w:val="auto"/>
        </w:rPr>
        <w:t>Notwithstanding any provision to the contrary hereunder, Sanofi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the following rights:</w:t>
      </w:r>
    </w:p>
    <w:p>
      <w:pPr>
        <w:spacing w:after="0" w:line="156" w:lineRule="exact"/>
        <w:rPr>
          <w:sz w:val="20"/>
          <w:szCs w:val="20"/>
          <w:color w:val="auto"/>
        </w:rPr>
      </w:pPr>
    </w:p>
    <w:p>
      <w:pPr>
        <w:ind w:left="2260" w:hanging="754"/>
        <w:spacing w:after="0" w:line="254" w:lineRule="auto"/>
        <w:tabs>
          <w:tab w:leader="none" w:pos="190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Patent Rights that are co-owned by Sanofi and Fulcrum, Sanofi will have the sole right (but not the obligation), at its sole expense, to file a request for Unitary Effect for any granted European Patent. Fulcrum shall provide on request any evidence or signed document needed for a valid request for Unitary Effect.</w:t>
      </w:r>
    </w:p>
    <w:p>
      <w:pPr>
        <w:spacing w:after="0" w:line="174" w:lineRule="exact"/>
        <w:rPr>
          <w:rFonts w:ascii="Times New Roman" w:cs="Times New Roman" w:eastAsia="Times New Roman" w:hAnsi="Times New Roman"/>
          <w:sz w:val="20"/>
          <w:szCs w:val="20"/>
          <w:color w:val="auto"/>
        </w:rPr>
      </w:pPr>
    </w:p>
    <w:p>
      <w:pPr>
        <w:ind w:left="2260" w:hanging="754"/>
        <w:spacing w:after="0" w:line="245" w:lineRule="auto"/>
        <w:tabs>
          <w:tab w:leader="none" w:pos="190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Patent Rights owned by Fulcrum, Fulcrum will, at Sanofi’s sole cost and expense, as soon as reasonably practicable after a request by Sanofi, but in any case no later than [***] after the mention of the grant in the European Patent Bulletin, (i) file a request for Unitary Effect for any granted European Patent specified by Sanofi, and (ii) take such other actions as may be necessary or useful to secure the request for Unitary Effect of such European granted patent including filing any required translation referred to in Article 6.1. of Regulation (EU) No. 1260/2012.</w:t>
      </w:r>
    </w:p>
    <w:p>
      <w:pPr>
        <w:spacing w:after="0" w:line="180" w:lineRule="exact"/>
        <w:rPr>
          <w:sz w:val="20"/>
          <w:szCs w:val="20"/>
          <w:color w:val="auto"/>
        </w:rPr>
      </w:pPr>
    </w:p>
    <w:p>
      <w:pPr>
        <w:ind w:left="1500" w:right="20" w:hanging="694"/>
        <w:spacing w:after="0" w:line="273" w:lineRule="auto"/>
        <w:tabs>
          <w:tab w:leader="none" w:pos="1480" w:val="left"/>
        </w:tabs>
        <w:rPr>
          <w:sz w:val="20"/>
          <w:szCs w:val="20"/>
          <w:color w:val="auto"/>
        </w:rPr>
      </w:pPr>
      <w:r>
        <w:rPr>
          <w:rFonts w:ascii="Times New Roman" w:cs="Times New Roman" w:eastAsia="Times New Roman" w:hAnsi="Times New Roman"/>
          <w:sz w:val="20"/>
          <w:szCs w:val="20"/>
          <w:color w:val="auto"/>
        </w:rPr>
        <w:t>10.9.5</w:t>
      </w:r>
      <w:r>
        <w:rPr>
          <w:sz w:val="20"/>
          <w:szCs w:val="20"/>
          <w:color w:val="auto"/>
        </w:rPr>
        <w:tab/>
      </w:r>
      <w:r>
        <w:rPr>
          <w:rFonts w:ascii="Times New Roman" w:cs="Times New Roman" w:eastAsia="Times New Roman" w:hAnsi="Times New Roman"/>
          <w:sz w:val="20"/>
          <w:szCs w:val="20"/>
          <w:b w:val="1"/>
          <w:bCs w:val="1"/>
          <w:color w:val="auto"/>
        </w:rPr>
        <w:t xml:space="preserve">Cooperation. </w:t>
      </w:r>
      <w:r>
        <w:rPr>
          <w:rFonts w:ascii="Times New Roman" w:cs="Times New Roman" w:eastAsia="Times New Roman" w:hAnsi="Times New Roman"/>
          <w:sz w:val="20"/>
          <w:szCs w:val="20"/>
          <w:color w:val="auto"/>
        </w:rPr>
        <w:t>Sanofi will consult with Fulcrum with respect to such decisions and will consider the timely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comments and concerns of Fulcrum in good faith.</w:t>
      </w:r>
    </w:p>
    <w:p>
      <w:pPr>
        <w:spacing w:after="0" w:line="152"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10.10</w:t>
        <w:tab/>
        <w:t xml:space="preserve">Common Interest </w:t>
      </w:r>
      <w:r>
        <w:rPr>
          <w:rFonts w:ascii="Times New Roman" w:cs="Times New Roman" w:eastAsia="Times New Roman" w:hAnsi="Times New Roman"/>
          <w:sz w:val="20"/>
          <w:szCs w:val="20"/>
          <w:color w:val="auto"/>
        </w:rPr>
        <w:t>. All information exchanged between the Parties regarding the prosecution, maintenance, enforcement,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defense of Patent Rights or a Patent Challenge with respect to a Third Party’s Patent Rights under this Article 10 (</w:t>
      </w:r>
      <w:r>
        <w:rPr>
          <w:rFonts w:ascii="Times New Roman" w:cs="Times New Roman" w:eastAsia="Times New Roman" w:hAnsi="Times New Roman"/>
          <w:sz w:val="20"/>
          <w:szCs w:val="20"/>
          <w:i w:val="1"/>
          <w:iCs w:val="1"/>
          <w:color w:val="auto"/>
        </w:rPr>
        <w:t>Intellectual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Property</w:t>
      </w:r>
      <w:r>
        <w:rPr>
          <w:rFonts w:ascii="Times New Roman" w:cs="Times New Roman" w:eastAsia="Times New Roman" w:hAnsi="Times New Roman"/>
          <w:sz w:val="20"/>
          <w:szCs w:val="20"/>
          <w:color w:val="auto"/>
        </w:rPr>
        <w:t>) will be the Confidential Information of the disclosing Party. In addition, the Parties stipulate and agree that, with regard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such prosecution, maintenance, enforcement, and defense the interests of the Parties as collaborators and licensor and licensee are to obtain the strongest patent protection possible for the Licensed Compounds and Licensed Products, and as such, are aligned and are legal in nature. The Parties stipulate and agree that they have not waived, and nothing in this Agreement constitutes a waiver of, any legal privilege concerning the Patent Rights under this Article 10 (</w:t>
      </w:r>
      <w:r>
        <w:rPr>
          <w:rFonts w:ascii="Times New Roman" w:cs="Times New Roman" w:eastAsia="Times New Roman" w:hAnsi="Times New Roman"/>
          <w:sz w:val="20"/>
          <w:szCs w:val="20"/>
          <w:i w:val="1"/>
          <w:iCs w:val="1"/>
          <w:color w:val="auto"/>
        </w:rPr>
        <w:t>Intellectual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both"/>
        <w:ind w:left="760"/>
        <w:spacing w:after="0" w:line="245" w:lineRule="auto"/>
        <w:rPr>
          <w:sz w:val="20"/>
          <w:szCs w:val="20"/>
          <w:color w:val="auto"/>
        </w:rPr>
      </w:pPr>
      <w:r>
        <w:rPr>
          <w:rFonts w:ascii="Times New Roman" w:cs="Times New Roman" w:eastAsia="Times New Roman" w:hAnsi="Times New Roman"/>
          <w:sz w:val="20"/>
          <w:szCs w:val="20"/>
          <w:i w:val="1"/>
          <w:iCs w:val="1"/>
          <w:color w:val="auto"/>
        </w:rPr>
        <w:t>Property</w:t>
      </w:r>
      <w:r>
        <w:rPr>
          <w:rFonts w:ascii="Times New Roman" w:cs="Times New Roman" w:eastAsia="Times New Roman" w:hAnsi="Times New Roman"/>
          <w:sz w:val="20"/>
          <w:szCs w:val="20"/>
          <w:color w:val="auto"/>
        </w:rPr>
        <w:t>), including privilege under the common interest doctrine and similar or related doctrines. Notwithstanding any provision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contrary set forth in this Agreement, to the extent a Party has a good faith belief that any information required to be disclosed by such Party to the other Party under this Article 10 (</w:t>
      </w:r>
      <w:r>
        <w:rPr>
          <w:rFonts w:ascii="Times New Roman" w:cs="Times New Roman" w:eastAsia="Times New Roman" w:hAnsi="Times New Roman"/>
          <w:sz w:val="20"/>
          <w:szCs w:val="20"/>
          <w:i w:val="1"/>
          <w:iCs w:val="1"/>
          <w:color w:val="auto"/>
        </w:rPr>
        <w:t>Intellectual Property</w:t>
      </w:r>
      <w:r>
        <w:rPr>
          <w:rFonts w:ascii="Times New Roman" w:cs="Times New Roman" w:eastAsia="Times New Roman" w:hAnsi="Times New Roman"/>
          <w:sz w:val="20"/>
          <w:szCs w:val="20"/>
          <w:color w:val="auto"/>
        </w:rPr>
        <w:t>) is protected by attorney-client privilege or any other applicable legal privilege or immunity, such Party will not be required to disclose such information and the Parties will in good faith cooperate to agree upon a procedure (including entering into a specific common interest agreement, disclosing such information on a “for counsel eyes only” basis or similar procedure) under which such information may be disclosed without waiving or breaching such privilege or immunity.</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10.11</w:t>
      </w:r>
      <w:r>
        <w:rPr>
          <w:sz w:val="20"/>
          <w:szCs w:val="20"/>
          <w:color w:val="auto"/>
        </w:rPr>
        <w:tab/>
      </w:r>
      <w:r>
        <w:rPr>
          <w:rFonts w:ascii="Times New Roman" w:cs="Times New Roman" w:eastAsia="Times New Roman" w:hAnsi="Times New Roman"/>
          <w:sz w:val="19"/>
          <w:szCs w:val="19"/>
          <w:b w:val="1"/>
          <w:bCs w:val="1"/>
          <w:color w:val="auto"/>
        </w:rPr>
        <w:t>Product Trademarks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10.11.1</w:t>
      </w:r>
      <w:r>
        <w:rPr>
          <w:sz w:val="20"/>
          <w:szCs w:val="20"/>
          <w:color w:val="auto"/>
        </w:rPr>
        <w:tab/>
      </w:r>
      <w:r>
        <w:rPr>
          <w:rFonts w:ascii="Times New Roman" w:cs="Times New Roman" w:eastAsia="Times New Roman" w:hAnsi="Times New Roman"/>
          <w:sz w:val="19"/>
          <w:szCs w:val="19"/>
          <w:b w:val="1"/>
          <w:bCs w:val="1"/>
          <w:color w:val="auto"/>
        </w:rPr>
        <w:t>Ownership</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260" w:hanging="754"/>
        <w:spacing w:after="0" w:line="242" w:lineRule="auto"/>
        <w:tabs>
          <w:tab w:leader="none" w:pos="190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Ownership of Sanofi Product Trademarks</w:t>
      </w:r>
      <w:r>
        <w:rPr>
          <w:rFonts w:ascii="Times New Roman" w:cs="Times New Roman" w:eastAsia="Times New Roman" w:hAnsi="Times New Roman"/>
          <w:sz w:val="20"/>
          <w:szCs w:val="20"/>
          <w:color w:val="auto"/>
        </w:rPr>
        <w:t>. As between the Parties, Sanofi will have the sole right to determine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own all right, title and interest in and to the Trademarks to be used by Sanofi or its Affiliates or its or their Sublicensees for the Commercialization of Licensed Product in the Sanofi Territory excluding any trademarks, service marks, names or logos that include any corporate name or logo of the Parties or their Affiliates or its or their Sublicensees (“</w:t>
      </w:r>
      <w:r>
        <w:rPr>
          <w:rFonts w:ascii="Times New Roman" w:cs="Times New Roman" w:eastAsia="Times New Roman" w:hAnsi="Times New Roman"/>
          <w:sz w:val="20"/>
          <w:szCs w:val="20"/>
          <w:b w:val="1"/>
          <w:bCs w:val="1"/>
          <w:color w:val="auto"/>
        </w:rPr>
        <w:t>Sanofi Product Trademarks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Sanofi Product Trademarks are consistent and do not conflict with the Joint Commercialization Strategy. Fulcrum will not and will not permit its Affiliates or licensees to, (i) use in their respective businesses, any Trademark that is confusingly similar to, misleading or deceptive with respect to or that dilutes any (or any part) of the Sanofi Product Trademarks, and (ii) do any act that endangers, destroys, or similarly affects, in any material respect, the value of the goodwill pertaining to the Sanofi Product Trademarks. Fulcrum will not and will not permit its Affiliates or licensees to, attack, dispute or contest the validity of or ownership of any Sanofi Product Trademark anywhere in the Sanofi Territory or any registrations issued or issuing with respect thereto.</w:t>
      </w:r>
    </w:p>
    <w:p>
      <w:pPr>
        <w:spacing w:after="0" w:line="187" w:lineRule="exact"/>
        <w:rPr>
          <w:rFonts w:ascii="Times New Roman" w:cs="Times New Roman" w:eastAsia="Times New Roman" w:hAnsi="Times New Roman"/>
          <w:sz w:val="20"/>
          <w:szCs w:val="20"/>
          <w:color w:val="auto"/>
        </w:rPr>
      </w:pPr>
    </w:p>
    <w:p>
      <w:pPr>
        <w:ind w:left="2260" w:hanging="754"/>
        <w:spacing w:after="0" w:line="242" w:lineRule="auto"/>
        <w:tabs>
          <w:tab w:leader="none" w:pos="190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Ownership of Fulcrum Product Trademarks</w:t>
      </w:r>
      <w:r>
        <w:rPr>
          <w:rFonts w:ascii="Times New Roman" w:cs="Times New Roman" w:eastAsia="Times New Roman" w:hAnsi="Times New Roman"/>
          <w:sz w:val="20"/>
          <w:szCs w:val="20"/>
          <w:color w:val="auto"/>
        </w:rPr>
        <w:t>. As between the Parties, Fulcrum will have the sole right to determine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will own all right, title and interest in and to the Trademarks to be used by Fulcrum or its Affiliates or its or their Sublicensees for the Commercialization of Licensed Product in the Fulcrum Territory excluding any trademarks, service marks, names or logos that include any corporate name or logo of the Parties or their Affiliates or its or their Sublicensees (“</w:t>
      </w:r>
      <w:r>
        <w:rPr>
          <w:rFonts w:ascii="Times New Roman" w:cs="Times New Roman" w:eastAsia="Times New Roman" w:hAnsi="Times New Roman"/>
          <w:sz w:val="20"/>
          <w:szCs w:val="20"/>
          <w:b w:val="1"/>
          <w:bCs w:val="1"/>
          <w:color w:val="auto"/>
        </w:rPr>
        <w:t>Fulcrum Product Trademarks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Fulcrum Product Trademarks are consistent and do not conflict with the Joint Commercialization Strategy. Sanofi will not and will not permit its Affiliates or sublicensee to, (i) use in their respective businesses, any Trademark that is confusingly similar to, misleading or deceptive with respect to or that dilutes any (or any part) of the Fulcrum Product Trademarks, and (ii) do any act that endangers, destroys, or similarly affects, in any material respect, the value of the goodwill pertaining to the Fulcrum Product Trademarks. Sanofi will not and will not permit its Affiliates to, attack, dispute or contest the validity of or ownership of any Fulcrum Product Trademark anywhere in the Fulcrum Territory or any registrations issued or issuing with respect thereto.</w:t>
      </w:r>
    </w:p>
    <w:p>
      <w:pPr>
        <w:spacing w:after="0" w:line="187" w:lineRule="exact"/>
        <w:rPr>
          <w:rFonts w:ascii="Times New Roman" w:cs="Times New Roman" w:eastAsia="Times New Roman" w:hAnsi="Times New Roman"/>
          <w:sz w:val="20"/>
          <w:szCs w:val="20"/>
          <w:color w:val="auto"/>
        </w:rPr>
      </w:pPr>
    </w:p>
    <w:p>
      <w:pPr>
        <w:ind w:left="2260" w:hanging="754"/>
        <w:spacing w:after="0" w:line="256" w:lineRule="auto"/>
        <w:tabs>
          <w:tab w:leader="none" w:pos="197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Ownership of Jointly-Determined Brand Names</w:t>
      </w:r>
      <w:r>
        <w:rPr>
          <w:rFonts w:ascii="Times New Roman" w:cs="Times New Roman" w:eastAsia="Times New Roman" w:hAnsi="Times New Roman"/>
          <w:sz w:val="20"/>
          <w:szCs w:val="20"/>
          <w:color w:val="auto"/>
        </w:rPr>
        <w:t>. In the event the Parties choose a brand name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Commercialization of a Licensed Product in the Territory in accordance with Section 3.4.3(a) (</w:t>
      </w:r>
      <w:r>
        <w:rPr>
          <w:rFonts w:ascii="Times New Roman" w:cs="Times New Roman" w:eastAsia="Times New Roman" w:hAnsi="Times New Roman"/>
          <w:sz w:val="20"/>
          <w:szCs w:val="20"/>
          <w:i w:val="1"/>
          <w:iCs w:val="1"/>
          <w:color w:val="auto"/>
        </w:rPr>
        <w:t>Specific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Responsibilities of the JCC</w:t>
      </w:r>
      <w:r>
        <w:rPr>
          <w:rFonts w:ascii="Times New Roman" w:cs="Times New Roman" w:eastAsia="Times New Roman" w:hAnsi="Times New Roman"/>
          <w:sz w:val="20"/>
          <w:szCs w:val="20"/>
          <w:color w:val="auto"/>
        </w:rPr>
        <w:t>) that is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1" w:name="page162"/>
    <w:bookmarkEnd w:id="161"/>
    <w:p>
      <w:pPr>
        <w:jc w:val="both"/>
        <w:ind w:left="1440"/>
        <w:spacing w:after="0" w:line="242" w:lineRule="auto"/>
        <w:rPr>
          <w:sz w:val="20"/>
          <w:szCs w:val="20"/>
          <w:color w:val="auto"/>
        </w:rPr>
      </w:pPr>
      <w:r>
        <w:rPr>
          <w:rFonts w:ascii="Times New Roman" w:cs="Times New Roman" w:eastAsia="Times New Roman" w:hAnsi="Times New Roman"/>
          <w:sz w:val="20"/>
          <w:szCs w:val="20"/>
          <w:color w:val="auto"/>
        </w:rPr>
        <w:t>covered by a Trademark for which Fulcrum commenced Trademark prosecution in the Sanofi Territory prior to such selection, then Fulcrum shall grant, and hereby grants, to Sanofi an exclusive (even as to Fulcrum), transferable (pursuant to Section 16.1 (</w:t>
      </w: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sublicensable (through multiple tiers), fully paid-up license free of royalties or other payment obligations (except as otherwise set forth in Article 9 (</w:t>
      </w:r>
      <w:r>
        <w:rPr>
          <w:rFonts w:ascii="Times New Roman" w:cs="Times New Roman" w:eastAsia="Times New Roman" w:hAnsi="Times New Roman"/>
          <w:sz w:val="20"/>
          <w:szCs w:val="20"/>
          <w:i w:val="1"/>
          <w:iCs w:val="1"/>
          <w:color w:val="auto"/>
        </w:rPr>
        <w:t>Payments</w:t>
      </w:r>
      <w:r>
        <w:rPr>
          <w:rFonts w:ascii="Times New Roman" w:cs="Times New Roman" w:eastAsia="Times New Roman" w:hAnsi="Times New Roman"/>
          <w:sz w:val="20"/>
          <w:szCs w:val="20"/>
          <w:color w:val="auto"/>
        </w:rPr>
        <w:t>)) to such brand name for the Commercialization of such Licensed Product in the Sanofi Territory. Any and all such Trademarks shall be deemed Sanofi Product Trademarks for any and all purposes under this Agreement (including, without limitation, for purposes of Section 10.11.3 (</w:t>
      </w:r>
      <w:r>
        <w:rPr>
          <w:rFonts w:ascii="Times New Roman" w:cs="Times New Roman" w:eastAsia="Times New Roman" w:hAnsi="Times New Roman"/>
          <w:sz w:val="20"/>
          <w:szCs w:val="20"/>
          <w:i w:val="1"/>
          <w:iCs w:val="1"/>
          <w:color w:val="auto"/>
        </w:rPr>
        <w:t>Prosecution of Product Trademarks</w:t>
      </w:r>
      <w:r>
        <w:rPr>
          <w:rFonts w:ascii="Times New Roman" w:cs="Times New Roman" w:eastAsia="Times New Roman" w:hAnsi="Times New Roman"/>
          <w:sz w:val="20"/>
          <w:szCs w:val="20"/>
          <w:color w:val="auto"/>
        </w:rPr>
        <w:t>), Section 10.11.4 (</w:t>
      </w:r>
      <w:r>
        <w:rPr>
          <w:rFonts w:ascii="Times New Roman" w:cs="Times New Roman" w:eastAsia="Times New Roman" w:hAnsi="Times New Roman"/>
          <w:sz w:val="20"/>
          <w:szCs w:val="20"/>
          <w:i w:val="1"/>
          <w:iCs w:val="1"/>
          <w:color w:val="auto"/>
        </w:rPr>
        <w:t>Enforcement of Product Trademarks</w:t>
      </w:r>
      <w:r>
        <w:rPr>
          <w:rFonts w:ascii="Times New Roman" w:cs="Times New Roman" w:eastAsia="Times New Roman" w:hAnsi="Times New Roman"/>
          <w:sz w:val="20"/>
          <w:szCs w:val="20"/>
          <w:color w:val="auto"/>
        </w:rPr>
        <w:t>) and Section 10.11.5 (</w:t>
      </w:r>
      <w:r>
        <w:rPr>
          <w:rFonts w:ascii="Times New Roman" w:cs="Times New Roman" w:eastAsia="Times New Roman" w:hAnsi="Times New Roman"/>
          <w:sz w:val="20"/>
          <w:szCs w:val="20"/>
          <w:i w:val="1"/>
          <w:iCs w:val="1"/>
          <w:color w:val="auto"/>
        </w:rPr>
        <w:t>Third Party Claims</w:t>
      </w:r>
      <w:r>
        <w:rPr>
          <w:rFonts w:ascii="Times New Roman" w:cs="Times New Roman" w:eastAsia="Times New Roman" w:hAnsi="Times New Roman"/>
          <w:sz w:val="20"/>
          <w:szCs w:val="20"/>
          <w:color w:val="auto"/>
        </w:rPr>
        <w:t>)), other than Section</w:t>
      </w:r>
    </w:p>
    <w:p>
      <w:pPr>
        <w:spacing w:after="0" w:line="3" w:lineRule="exact"/>
        <w:rPr>
          <w:sz w:val="20"/>
          <w:szCs w:val="20"/>
          <w:color w:val="auto"/>
        </w:rPr>
      </w:pPr>
    </w:p>
    <w:p>
      <w:pPr>
        <w:jc w:val="both"/>
        <w:ind w:left="1440"/>
        <w:spacing w:after="0" w:line="242" w:lineRule="auto"/>
        <w:rPr>
          <w:sz w:val="20"/>
          <w:szCs w:val="20"/>
          <w:color w:val="auto"/>
        </w:rPr>
      </w:pPr>
      <w:r>
        <w:rPr>
          <w:rFonts w:ascii="Times New Roman" w:cs="Times New Roman" w:eastAsia="Times New Roman" w:hAnsi="Times New Roman"/>
          <w:sz w:val="20"/>
          <w:szCs w:val="20"/>
          <w:color w:val="auto"/>
        </w:rPr>
        <w:t>14.8.2 (</w:t>
      </w:r>
      <w:r>
        <w:rPr>
          <w:rFonts w:ascii="Times New Roman" w:cs="Times New Roman" w:eastAsia="Times New Roman" w:hAnsi="Times New Roman"/>
          <w:sz w:val="20"/>
          <w:szCs w:val="20"/>
          <w:i w:val="1"/>
          <w:iCs w:val="1"/>
          <w:color w:val="auto"/>
        </w:rPr>
        <w:t>Sanofi Product Trademarks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Fulcrum shall own all right, title and interest in and to such Trademarks and each Party will comply with the quality control standards set forth in Section 10.11.1(a) (</w:t>
      </w:r>
      <w:r>
        <w:rPr>
          <w:rFonts w:ascii="Times New Roman" w:cs="Times New Roman" w:eastAsia="Times New Roman" w:hAnsi="Times New Roman"/>
          <w:sz w:val="20"/>
          <w:szCs w:val="20"/>
          <w:i w:val="1"/>
          <w:iCs w:val="1"/>
          <w:color w:val="auto"/>
        </w:rPr>
        <w:t>Ownership of Sanofi Product Trademarks</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left="680" w:hanging="694"/>
        <w:spacing w:after="0" w:line="250" w:lineRule="auto"/>
        <w:tabs>
          <w:tab w:leader="none" w:pos="660" w:val="left"/>
        </w:tabs>
        <w:rPr>
          <w:sz w:val="20"/>
          <w:szCs w:val="20"/>
          <w:color w:val="auto"/>
        </w:rPr>
      </w:pPr>
      <w:r>
        <w:rPr>
          <w:rFonts w:ascii="Times New Roman" w:cs="Times New Roman" w:eastAsia="Times New Roman" w:hAnsi="Times New Roman"/>
          <w:sz w:val="20"/>
          <w:szCs w:val="20"/>
          <w:color w:val="auto"/>
        </w:rPr>
        <w:t>10.11.2</w:t>
      </w:r>
      <w:r>
        <w:rPr>
          <w:sz w:val="20"/>
          <w:szCs w:val="20"/>
          <w:color w:val="auto"/>
        </w:rPr>
        <w:tab/>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Each Party will provide to the other Party prompt written notice of any actual or threatened infringement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Sanofi Product Trademarks or Fulcrum Product Trademarks in the Territory and of any actual or threatened claim that the use of the Sanofi Product Trademarks or Fulcrum Product Trademarks in the Territory violates the rights of any Third Party, in each case, of which such Party becomes aware.</w:t>
      </w:r>
    </w:p>
    <w:p>
      <w:pPr>
        <w:spacing w:after="0" w:line="1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10.11.3</w:t>
      </w:r>
      <w:r>
        <w:rPr>
          <w:sz w:val="20"/>
          <w:szCs w:val="20"/>
          <w:color w:val="auto"/>
        </w:rPr>
        <w:tab/>
      </w:r>
      <w:r>
        <w:rPr>
          <w:rFonts w:ascii="Times New Roman" w:cs="Times New Roman" w:eastAsia="Times New Roman" w:hAnsi="Times New Roman"/>
          <w:sz w:val="19"/>
          <w:szCs w:val="19"/>
          <w:b w:val="1"/>
          <w:bCs w:val="1"/>
          <w:color w:val="auto"/>
        </w:rPr>
        <w:t>Prosecution of Product Trademarks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440" w:hanging="754"/>
        <w:spacing w:after="0" w:line="256" w:lineRule="auto"/>
        <w:tabs>
          <w:tab w:leader="none" w:pos="108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Sanofi Product Trademarks</w:t>
      </w:r>
      <w:r>
        <w:rPr>
          <w:rFonts w:ascii="Times New Roman" w:cs="Times New Roman" w:eastAsia="Times New Roman" w:hAnsi="Times New Roman"/>
          <w:sz w:val="20"/>
          <w:szCs w:val="20"/>
          <w:color w:val="auto"/>
        </w:rPr>
        <w:t>. Sanofi will have the sole right to register, prosecute and maintain the Sanofi Product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Trademarks in using counsel of its own choice. All costs and expenses of registering, prosecuting and maintaining the Sanofi Product Trademarks in the Territory will be borne solely by Sanofi.</w:t>
      </w:r>
    </w:p>
    <w:p>
      <w:pPr>
        <w:spacing w:after="0" w:line="168" w:lineRule="exact"/>
        <w:rPr>
          <w:rFonts w:ascii="Times New Roman" w:cs="Times New Roman" w:eastAsia="Times New Roman" w:hAnsi="Times New Roman"/>
          <w:sz w:val="20"/>
          <w:szCs w:val="20"/>
          <w:color w:val="auto"/>
        </w:rPr>
      </w:pPr>
    </w:p>
    <w:p>
      <w:pPr>
        <w:ind w:left="1440" w:hanging="754"/>
        <w:spacing w:after="0" w:line="256" w:lineRule="auto"/>
        <w:tabs>
          <w:tab w:leader="none" w:pos="1101"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Fulcrum Product Trademarks</w:t>
      </w:r>
      <w:r>
        <w:rPr>
          <w:rFonts w:ascii="Times New Roman" w:cs="Times New Roman" w:eastAsia="Times New Roman" w:hAnsi="Times New Roman"/>
          <w:sz w:val="20"/>
          <w:szCs w:val="20"/>
          <w:color w:val="auto"/>
        </w:rPr>
        <w:t>. Fulcrum will have the sole right to register, prosecute and maintain the Fulcrum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 Trademarks in using counsel of its own choice. All costs and expenses of registering, prosecuting and maintaining the Fulcrum Product Trademarks in the Territory will be borne solely by Fulcrum.</w:t>
      </w:r>
    </w:p>
    <w:p>
      <w:pPr>
        <w:spacing w:after="0" w:line="16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10.11.4</w:t>
      </w:r>
      <w:r>
        <w:rPr>
          <w:sz w:val="20"/>
          <w:szCs w:val="20"/>
          <w:color w:val="auto"/>
        </w:rPr>
        <w:tab/>
      </w:r>
      <w:r>
        <w:rPr>
          <w:rFonts w:ascii="Times New Roman" w:cs="Times New Roman" w:eastAsia="Times New Roman" w:hAnsi="Times New Roman"/>
          <w:sz w:val="19"/>
          <w:szCs w:val="19"/>
          <w:b w:val="1"/>
          <w:bCs w:val="1"/>
          <w:color w:val="auto"/>
        </w:rPr>
        <w:t>Enforcement of Product Trademarks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440" w:hanging="754"/>
        <w:spacing w:after="0" w:line="247" w:lineRule="auto"/>
        <w:tabs>
          <w:tab w:leader="none" w:pos="1087"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Sanofi Product Trademarks</w:t>
      </w:r>
      <w:r>
        <w:rPr>
          <w:rFonts w:ascii="Times New Roman" w:cs="Times New Roman" w:eastAsia="Times New Roman" w:hAnsi="Times New Roman"/>
          <w:sz w:val="20"/>
          <w:szCs w:val="20"/>
          <w:color w:val="auto"/>
        </w:rPr>
        <w:t>. Sanofi will have the sole right to take such action as Sanofi deems necessary against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Third Party based on any alleged, threatened or actual infringement, dilution, misappropriation or other violation of or unfair trade practices or any other like offense relating to, the Sanofi Product Trademarks by a Third Party in the Territory, at its sole cost and expense and using counsel of its own choice. Sanofi will retain any damages or other amounts collected in connection therewith.</w:t>
      </w:r>
    </w:p>
    <w:p>
      <w:pPr>
        <w:spacing w:after="0" w:line="180" w:lineRule="exact"/>
        <w:rPr>
          <w:rFonts w:ascii="Times New Roman" w:cs="Times New Roman" w:eastAsia="Times New Roman" w:hAnsi="Times New Roman"/>
          <w:sz w:val="20"/>
          <w:szCs w:val="20"/>
          <w:color w:val="auto"/>
        </w:rPr>
      </w:pPr>
    </w:p>
    <w:p>
      <w:pPr>
        <w:ind w:left="1440" w:hanging="754"/>
        <w:spacing w:after="0" w:line="247" w:lineRule="auto"/>
        <w:tabs>
          <w:tab w:leader="none" w:pos="110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Fulcrum Product Trademarks</w:t>
      </w:r>
      <w:r>
        <w:rPr>
          <w:rFonts w:ascii="Times New Roman" w:cs="Times New Roman" w:eastAsia="Times New Roman" w:hAnsi="Times New Roman"/>
          <w:sz w:val="20"/>
          <w:szCs w:val="20"/>
          <w:color w:val="auto"/>
        </w:rPr>
        <w:t>. Fulcrum will have the sole right to take such action as Fulcrum deems necessary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against a Third Party based on any alleged, threatened or actual infringement, dilution, misappropriation or other violation of or unfair trade practices or any other like offense relating to, the Fulcrum Product Trademarks by a Third Party in the Territory, at its sole cost and expense and using counsel of its own choice. Fulcrum will retain any damages or other amounts collected in connection therewith.</w:t>
      </w:r>
    </w:p>
    <w:p>
      <w:pPr>
        <w:spacing w:after="0" w:line="18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764540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140" w:top="1413" w:right="339" w:bottom="1440" w:gutter="0" w:footer="0" w:header="0"/>
        </w:sectPr>
      </w:pPr>
    </w:p>
    <w:bookmarkStart w:id="162" w:name="page163"/>
    <w:bookmarkEnd w:id="162"/>
    <w:p>
      <w:pPr>
        <w:ind w:left="2260" w:hanging="754"/>
        <w:spacing w:after="0" w:line="247" w:lineRule="auto"/>
        <w:tabs>
          <w:tab w:leader="none" w:pos="1921"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The non-enforcing Party shall provide reasonable assistance to the enforcing Party, at such enforcing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Party’s expense, with respect to any enforcement activities with respect to a Sanofi Product Trademark or Fulcrum Product Trademark, as applicable, under this Section 10.11.4 (</w:t>
      </w:r>
      <w:r>
        <w:rPr>
          <w:rFonts w:ascii="Times New Roman" w:cs="Times New Roman" w:eastAsia="Times New Roman" w:hAnsi="Times New Roman"/>
          <w:sz w:val="20"/>
          <w:szCs w:val="20"/>
          <w:i w:val="1"/>
          <w:iCs w:val="1"/>
          <w:color w:val="auto"/>
        </w:rPr>
        <w:t>Enforcement of Product Trademarks</w:t>
      </w:r>
      <w:r>
        <w:rPr>
          <w:rFonts w:ascii="Times New Roman" w:cs="Times New Roman" w:eastAsia="Times New Roman" w:hAnsi="Times New Roman"/>
          <w:sz w:val="20"/>
          <w:szCs w:val="20"/>
          <w:color w:val="auto"/>
        </w:rPr>
        <w:t>), including providing access to relevant documents and other evidence, making its employees reasonably available during business hours, and joining the action to the extent necessary to maintain the action.</w:t>
      </w:r>
    </w:p>
    <w:p>
      <w:pPr>
        <w:spacing w:after="0" w:line="180"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10.11.5</w:t>
      </w:r>
      <w:r>
        <w:rPr>
          <w:sz w:val="20"/>
          <w:szCs w:val="20"/>
          <w:color w:val="auto"/>
        </w:rPr>
        <w:tab/>
      </w:r>
      <w:r>
        <w:rPr>
          <w:rFonts w:ascii="Times New Roman" w:cs="Times New Roman" w:eastAsia="Times New Roman" w:hAnsi="Times New Roman"/>
          <w:sz w:val="19"/>
          <w:szCs w:val="19"/>
          <w:b w:val="1"/>
          <w:bCs w:val="1"/>
          <w:color w:val="auto"/>
        </w:rPr>
        <w:t>Third Party Claims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260" w:hanging="754"/>
        <w:spacing w:after="0" w:line="245" w:lineRule="auto"/>
        <w:tabs>
          <w:tab w:leader="none" w:pos="190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Sanofi Product Trademarks</w:t>
      </w:r>
      <w:r>
        <w:rPr>
          <w:rFonts w:ascii="Times New Roman" w:cs="Times New Roman" w:eastAsia="Times New Roman" w:hAnsi="Times New Roman"/>
          <w:sz w:val="20"/>
          <w:szCs w:val="20"/>
          <w:color w:val="auto"/>
        </w:rPr>
        <w:t>. Sanofi will have the sole right to defend against and settle any alleged, threatened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actual claim by a Third Party that the use or registration of the Sanofi Product Trademarks in the Territory infringes, dilutes, misappropriates or otherwise violates any Trademark or other right of that Third Party or constitutes unfair trade practices or any other like offense or any other claims as may be brought by a Third Party against a Party in connection with the use of the Sanofi Product Trademarks with respect to the Licensed Products in the Sanofi Territory, at its sole cost and expense and using counsel of its own choice. Sanofi will retain any damages or other amounts collected in connection therewith.</w:t>
      </w:r>
    </w:p>
    <w:p>
      <w:pPr>
        <w:spacing w:after="0" w:line="179" w:lineRule="exact"/>
        <w:rPr>
          <w:rFonts w:ascii="Times New Roman" w:cs="Times New Roman" w:eastAsia="Times New Roman" w:hAnsi="Times New Roman"/>
          <w:sz w:val="20"/>
          <w:szCs w:val="20"/>
          <w:color w:val="auto"/>
        </w:rPr>
      </w:pPr>
    </w:p>
    <w:p>
      <w:pPr>
        <w:ind w:left="2260" w:hanging="754"/>
        <w:spacing w:after="0" w:line="245" w:lineRule="auto"/>
        <w:tabs>
          <w:tab w:leader="none" w:pos="190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Fulcrum Product Trademarks</w:t>
      </w:r>
      <w:r>
        <w:rPr>
          <w:rFonts w:ascii="Times New Roman" w:cs="Times New Roman" w:eastAsia="Times New Roman" w:hAnsi="Times New Roman"/>
          <w:sz w:val="20"/>
          <w:szCs w:val="20"/>
          <w:color w:val="auto"/>
        </w:rPr>
        <w:t>. Fulcrum will have the sole right to defend against and settle any alleged, threatened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actual claim by a Third Party that the use or registration of the Fulcrum Product Trademarks in the Territory infringes, dilutes, misappropriates or otherwise violates any Trademark or other right of that Third Party or constitutes unfair trade practices or any other like offense or any other claims as may be brought by a Third Party against a Party in connection with the use of the Fulcrum Product Trademarks with respect to the Licensed Products in the Fulcrum Territory, at its sole cost and expense and using counsel of its own choice. Fulcrum will retain any damages or other amounts collected in connection therewith.</w:t>
      </w:r>
    </w:p>
    <w:p>
      <w:pPr>
        <w:spacing w:after="0" w:line="179" w:lineRule="exact"/>
        <w:rPr>
          <w:sz w:val="20"/>
          <w:szCs w:val="20"/>
          <w:color w:val="auto"/>
        </w:rPr>
      </w:pPr>
    </w:p>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10.11.6</w:t>
      </w:r>
      <w:r>
        <w:rPr>
          <w:sz w:val="20"/>
          <w:szCs w:val="20"/>
          <w:color w:val="auto"/>
        </w:rPr>
        <w:tab/>
      </w: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Each Party will, and will cause its Affiliates to, assist and cooperate with the other Party, as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requested by a Party from time to time, in connection with its activities set forth in this Section 10.11 (</w:t>
      </w:r>
      <w:r>
        <w:rPr>
          <w:rFonts w:ascii="Times New Roman" w:cs="Times New Roman" w:eastAsia="Times New Roman" w:hAnsi="Times New Roman"/>
          <w:sz w:val="20"/>
          <w:szCs w:val="20"/>
          <w:i w:val="1"/>
          <w:iCs w:val="1"/>
          <w:color w:val="auto"/>
        </w:rPr>
        <w:t>Product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Trademarks</w:t>
      </w:r>
      <w:r>
        <w:rPr>
          <w:rFonts w:ascii="Times New Roman" w:cs="Times New Roman" w:eastAsia="Times New Roman" w:hAnsi="Times New Roman"/>
          <w:sz w:val="20"/>
          <w:szCs w:val="20"/>
          <w:color w:val="auto"/>
        </w:rPr>
        <w:t>), including where necessary, furnishing a power of attorney solely for such purpose or joining in, or being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named as a necessary party to, such action, providing access to relevant documents and other evidence and making its employees available at reasonable business hours;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requesting Party will reimburse the other Party for its reasonable and verifiable External Costs incurred in connection therewith.</w:t>
      </w:r>
    </w:p>
    <w:p>
      <w:pPr>
        <w:spacing w:after="0" w:line="179" w:lineRule="exact"/>
        <w:rPr>
          <w:sz w:val="20"/>
          <w:szCs w:val="20"/>
          <w:color w:val="auto"/>
        </w:rPr>
      </w:pPr>
    </w:p>
    <w:p>
      <w:pPr>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10.12</w:t>
        <w:tab/>
        <w:t>Falsified Medicines</w:t>
      </w:r>
      <w:r>
        <w:rPr>
          <w:rFonts w:ascii="Times New Roman" w:cs="Times New Roman" w:eastAsia="Times New Roman" w:hAnsi="Times New Roman"/>
          <w:sz w:val="20"/>
          <w:szCs w:val="20"/>
          <w:color w:val="auto"/>
        </w:rPr>
        <w:t>. Without limiting either Party’s rights or obligations under Section 10.3 (</w:t>
      </w:r>
      <w:r>
        <w:rPr>
          <w:rFonts w:ascii="Times New Roman" w:cs="Times New Roman" w:eastAsia="Times New Roman" w:hAnsi="Times New Roman"/>
          <w:sz w:val="20"/>
          <w:szCs w:val="20"/>
          <w:i w:val="1"/>
          <w:iCs w:val="1"/>
          <w:color w:val="auto"/>
        </w:rPr>
        <w:t>Enforcement Against Third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Infringement or Misappropriation</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left="1500" w:hanging="694"/>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10.12.1</w:t>
      </w:r>
      <w:r>
        <w:rPr>
          <w:sz w:val="20"/>
          <w:szCs w:val="20"/>
          <w:color w:val="auto"/>
        </w:rPr>
        <w:tab/>
      </w:r>
      <w:r>
        <w:rPr>
          <w:rFonts w:ascii="Times New Roman" w:cs="Times New Roman" w:eastAsia="Times New Roman" w:hAnsi="Times New Roman"/>
          <w:sz w:val="20"/>
          <w:szCs w:val="20"/>
          <w:b w:val="1"/>
          <w:bCs w:val="1"/>
          <w:color w:val="auto"/>
        </w:rPr>
        <w:t>Notification</w:t>
      </w:r>
      <w:r>
        <w:rPr>
          <w:rFonts w:ascii="Times New Roman" w:cs="Times New Roman" w:eastAsia="Times New Roman" w:hAnsi="Times New Roman"/>
          <w:sz w:val="20"/>
          <w:szCs w:val="20"/>
          <w:color w:val="auto"/>
        </w:rPr>
        <w:t>. Each Party will promptly notify the other Party in writing if it becomes aware of any Third Party’s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manufacturing, sale, offer for sale, distribution or contribution to the manufacturing, shipment or commercialization of a medical product purporting to be a Licensed Product which deliberately or fraudulently misrepresents its identity, composition or source (“</w:t>
      </w:r>
      <w:r>
        <w:rPr>
          <w:rFonts w:ascii="Times New Roman" w:cs="Times New Roman" w:eastAsia="Times New Roman" w:hAnsi="Times New Roman"/>
          <w:sz w:val="20"/>
          <w:szCs w:val="20"/>
          <w:b w:val="1"/>
          <w:bCs w:val="1"/>
          <w:color w:val="auto"/>
        </w:rPr>
        <w:t>Falsified Medicine</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left="1500" w:right="20" w:hanging="694"/>
        <w:spacing w:after="0" w:line="273" w:lineRule="auto"/>
        <w:tabs>
          <w:tab w:leader="none" w:pos="1480" w:val="left"/>
        </w:tabs>
        <w:rPr>
          <w:sz w:val="20"/>
          <w:szCs w:val="20"/>
          <w:color w:val="auto"/>
        </w:rPr>
      </w:pPr>
      <w:r>
        <w:rPr>
          <w:rFonts w:ascii="Times New Roman" w:cs="Times New Roman" w:eastAsia="Times New Roman" w:hAnsi="Times New Roman"/>
          <w:sz w:val="20"/>
          <w:szCs w:val="20"/>
          <w:color w:val="auto"/>
        </w:rPr>
        <w:t>10.12.2</w:t>
      </w:r>
      <w:r>
        <w:rPr>
          <w:sz w:val="20"/>
          <w:szCs w:val="20"/>
          <w:color w:val="auto"/>
        </w:rPr>
        <w:tab/>
      </w:r>
      <w:r>
        <w:rPr>
          <w:rFonts w:ascii="Times New Roman" w:cs="Times New Roman" w:eastAsia="Times New Roman" w:hAnsi="Times New Roman"/>
          <w:sz w:val="20"/>
          <w:szCs w:val="20"/>
          <w:b w:val="1"/>
          <w:bCs w:val="1"/>
          <w:color w:val="auto"/>
        </w:rPr>
        <w:t>Sanofi Territory</w:t>
      </w:r>
      <w:r>
        <w:rPr>
          <w:rFonts w:ascii="Times New Roman" w:cs="Times New Roman" w:eastAsia="Times New Roman" w:hAnsi="Times New Roman"/>
          <w:sz w:val="20"/>
          <w:szCs w:val="20"/>
          <w:color w:val="auto"/>
        </w:rPr>
        <w:t>. Sanofi will have the sole and exclusive right, but not the obligation, to lead any detection program,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investigation or collaboration with any Governmental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3" w:name="page164"/>
    <w:bookmarkEnd w:id="163"/>
    <w:p>
      <w:pPr>
        <w:jc w:val="both"/>
        <w:ind w:left="1500"/>
        <w:spacing w:after="0" w:line="246" w:lineRule="auto"/>
        <w:rPr>
          <w:sz w:val="20"/>
          <w:szCs w:val="20"/>
          <w:color w:val="auto"/>
        </w:rPr>
      </w:pPr>
      <w:r>
        <w:rPr>
          <w:rFonts w:ascii="Times New Roman" w:cs="Times New Roman" w:eastAsia="Times New Roman" w:hAnsi="Times New Roman"/>
          <w:sz w:val="20"/>
          <w:szCs w:val="20"/>
          <w:color w:val="auto"/>
        </w:rPr>
        <w:t>Authority and the sole and exclusive right, but not the obligation, to file or threaten to file a claim or lawsuit to enforce any rights against any Third Party manufacturing, selling, offering for sale or distributing Falsified Medicines or contributing to any of these actions in the Sanofi Territory. If requested by Sanofi, Fulcrum will reasonably cooperate with Sanofi with respect to any suspected Falsified Medicines to provide complementary information related to the applicable Licensed Product when necessary or requested by any Governmental Authority.</w:t>
      </w:r>
    </w:p>
    <w:p>
      <w:pPr>
        <w:spacing w:after="0" w:line="181" w:lineRule="exact"/>
        <w:rPr>
          <w:sz w:val="20"/>
          <w:szCs w:val="20"/>
          <w:color w:val="auto"/>
        </w:rPr>
      </w:pPr>
    </w:p>
    <w:p>
      <w:pPr>
        <w:jc w:val="both"/>
        <w:ind w:left="1500" w:hanging="694"/>
        <w:spacing w:after="0" w:line="245" w:lineRule="auto"/>
        <w:tabs>
          <w:tab w:leader="none" w:pos="1480" w:val="left"/>
        </w:tabs>
        <w:rPr>
          <w:sz w:val="20"/>
          <w:szCs w:val="20"/>
          <w:color w:val="auto"/>
        </w:rPr>
      </w:pPr>
      <w:r>
        <w:rPr>
          <w:rFonts w:ascii="Times New Roman" w:cs="Times New Roman" w:eastAsia="Times New Roman" w:hAnsi="Times New Roman"/>
          <w:sz w:val="20"/>
          <w:szCs w:val="20"/>
          <w:color w:val="auto"/>
        </w:rPr>
        <w:t>10.12.3</w:t>
      </w:r>
      <w:r>
        <w:rPr>
          <w:sz w:val="20"/>
          <w:szCs w:val="20"/>
          <w:color w:val="auto"/>
        </w:rPr>
        <w:tab/>
      </w:r>
      <w:r>
        <w:rPr>
          <w:rFonts w:ascii="Times New Roman" w:cs="Times New Roman" w:eastAsia="Times New Roman" w:hAnsi="Times New Roman"/>
          <w:sz w:val="20"/>
          <w:szCs w:val="20"/>
          <w:b w:val="1"/>
          <w:bCs w:val="1"/>
          <w:color w:val="auto"/>
        </w:rPr>
        <w:t>Fulcrum Territory</w:t>
      </w:r>
      <w:r>
        <w:rPr>
          <w:rFonts w:ascii="Times New Roman" w:cs="Times New Roman" w:eastAsia="Times New Roman" w:hAnsi="Times New Roman"/>
          <w:sz w:val="20"/>
          <w:szCs w:val="20"/>
          <w:color w:val="auto"/>
        </w:rPr>
        <w:t>. Fulcrum will have the sole and exclusive right, but not the obligation, to lead any detection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program, investigation or collaboration with any Governmental Authority and the sole and exclusive right, but not the obligation, to file or threaten to file a claim or lawsuit to enforce any rights against any Third Party manufacturing, selling, offering for sale or distributing Falsified Medicines or contributing to any of these actions in the Fulcrum Territory. If requested by Fulcrum, Sanofi will reasonably cooperate with Fulcrum with respect to any suspected Falsified Medicines to provide complementary information related to the applicable Licensed Product when necessary or requested by any Governmental Authority.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WARRANTIES, AND COVENANTS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11.1 Mutual Representations and Warranties</w:t>
      </w:r>
      <w:r>
        <w:rPr>
          <w:rFonts w:ascii="Times New Roman" w:cs="Times New Roman" w:eastAsia="Times New Roman" w:hAnsi="Times New Roman"/>
          <w:sz w:val="20"/>
          <w:szCs w:val="20"/>
          <w:color w:val="auto"/>
        </w:rPr>
        <w:t>.  Each of Sanofi and Fulcrum hereby represents and warrants to the other Party as of the</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Effective Date that:</w:t>
      </w:r>
    </w:p>
    <w:p>
      <w:pPr>
        <w:spacing w:after="0" w:line="194" w:lineRule="exact"/>
        <w:rPr>
          <w:sz w:val="20"/>
          <w:szCs w:val="20"/>
          <w:color w:val="auto"/>
        </w:rPr>
      </w:pPr>
    </w:p>
    <w:p>
      <w:pPr>
        <w:jc w:val="both"/>
        <w:ind w:left="1500" w:hanging="694"/>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11.1.1</w:t>
        <w:tab/>
        <w:t>It is a corporation or limited company duly organized, validly existing, and in good standing under the laws of the jurisdiction of its organization, and it has the full right, power, and authority to enter into this Agreement and to perform its obligations hereunder.</w:t>
      </w:r>
    </w:p>
    <w:p>
      <w:pPr>
        <w:spacing w:after="0" w:line="174" w:lineRule="exact"/>
        <w:rPr>
          <w:sz w:val="20"/>
          <w:szCs w:val="20"/>
          <w:color w:val="auto"/>
        </w:rPr>
      </w:pPr>
    </w:p>
    <w:p>
      <w:pPr>
        <w:ind w:left="1500" w:right="40" w:hanging="694"/>
        <w:spacing w:after="0" w:line="269" w:lineRule="auto"/>
        <w:tabs>
          <w:tab w:leader="none" w:pos="1480" w:val="left"/>
        </w:tabs>
        <w:rPr>
          <w:sz w:val="20"/>
          <w:szCs w:val="20"/>
          <w:color w:val="auto"/>
        </w:rPr>
      </w:pPr>
      <w:r>
        <w:rPr>
          <w:rFonts w:ascii="Times New Roman" w:cs="Times New Roman" w:eastAsia="Times New Roman" w:hAnsi="Times New Roman"/>
          <w:sz w:val="20"/>
          <w:szCs w:val="20"/>
          <w:color w:val="auto"/>
        </w:rPr>
        <w:t>11.1.2</w:t>
        <w:tab/>
        <w:t>All consents, approvals, and authorizations from all Governmental Authorities or other Third Parties required to be obtained by such Party in connection with this Agreement have been obtained.</w:t>
      </w:r>
    </w:p>
    <w:p>
      <w:pPr>
        <w:spacing w:after="0" w:line="159" w:lineRule="exact"/>
        <w:rPr>
          <w:sz w:val="20"/>
          <w:szCs w:val="20"/>
          <w:color w:val="auto"/>
        </w:rPr>
      </w:pPr>
    </w:p>
    <w:p>
      <w:pPr>
        <w:ind w:left="1500" w:right="40" w:hanging="694"/>
        <w:spacing w:after="0" w:line="269" w:lineRule="auto"/>
        <w:tabs>
          <w:tab w:leader="none" w:pos="1480" w:val="left"/>
        </w:tabs>
        <w:rPr>
          <w:sz w:val="20"/>
          <w:szCs w:val="20"/>
          <w:color w:val="auto"/>
        </w:rPr>
      </w:pPr>
      <w:r>
        <w:rPr>
          <w:rFonts w:ascii="Times New Roman" w:cs="Times New Roman" w:eastAsia="Times New Roman" w:hAnsi="Times New Roman"/>
          <w:sz w:val="20"/>
          <w:szCs w:val="20"/>
          <w:color w:val="auto"/>
        </w:rPr>
        <w:t>11.1.3</w:t>
        <w:tab/>
        <w:t>The execution, delivery, and performance of this Agreement by it has been duly authorized by all requisite corporate action.</w:t>
      </w:r>
    </w:p>
    <w:p>
      <w:pPr>
        <w:spacing w:after="0" w:line="159" w:lineRule="exact"/>
        <w:rPr>
          <w:sz w:val="20"/>
          <w:szCs w:val="20"/>
          <w:color w:val="auto"/>
        </w:rPr>
      </w:pPr>
    </w:p>
    <w:p>
      <w:pPr>
        <w:jc w:val="both"/>
        <w:ind w:left="1500" w:hanging="694"/>
        <w:spacing w:after="0" w:line="245" w:lineRule="auto"/>
        <w:tabs>
          <w:tab w:leader="none" w:pos="1480" w:val="left"/>
        </w:tabs>
        <w:rPr>
          <w:sz w:val="20"/>
          <w:szCs w:val="20"/>
          <w:color w:val="auto"/>
        </w:rPr>
      </w:pPr>
      <w:r>
        <w:rPr>
          <w:rFonts w:ascii="Times New Roman" w:cs="Times New Roman" w:eastAsia="Times New Roman" w:hAnsi="Times New Roman"/>
          <w:sz w:val="20"/>
          <w:szCs w:val="20"/>
          <w:color w:val="auto"/>
        </w:rPr>
        <w:t>11.1.4</w:t>
        <w:tab/>
        <w:t>The execution and delivery of this Agreement and the performance of its obligations hereunder (a) do not conflict with or violate any requirement of Applicable Law or any provision of its articles of incorporation, bylaws, limited partnership agreement, or any similar instrument, as applicable, in any material way, (b) do not conflict with, violate, or breach or constitute a default or require any consent under, any Applicable Law or any contractual obligation or court or administrative order by which it is bound and (c) do not conflict and are not inconsistent with any agreement of such Party or its Affiliates with or rights granted by such Party or its Affiliates to any other Person.</w:t>
      </w:r>
    </w:p>
    <w:p>
      <w:pPr>
        <w:spacing w:after="0" w:line="184" w:lineRule="exact"/>
        <w:rPr>
          <w:sz w:val="20"/>
          <w:szCs w:val="20"/>
          <w:color w:val="auto"/>
        </w:rPr>
      </w:pPr>
    </w:p>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11.1.5</w:t>
        <w:tab/>
        <w:t>To its Knowledge, it has not, directly or indirectly, offered, promised, paid, authorized, or given to any Government Official or Other Covered Party for the purpose, pertaining to this Agreement, of: (a) influencing any act or decision of the Government Official or Other Covered Party; (b) inducing the Government Official or Other Covered Party to do or omit to do an act in violation of a lawful duty; (c) securing any improper advantage; or (d) inducing the Government Official or Other Covered Party to influence the act or decision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p>
      <w:pPr>
        <w:ind w:left="1500"/>
        <w:spacing w:after="0" w:line="269" w:lineRule="auto"/>
        <w:rPr>
          <w:sz w:val="20"/>
          <w:szCs w:val="20"/>
          <w:color w:val="auto"/>
        </w:rPr>
      </w:pPr>
      <w:r>
        <w:rPr>
          <w:rFonts w:ascii="Times New Roman" w:cs="Times New Roman" w:eastAsia="Times New Roman" w:hAnsi="Times New Roman"/>
          <w:sz w:val="20"/>
          <w:szCs w:val="20"/>
          <w:color w:val="auto"/>
        </w:rPr>
        <w:t>of a government or government instrumentality, in order to obtain or retain business, or direct business to, any Person, in each case in any way related to this Agreement.</w:t>
      </w:r>
    </w:p>
    <w:p>
      <w:pPr>
        <w:spacing w:after="0" w:line="159" w:lineRule="exact"/>
        <w:rPr>
          <w:sz w:val="20"/>
          <w:szCs w:val="20"/>
          <w:color w:val="auto"/>
        </w:rPr>
      </w:pPr>
    </w:p>
    <w:p>
      <w:pPr>
        <w:jc w:val="both"/>
        <w:ind w:left="1500" w:right="20" w:hanging="694"/>
        <w:spacing w:after="0" w:line="269" w:lineRule="auto"/>
        <w:tabs>
          <w:tab w:leader="none" w:pos="1480" w:val="left"/>
        </w:tabs>
        <w:rPr>
          <w:sz w:val="20"/>
          <w:szCs w:val="20"/>
          <w:color w:val="auto"/>
        </w:rPr>
      </w:pPr>
      <w:r>
        <w:rPr>
          <w:rFonts w:ascii="Times New Roman" w:cs="Times New Roman" w:eastAsia="Times New Roman" w:hAnsi="Times New Roman"/>
          <w:sz w:val="20"/>
          <w:szCs w:val="20"/>
          <w:color w:val="auto"/>
        </w:rPr>
        <w:t>11.1.6</w:t>
        <w:tab/>
        <w:t>It is not aware of any Government Official or Other Covered Party having any financial interest in the subject matter of this Agreement or in any way personally benefiting, directly, or indirectly, from this Agreement.</w:t>
      </w:r>
    </w:p>
    <w:p>
      <w:pPr>
        <w:spacing w:after="0" w:line="159" w:lineRule="exact"/>
        <w:rPr>
          <w:sz w:val="20"/>
          <w:szCs w:val="20"/>
          <w:color w:val="auto"/>
        </w:rPr>
      </w:pPr>
    </w:p>
    <w:p>
      <w:pPr>
        <w:jc w:val="both"/>
        <w:ind w:left="1500" w:hanging="694"/>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11.1.7</w:t>
        <w:tab/>
        <w:t>It is in compliance with all applicable global trade laws (including the Global Trade Control Laws), including those related to import controls, export controls, or economic sanctions. It is not, nor is any of its Affiliates or its or their respective directors, officers, employees, agents, or representatives, or in the last [***] was, a Restricted Party.</w:t>
      </w:r>
    </w:p>
    <w:p>
      <w:pPr>
        <w:spacing w:after="0" w:line="174" w:lineRule="exact"/>
        <w:rPr>
          <w:sz w:val="20"/>
          <w:szCs w:val="20"/>
          <w:color w:val="auto"/>
        </w:rPr>
      </w:pPr>
    </w:p>
    <w:p>
      <w:pPr>
        <w:jc w:val="both"/>
        <w:ind w:left="1500" w:hanging="694"/>
        <w:spacing w:after="0" w:line="241" w:lineRule="auto"/>
        <w:tabs>
          <w:tab w:leader="none" w:pos="1480" w:val="left"/>
        </w:tabs>
        <w:rPr>
          <w:sz w:val="20"/>
          <w:szCs w:val="20"/>
          <w:color w:val="auto"/>
        </w:rPr>
      </w:pPr>
      <w:r>
        <w:rPr>
          <w:rFonts w:ascii="Times New Roman" w:cs="Times New Roman" w:eastAsia="Times New Roman" w:hAnsi="Times New Roman"/>
          <w:sz w:val="20"/>
          <w:szCs w:val="20"/>
          <w:color w:val="auto"/>
        </w:rPr>
        <w:t>11.1.8</w:t>
        <w:tab/>
        <w:t xml:space="preserve">(a) Neither it nor any of its or its Affiliates’ employees, agents or independent contractors performing under this Agreement, or in the case of Fulcrum, no employee, agent or independent contractor engaged by Fulcrum or its Affiliates in the Development of Licensed Compound or any Licensed Product prior to the Effective Date, has ever been or is currently: (i) debarred or suspended under 21 U.S.C. §335(a) or (b) or its equivalent in the Territory, (ii) the subject of a conviction described in Section 306 of the FD&amp;C Act or its equivalent in the Territory, (iii) excluded, debarred, suspended or otherwise ineligible to participate in a federal or governmental health care program, debarred from federal contracting, convicted of or pled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any felony, or to any federal or state legal violation (including misdemeanors) relating to prescription drug products or fraud, (iv) subject to OFAC sanctions or on the OFAC list of specially designated nationals, or (v) subject to any similar sanction of any Governmental Authority in the Territory (“</w:t>
      </w:r>
      <w:r>
        <w:rPr>
          <w:rFonts w:ascii="Times New Roman" w:cs="Times New Roman" w:eastAsia="Times New Roman" w:hAnsi="Times New Roman"/>
          <w:sz w:val="20"/>
          <w:szCs w:val="20"/>
          <w:b w:val="1"/>
          <w:bCs w:val="1"/>
          <w:color w:val="auto"/>
        </w:rPr>
        <w:t>Debarred/Excluded</w:t>
      </w:r>
      <w:r>
        <w:rPr>
          <w:rFonts w:ascii="Times New Roman" w:cs="Times New Roman" w:eastAsia="Times New Roman" w:hAnsi="Times New Roman"/>
          <w:sz w:val="20"/>
          <w:szCs w:val="20"/>
          <w:color w:val="auto"/>
        </w:rPr>
        <w:t>”), (b) no proceeding that could result in it being Debarred/Excluded is pending, and (c) neither it nor any of its Affiliates has used, in any capacity in the performance of obligations relating to the Licensed Compounds and Licensed Products, any employee, subcontractor, consultant, agent, representative, or other Person who has been Debarred/Excluded.</w:t>
      </w:r>
    </w:p>
    <w:p>
      <w:pPr>
        <w:spacing w:after="0" w:line="193" w:lineRule="exact"/>
        <w:rPr>
          <w:sz w:val="20"/>
          <w:szCs w:val="20"/>
          <w:color w:val="auto"/>
        </w:rPr>
      </w:pPr>
    </w:p>
    <w:p>
      <w:pPr>
        <w:ind w:left="760" w:hanging="748"/>
        <w:spacing w:after="0" w:line="273" w:lineRule="auto"/>
        <w:rPr>
          <w:sz w:val="20"/>
          <w:szCs w:val="20"/>
          <w:color w:val="auto"/>
        </w:rPr>
      </w:pPr>
      <w:r>
        <w:rPr>
          <w:rFonts w:ascii="Times New Roman" w:cs="Times New Roman" w:eastAsia="Times New Roman" w:hAnsi="Times New Roman"/>
          <w:sz w:val="20"/>
          <w:szCs w:val="20"/>
          <w:b w:val="1"/>
          <w:bCs w:val="1"/>
          <w:color w:val="auto"/>
        </w:rPr>
        <w:t>11.2 Additional Fulcrum Representations and Warranties</w:t>
      </w:r>
      <w:r>
        <w:rPr>
          <w:rFonts w:ascii="Times New Roman" w:cs="Times New Roman" w:eastAsia="Times New Roman" w:hAnsi="Times New Roman"/>
          <w:sz w:val="20"/>
          <w:szCs w:val="20"/>
          <w:color w:val="auto"/>
        </w:rPr>
        <w:t>. Except as may be qualified by the disclosure letter dated as of the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provided by Fulcrum to Sanofi, Fulcrum hereby represents and warrants as of the Effective Date to Sanofi that:</w:t>
      </w:r>
    </w:p>
    <w:p>
      <w:pPr>
        <w:spacing w:after="0" w:line="156" w:lineRule="exact"/>
        <w:rPr>
          <w:sz w:val="20"/>
          <w:szCs w:val="20"/>
          <w:color w:val="auto"/>
        </w:rPr>
      </w:pPr>
    </w:p>
    <w:p>
      <w:pPr>
        <w:jc w:val="both"/>
        <w:ind w:left="1500" w:right="20" w:hanging="694"/>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11.2.1</w:t>
        <w:tab/>
        <w:t>It has the full right, power and authority to grant all of the rights and licenses granted to Sanofi under this Agreement, including under the Fulcrum Technology, and it has not granted any license or other right under the Fulcrum Technology that is inconsistent with the licenses granted to Sanofi hereunder.</w:t>
      </w:r>
    </w:p>
    <w:p>
      <w:pPr>
        <w:spacing w:after="0" w:line="174"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11.2.2</w:t>
        <w:tab/>
        <w:t xml:space="preserve">Fulcrum owns or has a valid right to use the Fulcrum Technology existing as of the Effective Date (including through its control of its Affiliates), including the Fulcrum Patent Rights listed on </w:t>
      </w:r>
      <w:r>
        <w:rPr>
          <w:rFonts w:ascii="Times New Roman" w:cs="Times New Roman" w:eastAsia="Times New Roman" w:hAnsi="Times New Roman"/>
          <w:sz w:val="20"/>
          <w:szCs w:val="20"/>
          <w:b w:val="1"/>
          <w:bCs w:val="1"/>
          <w:color w:val="auto"/>
        </w:rPr>
        <w:t>Schedule 1.83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Fulcrum Patent Rights</w:t>
      </w:r>
      <w:r>
        <w:rPr>
          <w:rFonts w:ascii="Times New Roman" w:cs="Times New Roman" w:eastAsia="Times New Roman" w:hAnsi="Times New Roman"/>
          <w:sz w:val="20"/>
          <w:szCs w:val="20"/>
          <w:color w:val="auto"/>
        </w:rPr>
        <w:t xml:space="preserve">) and the Fulcrum Know-How listed on </w:t>
      </w:r>
      <w:r>
        <w:rPr>
          <w:rFonts w:ascii="Times New Roman" w:cs="Times New Roman" w:eastAsia="Times New Roman" w:hAnsi="Times New Roman"/>
          <w:sz w:val="20"/>
          <w:szCs w:val="20"/>
          <w:b w:val="1"/>
          <w:bCs w:val="1"/>
          <w:color w:val="auto"/>
        </w:rPr>
        <w:t>Schedule 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Initial Technology Transfer</w:t>
      </w:r>
      <w:r>
        <w:rPr>
          <w:rFonts w:ascii="Times New Roman" w:cs="Times New Roman" w:eastAsia="Times New Roman" w:hAnsi="Times New Roman"/>
          <w:sz w:val="20"/>
          <w:szCs w:val="20"/>
          <w:color w:val="auto"/>
        </w:rPr>
        <w:t xml:space="preserve">). With respect to any Fulcrum Patent Right identified on </w:t>
      </w:r>
      <w:r>
        <w:rPr>
          <w:rFonts w:ascii="Times New Roman" w:cs="Times New Roman" w:eastAsia="Times New Roman" w:hAnsi="Times New Roman"/>
          <w:sz w:val="20"/>
          <w:szCs w:val="20"/>
          <w:b w:val="1"/>
          <w:bCs w:val="1"/>
          <w:color w:val="auto"/>
        </w:rPr>
        <w:t>Schedule 1.83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Fulcrum Patent Rights</w:t>
      </w:r>
      <w:r>
        <w:rPr>
          <w:rFonts w:ascii="Times New Roman" w:cs="Times New Roman" w:eastAsia="Times New Roman" w:hAnsi="Times New Roman"/>
          <w:sz w:val="20"/>
          <w:szCs w:val="20"/>
          <w:color w:val="auto"/>
        </w:rPr>
        <w:t xml:space="preserve">) as being solely owned by Fulcrum, Fulcrum owns all rights, title, and interests in and to such Fulcrum Patent Rights, free and clear of any liens, encumbrances, and security interests. </w:t>
      </w:r>
      <w:r>
        <w:rPr>
          <w:rFonts w:ascii="Times New Roman" w:cs="Times New Roman" w:eastAsia="Times New Roman" w:hAnsi="Times New Roman"/>
          <w:sz w:val="20"/>
          <w:szCs w:val="20"/>
          <w:b w:val="1"/>
          <w:bCs w:val="1"/>
          <w:color w:val="auto"/>
        </w:rPr>
        <w:t xml:space="preserve">Schedule 1.83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Fulcrum Patent Rights</w:t>
      </w:r>
      <w:r>
        <w:rPr>
          <w:rFonts w:ascii="Times New Roman" w:cs="Times New Roman" w:eastAsia="Times New Roman" w:hAnsi="Times New Roman"/>
          <w:sz w:val="20"/>
          <w:szCs w:val="20"/>
          <w:color w:val="auto"/>
        </w:rPr>
        <w:t>) sets forth a complete and accurate list of all Fulcrum Patent Rights existing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Effective Date. Neither Fulcrum nor any of its Affiliates owns or holds rights to any Patent Rights, Know-How, or biological or chemical materials that would be necessary for the Exploitation of the Licensed Compound or Licensed Product in the form it exists as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ind w:left="380"/>
        <w:spacing w:after="0" w:line="269" w:lineRule="auto"/>
        <w:rPr>
          <w:sz w:val="20"/>
          <w:szCs w:val="20"/>
          <w:color w:val="auto"/>
        </w:rPr>
      </w:pPr>
      <w:r>
        <w:rPr>
          <w:rFonts w:ascii="Times New Roman" w:cs="Times New Roman" w:eastAsia="Times New Roman" w:hAnsi="Times New Roman"/>
          <w:sz w:val="20"/>
          <w:szCs w:val="20"/>
          <w:color w:val="auto"/>
        </w:rPr>
        <w:t>of the Effective Date but for the fact that Fulcrum or such Affiliate does not Control such Patent Right, Know-How or other materials.</w:t>
      </w:r>
    </w:p>
    <w:p>
      <w:pPr>
        <w:spacing w:after="0" w:line="159" w:lineRule="exact"/>
        <w:rPr>
          <w:sz w:val="20"/>
          <w:szCs w:val="20"/>
          <w:color w:val="auto"/>
        </w:rPr>
      </w:pPr>
    </w:p>
    <w:p>
      <w:pPr>
        <w:jc w:val="both"/>
        <w:ind w:left="380" w:hanging="694"/>
        <w:spacing w:after="0" w:line="241" w:lineRule="auto"/>
        <w:tabs>
          <w:tab w:leader="none" w:pos="360" w:val="left"/>
        </w:tabs>
        <w:rPr>
          <w:sz w:val="20"/>
          <w:szCs w:val="20"/>
          <w:color w:val="auto"/>
        </w:rPr>
      </w:pPr>
      <w:r>
        <w:rPr>
          <w:rFonts w:ascii="Times New Roman" w:cs="Times New Roman" w:eastAsia="Times New Roman" w:hAnsi="Times New Roman"/>
          <w:sz w:val="20"/>
          <w:szCs w:val="20"/>
          <w:color w:val="auto"/>
        </w:rPr>
        <w:t>11.2.3</w:t>
        <w:tab/>
        <w:t>Fulcrum has complied in all material respects with Applicable Law with respect to the prosecution and maintenance of the Fulcrum Patent Rights. Neither Fulcrum nor its Affiliates have received any written notice of any claim or threat of a claim or litigation made by any Person against Fulcrum or its Affiliates that alleges that any Fulcrum Patent Right is invalid or unenforceable and there is no pending, or to Fulcrum’s Knowledge, threatened, adverse action, suit or proceeding against Fulcrum in relation to any Fulcrum Patent Right. All Fulcrum Patent Rights are: (a) subsisting and, to Fulcrum’s Knowledge, not invalid or unenforceable, in whole or in part; (b) in the case of pending applications, to Fulcrum’s Knowledge, being diligently prosecuted in the respective patent offices in accordance with Applicable Law and Fulcrum has presented all relevant references, documents and information of which it and the inventors are aware to the relevant patent examiner at the relevant patent office; and (c) being prosecuted and maintained in accordance with the policies and procedures of the applicable patent office, including that (i) every inventor of the claims thereof has been identified in accordance with the Applicable Laws of the relevant jurisdiction in which such Patent Right is issued or pending and (ii) all applicable fees required by such patent office have been paid by the due date for payment. To Fulcrum’s Knowledge, there is no reference or prior art that would anticipate the issuance of any claim pending as of such date within any Fulcrum Patent Right.</w:t>
      </w:r>
    </w:p>
    <w:p>
      <w:pPr>
        <w:spacing w:after="0" w:line="196" w:lineRule="exact"/>
        <w:rPr>
          <w:sz w:val="20"/>
          <w:szCs w:val="20"/>
          <w:color w:val="auto"/>
        </w:rPr>
      </w:pPr>
    </w:p>
    <w:p>
      <w:pPr>
        <w:jc w:val="both"/>
        <w:ind w:left="380" w:hanging="694"/>
        <w:spacing w:after="0" w:line="246" w:lineRule="auto"/>
        <w:tabs>
          <w:tab w:leader="none" w:pos="360" w:val="left"/>
        </w:tabs>
        <w:rPr>
          <w:sz w:val="20"/>
          <w:szCs w:val="20"/>
          <w:color w:val="auto"/>
        </w:rPr>
      </w:pPr>
      <w:r>
        <w:rPr>
          <w:rFonts w:ascii="Times New Roman" w:cs="Times New Roman" w:eastAsia="Times New Roman" w:hAnsi="Times New Roman"/>
          <w:sz w:val="20"/>
          <w:szCs w:val="20"/>
          <w:color w:val="auto"/>
        </w:rPr>
        <w:t>11.2.4</w:t>
        <w:tab/>
        <w:t>To Fulcrum’s Knowledge, it has not misappropriated, infringed or otherwise violated any intellectual property right of a Third Party in connection with Developing the Licensed Compound and Licensed Product in the form it exists as of the Effective Date. To Fulcrum’s Knowledge, the use and practice of the Fulcrum Technology as contemplated by this Agreement as of the Effective Date does not and will not infringe, misappropriate or otherwise violate any intellectual property rights (including trade secrets) of any Third Party.</w:t>
      </w:r>
    </w:p>
    <w:p>
      <w:pPr>
        <w:spacing w:after="0" w:line="185" w:lineRule="exact"/>
        <w:rPr>
          <w:sz w:val="20"/>
          <w:szCs w:val="20"/>
          <w:color w:val="auto"/>
        </w:rPr>
      </w:pPr>
    </w:p>
    <w:p>
      <w:pPr>
        <w:jc w:val="both"/>
        <w:ind w:left="380" w:hanging="694"/>
        <w:spacing w:after="0" w:line="249" w:lineRule="auto"/>
        <w:tabs>
          <w:tab w:leader="none" w:pos="360" w:val="left"/>
        </w:tabs>
        <w:rPr>
          <w:sz w:val="20"/>
          <w:szCs w:val="20"/>
          <w:color w:val="auto"/>
        </w:rPr>
      </w:pPr>
      <w:r>
        <w:rPr>
          <w:rFonts w:ascii="Times New Roman" w:cs="Times New Roman" w:eastAsia="Times New Roman" w:hAnsi="Times New Roman"/>
          <w:sz w:val="20"/>
          <w:szCs w:val="20"/>
          <w:color w:val="auto"/>
        </w:rPr>
        <w:t>11.2.5</w:t>
        <w:tab/>
        <w:t>There is no pending or, to Fulcrum’s Knowledge, potential or threatened litigation, nor has Fulcrum received any notice from any Third Party, asserting or alleging that the Exploitation of the Licensed Compounds or Licensed Products prior to the Effective Date infringed or misappropriated, or currently infringes or misappropriates, the intellectual property rights of such Third Party.</w:t>
      </w:r>
    </w:p>
    <w:p>
      <w:pPr>
        <w:spacing w:after="0" w:line="180" w:lineRule="exact"/>
        <w:rPr>
          <w:sz w:val="20"/>
          <w:szCs w:val="20"/>
          <w:color w:val="auto"/>
        </w:rPr>
      </w:pPr>
    </w:p>
    <w:p>
      <w:pPr>
        <w:jc w:val="both"/>
        <w:ind w:left="380" w:hanging="694"/>
        <w:spacing w:after="0" w:line="246" w:lineRule="auto"/>
        <w:tabs>
          <w:tab w:leader="none" w:pos="360" w:val="left"/>
        </w:tabs>
        <w:rPr>
          <w:sz w:val="20"/>
          <w:szCs w:val="20"/>
          <w:color w:val="auto"/>
        </w:rPr>
      </w:pPr>
      <w:r>
        <w:rPr>
          <w:rFonts w:ascii="Times New Roman" w:cs="Times New Roman" w:eastAsia="Times New Roman" w:hAnsi="Times New Roman"/>
          <w:sz w:val="20"/>
          <w:szCs w:val="20"/>
          <w:color w:val="auto"/>
        </w:rPr>
        <w:t>11.2.6</w:t>
        <w:tab/>
        <w:t>There are no pending or, to Fulcrum’s Knowledge, potential or threatened, adverse actions, suits, or proceedings against Fulcrum involving the Fulcrum Technology, Licensed Compounds or Licensed Products, or which could reasonably be expected to adversely affect or restrict the ability of (a) Fulcrum to consummate or perform the transactions and obligations contemplated under this Agreement or (b) Sanofi to Exploit the Licensed Compounds or Licensed Products (including, in each case, any intermediate or component thereof) as contemplated by this Agreement.</w:t>
      </w:r>
    </w:p>
    <w:p>
      <w:pPr>
        <w:spacing w:after="0" w:line="185" w:lineRule="exact"/>
        <w:rPr>
          <w:sz w:val="20"/>
          <w:szCs w:val="20"/>
          <w:color w:val="auto"/>
        </w:rPr>
      </w:pPr>
    </w:p>
    <w:p>
      <w:pPr>
        <w:jc w:val="both"/>
        <w:ind w:left="380" w:hanging="694"/>
        <w:spacing w:after="0" w:line="269" w:lineRule="auto"/>
        <w:tabs>
          <w:tab w:leader="none" w:pos="360" w:val="left"/>
        </w:tabs>
        <w:rPr>
          <w:sz w:val="20"/>
          <w:szCs w:val="20"/>
          <w:color w:val="auto"/>
        </w:rPr>
      </w:pPr>
      <w:r>
        <w:rPr>
          <w:rFonts w:ascii="Times New Roman" w:cs="Times New Roman" w:eastAsia="Times New Roman" w:hAnsi="Times New Roman"/>
          <w:sz w:val="20"/>
          <w:szCs w:val="20"/>
          <w:color w:val="auto"/>
        </w:rPr>
        <w:t>11.2.7</w:t>
        <w:tab/>
        <w:t>To the Knowledge of Fulcrum, there are no activities by Third Parties that constitute infringement or misappropriation of, or otherwise violate, the Fulcrum Technology (in the case of pending claims, evaluating them as if issued).</w:t>
      </w:r>
    </w:p>
    <w:p>
      <w:pPr>
        <w:spacing w:after="0" w:line="15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764540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66" w:name="page167"/>
    <w:bookmarkEnd w:id="166"/>
    <w:p>
      <w:pPr>
        <w:jc w:val="both"/>
        <w:ind w:left="380" w:hanging="694"/>
        <w:spacing w:after="0" w:line="254" w:lineRule="auto"/>
        <w:tabs>
          <w:tab w:leader="none" w:pos="360" w:val="left"/>
        </w:tabs>
        <w:rPr>
          <w:sz w:val="20"/>
          <w:szCs w:val="20"/>
          <w:color w:val="auto"/>
        </w:rPr>
      </w:pPr>
      <w:r>
        <w:rPr>
          <w:rFonts w:ascii="Times New Roman" w:cs="Times New Roman" w:eastAsia="Times New Roman" w:hAnsi="Times New Roman"/>
          <w:sz w:val="20"/>
          <w:szCs w:val="20"/>
          <w:color w:val="auto"/>
        </w:rPr>
        <w:t>11.2.8</w:t>
        <w:tab/>
        <w:t>There are no legal claims, judgments, or settlements against or owed by Fulcrum or any of its Affiliates, or pending or, to Fulcrum’s Knowledge, threatened, legal claims or litigation, in each case, relating to antitrust, anti-competition, or anti-corruption law violations.</w:t>
      </w:r>
    </w:p>
    <w:p>
      <w:pPr>
        <w:spacing w:after="0" w:line="170" w:lineRule="exact"/>
        <w:rPr>
          <w:sz w:val="20"/>
          <w:szCs w:val="20"/>
          <w:color w:val="auto"/>
        </w:rPr>
      </w:pPr>
    </w:p>
    <w:p>
      <w:pPr>
        <w:jc w:val="both"/>
        <w:ind w:left="380" w:hanging="694"/>
        <w:spacing w:after="0" w:line="250" w:lineRule="auto"/>
        <w:tabs>
          <w:tab w:leader="none" w:pos="360" w:val="left"/>
        </w:tabs>
        <w:rPr>
          <w:sz w:val="20"/>
          <w:szCs w:val="20"/>
          <w:color w:val="auto"/>
        </w:rPr>
      </w:pPr>
      <w:r>
        <w:rPr>
          <w:rFonts w:ascii="Times New Roman" w:cs="Times New Roman" w:eastAsia="Times New Roman" w:hAnsi="Times New Roman"/>
          <w:sz w:val="20"/>
          <w:szCs w:val="20"/>
          <w:color w:val="auto"/>
        </w:rPr>
        <w:t>11.2.9</w:t>
      </w:r>
      <w:r>
        <w:rPr>
          <w:sz w:val="20"/>
          <w:szCs w:val="20"/>
          <w:color w:val="auto"/>
        </w:rPr>
        <w:tab/>
      </w:r>
      <w:r>
        <w:rPr>
          <w:rFonts w:ascii="Times New Roman" w:cs="Times New Roman" w:eastAsia="Times New Roman" w:hAnsi="Times New Roman"/>
          <w:sz w:val="20"/>
          <w:szCs w:val="20"/>
          <w:b w:val="1"/>
          <w:bCs w:val="1"/>
          <w:color w:val="auto"/>
        </w:rPr>
        <w:t xml:space="preserve">Schedule 1.61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Existing Third Party IP Agreements</w:t>
      </w:r>
      <w:r>
        <w:rPr>
          <w:rFonts w:ascii="Times New Roman" w:cs="Times New Roman" w:eastAsia="Times New Roman" w:hAnsi="Times New Roman"/>
          <w:sz w:val="20"/>
          <w:szCs w:val="20"/>
          <w:color w:val="auto"/>
        </w:rPr>
        <w:t>) sets forth all Existing Third Party IP Agreements in effect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Date, true, correct and complete copies of which have been provided to Sanofi prior to the date hereof except that certain terms (including financial terms) which do not affect the rights or obligations of Sanofi, its Affiliates, or Sublicensees under this Agreement have been redacted.</w:t>
      </w:r>
    </w:p>
    <w:p>
      <w:pPr>
        <w:spacing w:after="0" w:line="180" w:lineRule="exact"/>
        <w:rPr>
          <w:sz w:val="20"/>
          <w:szCs w:val="20"/>
          <w:color w:val="auto"/>
        </w:rPr>
      </w:pPr>
    </w:p>
    <w:p>
      <w:pPr>
        <w:jc w:val="both"/>
        <w:ind w:left="380" w:hanging="694"/>
        <w:spacing w:after="0" w:line="241" w:lineRule="auto"/>
        <w:tabs>
          <w:tab w:leader="none" w:pos="360" w:val="left"/>
        </w:tabs>
        <w:rPr>
          <w:sz w:val="20"/>
          <w:szCs w:val="20"/>
          <w:color w:val="auto"/>
        </w:rPr>
      </w:pPr>
      <w:r>
        <w:rPr>
          <w:rFonts w:ascii="Times New Roman" w:cs="Times New Roman" w:eastAsia="Times New Roman" w:hAnsi="Times New Roman"/>
          <w:sz w:val="20"/>
          <w:szCs w:val="20"/>
          <w:color w:val="auto"/>
        </w:rPr>
        <w:t>11.2.10</w:t>
        <w:tab/>
        <w:t>Each Existing Third Party IP Agreement is valid, binding, enforceable, and in full force and effect. No notice of breach, default, or termination has been received or given under any Existing Third Party IP Agreement, and, to Fulcrum’s Knowledge, there is no act or omission by Fulcrum or any of its Affiliates that would provide a right to terminate any such agreement. To Fulcrum’s Knowledge, no circumstances or grounds exist that would reasonably be expected to give rise to a claim of material breach or a right of rescission, termination, revision, or amendment of any of the Existing Third Party IP Agreements, including the execution, delivery and performance of this Agreement. Neither Fulcrum nor any of its Affiliates has waived any of their respective rights under any Existing Third Party IP Agreement in any manner that conflicts with or limits the scope of any of the rights or licenses granted to Sanofi hereunder, and, to Fulcrum’s Knowledge, no such rights have lapsed or otherwise expired or been terminated. Fulcrum has obtained all consents and provided all notices required to be provided under each Existing Third Party IP Agreement in connection with the execution and delivery of this Agreement and the performance by the Parties of their respective obligations hereunder, and the execution, delivery, and performance of this Agreement by the Parties does not and will not constitute a breach or default under any of the Existing Third Party IP Agreements.</w:t>
      </w:r>
    </w:p>
    <w:p>
      <w:pPr>
        <w:spacing w:after="0" w:line="197" w:lineRule="exact"/>
        <w:rPr>
          <w:sz w:val="20"/>
          <w:szCs w:val="20"/>
          <w:color w:val="auto"/>
        </w:rPr>
      </w:pPr>
    </w:p>
    <w:p>
      <w:pPr>
        <w:jc w:val="both"/>
        <w:ind w:left="380" w:hanging="694"/>
        <w:spacing w:after="0" w:line="244" w:lineRule="auto"/>
        <w:tabs>
          <w:tab w:leader="none" w:pos="360" w:val="left"/>
        </w:tabs>
        <w:rPr>
          <w:sz w:val="20"/>
          <w:szCs w:val="20"/>
          <w:color w:val="auto"/>
        </w:rPr>
      </w:pPr>
      <w:r>
        <w:rPr>
          <w:rFonts w:ascii="Times New Roman" w:cs="Times New Roman" w:eastAsia="Times New Roman" w:hAnsi="Times New Roman"/>
          <w:sz w:val="20"/>
          <w:szCs w:val="20"/>
          <w:color w:val="auto"/>
        </w:rPr>
        <w:t>11.2.11</w:t>
        <w:tab/>
        <w:t>Other than the Existing Third Party IP Agreements, as of the Effective Date, there are no agreements between Fulcrum and any Third Party pursuant to which Fulcrum or any of its Affiliates Control any Fulcrum Technology licensed to Sanofi under this Agreement. Except for the Patent Rights or Know-How in-licensed under the Existing Third Party IP Agreements, neither Fulcrum nor its Affiliates has knowledge of any Patent Rights or Know-How Controlled by a Third Party that is necessary for the Development, Manufacture, Commercialization or other Exploitation of the Licensed Compounds or the Licensed Products, in each case, as contemplated as of the Effective Date and in accordance with the terms of this Agreement.</w:t>
      </w:r>
    </w:p>
    <w:p>
      <w:pPr>
        <w:spacing w:after="0" w:line="186" w:lineRule="exact"/>
        <w:rPr>
          <w:sz w:val="20"/>
          <w:szCs w:val="20"/>
          <w:color w:val="auto"/>
        </w:rPr>
      </w:pPr>
    </w:p>
    <w:p>
      <w:pPr>
        <w:jc w:val="both"/>
        <w:ind w:left="380" w:hanging="694"/>
        <w:spacing w:after="0" w:line="254" w:lineRule="auto"/>
        <w:tabs>
          <w:tab w:leader="none" w:pos="360" w:val="left"/>
        </w:tabs>
        <w:rPr>
          <w:sz w:val="20"/>
          <w:szCs w:val="20"/>
          <w:color w:val="auto"/>
        </w:rPr>
      </w:pPr>
      <w:r>
        <w:rPr>
          <w:rFonts w:ascii="Times New Roman" w:cs="Times New Roman" w:eastAsia="Times New Roman" w:hAnsi="Times New Roman"/>
          <w:sz w:val="20"/>
          <w:szCs w:val="20"/>
          <w:color w:val="auto"/>
        </w:rPr>
        <w:t>11.2.12</w:t>
        <w:tab/>
        <w:t>Neither Fulcrum nor any counterparty to any Existing Third Party IP Agreement has in writing alleged or threatened that the other party has breached an Existing Third Party IP Agreement (which has not been cured) or, to Fulcrum’s Knowledge, threatened in writing to terminate an Existing Third Party IP Agreement.</w:t>
      </w:r>
    </w:p>
    <w:p>
      <w:pPr>
        <w:spacing w:after="0" w:line="174" w:lineRule="exact"/>
        <w:rPr>
          <w:sz w:val="20"/>
          <w:szCs w:val="20"/>
          <w:color w:val="auto"/>
        </w:rPr>
      </w:pPr>
    </w:p>
    <w:p>
      <w:pPr>
        <w:jc w:val="both"/>
        <w:ind w:left="380" w:hanging="694"/>
        <w:spacing w:after="0" w:line="245" w:lineRule="auto"/>
        <w:tabs>
          <w:tab w:leader="none" w:pos="360" w:val="left"/>
        </w:tabs>
        <w:rPr>
          <w:sz w:val="20"/>
          <w:szCs w:val="20"/>
          <w:color w:val="auto"/>
        </w:rPr>
      </w:pPr>
      <w:r>
        <w:rPr>
          <w:rFonts w:ascii="Times New Roman" w:cs="Times New Roman" w:eastAsia="Times New Roman" w:hAnsi="Times New Roman"/>
          <w:sz w:val="20"/>
          <w:szCs w:val="20"/>
          <w:color w:val="auto"/>
        </w:rPr>
        <w:t>11.2.13</w:t>
        <w:tab/>
        <w:t>There are no exclusivity provisions or any other restrictions in any agreement between Fulcrum or its Affiliates and any Third Party that would limit either Party’s ability to Research, Develop, Manufacture, Commercialize or otherwise Exploit the Licensed Compounds or Licensed Products in the Field in the Territory. Neither Fulcrum nor any of its Affiliates are delinquent in any payment obligations to any Third Party, or engaged in any dispute with any Third Party, that would limit either Party’s ability to Research, Develop, Manufacture, Commercialize or otherwise Exploit the Licensed Compounds or Licensed Products in the Field in the Territory.</w:t>
      </w:r>
    </w:p>
    <w:p>
      <w:pPr>
        <w:spacing w:after="0" w:line="18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764540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67" w:name="page168"/>
    <w:bookmarkEnd w:id="167"/>
    <w:p>
      <w:pPr>
        <w:jc w:val="both"/>
        <w:ind w:left="1500" w:hanging="694"/>
        <w:spacing w:after="0" w:line="244" w:lineRule="auto"/>
        <w:tabs>
          <w:tab w:leader="none" w:pos="1480" w:val="left"/>
        </w:tabs>
        <w:rPr>
          <w:sz w:val="20"/>
          <w:szCs w:val="20"/>
          <w:color w:val="auto"/>
        </w:rPr>
      </w:pPr>
      <w:r>
        <w:rPr>
          <w:rFonts w:ascii="Times New Roman" w:cs="Times New Roman" w:eastAsia="Times New Roman" w:hAnsi="Times New Roman"/>
          <w:sz w:val="20"/>
          <w:szCs w:val="20"/>
          <w:color w:val="auto"/>
        </w:rPr>
        <w:t>11.2.14</w:t>
        <w:tab/>
        <w:t>Fulcrum and its Affiliates have obtained from all individuals who invented an Invention claimed in a Fulcrum Patent Right valid and enforceable written assignments of all rights of such individuals in such Fulcrum Technology. All such individuals presently assigned, and were under an enforceable legal obligation to assign, the Fulcrum Technology to Fulcrum at the time of the conception, discovery, development, creation or other making. To Fulcrum’s Knowledge, no Person who claims to be an inventor of an Invention claimed in a Fulcrum Patent Right is not identified as an inventor of such invention in the filed patent documents for such Fulcrum Patent Right. No dispute regarding inventorship, authorship or ownership has been alleged or threatened with respect to any Fulcrum Technology.</w:t>
      </w:r>
    </w:p>
    <w:p>
      <w:pPr>
        <w:spacing w:after="0" w:line="186" w:lineRule="exact"/>
        <w:rPr>
          <w:sz w:val="20"/>
          <w:szCs w:val="20"/>
          <w:color w:val="auto"/>
        </w:rPr>
      </w:pPr>
    </w:p>
    <w:p>
      <w:pPr>
        <w:jc w:val="both"/>
        <w:ind w:left="1500" w:hanging="694"/>
        <w:spacing w:after="0" w:line="244" w:lineRule="auto"/>
        <w:tabs>
          <w:tab w:leader="none" w:pos="1480" w:val="left"/>
        </w:tabs>
        <w:rPr>
          <w:sz w:val="20"/>
          <w:szCs w:val="20"/>
          <w:color w:val="auto"/>
        </w:rPr>
      </w:pPr>
      <w:r>
        <w:rPr>
          <w:rFonts w:ascii="Times New Roman" w:cs="Times New Roman" w:eastAsia="Times New Roman" w:hAnsi="Times New Roman"/>
          <w:sz w:val="20"/>
          <w:szCs w:val="20"/>
          <w:color w:val="auto"/>
        </w:rPr>
        <w:t>11.2.15</w:t>
        <w:tab/>
        <w:t>Fulcrum and its Affiliates have taken commercially reasonable measures consistent with industry practices to protect the secrecy, confidentiality and value of all Fulcrum Know-How that constitutes trade secrets under Applicable Law, including by requiring all employees, consultants and subcontractors to execute agreements requiring all such employees, consultants and subcontractors to maintain the confidentiality of all such Fulcrum Know-How for customary time periods. To Fulcrum’s Knowledge: (a) the Fulcrum Know-How has not been disclosed to, or used or discovered by, any Third Party except pursuant to such confidentiality agreements; and (b) there has not been a breach by any party of such confidentiality agreement</w:t>
      </w:r>
      <w:r>
        <w:rPr>
          <w:rFonts w:ascii="Times New Roman" w:cs="Times New Roman" w:eastAsia="Times New Roman" w:hAnsi="Times New Roman"/>
          <w:sz w:val="20"/>
          <w:szCs w:val="20"/>
          <w:u w:val="single" w:color="auto"/>
          <w:color w:val="auto"/>
        </w:rPr>
        <w:t>.</w:t>
      </w:r>
    </w:p>
    <w:p>
      <w:pPr>
        <w:spacing w:after="0" w:line="186" w:lineRule="exact"/>
        <w:rPr>
          <w:sz w:val="20"/>
          <w:szCs w:val="20"/>
          <w:color w:val="auto"/>
        </w:rPr>
      </w:pPr>
    </w:p>
    <w:p>
      <w:pPr>
        <w:jc w:val="both"/>
        <w:ind w:left="1500" w:hanging="694"/>
        <w:spacing w:after="0" w:line="249" w:lineRule="auto"/>
        <w:tabs>
          <w:tab w:leader="none" w:pos="1480" w:val="left"/>
        </w:tabs>
        <w:rPr>
          <w:sz w:val="20"/>
          <w:szCs w:val="20"/>
          <w:color w:val="auto"/>
        </w:rPr>
      </w:pPr>
      <w:r>
        <w:rPr>
          <w:rFonts w:ascii="Times New Roman" w:cs="Times New Roman" w:eastAsia="Times New Roman" w:hAnsi="Times New Roman"/>
          <w:sz w:val="20"/>
          <w:szCs w:val="20"/>
          <w:color w:val="auto"/>
        </w:rPr>
        <w:t>11.2.16</w:t>
        <w:tab/>
        <w:t>Fulcrum and its Affiliates have prepared, maintained and retained all Regulatory Submissions for Licensed Compounds and Licensed Products pursuant to and in accordance with all Applicable Laws. Each Regulatory Submission filed by Fulcrum or its Affiliates with respect to a Licensed Compound or a Licensed Product prior to the Effective Date was true, complete and accurate and timely filed.</w:t>
      </w:r>
    </w:p>
    <w:p>
      <w:pPr>
        <w:spacing w:after="0" w:line="180" w:lineRule="exact"/>
        <w:rPr>
          <w:sz w:val="20"/>
          <w:szCs w:val="20"/>
          <w:color w:val="auto"/>
        </w:rPr>
      </w:pPr>
    </w:p>
    <w:p>
      <w:pPr>
        <w:jc w:val="both"/>
        <w:ind w:left="1500" w:hanging="694"/>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11.2.17</w:t>
        <w:tab/>
        <w:t>Fulcrum and its Affiliates have conducted and, to Fulcrum’s Knowledge, their respective contractors and consultants have conducted, all Research, Development, Manufacture and other Exploitation of the Licensed Compounds and Licensed Products in accordance with all Applicable Law.</w:t>
      </w:r>
    </w:p>
    <w:p>
      <w:pPr>
        <w:spacing w:after="0" w:line="174"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11.2.18</w:t>
        <w:tab/>
        <w:t>The Inventions claimed, covered or encompassed by the Fulcrum Technology: (a) were not conceived, discovered, developed, invented or otherwise made in connection with any research activities funded, in whole or in part, by the federal government of the United States (or any agency thereof) or the government of any other country; (b) are not a “subject invention” as that term is described in 35 U.S.C. §201(c); (c) are not otherwise subject to the provisions of the Patent and Trademark Law Amendments Act of 1980, codified at 35 U.S.C. §§200-212, or any regulations promulgated pursuant thereto, including in 37 C.F.R. Part 401; (d) in the case of clauses (b) or (c), are not subject to similar obligations or restrictions under the Applicable Law of any other country; and (e) are not the subject of any licenses, options or other rights of any Governmental Authority, within or outside the United States.</w:t>
      </w:r>
    </w:p>
    <w:p>
      <w:pPr>
        <w:spacing w:after="0" w:line="189"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11.2.19</w:t>
      </w:r>
      <w:r>
        <w:rPr>
          <w:sz w:val="20"/>
          <w:szCs w:val="20"/>
          <w:color w:val="auto"/>
        </w:rPr>
        <w:tab/>
      </w:r>
      <w:r>
        <w:rPr>
          <w:rFonts w:ascii="Times New Roman" w:cs="Times New Roman" w:eastAsia="Times New Roman" w:hAnsi="Times New Roman"/>
          <w:sz w:val="19"/>
          <w:szCs w:val="19"/>
          <w:color w:val="auto"/>
        </w:rPr>
        <w:t>To Fulcrum’s Knowledge, [***].</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11.3 Additional Covenants</w:t>
      </w:r>
      <w:r>
        <w:rPr>
          <w:rFonts w:ascii="Times New Roman" w:cs="Times New Roman" w:eastAsia="Times New Roman" w:hAnsi="Times New Roman"/>
          <w:sz w:val="20"/>
          <w:szCs w:val="20"/>
          <w:color w:val="auto"/>
        </w:rPr>
        <w:t>. Each of Sanofi and Fulcrum hereby covenant to the other:</w:t>
      </w:r>
    </w:p>
    <w:p>
      <w:pPr>
        <w:spacing w:after="0" w:line="216" w:lineRule="exact"/>
        <w:rPr>
          <w:sz w:val="20"/>
          <w:szCs w:val="20"/>
          <w:color w:val="auto"/>
        </w:rPr>
      </w:pPr>
    </w:p>
    <w:p>
      <w:pPr>
        <w:jc w:val="both"/>
        <w:ind w:left="1500" w:hanging="694"/>
        <w:spacing w:after="0" w:line="273" w:lineRule="auto"/>
        <w:tabs>
          <w:tab w:leader="none" w:pos="1480" w:val="left"/>
        </w:tabs>
        <w:rPr>
          <w:sz w:val="20"/>
          <w:szCs w:val="20"/>
          <w:color w:val="auto"/>
        </w:rPr>
      </w:pPr>
      <w:r>
        <w:rPr>
          <w:rFonts w:ascii="Times New Roman" w:cs="Times New Roman" w:eastAsia="Times New Roman" w:hAnsi="Times New Roman"/>
          <w:sz w:val="20"/>
          <w:szCs w:val="20"/>
          <w:color w:val="auto"/>
        </w:rPr>
        <w:t>11.3.1</w:t>
      </w:r>
      <w:r>
        <w:rPr>
          <w:sz w:val="20"/>
          <w:szCs w:val="20"/>
          <w:color w:val="auto"/>
        </w:rPr>
        <w:tab/>
      </w:r>
      <w:r>
        <w:rPr>
          <w:rFonts w:ascii="Times New Roman" w:cs="Times New Roman" w:eastAsia="Times New Roman" w:hAnsi="Times New Roman"/>
          <w:sz w:val="20"/>
          <w:szCs w:val="20"/>
          <w:b w:val="1"/>
          <w:bCs w:val="1"/>
          <w:color w:val="auto"/>
        </w:rPr>
        <w:t>Assignment of Inventions</w:t>
      </w:r>
      <w:r>
        <w:rPr>
          <w:rFonts w:ascii="Times New Roman" w:cs="Times New Roman" w:eastAsia="Times New Roman" w:hAnsi="Times New Roman"/>
          <w:sz w:val="20"/>
          <w:szCs w:val="20"/>
          <w:color w:val="auto"/>
        </w:rPr>
        <w:t>. Each Party will require all of its and its Affiliates’ employees and consultants and contractors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assign all Inventions that are conceived, discovered,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8" w:name="page169"/>
    <w:bookmarkEnd w:id="168"/>
    <w:p>
      <w:pPr>
        <w:ind w:left="380"/>
        <w:spacing w:after="0" w:line="269" w:lineRule="auto"/>
        <w:rPr>
          <w:sz w:val="20"/>
          <w:szCs w:val="20"/>
          <w:color w:val="auto"/>
        </w:rPr>
      </w:pPr>
      <w:r>
        <w:rPr>
          <w:rFonts w:ascii="Times New Roman" w:cs="Times New Roman" w:eastAsia="Times New Roman" w:hAnsi="Times New Roman"/>
          <w:sz w:val="20"/>
          <w:szCs w:val="20"/>
          <w:color w:val="auto"/>
        </w:rPr>
        <w:t>developed, invented or otherwise made by such employees according to the ownership principles described in Section 10.1 (</w:t>
      </w:r>
      <w:r>
        <w:rPr>
          <w:rFonts w:ascii="Times New Roman" w:cs="Times New Roman" w:eastAsia="Times New Roman" w:hAnsi="Times New Roman"/>
          <w:sz w:val="20"/>
          <w:szCs w:val="20"/>
          <w:i w:val="1"/>
          <w:iCs w:val="1"/>
          <w:color w:val="auto"/>
        </w:rPr>
        <w:t>Inventions</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left="380" w:hanging="694"/>
        <w:spacing w:after="0" w:line="268" w:lineRule="auto"/>
        <w:tabs>
          <w:tab w:leader="none" w:pos="360" w:val="left"/>
        </w:tabs>
        <w:rPr>
          <w:sz w:val="20"/>
          <w:szCs w:val="20"/>
          <w:color w:val="auto"/>
        </w:rPr>
      </w:pPr>
      <w:r>
        <w:rPr>
          <w:rFonts w:ascii="Times New Roman" w:cs="Times New Roman" w:eastAsia="Times New Roman" w:hAnsi="Times New Roman"/>
          <w:sz w:val="20"/>
          <w:szCs w:val="20"/>
          <w:color w:val="auto"/>
        </w:rPr>
        <w:t>11.3.2</w:t>
      </w:r>
      <w:r>
        <w:rPr>
          <w:sz w:val="20"/>
          <w:szCs w:val="20"/>
          <w:color w:val="auto"/>
        </w:rPr>
        <w:tab/>
      </w:r>
      <w:r>
        <w:rPr>
          <w:rFonts w:ascii="Times New Roman" w:cs="Times New Roman" w:eastAsia="Times New Roman" w:hAnsi="Times New Roman"/>
          <w:sz w:val="19"/>
          <w:szCs w:val="19"/>
          <w:b w:val="1"/>
          <w:bCs w:val="1"/>
          <w:color w:val="auto"/>
        </w:rPr>
        <w:t>Compliance with Law</w:t>
      </w:r>
      <w:r>
        <w:rPr>
          <w:rFonts w:ascii="Times New Roman" w:cs="Times New Roman" w:eastAsia="Times New Roman" w:hAnsi="Times New Roman"/>
          <w:sz w:val="19"/>
          <w:szCs w:val="19"/>
          <w:color w:val="auto"/>
        </w:rPr>
        <w:t>. It will, and will ensure that its Affiliates, comply with all Applicable Laws and, to the extent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Professional Requirements, with respect to the performance of its obligations under this Agreement, including, as applicable, the Approved Labeling, the European Data Protection Directive 95/46/EC, the European General Data Protection Regulation (Regulation (EU) 2016/679), and any other applicable national data protection legislation.</w:t>
      </w:r>
    </w:p>
    <w:p>
      <w:pPr>
        <w:spacing w:after="0" w:line="158" w:lineRule="exact"/>
        <w:rPr>
          <w:sz w:val="20"/>
          <w:szCs w:val="20"/>
          <w:color w:val="auto"/>
        </w:rPr>
      </w:pPr>
    </w:p>
    <w:p>
      <w:pPr>
        <w:jc w:val="both"/>
        <w:ind w:left="380" w:hanging="694"/>
        <w:spacing w:after="0" w:line="256" w:lineRule="auto"/>
        <w:tabs>
          <w:tab w:leader="none" w:pos="360" w:val="left"/>
        </w:tabs>
        <w:rPr>
          <w:sz w:val="20"/>
          <w:szCs w:val="20"/>
          <w:color w:val="auto"/>
        </w:rPr>
      </w:pPr>
      <w:r>
        <w:rPr>
          <w:rFonts w:ascii="Times New Roman" w:cs="Times New Roman" w:eastAsia="Times New Roman" w:hAnsi="Times New Roman"/>
          <w:sz w:val="20"/>
          <w:szCs w:val="20"/>
          <w:color w:val="auto"/>
        </w:rPr>
        <w:t>11.3.3</w:t>
      </w:r>
      <w:r>
        <w:rPr>
          <w:sz w:val="20"/>
          <w:szCs w:val="20"/>
          <w:color w:val="auto"/>
        </w:rPr>
        <w:tab/>
      </w:r>
      <w:r>
        <w:rPr>
          <w:rFonts w:ascii="Times New Roman" w:cs="Times New Roman" w:eastAsia="Times New Roman" w:hAnsi="Times New Roman"/>
          <w:sz w:val="20"/>
          <w:szCs w:val="20"/>
          <w:b w:val="1"/>
          <w:bCs w:val="1"/>
          <w:color w:val="auto"/>
        </w:rPr>
        <w:t>No Conflicts</w:t>
      </w:r>
      <w:r>
        <w:rPr>
          <w:rFonts w:ascii="Times New Roman" w:cs="Times New Roman" w:eastAsia="Times New Roman" w:hAnsi="Times New Roman"/>
          <w:sz w:val="20"/>
          <w:szCs w:val="20"/>
          <w:color w:val="auto"/>
        </w:rPr>
        <w:t>. It will not enter into any agreement, contract, commitment or other arrangement, or otherwise take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action or fail to take any action, that could reasonably be expected to conflict with the rights granted to the other Party hereunder or otherwise prevent the other Party from exercising the rights granted to it hereunder.</w:t>
      </w:r>
    </w:p>
    <w:p>
      <w:pPr>
        <w:spacing w:after="0" w:line="169" w:lineRule="exact"/>
        <w:rPr>
          <w:sz w:val="20"/>
          <w:szCs w:val="20"/>
          <w:color w:val="auto"/>
        </w:rPr>
      </w:pPr>
    </w:p>
    <w:p>
      <w:pPr>
        <w:jc w:val="both"/>
        <w:ind w:left="380" w:hanging="694"/>
        <w:spacing w:after="0" w:line="245" w:lineRule="auto"/>
        <w:tabs>
          <w:tab w:leader="none" w:pos="360" w:val="left"/>
        </w:tabs>
        <w:rPr>
          <w:sz w:val="20"/>
          <w:szCs w:val="20"/>
          <w:color w:val="auto"/>
        </w:rPr>
      </w:pPr>
      <w:r>
        <w:rPr>
          <w:rFonts w:ascii="Times New Roman" w:cs="Times New Roman" w:eastAsia="Times New Roman" w:hAnsi="Times New Roman"/>
          <w:sz w:val="20"/>
          <w:szCs w:val="20"/>
          <w:color w:val="auto"/>
        </w:rPr>
        <w:t>11.3.4</w:t>
      </w:r>
      <w:r>
        <w:rPr>
          <w:sz w:val="20"/>
          <w:szCs w:val="20"/>
          <w:color w:val="auto"/>
        </w:rPr>
        <w:tab/>
      </w:r>
      <w:r>
        <w:rPr>
          <w:rFonts w:ascii="Times New Roman" w:cs="Times New Roman" w:eastAsia="Times New Roman" w:hAnsi="Times New Roman"/>
          <w:sz w:val="20"/>
          <w:szCs w:val="20"/>
          <w:b w:val="1"/>
          <w:bCs w:val="1"/>
          <w:color w:val="auto"/>
        </w:rPr>
        <w:t>No Bribery</w:t>
      </w:r>
      <w:r>
        <w:rPr>
          <w:rFonts w:ascii="Times New Roman" w:cs="Times New Roman" w:eastAsia="Times New Roman" w:hAnsi="Times New Roman"/>
          <w:sz w:val="20"/>
          <w:szCs w:val="20"/>
          <w:color w:val="auto"/>
        </w:rPr>
        <w:t>. It will not in the future offer, promise, pay, authorize, or give, money or anything of value, directly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indirectly, to any Government Official or Other Covered Party for the purpose, pertaining to this Agreement, of: (a) influencing any act or decision of the Government Official or Other Covered Party; (b) inducing the Government Official or Other Covered Party to do or omit to do an act in violation of a lawful duty; (c) securing any improper advantage; or (d) inducing the Government Official or Other Covered Party to influence the act or decision of a government or government instrumentality, in order to obtain or retain business, or direct business to, any Person, in each case, in any way related to this Agreement.</w:t>
      </w:r>
    </w:p>
    <w:p>
      <w:pPr>
        <w:spacing w:after="0" w:line="179" w:lineRule="exact"/>
        <w:rPr>
          <w:sz w:val="20"/>
          <w:szCs w:val="20"/>
          <w:color w:val="auto"/>
        </w:rPr>
      </w:pPr>
    </w:p>
    <w:p>
      <w:pPr>
        <w:jc w:val="both"/>
        <w:ind w:left="380" w:hanging="694"/>
        <w:spacing w:after="0" w:line="246" w:lineRule="auto"/>
        <w:tabs>
          <w:tab w:leader="none" w:pos="360" w:val="left"/>
        </w:tabs>
        <w:rPr>
          <w:sz w:val="20"/>
          <w:szCs w:val="20"/>
          <w:color w:val="auto"/>
        </w:rPr>
      </w:pPr>
      <w:r>
        <w:rPr>
          <w:rFonts w:ascii="Times New Roman" w:cs="Times New Roman" w:eastAsia="Times New Roman" w:hAnsi="Times New Roman"/>
          <w:sz w:val="20"/>
          <w:szCs w:val="20"/>
          <w:color w:val="auto"/>
        </w:rPr>
        <w:t>11.3.5</w:t>
      </w:r>
      <w:r>
        <w:rPr>
          <w:sz w:val="20"/>
          <w:szCs w:val="20"/>
          <w:color w:val="auto"/>
        </w:rPr>
        <w:tab/>
      </w:r>
      <w:r>
        <w:rPr>
          <w:rFonts w:ascii="Times New Roman" w:cs="Times New Roman" w:eastAsia="Times New Roman" w:hAnsi="Times New Roman"/>
          <w:sz w:val="20"/>
          <w:szCs w:val="20"/>
          <w:b w:val="1"/>
          <w:bCs w:val="1"/>
          <w:color w:val="auto"/>
        </w:rPr>
        <w:t>Restricted Countries</w:t>
      </w:r>
      <w:r>
        <w:rPr>
          <w:rFonts w:ascii="Times New Roman" w:cs="Times New Roman" w:eastAsia="Times New Roman" w:hAnsi="Times New Roman"/>
          <w:sz w:val="20"/>
          <w:szCs w:val="20"/>
          <w:color w:val="auto"/>
        </w:rPr>
        <w:t>. Neither it nor its Affiliates will export, transfer, or sell any Licensed Product (a) to any country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territory that is subject to comprehensive economic sanctions administered by OFAC, unless the sale of such Licensed Product would be permissible if Sanofi or its Affiliates or Sublicensees were subject to OFAC’s jurisdiction, (b) to any other country or territory in which such activity would violate Applicable Law in the U.S., (c) to any Restricted Party unless the sale of such Licensed Product would be permissible if Sanofi or its Affiliates or Sublicensees was subject to OFAC’s jurisdiction, or (d) in such a manner that would violate the Global Trade Control Laws.</w:t>
      </w:r>
    </w:p>
    <w:p>
      <w:pPr>
        <w:spacing w:after="0" w:line="179" w:lineRule="exact"/>
        <w:rPr>
          <w:sz w:val="20"/>
          <w:szCs w:val="20"/>
          <w:color w:val="auto"/>
        </w:rPr>
      </w:pPr>
    </w:p>
    <w:p>
      <w:pPr>
        <w:jc w:val="both"/>
        <w:ind w:left="380" w:hanging="694"/>
        <w:spacing w:after="0" w:line="247" w:lineRule="auto"/>
        <w:tabs>
          <w:tab w:leader="none" w:pos="360" w:val="left"/>
        </w:tabs>
        <w:rPr>
          <w:sz w:val="20"/>
          <w:szCs w:val="20"/>
          <w:color w:val="auto"/>
        </w:rPr>
      </w:pPr>
      <w:r>
        <w:rPr>
          <w:rFonts w:ascii="Times New Roman" w:cs="Times New Roman" w:eastAsia="Times New Roman" w:hAnsi="Times New Roman"/>
          <w:sz w:val="20"/>
          <w:szCs w:val="20"/>
          <w:color w:val="auto"/>
        </w:rPr>
        <w:t>11.3.6</w:t>
      </w:r>
      <w:r>
        <w:rPr>
          <w:sz w:val="20"/>
          <w:szCs w:val="20"/>
          <w:color w:val="auto"/>
        </w:rPr>
        <w:tab/>
      </w:r>
      <w:r>
        <w:rPr>
          <w:rFonts w:ascii="Times New Roman" w:cs="Times New Roman" w:eastAsia="Times New Roman" w:hAnsi="Times New Roman"/>
          <w:sz w:val="20"/>
          <w:szCs w:val="20"/>
          <w:b w:val="1"/>
          <w:bCs w:val="1"/>
          <w:color w:val="auto"/>
        </w:rPr>
        <w:t>FCPA Compliance</w:t>
      </w:r>
      <w:r>
        <w:rPr>
          <w:rFonts w:ascii="Times New Roman" w:cs="Times New Roman" w:eastAsia="Times New Roman" w:hAnsi="Times New Roman"/>
          <w:sz w:val="20"/>
          <w:szCs w:val="20"/>
          <w:color w:val="auto"/>
        </w:rPr>
        <w:t>. In performing under this Agreement, it and its Affiliates agree to comply with all applicable anti-corruption laws, including the Foreign Corrupt Practices Act of 1977 and the Bribery Act 2010, as amended from time-to-time; the anti-corruption laws of the Territory; and all laws enacted to implement the Organization for Economic Co-operation and Development Convention on Combating Bribery of Foreign Officials in International Business Transactions.</w:t>
      </w:r>
    </w:p>
    <w:p>
      <w:pPr>
        <w:spacing w:after="0" w:line="180" w:lineRule="exact"/>
        <w:rPr>
          <w:sz w:val="20"/>
          <w:szCs w:val="20"/>
          <w:color w:val="auto"/>
        </w:rPr>
      </w:pPr>
    </w:p>
    <w:p>
      <w:pPr>
        <w:jc w:val="both"/>
        <w:ind w:left="380" w:hanging="694"/>
        <w:spacing w:after="0" w:line="245" w:lineRule="auto"/>
        <w:tabs>
          <w:tab w:leader="none" w:pos="360" w:val="left"/>
        </w:tabs>
        <w:rPr>
          <w:sz w:val="20"/>
          <w:szCs w:val="20"/>
          <w:color w:val="auto"/>
        </w:rPr>
      </w:pPr>
      <w:r>
        <w:rPr>
          <w:rFonts w:ascii="Times New Roman" w:cs="Times New Roman" w:eastAsia="Times New Roman" w:hAnsi="Times New Roman"/>
          <w:sz w:val="20"/>
          <w:szCs w:val="20"/>
          <w:color w:val="auto"/>
        </w:rPr>
        <w:t>11.3.7</w:t>
      </w:r>
      <w:r>
        <w:rPr>
          <w:sz w:val="20"/>
          <w:szCs w:val="20"/>
          <w:color w:val="auto"/>
        </w:rPr>
        <w:tab/>
      </w:r>
      <w:r>
        <w:rPr>
          <w:rFonts w:ascii="Times New Roman" w:cs="Times New Roman" w:eastAsia="Times New Roman" w:hAnsi="Times New Roman"/>
          <w:sz w:val="20"/>
          <w:szCs w:val="20"/>
          <w:b w:val="1"/>
          <w:bCs w:val="1"/>
          <w:color w:val="auto"/>
        </w:rPr>
        <w:t>Debarred/Excluded Persons</w:t>
      </w:r>
      <w:r>
        <w:rPr>
          <w:rFonts w:ascii="Times New Roman" w:cs="Times New Roman" w:eastAsia="Times New Roman" w:hAnsi="Times New Roman"/>
          <w:sz w:val="20"/>
          <w:szCs w:val="20"/>
          <w:color w:val="auto"/>
        </w:rPr>
        <w:t>. It will not engage, in any capacity in connection with this Agreement or any ancillary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any officer, employee, contractor, consultant, agent, representative, or other Person who has been Debarred/Excluded. Each Party will inform the other Party in writing promptly if it or any Person engaged by it or any of its Affiliates who is performing any obligations under this Agreement or any ancillary agreements is Debarred/Excluded, or if any action, suit, claim, investigation, or legal or administrative proceeding is pending or, to each Party’s Knowledge, is threatened, pursuant to which a Party, any of its Affiliates or any such Person performing obligations hereunder or thereunder may become Debarred/Excluded.</w:t>
      </w:r>
    </w:p>
    <w:p>
      <w:pPr>
        <w:spacing w:after="0" w:line="18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764540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69" w:name="page170"/>
    <w:bookmarkEnd w:id="169"/>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11.3.8</w:t>
      </w:r>
      <w:r>
        <w:rPr>
          <w:sz w:val="20"/>
          <w:szCs w:val="20"/>
          <w:color w:val="auto"/>
        </w:rPr>
        <w:tab/>
      </w:r>
      <w:r>
        <w:rPr>
          <w:rFonts w:ascii="Times New Roman" w:cs="Times New Roman" w:eastAsia="Times New Roman" w:hAnsi="Times New Roman"/>
          <w:sz w:val="19"/>
          <w:szCs w:val="19"/>
          <w:b w:val="1"/>
          <w:bCs w:val="1"/>
          <w:color w:val="auto"/>
        </w:rPr>
        <w:t>No Transfer of Title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500" w:hanging="690"/>
        <w:spacing w:after="0" w:line="247" w:lineRule="auto"/>
        <w:tabs>
          <w:tab w:leader="none" w:pos="120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permitted under Section 16.1 (</w:t>
      </w: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Fulcrum covenants and agrees that during the Term, neither it nor its Affiliates shall enter into any agreement with any Third Party, whether written or oral, with respect to, or otherwise assign, transfer, license, or convey its right, title or interest in or to, the Fulcrum Technology, in each case, in a manner that is in conflict with the rights granted by Fulcrum to Sanofi under this Agreement or that would prevent Fulcrum from performing its obligations under this Agreement.</w:t>
      </w:r>
    </w:p>
    <w:p>
      <w:pPr>
        <w:spacing w:after="0" w:line="180" w:lineRule="exact"/>
        <w:rPr>
          <w:rFonts w:ascii="Times New Roman" w:cs="Times New Roman" w:eastAsia="Times New Roman" w:hAnsi="Times New Roman"/>
          <w:sz w:val="20"/>
          <w:szCs w:val="20"/>
          <w:color w:val="auto"/>
        </w:rPr>
      </w:pPr>
    </w:p>
    <w:p>
      <w:pPr>
        <w:ind w:left="1500" w:hanging="690"/>
        <w:spacing w:after="0" w:line="247" w:lineRule="auto"/>
        <w:tabs>
          <w:tab w:leader="none" w:pos="120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permitted under Section 16.1 (</w:t>
      </w: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Sanofi covenants and agrees that during the Term, neither it nor its Affiliates shall enter into any agreement with any Third Party, whether written or oral, with respect to, or otherwise assign, transfer, license, or convey its right, title or interest in or to, the Fulcrum Technology or Sanofi Technology, in each case in a manner that is in conflict with the rights granted by Sanofi to Fulcrum under this Agreement or that would prevent Sanofi from performing its obligations under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11.4 Additional Fulcrum Covenants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1" w:lineRule="auto"/>
        <w:tabs>
          <w:tab w:leader="none" w:pos="1480" w:val="left"/>
        </w:tabs>
        <w:rPr>
          <w:sz w:val="20"/>
          <w:szCs w:val="20"/>
          <w:color w:val="auto"/>
        </w:rPr>
      </w:pPr>
      <w:r>
        <w:rPr>
          <w:rFonts w:ascii="Times New Roman" w:cs="Times New Roman" w:eastAsia="Times New Roman" w:hAnsi="Times New Roman"/>
          <w:sz w:val="20"/>
          <w:szCs w:val="20"/>
          <w:color w:val="auto"/>
        </w:rPr>
        <w:t>11.4.1</w:t>
      </w:r>
      <w:r>
        <w:rPr>
          <w:sz w:val="20"/>
          <w:szCs w:val="20"/>
          <w:color w:val="auto"/>
        </w:rPr>
        <w:tab/>
      </w:r>
      <w:r>
        <w:rPr>
          <w:rFonts w:ascii="Times New Roman" w:cs="Times New Roman" w:eastAsia="Times New Roman" w:hAnsi="Times New Roman"/>
          <w:sz w:val="20"/>
          <w:szCs w:val="20"/>
          <w:b w:val="1"/>
          <w:bCs w:val="1"/>
          <w:color w:val="auto"/>
        </w:rPr>
        <w:t>Existing Third Party IP Agreements</w:t>
      </w:r>
      <w:r>
        <w:rPr>
          <w:rFonts w:ascii="Times New Roman" w:cs="Times New Roman" w:eastAsia="Times New Roman" w:hAnsi="Times New Roman"/>
          <w:sz w:val="20"/>
          <w:szCs w:val="20"/>
          <w:color w:val="auto"/>
        </w:rPr>
        <w:t>. Fulcrum has provided a true, correct and complete copy of the Existing Third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IP Agreements, and all amendments thereto, as of the Effective Date, in each case, subject to redactions of contents unrelated to this Agreement. Fulcrum will provide a true, correct and complete copy of all amendments, restatements, side letters, and other modifications to the Existing Third Party IP Agreements entered into after the Effective Date, in each case, subject to redactions of contents unrelated to this Agreement. Fulcrum will inform Sanofi of any action it may take under the Existing Third Party IP Agreements to the extent such action may impact Sanofi’s interest under the Existing Third Party IP Agreements and consult with Sanofi with respect thereto. Without limiting the foregoing, Fulcrum shall: (a) fulfill in all material respects all of its obligations, including its payment obligations, under, and shall not otherwise breach in any material respect, the Existing Third Party IP Agreements and shall maintain the same in full force and effect (and to the extent permitted under such Existing Third Party IP Agreements, Sanofi shall have the right, in its sole discretion, to step in and cure any undisputed payment breach of such Existing Third Party IP Agreement by Fulcrum); (b) not assign (except an assignment to a party to which this Agreement has been assigned as permitted under Section 16.1 (</w:t>
      </w: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amend, restate, amend and restate, terminate in whole or in part, or otherwise modify an Existing Third Party IP Agreement, or otherwise waive any rights under an Existing Third Party IP Agreement, in each case, in a manner in conflicts with the rights granted to Sanofi hereunder without the prior written consent of Sanofi, not to be unreasonably withheld, conditioned or delayed; (c) provide Sanofi with prompt notice of any claim of a breach under an Existing Third Party IP Agreement or notice of termination of any Existing Third Party IP Agreement; and (d) promptly send to Sanofi copies of all other material correspondence to or from the counterparty to an Existing Third Party IP Agreement to the extent related to this Agreement.</w:t>
      </w:r>
    </w:p>
    <w:p>
      <w:pPr>
        <w:spacing w:after="0" w:line="189"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11.5 Disclaimer</w:t>
      </w:r>
      <w:r>
        <w:rPr>
          <w:rFonts w:ascii="Times New Roman" w:cs="Times New Roman" w:eastAsia="Times New Roman" w:hAnsi="Times New Roman"/>
          <w:sz w:val="20"/>
          <w:szCs w:val="20"/>
          <w:color w:val="auto"/>
        </w:rPr>
        <w:t>. EXCEPT AS EXPRESSLY SET FORTH HEREIN, EACH OF THE PARTIES EXPRESSLY DISCLAIMS 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REPRESENTATIONS AND WARRANTIES OF ANY KIND, EXPRESS OR IMPLIED, INCLUDING THE WARRANTIES OF DESIGN, MERCHANTABILITY, FITNESS FOR A PARTICULAR PURPOSE, VALIDITY, OR ENFORCEABILITY OF THEIR RESPECTIVE INTELLECTUAL PROPERTY RIGHTS,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0" w:name="page171"/>
    <w:bookmarkEnd w:id="170"/>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NONINFRINGEMENT OF THE INTELLECTUAL PROPERTY RIGHTS OF THIRD PARTIES, ARISING FROM A COURSE OF DEALING, USAGE, OR TRADE PRACTICES, IN ALL CASES WITH RESPECT THERETO. WITHOUT LIMITING THE FOREGOING, THE PARTIES AGREE THAT THE MILESTONE EVENTS AND NET SALES LEVELS SET FORTH IN THIS AGREEMENT OR THAT HAVE OTHERWISE BEEN DISCUSSED BY THE PARTIES ARE MERELY INTENDED TO DEFINE THE MILESTONE PAYMENTS AND ROYALTY OBLIGATIONS IF SUCH MILESTONE EVENTS OR NET SALES LEVELS ARE ACHIEVED. NEITHER PARTY MAKES ANY REPRESENTATION OR WARRANTY, EITHER EXPRESS OR IMPLIED, THAT IT WILL BE ABLE TO SUCCESSFULLY ADVANCE ANY LICENSED PRODUCT OR RESEARCH, DEVELOP, ACHIEVE REGULATORY APPROVAL FOR, MANUFACTURE, COMMERCIALIZE OR OTHERWISE EXPLOIT ANY LICENSED PRODUCT OR, IF COMMERCIALIZED, THAT ANY PARTICULAR SALES LEVEL OR PROFIT OF SUCH LICENSED PRODUCT WILL BE ACHIEVED.</w:t>
      </w:r>
    </w:p>
    <w:p>
      <w:pPr>
        <w:spacing w:after="0" w:line="188" w:lineRule="exact"/>
        <w:rPr>
          <w:sz w:val="20"/>
          <w:szCs w:val="20"/>
          <w:color w:val="auto"/>
        </w:rPr>
      </w:pPr>
    </w:p>
    <w:p>
      <w:pPr>
        <w:jc w:val="both"/>
        <w:ind w:left="760" w:hanging="748"/>
        <w:spacing w:after="0" w:line="243" w:lineRule="auto"/>
        <w:rPr>
          <w:sz w:val="20"/>
          <w:szCs w:val="20"/>
          <w:color w:val="auto"/>
        </w:rPr>
      </w:pPr>
      <w:r>
        <w:rPr>
          <w:rFonts w:ascii="Times New Roman" w:cs="Times New Roman" w:eastAsia="Times New Roman" w:hAnsi="Times New Roman"/>
          <w:sz w:val="20"/>
          <w:szCs w:val="20"/>
          <w:b w:val="1"/>
          <w:bCs w:val="1"/>
          <w:color w:val="auto"/>
        </w:rPr>
        <w:t>11.6 Limitation of Liability</w:t>
      </w:r>
      <w:r>
        <w:rPr>
          <w:rFonts w:ascii="Times New Roman" w:cs="Times New Roman" w:eastAsia="Times New Roman" w:hAnsi="Times New Roman"/>
          <w:sz w:val="20"/>
          <w:szCs w:val="20"/>
          <w:color w:val="auto"/>
        </w:rPr>
        <w:t>. NEITHER OF THE PARTIES, NOR ANY OF THEIR RESPECTIVE AFFILIATES, WILL BE ENTITLED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RECOVER FROM THE OTHER PARTY OR ITS AFFILIATES, ANY SPECIAL, INCIDENTAL, INDIRECT, EXEMPLARY, CONSEQUENTIAL, OR PUNITIVE DAMAGES OR DAMAGES FOR LOSS OF PROFIT, LOSS OF REVENUE, OR LOST OPPORTUNITY IN CONNECTION WITH THIS AGREEMENT, ITS PERFORMANCE OR LACK OF PERFORMANCE HEREUNDER, OR ANY LICENSE GRANTED HEREUNDER, REGARDLESS OF ANY NOTICE OF THE POSSIBILITY OF SUCH DAMAGES, EXCEPT TO THE EXTENT THE DAMAGES RESULT FROM A PARTY’S FRAUD, GROSS NEGLIGENCE OR INTENTIONAL MISCONDUCT, A BREACH OF THE OBLIGATIONS OF A PARTY UNDER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OR AMOUNTS REQUIRED TO BE PAID TO A THIRD PARTY AS PART OF A CLAIM FOR WHICH A PARTY PROVIDES INDEMNIFICATION UNDER ARTICLE 13 (</w:t>
      </w: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CONFIDENTIALITY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12.1 Duty of Confidence</w:t>
      </w:r>
      <w:r>
        <w:rPr>
          <w:rFonts w:ascii="Times New Roman" w:cs="Times New Roman" w:eastAsia="Times New Roman" w:hAnsi="Times New Roman"/>
          <w:sz w:val="20"/>
          <w:szCs w:val="20"/>
          <w:color w:val="auto"/>
        </w:rPr>
        <w:t>. Subject to the other provisions of this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12.1.1</w:t>
        <w:tab/>
        <w:t xml:space="preserve">except to the extent expressly authorized by this Agreement, all Confidential Information of a Party (the “ </w:t>
      </w:r>
      <w:r>
        <w:rPr>
          <w:rFonts w:ascii="Times New Roman" w:cs="Times New Roman" w:eastAsia="Times New Roman" w:hAnsi="Times New Roman"/>
          <w:sz w:val="20"/>
          <w:szCs w:val="20"/>
          <w:b w:val="1"/>
          <w:bCs w:val="1"/>
          <w:color w:val="auto"/>
        </w:rPr>
        <w:t>Disclosing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will be maintained in confidence and otherwise safeguarded, and not published or otherwise disclosed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Third Party without the Disclosing Party’s prior written consent, by the other Party (the “</w:t>
      </w:r>
      <w:r>
        <w:rPr>
          <w:rFonts w:ascii="Times New Roman" w:cs="Times New Roman" w:eastAsia="Times New Roman" w:hAnsi="Times New Roman"/>
          <w:sz w:val="20"/>
          <w:szCs w:val="20"/>
          <w:b w:val="1"/>
          <w:bCs w:val="1"/>
          <w:color w:val="auto"/>
        </w:rPr>
        <w:t>Receiving Party</w:t>
      </w:r>
      <w:r>
        <w:rPr>
          <w:rFonts w:ascii="Times New Roman" w:cs="Times New Roman" w:eastAsia="Times New Roman" w:hAnsi="Times New Roman"/>
          <w:sz w:val="20"/>
          <w:szCs w:val="20"/>
          <w:color w:val="auto"/>
        </w:rPr>
        <w:t>”) and its Affiliates;</w:t>
      </w:r>
    </w:p>
    <w:p>
      <w:pPr>
        <w:spacing w:after="0" w:line="180" w:lineRule="exact"/>
        <w:rPr>
          <w:sz w:val="20"/>
          <w:szCs w:val="20"/>
          <w:color w:val="auto"/>
        </w:rPr>
      </w:pPr>
    </w:p>
    <w:p>
      <w:pPr>
        <w:jc w:val="both"/>
        <w:ind w:left="1500" w:hanging="694"/>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12.1.2</w:t>
        <w:tab/>
        <w:t>the Receiving Party will treat all Confidential Information provided by the Disclosing Party, at a minimum, with the same degree of care as the Receiving Party uses for its own proprietary information of a similar nature, but in no event less than a reasonable degree of care;</w:t>
      </w:r>
    </w:p>
    <w:p>
      <w:pPr>
        <w:spacing w:after="0" w:line="174" w:lineRule="exact"/>
        <w:rPr>
          <w:sz w:val="20"/>
          <w:szCs w:val="20"/>
          <w:color w:val="auto"/>
        </w:rPr>
      </w:pPr>
    </w:p>
    <w:p>
      <w:pPr>
        <w:jc w:val="both"/>
        <w:ind w:left="1500" w:hanging="694"/>
        <w:spacing w:after="0" w:line="269" w:lineRule="auto"/>
        <w:tabs>
          <w:tab w:leader="none" w:pos="1480" w:val="left"/>
        </w:tabs>
        <w:rPr>
          <w:sz w:val="20"/>
          <w:szCs w:val="20"/>
          <w:color w:val="auto"/>
        </w:rPr>
      </w:pPr>
      <w:r>
        <w:rPr>
          <w:rFonts w:ascii="Times New Roman" w:cs="Times New Roman" w:eastAsia="Times New Roman" w:hAnsi="Times New Roman"/>
          <w:sz w:val="20"/>
          <w:szCs w:val="20"/>
          <w:color w:val="auto"/>
        </w:rPr>
        <w:t>12.1.3</w:t>
        <w:tab/>
        <w:t>the Receiving Party may only use any Confidential Information of the Disclosing Party for the purposes of performing its obligations or exercising its rights under this Agreement;</w:t>
      </w:r>
    </w:p>
    <w:p>
      <w:pPr>
        <w:spacing w:after="0" w:line="159" w:lineRule="exact"/>
        <w:rPr>
          <w:sz w:val="20"/>
          <w:szCs w:val="20"/>
          <w:color w:val="auto"/>
        </w:rPr>
      </w:pPr>
    </w:p>
    <w:p>
      <w:pPr>
        <w:jc w:val="both"/>
        <w:ind w:left="1500" w:hanging="694"/>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12.1.4</w:t>
        <w:tab/>
        <w:t>a Receiving Party may disclose Confidential Information of the Disclosing Party to: (a) such Receiving Party’s Affiliates, and potential and actual licensees and Sublicensees; and (b) employees, directors, officers, agents, contractors, consultants, attorneys, accountants,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1" w:name="page172"/>
    <w:bookmarkEnd w:id="171"/>
    <w:p>
      <w:pPr>
        <w:jc w:val="both"/>
        <w:ind w:left="1500"/>
        <w:spacing w:after="0" w:line="256" w:lineRule="auto"/>
        <w:rPr>
          <w:sz w:val="20"/>
          <w:szCs w:val="20"/>
          <w:color w:val="auto"/>
        </w:rPr>
      </w:pPr>
      <w:r>
        <w:rPr>
          <w:rFonts w:ascii="Times New Roman" w:cs="Times New Roman" w:eastAsia="Times New Roman" w:hAnsi="Times New Roman"/>
          <w:sz w:val="19"/>
          <w:szCs w:val="19"/>
          <w:color w:val="auto"/>
        </w:rPr>
        <w:t xml:space="preserve">potential or actual investors solely for the purpose of evaluating or carrying out an actual or potential investment, acquisition or collaboration, and advisors of the Receiving Party and its Affiliates, licensees, and Sublicensees, in each case ((a) and (b)), to the extent reasonably necessary for the purposes of performing its obligations or exercising its rights under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(x) such Persons are bound by legally enforceable obligations of confidentiality and non-use with respect to the Disclosing Party’s Confidential Information, or subject to professional ethical obligations of confidentiality, no less stringent than the confidentiality and non-use obligations set forth in this Agreement, except that the term of such obligation will be customary for such recipient of Confidential Information and (y) each Party remains responsible for any failure by its Affiliates, licensees, and Sublicensees, and its and its Affiliates’, licensees’, and Sublicensees’ respective employees, directors, officers, agents, contractors, consultants, attorneys, accountants, investors and advisors, in each case, to treat such Confidential Information as required under this Section 12.1 (</w:t>
      </w:r>
      <w:r>
        <w:rPr>
          <w:rFonts w:ascii="Times New Roman" w:cs="Times New Roman" w:eastAsia="Times New Roman" w:hAnsi="Times New Roman"/>
          <w:sz w:val="19"/>
          <w:szCs w:val="19"/>
          <w:i w:val="1"/>
          <w:iCs w:val="1"/>
          <w:color w:val="auto"/>
        </w:rPr>
        <w:t>Duty of Confidence</w:t>
      </w:r>
      <w:r>
        <w:rPr>
          <w:rFonts w:ascii="Times New Roman" w:cs="Times New Roman" w:eastAsia="Times New Roman" w:hAnsi="Times New Roman"/>
          <w:sz w:val="19"/>
          <w:szCs w:val="19"/>
          <w:color w:val="auto"/>
        </w:rPr>
        <w:t>) (as if such Persons were Parties directly bound to the requirements of this Section 12.1 (</w:t>
      </w:r>
      <w:r>
        <w:rPr>
          <w:rFonts w:ascii="Times New Roman" w:cs="Times New Roman" w:eastAsia="Times New Roman" w:hAnsi="Times New Roman"/>
          <w:sz w:val="19"/>
          <w:szCs w:val="19"/>
          <w:i w:val="1"/>
          <w:iCs w:val="1"/>
          <w:color w:val="auto"/>
        </w:rPr>
        <w:t>Duty of Confidence</w:t>
      </w:r>
      <w:r>
        <w:rPr>
          <w:rFonts w:ascii="Times New Roman" w:cs="Times New Roman" w:eastAsia="Times New Roman" w:hAnsi="Times New Roman"/>
          <w:sz w:val="19"/>
          <w:szCs w:val="19"/>
          <w:color w:val="auto"/>
        </w:rPr>
        <w:t>)); and</w:t>
      </w:r>
    </w:p>
    <w:p>
      <w:pPr>
        <w:spacing w:after="0" w:line="177" w:lineRule="exact"/>
        <w:rPr>
          <w:sz w:val="20"/>
          <w:szCs w:val="20"/>
          <w:color w:val="auto"/>
        </w:rPr>
      </w:pPr>
    </w:p>
    <w:p>
      <w:pPr>
        <w:ind w:left="1500" w:hanging="694"/>
        <w:spacing w:after="0" w:line="269" w:lineRule="auto"/>
        <w:tabs>
          <w:tab w:leader="none" w:pos="1480" w:val="left"/>
        </w:tabs>
        <w:rPr>
          <w:sz w:val="20"/>
          <w:szCs w:val="20"/>
          <w:color w:val="auto"/>
        </w:rPr>
      </w:pPr>
      <w:r>
        <w:rPr>
          <w:rFonts w:ascii="Times New Roman" w:cs="Times New Roman" w:eastAsia="Times New Roman" w:hAnsi="Times New Roman"/>
          <w:sz w:val="20"/>
          <w:szCs w:val="20"/>
          <w:color w:val="auto"/>
        </w:rPr>
        <w:t>12.1.5</w:t>
        <w:tab/>
        <w:t>each Party will promptly notify the other Party of any misuse or unauthorized disclosure of the other Party’s Confidential Information.</w:t>
      </w:r>
    </w:p>
    <w:p>
      <w:pPr>
        <w:spacing w:after="0" w:line="155" w:lineRule="exact"/>
        <w:rPr>
          <w:sz w:val="20"/>
          <w:szCs w:val="20"/>
          <w:color w:val="auto"/>
        </w:rPr>
      </w:pPr>
    </w:p>
    <w:p>
      <w:pPr>
        <w:jc w:val="both"/>
        <w:ind w:left="1500" w:firstLine="749"/>
        <w:spacing w:after="0" w:line="247" w:lineRule="auto"/>
        <w:rPr>
          <w:sz w:val="20"/>
          <w:szCs w:val="20"/>
          <w:color w:val="auto"/>
        </w:rPr>
      </w:pPr>
      <w:r>
        <w:rPr>
          <w:rFonts w:ascii="Times New Roman" w:cs="Times New Roman" w:eastAsia="Times New Roman" w:hAnsi="Times New Roman"/>
          <w:sz w:val="20"/>
          <w:szCs w:val="20"/>
          <w:color w:val="auto"/>
        </w:rPr>
        <w:t>The confidentiality, non-use, and non-disclosure obligations set forth in this Section 12.1 (</w:t>
      </w:r>
      <w:r>
        <w:rPr>
          <w:rFonts w:ascii="Times New Roman" w:cs="Times New Roman" w:eastAsia="Times New Roman" w:hAnsi="Times New Roman"/>
          <w:sz w:val="20"/>
          <w:szCs w:val="20"/>
          <w:i w:val="1"/>
          <w:iCs w:val="1"/>
          <w:color w:val="auto"/>
        </w:rPr>
        <w:t>Duty of Confidence</w:t>
      </w:r>
      <w:r>
        <w:rPr>
          <w:rFonts w:ascii="Times New Roman" w:cs="Times New Roman" w:eastAsia="Times New Roman" w:hAnsi="Times New Roman"/>
          <w:sz w:val="20"/>
          <w:szCs w:val="20"/>
          <w:color w:val="auto"/>
        </w:rPr>
        <w:t xml:space="preserve">) will be in full force and effect from the Effective Date until [***] after expiration or termination of this Agreement,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with respect to any Know-How that is a trade secret and is identified as such by the Disclosing Party 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of disclosure, the obligations of this Section 12.1 (</w:t>
      </w:r>
      <w:r>
        <w:rPr>
          <w:rFonts w:ascii="Times New Roman" w:cs="Times New Roman" w:eastAsia="Times New Roman" w:hAnsi="Times New Roman"/>
          <w:sz w:val="20"/>
          <w:szCs w:val="20"/>
          <w:i w:val="1"/>
          <w:iCs w:val="1"/>
          <w:color w:val="auto"/>
        </w:rPr>
        <w:t>Duty of Confidence</w:t>
      </w:r>
      <w:r>
        <w:rPr>
          <w:rFonts w:ascii="Times New Roman" w:cs="Times New Roman" w:eastAsia="Times New Roman" w:hAnsi="Times New Roman"/>
          <w:sz w:val="20"/>
          <w:szCs w:val="20"/>
          <w:color w:val="auto"/>
        </w:rPr>
        <w:t>) will continue for so long as such Know-How remains a trade secret.</w:t>
      </w:r>
    </w:p>
    <w:p>
      <w:pPr>
        <w:spacing w:after="0" w:line="180" w:lineRule="exact"/>
        <w:rPr>
          <w:sz w:val="20"/>
          <w:szCs w:val="20"/>
          <w:color w:val="auto"/>
        </w:rPr>
      </w:pPr>
    </w:p>
    <w:p>
      <w:pPr>
        <w:jc w:val="both"/>
        <w:ind w:left="760" w:hanging="7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12.2 Confidential Information </w:t>
      </w:r>
      <w:r>
        <w:rPr>
          <w:rFonts w:ascii="Times New Roman" w:cs="Times New Roman" w:eastAsia="Times New Roman" w:hAnsi="Times New Roman"/>
          <w:sz w:val="20"/>
          <w:szCs w:val="20"/>
          <w:color w:val="auto"/>
        </w:rPr>
        <w:t>. Any Development report provided by Fulcrum to Sanofi pursuant to Section 5.8 (</w:t>
      </w:r>
      <w:r>
        <w:rPr>
          <w:rFonts w:ascii="Times New Roman" w:cs="Times New Roman" w:eastAsia="Times New Roman" w:hAnsi="Times New Roman"/>
          <w:sz w:val="20"/>
          <w:szCs w:val="20"/>
          <w:i w:val="1"/>
          <w:iCs w:val="1"/>
          <w:color w:val="auto"/>
        </w:rPr>
        <w:t>Development Reports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ROFN Notice and any notice provided by Fulcrum to Sanofi pursuant to Section 2.9 (</w:t>
      </w:r>
      <w:r>
        <w:rPr>
          <w:rFonts w:ascii="Times New Roman" w:cs="Times New Roman" w:eastAsia="Times New Roman" w:hAnsi="Times New Roman"/>
          <w:sz w:val="20"/>
          <w:szCs w:val="20"/>
          <w:i w:val="1"/>
          <w:iCs w:val="1"/>
          <w:color w:val="auto"/>
        </w:rPr>
        <w:t>Change of Control of Fulcrum</w:t>
      </w:r>
      <w:r>
        <w:rPr>
          <w:rFonts w:ascii="Times New Roman" w:cs="Times New Roman" w:eastAsia="Times New Roman" w:hAnsi="Times New Roman"/>
          <w:sz w:val="20"/>
          <w:szCs w:val="20"/>
          <w:color w:val="auto"/>
        </w:rPr>
        <w:t>) will be the Confidential Information of Fulcrum, with Sanofi deemed to be the Receiving Party of such information. The Fulcrum Know-How and any Know-How included in the Licensed Sanofi Technology, in each case, that is specifically related to the Licensed Products, Joint Collaboration Know-How and the terms of this Agreement will be the Confidential Information of both Parties, with each Party deemed to be the Receiving Party of such information. The Sanofi Know-How, any Development report provided by Sanofi to Fulcrum pursuant to Section 5.8 (</w:t>
      </w:r>
      <w:r>
        <w:rPr>
          <w:rFonts w:ascii="Times New Roman" w:cs="Times New Roman" w:eastAsia="Times New Roman" w:hAnsi="Times New Roman"/>
          <w:sz w:val="20"/>
          <w:szCs w:val="20"/>
          <w:i w:val="1"/>
          <w:iCs w:val="1"/>
          <w:color w:val="auto"/>
        </w:rPr>
        <w:t>Development Reports</w:t>
      </w:r>
      <w:r>
        <w:rPr>
          <w:rFonts w:ascii="Times New Roman" w:cs="Times New Roman" w:eastAsia="Times New Roman" w:hAnsi="Times New Roman"/>
          <w:sz w:val="20"/>
          <w:szCs w:val="20"/>
          <w:color w:val="auto"/>
        </w:rPr>
        <w:t>) and any Royalty Report will be the Confidential Information of Sanofi, with Fulcrum deemed to be the Receiving Party of such information. Except as provided in Section 12.4 (</w:t>
      </w:r>
      <w:r>
        <w:rPr>
          <w:rFonts w:ascii="Times New Roman" w:cs="Times New Roman" w:eastAsia="Times New Roman" w:hAnsi="Times New Roman"/>
          <w:sz w:val="20"/>
          <w:szCs w:val="20"/>
          <w:i w:val="1"/>
          <w:iCs w:val="1"/>
          <w:color w:val="auto"/>
        </w:rPr>
        <w:t>Authorized Disclosures</w:t>
      </w:r>
      <w:r>
        <w:rPr>
          <w:rFonts w:ascii="Times New Roman" w:cs="Times New Roman" w:eastAsia="Times New Roman" w:hAnsi="Times New Roman"/>
          <w:sz w:val="20"/>
          <w:szCs w:val="20"/>
          <w:color w:val="auto"/>
        </w:rPr>
        <w:t>) and Section 12.7 (</w:t>
      </w:r>
      <w:r>
        <w:rPr>
          <w:rFonts w:ascii="Times New Roman" w:cs="Times New Roman" w:eastAsia="Times New Roman" w:hAnsi="Times New Roman"/>
          <w:sz w:val="20"/>
          <w:szCs w:val="20"/>
          <w:i w:val="1"/>
          <w:iCs w:val="1"/>
          <w:color w:val="auto"/>
        </w:rPr>
        <w:t>Publicity; Use of Names</w:t>
      </w:r>
      <w:r>
        <w:rPr>
          <w:rFonts w:ascii="Times New Roman" w:cs="Times New Roman" w:eastAsia="Times New Roman" w:hAnsi="Times New Roman"/>
          <w:sz w:val="20"/>
          <w:szCs w:val="20"/>
          <w:color w:val="auto"/>
        </w:rPr>
        <w:t>), neither Party nor its Affiliates may disclose the existence or the terms of this Agreement without obtaining the prior written consent of the other Party.</w:t>
      </w:r>
    </w:p>
    <w:p>
      <w:pPr>
        <w:spacing w:after="0" w:line="182"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12.3 Exemptions </w:t>
      </w:r>
      <w:r>
        <w:rPr>
          <w:rFonts w:ascii="Times New Roman" w:cs="Times New Roman" w:eastAsia="Times New Roman" w:hAnsi="Times New Roman"/>
          <w:sz w:val="20"/>
          <w:szCs w:val="20"/>
          <w:color w:val="auto"/>
        </w:rPr>
        <w:t>.  Section 12.1 (</w:t>
      </w:r>
      <w:r>
        <w:rPr>
          <w:rFonts w:ascii="Times New Roman" w:cs="Times New Roman" w:eastAsia="Times New Roman" w:hAnsi="Times New Roman"/>
          <w:sz w:val="20"/>
          <w:szCs w:val="20"/>
          <w:i w:val="1"/>
          <w:iCs w:val="1"/>
          <w:color w:val="auto"/>
        </w:rPr>
        <w:t>Duty of Confidence</w:t>
      </w:r>
      <w:r>
        <w:rPr>
          <w:rFonts w:ascii="Times New Roman" w:cs="Times New Roman" w:eastAsia="Times New Roman" w:hAnsi="Times New Roman"/>
          <w:sz w:val="20"/>
          <w:szCs w:val="20"/>
          <w:color w:val="auto"/>
        </w:rPr>
        <w:t>) will not apply with respect to any portion of the Confidential Information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Disclosing Party to the extent that the Receiving Party can demonstrate through competent evidence that such information:</w:t>
      </w:r>
    </w:p>
    <w:p>
      <w:pPr>
        <w:spacing w:after="0" w:line="156" w:lineRule="exact"/>
        <w:rPr>
          <w:sz w:val="20"/>
          <w:szCs w:val="20"/>
          <w:color w:val="auto"/>
        </w:rPr>
      </w:pPr>
    </w:p>
    <w:p>
      <w:pPr>
        <w:jc w:val="both"/>
        <w:ind w:left="1500" w:hanging="694"/>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12.3.1</w:t>
        <w:tab/>
        <w:t>was already known by the Receiving Party or any of its Affiliates without an obligation of confidentiality at the time of its receipt from the Disclosing Party, and not through a prior disclosure by or on behalf of the Disclosing Party, as documented by the Receiving Party’s business records;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2" w:name="page173"/>
    <w:bookmarkEnd w:id="172"/>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12.3.2</w:t>
      </w:r>
      <w:r>
        <w:rPr>
          <w:sz w:val="20"/>
          <w:szCs w:val="20"/>
          <w:color w:val="auto"/>
        </w:rPr>
        <w:tab/>
      </w:r>
      <w:r>
        <w:rPr>
          <w:rFonts w:ascii="Times New Roman" w:cs="Times New Roman" w:eastAsia="Times New Roman" w:hAnsi="Times New Roman"/>
          <w:sz w:val="19"/>
          <w:szCs w:val="19"/>
          <w:color w:val="auto"/>
        </w:rPr>
        <w:t>was generally available to the public or otherwise part of the public domain before its receipt from the Disclosing Party;</w:t>
      </w:r>
    </w:p>
    <w:p>
      <w:pPr>
        <w:spacing w:after="0" w:line="216" w:lineRule="exact"/>
        <w:rPr>
          <w:sz w:val="20"/>
          <w:szCs w:val="20"/>
          <w:color w:val="auto"/>
        </w:rPr>
      </w:pPr>
    </w:p>
    <w:p>
      <w:pPr>
        <w:ind w:left="1500" w:right="40" w:hanging="694"/>
        <w:spacing w:after="0" w:line="269" w:lineRule="auto"/>
        <w:tabs>
          <w:tab w:leader="none" w:pos="1480" w:val="left"/>
        </w:tabs>
        <w:rPr>
          <w:sz w:val="20"/>
          <w:szCs w:val="20"/>
          <w:color w:val="auto"/>
        </w:rPr>
      </w:pPr>
      <w:r>
        <w:rPr>
          <w:rFonts w:ascii="Times New Roman" w:cs="Times New Roman" w:eastAsia="Times New Roman" w:hAnsi="Times New Roman"/>
          <w:sz w:val="20"/>
          <w:szCs w:val="20"/>
          <w:color w:val="auto"/>
        </w:rPr>
        <w:t>12.3.3</w:t>
        <w:tab/>
        <w:t>became generally available to the public or otherwise part of the public domain after its disclosure by the Disclosing Party other than through any act or omission of the Receiving Party or any of its Affiliates in breach of this Agreement;</w:t>
      </w:r>
    </w:p>
    <w:p>
      <w:pPr>
        <w:spacing w:after="0" w:line="159" w:lineRule="exact"/>
        <w:rPr>
          <w:sz w:val="20"/>
          <w:szCs w:val="20"/>
          <w:color w:val="auto"/>
        </w:rPr>
      </w:pPr>
    </w:p>
    <w:p>
      <w:pPr>
        <w:ind w:left="1500" w:right="20" w:hanging="694"/>
        <w:spacing w:after="0" w:line="269" w:lineRule="auto"/>
        <w:tabs>
          <w:tab w:leader="none" w:pos="1480" w:val="left"/>
        </w:tabs>
        <w:rPr>
          <w:sz w:val="20"/>
          <w:szCs w:val="20"/>
          <w:color w:val="auto"/>
        </w:rPr>
      </w:pPr>
      <w:r>
        <w:rPr>
          <w:rFonts w:ascii="Times New Roman" w:cs="Times New Roman" w:eastAsia="Times New Roman" w:hAnsi="Times New Roman"/>
          <w:sz w:val="20"/>
          <w:szCs w:val="20"/>
          <w:color w:val="auto"/>
        </w:rPr>
        <w:t>12.3.4</w:t>
        <w:tab/>
        <w:t>is subsequently disclosed to the Receiving Party or any of its Affiliates without obligation of confidentiality by a Third Party who may rightfully do so and is not under a conflicting obligation of confidentiality to the Disclosing Party; or</w:t>
      </w:r>
    </w:p>
    <w:p>
      <w:pPr>
        <w:spacing w:after="0" w:line="159" w:lineRule="exact"/>
        <w:rPr>
          <w:sz w:val="20"/>
          <w:szCs w:val="20"/>
          <w:color w:val="auto"/>
        </w:rPr>
      </w:pPr>
    </w:p>
    <w:p>
      <w:pPr>
        <w:ind w:left="1500" w:right="40" w:hanging="694"/>
        <w:spacing w:after="0" w:line="269" w:lineRule="auto"/>
        <w:tabs>
          <w:tab w:leader="none" w:pos="1480" w:val="left"/>
        </w:tabs>
        <w:rPr>
          <w:sz w:val="20"/>
          <w:szCs w:val="20"/>
          <w:color w:val="auto"/>
        </w:rPr>
      </w:pPr>
      <w:r>
        <w:rPr>
          <w:rFonts w:ascii="Times New Roman" w:cs="Times New Roman" w:eastAsia="Times New Roman" w:hAnsi="Times New Roman"/>
          <w:sz w:val="20"/>
          <w:szCs w:val="20"/>
          <w:color w:val="auto"/>
        </w:rPr>
        <w:t>12.3.5</w:t>
        <w:tab/>
        <w:t>is developed by the Receiving Party or any of its Affiliates independently and without use of or reference to any Confidential Information received from the Disclosing Party, as documented by the Receiving Party’s business records.</w:t>
      </w:r>
    </w:p>
    <w:p>
      <w:pPr>
        <w:spacing w:after="0" w:line="159"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No combination of features or disclosures will be deemed to fall within the foregoing exclusions merely because individual features are published or available to the general public or in the rightful possession of the Receiving Party or any of its Affiliates unless the combination itself and principle of operation are published or available to the general public or in the rightful possession of the Receiving Party or any of its Affiliates.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12.4 Authorized Disclosures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56" w:lineRule="auto"/>
        <w:tabs>
          <w:tab w:leader="none" w:pos="1480" w:val="left"/>
        </w:tabs>
        <w:rPr>
          <w:sz w:val="20"/>
          <w:szCs w:val="20"/>
          <w:color w:val="auto"/>
        </w:rPr>
      </w:pPr>
      <w:r>
        <w:rPr>
          <w:rFonts w:ascii="Times New Roman" w:cs="Times New Roman" w:eastAsia="Times New Roman" w:hAnsi="Times New Roman"/>
          <w:sz w:val="20"/>
          <w:szCs w:val="20"/>
          <w:color w:val="auto"/>
        </w:rPr>
        <w:t>12.4.1</w:t>
      </w:r>
      <w:r>
        <w:rPr>
          <w:sz w:val="20"/>
          <w:szCs w:val="20"/>
          <w:color w:val="auto"/>
        </w:rPr>
        <w:tab/>
      </w:r>
      <w:r>
        <w:rPr>
          <w:rFonts w:ascii="Times New Roman" w:cs="Times New Roman" w:eastAsia="Times New Roman" w:hAnsi="Times New Roman"/>
          <w:sz w:val="20"/>
          <w:szCs w:val="20"/>
          <w:b w:val="1"/>
          <w:bCs w:val="1"/>
          <w:color w:val="auto"/>
        </w:rPr>
        <w:t>Permitted Circumstances</w:t>
      </w:r>
      <w:r>
        <w:rPr>
          <w:rFonts w:ascii="Times New Roman" w:cs="Times New Roman" w:eastAsia="Times New Roman" w:hAnsi="Times New Roman"/>
          <w:sz w:val="20"/>
          <w:szCs w:val="20"/>
          <w:color w:val="auto"/>
        </w:rPr>
        <w:t>. Notwithstanding the obligations set forth in Section 12.1 (</w:t>
      </w:r>
      <w:r>
        <w:rPr>
          <w:rFonts w:ascii="Times New Roman" w:cs="Times New Roman" w:eastAsia="Times New Roman" w:hAnsi="Times New Roman"/>
          <w:sz w:val="20"/>
          <w:szCs w:val="20"/>
          <w:i w:val="1"/>
          <w:iCs w:val="1"/>
          <w:color w:val="auto"/>
        </w:rPr>
        <w:t>Duty of Confidence</w:t>
      </w:r>
      <w:r>
        <w:rPr>
          <w:rFonts w:ascii="Times New Roman" w:cs="Times New Roman" w:eastAsia="Times New Roman" w:hAnsi="Times New Roman"/>
          <w:sz w:val="20"/>
          <w:szCs w:val="20"/>
          <w:color w:val="auto"/>
        </w:rPr>
        <w:t>) and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12.7 (</w:t>
      </w:r>
      <w:r>
        <w:rPr>
          <w:rFonts w:ascii="Times New Roman" w:cs="Times New Roman" w:eastAsia="Times New Roman" w:hAnsi="Times New Roman"/>
          <w:sz w:val="20"/>
          <w:szCs w:val="20"/>
          <w:i w:val="1"/>
          <w:iCs w:val="1"/>
          <w:color w:val="auto"/>
        </w:rPr>
        <w:t>Publicity; Use of Names</w:t>
      </w:r>
      <w:r>
        <w:rPr>
          <w:rFonts w:ascii="Times New Roman" w:cs="Times New Roman" w:eastAsia="Times New Roman" w:hAnsi="Times New Roman"/>
          <w:sz w:val="20"/>
          <w:szCs w:val="20"/>
          <w:color w:val="auto"/>
        </w:rPr>
        <w:t>), a Party may disclose the other Party’s Confidential Information (including this Agreement and the terms herein) in the following situations:</w:t>
      </w:r>
    </w:p>
    <w:p>
      <w:pPr>
        <w:spacing w:after="0" w:line="173" w:lineRule="exact"/>
        <w:rPr>
          <w:sz w:val="20"/>
          <w:szCs w:val="20"/>
          <w:color w:val="auto"/>
        </w:rPr>
      </w:pPr>
    </w:p>
    <w:p>
      <w:pPr>
        <w:ind w:left="2260" w:hanging="754"/>
        <w:spacing w:after="0" w:line="249" w:lineRule="auto"/>
        <w:tabs>
          <w:tab w:leader="none" w:pos="190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to the extent reasonably necessary for the Receiving Party’s prosecution or enforcement of Fulcrum Patent Rights, Collaboration Patent Rights, or Sanofi Patent Rights, in each case, as contemplated by this Agreement;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Receiving Party will provide the Disclosing Party with at least [***] prior written notice of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disclosure and take reasonable and lawful actions to avoid or minimize the degree of disclosure;</w:t>
      </w:r>
    </w:p>
    <w:p>
      <w:pPr>
        <w:spacing w:after="0" w:line="179" w:lineRule="exact"/>
        <w:rPr>
          <w:rFonts w:ascii="Times New Roman" w:cs="Times New Roman" w:eastAsia="Times New Roman" w:hAnsi="Times New Roman"/>
          <w:sz w:val="20"/>
          <w:szCs w:val="20"/>
          <w:color w:val="auto"/>
        </w:rPr>
      </w:pPr>
    </w:p>
    <w:p>
      <w:pPr>
        <w:ind w:left="2260" w:hanging="754"/>
        <w:spacing w:after="0" w:line="254" w:lineRule="auto"/>
        <w:tabs>
          <w:tab w:leader="none" w:pos="190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related to this Agreement and necessary to submit Regulatory Submissions and other filings with Governmental Authorities (including Regulatory Authorities), as necessary for the Exploitation of the Licensed Products in accordance with the rights and obligations of the applicable Party under this Agreement;</w:t>
      </w:r>
    </w:p>
    <w:p>
      <w:pPr>
        <w:spacing w:after="0" w:line="174" w:lineRule="exact"/>
        <w:rPr>
          <w:rFonts w:ascii="Times New Roman" w:cs="Times New Roman" w:eastAsia="Times New Roman" w:hAnsi="Times New Roman"/>
          <w:sz w:val="20"/>
          <w:szCs w:val="20"/>
          <w:color w:val="auto"/>
        </w:rPr>
      </w:pPr>
    </w:p>
    <w:p>
      <w:pPr>
        <w:ind w:left="2260" w:hanging="754"/>
        <w:spacing w:after="0" w:line="243" w:lineRule="auto"/>
        <w:tabs>
          <w:tab w:leader="none" w:pos="190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disclosure of this Agreement, its terms, and the status and results of Exploitation of the Licensed Compounds and Licensed Products to actual or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potential investors, acquirors, (sub)licensees (including any counterparty to a Collaboration In-License), lenders, and other financial or commercial partners (including in connection with any royalty financing transaction), and their respective attorneys, accountants, banks, investors, and advisors, solely for the purpose of evaluating or carrying out an actual or potential investment, acquisition, (sub)license, debt transaction, or collaboration;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such case, (i) with respect to actual or potential investors or financial partners (including in connection with any royalty financing transaction), the Receiving Party discloses the Agreement or 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3" w:name="page174"/>
    <w:bookmarkEnd w:id="173"/>
    <w:p>
      <w:pPr>
        <w:jc w:val="both"/>
        <w:ind w:left="1140"/>
        <w:spacing w:after="0" w:line="242" w:lineRule="auto"/>
        <w:rPr>
          <w:sz w:val="20"/>
          <w:szCs w:val="20"/>
          <w:color w:val="auto"/>
        </w:rPr>
      </w:pPr>
      <w:r>
        <w:rPr>
          <w:rFonts w:ascii="Times New Roman" w:cs="Times New Roman" w:eastAsia="Times New Roman" w:hAnsi="Times New Roman"/>
          <w:sz w:val="20"/>
          <w:szCs w:val="20"/>
          <w:color w:val="auto"/>
        </w:rPr>
        <w:t>terms on an outside counsel-basis only or otherwise with the prior written consent of the Disclosing Party, (ii) such Persons are bound by obligations of confidentiality and non-use, or subject to professional ethical obligations of confidentiality, at least as stringent as those set forth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except that the term of such obligation will be customary for such recipient of Confidential Information, (iii) for clarity, the disclosure is subject to the other Party’s ability to review and redact business sensitive information under Section 12.4.2 (</w:t>
      </w:r>
      <w:r>
        <w:rPr>
          <w:rFonts w:ascii="Times New Roman" w:cs="Times New Roman" w:eastAsia="Times New Roman" w:hAnsi="Times New Roman"/>
          <w:sz w:val="20"/>
          <w:szCs w:val="20"/>
          <w:i w:val="1"/>
          <w:iCs w:val="1"/>
          <w:color w:val="auto"/>
        </w:rPr>
        <w:t>Confidential Treatment</w:t>
      </w:r>
      <w:r>
        <w:rPr>
          <w:rFonts w:ascii="Times New Roman" w:cs="Times New Roman" w:eastAsia="Times New Roman" w:hAnsi="Times New Roman"/>
          <w:sz w:val="20"/>
          <w:szCs w:val="20"/>
          <w:color w:val="auto"/>
        </w:rPr>
        <w:t>), (iv) the scope of any such disclosure is limited to the maximum extent practicable for the particular context in which it is being disclosed and (v) the Receiving Party remains responsible for any failure by any Person who receives Confidential Information from such Receiving Party pursuant to this Section 12.4.1(c) (</w:t>
      </w:r>
      <w:r>
        <w:rPr>
          <w:rFonts w:ascii="Times New Roman" w:cs="Times New Roman" w:eastAsia="Times New Roman" w:hAnsi="Times New Roman"/>
          <w:sz w:val="20"/>
          <w:szCs w:val="20"/>
          <w:i w:val="1"/>
          <w:iCs w:val="1"/>
          <w:color w:val="auto"/>
        </w:rPr>
        <w:t>Permitted Circumstances</w:t>
      </w:r>
      <w:r>
        <w:rPr>
          <w:rFonts w:ascii="Times New Roman" w:cs="Times New Roman" w:eastAsia="Times New Roman" w:hAnsi="Times New Roman"/>
          <w:sz w:val="20"/>
          <w:szCs w:val="20"/>
          <w:color w:val="auto"/>
        </w:rPr>
        <w:t>) to treat such Confidential Information as required under this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1140" w:hanging="754"/>
        <w:spacing w:after="0" w:line="241" w:lineRule="auto"/>
        <w:tabs>
          <w:tab w:leader="none" w:pos="78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disclosure is, in the reasonable opinion of the Receiving Party’s legal counsel, required to comply with Applicable Law (whether generally or in pursuit of an application for listing of securities) including the United States Securities and Exchange Commission or equivalent foreign agency or regulatory body, or otherwise required by judicial or administrative process,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such event, as promptly as reasonably practicable and to the extent not prohibited by Applicable Law or judicial or administrative process, such Party will notify the other Party of such required disclosure and provide a draft of the disclosure to the other Party reasonably in advance of such filing or disclosure for the other Party’s review and comment. The non-disclosing Party will provide any comments as soon as practicable, and the disclosing Party will reasonably consider in good faith any timely comments provided by the non-disclosing Party. Confidential Information that is disclosed in order to comply with Applicable Law or by judicial or administrative process pursuant to this Section 12.4.1(d) (</w:t>
      </w:r>
      <w:r>
        <w:rPr>
          <w:rFonts w:ascii="Times New Roman" w:cs="Times New Roman" w:eastAsia="Times New Roman" w:hAnsi="Times New Roman"/>
          <w:sz w:val="20"/>
          <w:szCs w:val="20"/>
          <w:i w:val="1"/>
          <w:iCs w:val="1"/>
          <w:color w:val="auto"/>
        </w:rPr>
        <w:t>Permitted Circumstances</w:t>
      </w:r>
      <w:r>
        <w:rPr>
          <w:rFonts w:ascii="Times New Roman" w:cs="Times New Roman" w:eastAsia="Times New Roman" w:hAnsi="Times New Roman"/>
          <w:sz w:val="20"/>
          <w:szCs w:val="20"/>
          <w:color w:val="auto"/>
        </w:rPr>
        <w:t>), in each case, will remain otherwise subject to the confidentiality and non-use provisions of this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with respect to the Party disclosing such Confidential Information, and such Party will take all steps reasonably necessary, including seeking of confidential treatment or a protective order for a period of at least [***] (to the extent permitted by Applicable Law or Governmental Authority), to ensure the continued confidential treatment of such Confidential Information, and each Party will be responsible for its own legal and other external costs in connection with any such filing or disclosure pursuant to this Section 12.4.1(d) (</w:t>
      </w:r>
      <w:r>
        <w:rPr>
          <w:rFonts w:ascii="Times New Roman" w:cs="Times New Roman" w:eastAsia="Times New Roman" w:hAnsi="Times New Roman"/>
          <w:sz w:val="20"/>
          <w:szCs w:val="20"/>
          <w:i w:val="1"/>
          <w:iCs w:val="1"/>
          <w:color w:val="auto"/>
        </w:rPr>
        <w:t>Permitted Circumstances</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ind w:left="1140" w:hanging="754"/>
        <w:spacing w:after="0" w:line="243" w:lineRule="auto"/>
        <w:tabs>
          <w:tab w:leader="none" w:pos="78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the GSK License Agreement, disclosure to GSK of (1) a copy of this Agreement and any amendments thereto, (2) those portions of Development reports and Royalty Reports related to Licensed Products and Licensed Compounds that are Covered by a Valid Claim of a GSK Patent Right that is included in the licenses granted to Sanofi under Section 2.1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and (3) results of any audits conducted with respect to Sanofi pursuant to Section 9.7.2 (</w:t>
      </w:r>
      <w:r>
        <w:rPr>
          <w:rFonts w:ascii="Times New Roman" w:cs="Times New Roman" w:eastAsia="Times New Roman" w:hAnsi="Times New Roman"/>
          <w:sz w:val="20"/>
          <w:szCs w:val="20"/>
          <w:i w:val="1"/>
          <w:iCs w:val="1"/>
          <w:color w:val="auto"/>
        </w:rPr>
        <w:t>Audit Rights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in each case, that: (i) such information is provided to GSK as the Confidential Information of Fulcrum under the GSK License Agreement; (ii) Fulcrum redacts such documents to the maximum extent practicable to only the information required for GSK to determine Fulcrum’s compliance with the terms of the GSK License Agreement; (iii) at least [***] in advance of such anticipated disclosure, Fulcrum shall permit Sanofi to review and</w:t>
      </w:r>
    </w:p>
    <w:p>
      <w:pPr>
        <w:spacing w:after="0" w:line="18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764540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74" w:name="page175"/>
    <w:bookmarkEnd w:id="174"/>
    <w:p>
      <w:pPr>
        <w:jc w:val="both"/>
        <w:ind w:left="2260"/>
        <w:spacing w:after="0" w:line="246" w:lineRule="auto"/>
        <w:rPr>
          <w:sz w:val="20"/>
          <w:szCs w:val="20"/>
          <w:color w:val="auto"/>
        </w:rPr>
      </w:pPr>
      <w:r>
        <w:rPr>
          <w:rFonts w:ascii="Times New Roman" w:cs="Times New Roman" w:eastAsia="Times New Roman" w:hAnsi="Times New Roman"/>
          <w:sz w:val="20"/>
          <w:szCs w:val="20"/>
          <w:color w:val="auto"/>
        </w:rPr>
        <w:t>comment upon such proposed redactions described in the foregoing clause (ii) and shall implement any additional redactions that Sanofi reasonably requests and which do not redact information that Fulcrum is required to provide to GSK for GSK to determine Fulcrum’s compliance with the terms of the GSK License Agreement; and (iv) Fulcrum will remain responsible for any failure by GSK to treat such Confidential Information as required under this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or</w:t>
      </w:r>
    </w:p>
    <w:p>
      <w:pPr>
        <w:spacing w:after="0" w:line="181" w:lineRule="exact"/>
        <w:rPr>
          <w:sz w:val="20"/>
          <w:szCs w:val="20"/>
          <w:color w:val="auto"/>
        </w:rPr>
      </w:pPr>
    </w:p>
    <w:p>
      <w:pPr>
        <w:ind w:left="2260" w:right="20" w:hanging="754"/>
        <w:spacing w:after="0" w:line="273" w:lineRule="auto"/>
        <w:tabs>
          <w:tab w:leader="none" w:pos="190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 pursuant to Section 12.6 (</w:t>
      </w:r>
      <w:r>
        <w:rPr>
          <w:rFonts w:ascii="Times New Roman" w:cs="Times New Roman" w:eastAsia="Times New Roman" w:hAnsi="Times New Roman"/>
          <w:sz w:val="20"/>
          <w:szCs w:val="20"/>
          <w:i w:val="1"/>
          <w:iCs w:val="1"/>
          <w:color w:val="auto"/>
        </w:rPr>
        <w:t>Publication and Listing of Clinical Trials</w:t>
      </w:r>
      <w:r>
        <w:rPr>
          <w:rFonts w:ascii="Times New Roman" w:cs="Times New Roman" w:eastAsia="Times New Roman" w:hAnsi="Times New Roman"/>
          <w:sz w:val="20"/>
          <w:szCs w:val="20"/>
          <w:color w:val="auto"/>
        </w:rPr>
        <w:t>) and Section 12.7 (</w:t>
      </w:r>
      <w:r>
        <w:rPr>
          <w:rFonts w:ascii="Times New Roman" w:cs="Times New Roman" w:eastAsia="Times New Roman" w:hAnsi="Times New Roman"/>
          <w:sz w:val="20"/>
          <w:szCs w:val="20"/>
          <w:i w:val="1"/>
          <w:iCs w:val="1"/>
          <w:color w:val="auto"/>
        </w:rPr>
        <w:t>Publicity; Use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Name</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left="1500" w:hanging="694"/>
        <w:spacing w:after="0" w:line="241" w:lineRule="auto"/>
        <w:tabs>
          <w:tab w:leader="none" w:pos="1480" w:val="left"/>
        </w:tabs>
        <w:rPr>
          <w:sz w:val="20"/>
          <w:szCs w:val="20"/>
          <w:color w:val="auto"/>
        </w:rPr>
      </w:pPr>
      <w:r>
        <w:rPr>
          <w:rFonts w:ascii="Times New Roman" w:cs="Times New Roman" w:eastAsia="Times New Roman" w:hAnsi="Times New Roman"/>
          <w:sz w:val="20"/>
          <w:szCs w:val="20"/>
          <w:color w:val="auto"/>
        </w:rPr>
        <w:t>12.4.2</w:t>
      </w:r>
      <w:r>
        <w:rPr>
          <w:sz w:val="20"/>
          <w:szCs w:val="20"/>
          <w:color w:val="auto"/>
        </w:rPr>
        <w:tab/>
      </w:r>
      <w:r>
        <w:rPr>
          <w:rFonts w:ascii="Times New Roman" w:cs="Times New Roman" w:eastAsia="Times New Roman" w:hAnsi="Times New Roman"/>
          <w:sz w:val="20"/>
          <w:szCs w:val="20"/>
          <w:b w:val="1"/>
          <w:bCs w:val="1"/>
          <w:color w:val="auto"/>
        </w:rPr>
        <w:t>Confidential Treatment</w:t>
      </w:r>
      <w:r>
        <w:rPr>
          <w:rFonts w:ascii="Times New Roman" w:cs="Times New Roman" w:eastAsia="Times New Roman" w:hAnsi="Times New Roman"/>
          <w:sz w:val="20"/>
          <w:szCs w:val="20"/>
          <w:color w:val="auto"/>
        </w:rPr>
        <w:t>. Notwithstanding any provision to the contrary set forth in this Agreement, in each case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disclosure to be made pursuant to Section 12.4.1(c) (</w:t>
      </w:r>
      <w:r>
        <w:rPr>
          <w:rFonts w:ascii="Times New Roman" w:cs="Times New Roman" w:eastAsia="Times New Roman" w:hAnsi="Times New Roman"/>
          <w:sz w:val="20"/>
          <w:szCs w:val="20"/>
          <w:i w:val="1"/>
          <w:iCs w:val="1"/>
          <w:color w:val="auto"/>
        </w:rPr>
        <w:t>Permitted Circumstances</w:t>
      </w:r>
      <w:r>
        <w:rPr>
          <w:rFonts w:ascii="Times New Roman" w:cs="Times New Roman" w:eastAsia="Times New Roman" w:hAnsi="Times New Roman"/>
          <w:sz w:val="20"/>
          <w:szCs w:val="20"/>
          <w:color w:val="auto"/>
        </w:rPr>
        <w:t>) or Section 12.4.1(d) (</w:t>
      </w:r>
      <w:r>
        <w:rPr>
          <w:rFonts w:ascii="Times New Roman" w:cs="Times New Roman" w:eastAsia="Times New Roman" w:hAnsi="Times New Roman"/>
          <w:sz w:val="20"/>
          <w:szCs w:val="20"/>
          <w:i w:val="1"/>
          <w:iCs w:val="1"/>
          <w:color w:val="auto"/>
        </w:rPr>
        <w:t>Permitted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Circumstances</w:t>
      </w:r>
      <w:r>
        <w:rPr>
          <w:rFonts w:ascii="Times New Roman" w:cs="Times New Roman" w:eastAsia="Times New Roman" w:hAnsi="Times New Roman"/>
          <w:sz w:val="20"/>
          <w:szCs w:val="20"/>
          <w:color w:val="auto"/>
        </w:rPr>
        <w:t>), where some or all of the terms of this Agreement are to be disclosed, the disclosing Party will provide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 other Party a redacted version of this Agreement to be made in connection with any such disclosure for review and comment by such other Party. In such event, the Parties will agree on a redacted version of this Agreement to be made in connection with any such disclosure, and the disclosing Party will not disclose or provide any redacted version of this Agreement that has not been agreed in writing by the other Party except in the case of a disclosure to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potential acquirors or (sub)licensees (including any counterparty to a Collaboration In-License), in which case, the disclosing Party will be permitted to provide an unredacted copy of this Agreement to such Third Party in accordance with Section 12.4.1(c) excluding clause (iii) once the material terms of the deal with such Third Party are proposed to the board of directors of the disclosing Party. The immediately preceding sentence will not restrict either Party from making any disclosure to the extent required under any Applicable Law. Subject to the foregoing, but notwithstanding any other provision to the contrary set forth in this Agreement, if a Party is required or permitted to make a disclosure of the other Party’s Confidential Information pursuant to Section 12.4.1 (</w:t>
      </w:r>
      <w:r>
        <w:rPr>
          <w:rFonts w:ascii="Times New Roman" w:cs="Times New Roman" w:eastAsia="Times New Roman" w:hAnsi="Times New Roman"/>
          <w:sz w:val="20"/>
          <w:szCs w:val="20"/>
          <w:i w:val="1"/>
          <w:iCs w:val="1"/>
          <w:color w:val="auto"/>
        </w:rPr>
        <w:t>Permitted Circumstances</w:t>
      </w:r>
      <w:r>
        <w:rPr>
          <w:rFonts w:ascii="Times New Roman" w:cs="Times New Roman" w:eastAsia="Times New Roman" w:hAnsi="Times New Roman"/>
          <w:sz w:val="20"/>
          <w:szCs w:val="20"/>
          <w:color w:val="auto"/>
        </w:rPr>
        <w:t>), then it will, to the extent not prohibited by Applicable Law or judicial or administrative process, except where impracticable, give reasonable advance notice to the other Party of such proposed disclosure and use reasonable efforts to secure confidential treatment of such information and will only disclose that portion of Confidential Information that is legally required to be disclosed as advised by its legal counsel. In any event, each Party agrees to take all reasonable action to avoid disclosure of Confidential Information of the other Party hereunder.</w:t>
      </w:r>
    </w:p>
    <w:p>
      <w:pPr>
        <w:spacing w:after="0" w:line="189"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12.5 Joint Publication Strategy </w:t>
      </w:r>
      <w:r>
        <w:rPr>
          <w:rFonts w:ascii="Times New Roman" w:cs="Times New Roman" w:eastAsia="Times New Roman" w:hAnsi="Times New Roman"/>
          <w:sz w:val="20"/>
          <w:szCs w:val="20"/>
          <w:color w:val="auto"/>
        </w:rPr>
        <w:t>. Both Parties acknowledge that it is their policy for the studies and results thereof to be registered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published in accordance with their internal guidelines, and the Parties will cooperate and develop a joint publication strategy with respect to Clinical Trials conducted under the Global Development Plan in accordance with Section 3.4.3(b) (</w:t>
      </w:r>
      <w:r>
        <w:rPr>
          <w:rFonts w:ascii="Times New Roman" w:cs="Times New Roman" w:eastAsia="Times New Roman" w:hAnsi="Times New Roman"/>
          <w:sz w:val="20"/>
          <w:szCs w:val="20"/>
          <w:i w:val="1"/>
          <w:iCs w:val="1"/>
          <w:color w:val="auto"/>
        </w:rPr>
        <w:t>Specific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Responsibilities of the JCC</w:t>
      </w:r>
      <w:r>
        <w:rPr>
          <w:rFonts w:ascii="Times New Roman" w:cs="Times New Roman" w:eastAsia="Times New Roman" w:hAnsi="Times New Roman"/>
          <w:sz w:val="20"/>
          <w:szCs w:val="20"/>
          <w:color w:val="auto"/>
        </w:rPr>
        <w:t>) and Section 3.1.5(d) (</w:t>
      </w:r>
      <w:r>
        <w:rPr>
          <w:rFonts w:ascii="Times New Roman" w:cs="Times New Roman" w:eastAsia="Times New Roman" w:hAnsi="Times New Roman"/>
          <w:sz w:val="20"/>
          <w:szCs w:val="20"/>
          <w:i w:val="1"/>
          <w:iCs w:val="1"/>
          <w:color w:val="auto"/>
        </w:rPr>
        <w:t>Specific Responsibilities of the JSC</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12.5.1</w:t>
      </w:r>
      <w:r>
        <w:rPr>
          <w:sz w:val="20"/>
          <w:szCs w:val="20"/>
          <w:color w:val="auto"/>
        </w:rPr>
        <w:tab/>
      </w:r>
      <w:r>
        <w:rPr>
          <w:rFonts w:ascii="Times New Roman" w:cs="Times New Roman" w:eastAsia="Times New Roman" w:hAnsi="Times New Roman"/>
          <w:sz w:val="19"/>
          <w:szCs w:val="19"/>
          <w:b w:val="1"/>
          <w:bCs w:val="1"/>
          <w:color w:val="auto"/>
        </w:rPr>
        <w:t>Right to Publish</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260" w:hanging="754"/>
        <w:spacing w:after="0" w:line="247" w:lineRule="auto"/>
        <w:tabs>
          <w:tab w:leader="none" w:pos="190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Publications under the Global Development Plan</w:t>
      </w:r>
      <w:r>
        <w:rPr>
          <w:rFonts w:ascii="Times New Roman" w:cs="Times New Roman" w:eastAsia="Times New Roman" w:hAnsi="Times New Roman"/>
          <w:sz w:val="20"/>
          <w:szCs w:val="20"/>
          <w:color w:val="auto"/>
        </w:rPr>
        <w:t>. Neither Party will publicly present or publish any Clinical Trial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protocol, Clinical Trial data, non-clinical data or preclinical data arising from any Clinical Trial conducted under the Global Development Plan (each such proposed presentation or publication, a “</w:t>
      </w:r>
      <w:r>
        <w:rPr>
          <w:rFonts w:ascii="Times New Roman" w:cs="Times New Roman" w:eastAsia="Times New Roman" w:hAnsi="Times New Roman"/>
          <w:sz w:val="20"/>
          <w:szCs w:val="20"/>
          <w:b w:val="1"/>
          <w:bCs w:val="1"/>
          <w:color w:val="auto"/>
        </w:rPr>
        <w:t>Publication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except</w:t>
      </w:r>
      <w:r>
        <w:rPr>
          <w:rFonts w:ascii="Times New Roman" w:cs="Times New Roman" w:eastAsia="Times New Roman" w:hAnsi="Times New Roman"/>
          <w:sz w:val="20"/>
          <w:szCs w:val="20"/>
          <w:color w:val="auto"/>
        </w:rPr>
        <w:t xml:space="preserve"> (i) with respect to the Global Phase 3 REACH Study, in which case Fulcrum may freely publish the data and results arising from such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5" w:name="page176"/>
    <w:bookmarkEnd w:id="175"/>
    <w:p>
      <w:pPr>
        <w:ind w:left="1140"/>
        <w:spacing w:after="0" w:line="264" w:lineRule="auto"/>
        <w:rPr>
          <w:sz w:val="20"/>
          <w:szCs w:val="20"/>
          <w:color w:val="auto"/>
        </w:rPr>
      </w:pPr>
      <w:r>
        <w:rPr>
          <w:rFonts w:ascii="Times New Roman" w:cs="Times New Roman" w:eastAsia="Times New Roman" w:hAnsi="Times New Roman"/>
          <w:sz w:val="19"/>
          <w:szCs w:val="19"/>
          <w:color w:val="auto"/>
        </w:rPr>
        <w:t>Clinical Trial, and (ii) with respect to all other Clinical Trials, in accordance with the joint publication strategy as approved by the JCC in accordance with Section 3.4.3(b) (</w:t>
      </w:r>
      <w:r>
        <w:rPr>
          <w:rFonts w:ascii="Times New Roman" w:cs="Times New Roman" w:eastAsia="Times New Roman" w:hAnsi="Times New Roman"/>
          <w:sz w:val="19"/>
          <w:szCs w:val="19"/>
          <w:i w:val="1"/>
          <w:iCs w:val="1"/>
          <w:color w:val="auto"/>
        </w:rPr>
        <w:t>Specific Responsibilities of the JCC</w:t>
      </w:r>
      <w:r>
        <w:rPr>
          <w:rFonts w:ascii="Times New Roman" w:cs="Times New Roman" w:eastAsia="Times New Roman" w:hAnsi="Times New Roman"/>
          <w:sz w:val="19"/>
          <w:szCs w:val="19"/>
          <w:color w:val="auto"/>
        </w:rPr>
        <w:t>), and, in each case</w:t>
      </w:r>
    </w:p>
    <w:p>
      <w:pPr>
        <w:jc w:val="both"/>
        <w:ind w:left="1140"/>
        <w:spacing w:after="0" w:line="242" w:lineRule="auto"/>
        <w:rPr>
          <w:sz w:val="20"/>
          <w:szCs w:val="20"/>
          <w:color w:val="auto"/>
        </w:rPr>
      </w:pPr>
      <w:r>
        <w:rPr>
          <w:rFonts w:ascii="Times New Roman" w:cs="Times New Roman" w:eastAsia="Times New Roman" w:hAnsi="Times New Roman"/>
          <w:sz w:val="20"/>
          <w:szCs w:val="20"/>
          <w:color w:val="auto"/>
        </w:rPr>
        <w:t>(i) and (ii), subject to the review process and additional limitations set forth in Section 12.5.1(c) (</w:t>
      </w:r>
      <w:r>
        <w:rPr>
          <w:rFonts w:ascii="Times New Roman" w:cs="Times New Roman" w:eastAsia="Times New Roman" w:hAnsi="Times New Roman"/>
          <w:sz w:val="20"/>
          <w:szCs w:val="20"/>
          <w:i w:val="1"/>
          <w:iCs w:val="1"/>
          <w:color w:val="auto"/>
        </w:rPr>
        <w:t>Review Process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Other Limitations</w:t>
      </w:r>
      <w:r>
        <w:rPr>
          <w:rFonts w:ascii="Times New Roman" w:cs="Times New Roman" w:eastAsia="Times New Roman" w:hAnsi="Times New Roman"/>
          <w:sz w:val="20"/>
          <w:szCs w:val="20"/>
          <w:color w:val="auto"/>
        </w:rPr>
        <w:t>), Section 12.5.1(d) (</w:t>
      </w:r>
      <w:r>
        <w:rPr>
          <w:rFonts w:ascii="Times New Roman" w:cs="Times New Roman" w:eastAsia="Times New Roman" w:hAnsi="Times New Roman"/>
          <w:sz w:val="20"/>
          <w:szCs w:val="20"/>
          <w:i w:val="1"/>
          <w:iCs w:val="1"/>
          <w:color w:val="auto"/>
        </w:rPr>
        <w:t>Repeat Disclosures</w:t>
      </w:r>
      <w:r>
        <w:rPr>
          <w:rFonts w:ascii="Times New Roman" w:cs="Times New Roman" w:eastAsia="Times New Roman" w:hAnsi="Times New Roman"/>
          <w:sz w:val="20"/>
          <w:szCs w:val="20"/>
          <w:color w:val="auto"/>
        </w:rPr>
        <w:t>) and Section 12.6 (</w:t>
      </w:r>
      <w:r>
        <w:rPr>
          <w:rFonts w:ascii="Times New Roman" w:cs="Times New Roman" w:eastAsia="Times New Roman" w:hAnsi="Times New Roman"/>
          <w:sz w:val="20"/>
          <w:szCs w:val="20"/>
          <w:i w:val="1"/>
          <w:iCs w:val="1"/>
          <w:color w:val="auto"/>
        </w:rPr>
        <w:t>Publication and Listing of Clinical Trials</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1140" w:hanging="754"/>
        <w:spacing w:after="0" w:line="260" w:lineRule="auto"/>
        <w:tabs>
          <w:tab w:leader="none" w:pos="787"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Publications under Sanofi Independent Development Plan and Fulcrum Independent Development Plan</w:t>
      </w:r>
      <w:r>
        <w:rPr>
          <w:rFonts w:ascii="Times New Roman" w:cs="Times New Roman" w:eastAsia="Times New Roman" w:hAnsi="Times New Roman"/>
          <w:sz w:val="19"/>
          <w:szCs w:val="19"/>
          <w:color w:val="auto"/>
        </w:rPr>
        <w:t>.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Party will have the sole right to publicly present or publish any (i) Clinical Trial data, non-clinical or preclinical data arising from any Clinical Trial and (ii) data arising from any non-clinical study conducted independently of any Clinical Trial, in each case ((i) and (ii)), conducted under the Sanofi Independent Development Plan or Fulcrum Independent Development Plan, as applicable, or otherwise conducted by such Party, subject to the review process and additional limitations set forth in Section 12.5.1(c) (</w:t>
      </w:r>
      <w:r>
        <w:rPr>
          <w:rFonts w:ascii="Times New Roman" w:cs="Times New Roman" w:eastAsia="Times New Roman" w:hAnsi="Times New Roman"/>
          <w:sz w:val="19"/>
          <w:szCs w:val="19"/>
          <w:i w:val="1"/>
          <w:iCs w:val="1"/>
          <w:color w:val="auto"/>
        </w:rPr>
        <w:t>Review Process and Other Limitations</w:t>
      </w:r>
      <w:r>
        <w:rPr>
          <w:rFonts w:ascii="Times New Roman" w:cs="Times New Roman" w:eastAsia="Times New Roman" w:hAnsi="Times New Roman"/>
          <w:sz w:val="19"/>
          <w:szCs w:val="19"/>
          <w:color w:val="auto"/>
        </w:rPr>
        <w:t>), Section 12.5.1(d) (</w:t>
      </w:r>
      <w:r>
        <w:rPr>
          <w:rFonts w:ascii="Times New Roman" w:cs="Times New Roman" w:eastAsia="Times New Roman" w:hAnsi="Times New Roman"/>
          <w:sz w:val="19"/>
          <w:szCs w:val="19"/>
          <w:i w:val="1"/>
          <w:iCs w:val="1"/>
          <w:color w:val="auto"/>
        </w:rPr>
        <w:t>Repeat Disclosures</w:t>
      </w:r>
      <w:r>
        <w:rPr>
          <w:rFonts w:ascii="Times New Roman" w:cs="Times New Roman" w:eastAsia="Times New Roman" w:hAnsi="Times New Roman"/>
          <w:sz w:val="19"/>
          <w:szCs w:val="19"/>
          <w:color w:val="auto"/>
        </w:rPr>
        <w:t>) and Section 12.6 (</w:t>
      </w:r>
      <w:r>
        <w:rPr>
          <w:rFonts w:ascii="Times New Roman" w:cs="Times New Roman" w:eastAsia="Times New Roman" w:hAnsi="Times New Roman"/>
          <w:sz w:val="19"/>
          <w:szCs w:val="19"/>
          <w:i w:val="1"/>
          <w:iCs w:val="1"/>
          <w:color w:val="auto"/>
        </w:rPr>
        <w:t>Publication and Listing of Clinical Trials</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1140" w:hanging="754"/>
        <w:spacing w:after="0" w:line="241" w:lineRule="auto"/>
        <w:tabs>
          <w:tab w:leader="none" w:pos="78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Review Process and Other Limitations</w:t>
      </w:r>
      <w:r>
        <w:rPr>
          <w:rFonts w:ascii="Times New Roman" w:cs="Times New Roman" w:eastAsia="Times New Roman" w:hAnsi="Times New Roman"/>
          <w:sz w:val="20"/>
          <w:szCs w:val="20"/>
          <w:color w:val="auto"/>
        </w:rPr>
        <w:t>. If a Party (the “</w:t>
      </w:r>
      <w:r>
        <w:rPr>
          <w:rFonts w:ascii="Times New Roman" w:cs="Times New Roman" w:eastAsia="Times New Roman" w:hAnsi="Times New Roman"/>
          <w:sz w:val="20"/>
          <w:szCs w:val="20"/>
          <w:b w:val="1"/>
          <w:bCs w:val="1"/>
          <w:color w:val="auto"/>
        </w:rPr>
        <w:t>Publishing Party</w:t>
      </w:r>
      <w:r>
        <w:rPr>
          <w:rFonts w:ascii="Times New Roman" w:cs="Times New Roman" w:eastAsia="Times New Roman" w:hAnsi="Times New Roman"/>
          <w:sz w:val="20"/>
          <w:szCs w:val="20"/>
          <w:color w:val="auto"/>
        </w:rPr>
        <w:t>”) desires to publicly present or publish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Publication in accordance with Section 12.5.1(a) (</w:t>
      </w:r>
      <w:r>
        <w:rPr>
          <w:rFonts w:ascii="Times New Roman" w:cs="Times New Roman" w:eastAsia="Times New Roman" w:hAnsi="Times New Roman"/>
          <w:sz w:val="20"/>
          <w:szCs w:val="20"/>
          <w:i w:val="1"/>
          <w:iCs w:val="1"/>
          <w:color w:val="auto"/>
        </w:rPr>
        <w:t>Publications under the Global Development Plan</w:t>
      </w:r>
      <w:r>
        <w:rPr>
          <w:rFonts w:ascii="Times New Roman" w:cs="Times New Roman" w:eastAsia="Times New Roman" w:hAnsi="Times New Roman"/>
          <w:sz w:val="20"/>
          <w:szCs w:val="20"/>
          <w:color w:val="auto"/>
        </w:rPr>
        <w:t>) or Section 12.5.1(b) (</w:t>
      </w:r>
      <w:r>
        <w:rPr>
          <w:rFonts w:ascii="Times New Roman" w:cs="Times New Roman" w:eastAsia="Times New Roman" w:hAnsi="Times New Roman"/>
          <w:sz w:val="20"/>
          <w:szCs w:val="20"/>
          <w:i w:val="1"/>
          <w:iCs w:val="1"/>
          <w:color w:val="auto"/>
        </w:rPr>
        <w:t>Publications under Sanofi Independent Development Plan and Fulcrum Independent Development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Plan</w:t>
      </w:r>
      <w:r>
        <w:rPr>
          <w:rFonts w:ascii="Times New Roman" w:cs="Times New Roman" w:eastAsia="Times New Roman" w:hAnsi="Times New Roman"/>
          <w:sz w:val="20"/>
          <w:szCs w:val="20"/>
          <w:color w:val="auto"/>
        </w:rPr>
        <w:t>), then such Party will provide the other Party (including the other Party’s Alliance Manager and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members of the JCC) with a copy of such proposed Publication at least [***] prior to the earlier of its presentation or intended submission for publication (such applicable period, the “</w:t>
      </w:r>
      <w:r>
        <w:rPr>
          <w:rFonts w:ascii="Times New Roman" w:cs="Times New Roman" w:eastAsia="Times New Roman" w:hAnsi="Times New Roman"/>
          <w:sz w:val="20"/>
          <w:szCs w:val="20"/>
          <w:b w:val="1"/>
          <w:bCs w:val="1"/>
          <w:color w:val="auto"/>
        </w:rPr>
        <w:t>Review Period</w:t>
      </w:r>
      <w:r>
        <w:rPr>
          <w:rFonts w:ascii="Times New Roman" w:cs="Times New Roman" w:eastAsia="Times New Roman" w:hAnsi="Times New Roman"/>
          <w:sz w:val="20"/>
          <w:szCs w:val="20"/>
          <w:color w:val="auto"/>
        </w:rPr>
        <w:t>”). The Publishing Party will not submit or present any such Publication until (i) the other Party has provided written comments during such Review Period on the material in such Publication, or (ii) the applicable Review Period has elapsed without written comments from the other Party, in which case the Publishing Party may proceed and the Publication will be considered approved in its entirety. If the Publishing Party receives written comments from the other Party on any such Publication during the applicable Review Period, then it will consider the other Party’s reasonable and timely comments in good faith and incorporate such comments where appropriate. Notwithstanding any provision to contrary set forth in this Agreement, the Publishing Party will (1) delete any Confidential Information of the other Party that such other Party identifies for deletion in such other Party’s written comments, and (2) delay such Publication for a period of up to an additional [***] after the end of the applicable Review Period to enable the other Party to draft and file one or more patent applications with respect to any subject matter to be made public in such Publication. The Publishing Party will provide the other Party with a copy of the Publication at the time of the submission or presentation thereof. The Publishing Party agrees to determine the authorship of all Publications in accordance with all applicable International Committee of Medical Journal Editors (ICMJE) guidelines, and, in addition, to acknowledge the contributions of the other Party and the employees of the other Party, in each case, as scientifically appropriate.</w:t>
      </w:r>
    </w:p>
    <w:p>
      <w:pPr>
        <w:spacing w:after="0" w:line="185" w:lineRule="exact"/>
        <w:rPr>
          <w:rFonts w:ascii="Times New Roman" w:cs="Times New Roman" w:eastAsia="Times New Roman" w:hAnsi="Times New Roman"/>
          <w:sz w:val="20"/>
          <w:szCs w:val="20"/>
          <w:color w:val="auto"/>
        </w:rPr>
      </w:pPr>
    </w:p>
    <w:p>
      <w:pPr>
        <w:ind w:left="1140" w:hanging="754"/>
        <w:spacing w:after="0" w:line="256" w:lineRule="auto"/>
        <w:tabs>
          <w:tab w:leader="none" w:pos="78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Repeat Disclosures</w:t>
      </w:r>
      <w:r>
        <w:rPr>
          <w:rFonts w:ascii="Times New Roman" w:cs="Times New Roman" w:eastAsia="Times New Roman" w:hAnsi="Times New Roman"/>
          <w:sz w:val="20"/>
          <w:szCs w:val="20"/>
          <w:color w:val="auto"/>
        </w:rPr>
        <w:t>. After a Publication has been made available to the public, each Party may post such Publication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 link to it on its corporate website or social media platforms (or any website managed by such Party in connection with</w:t>
      </w:r>
    </w:p>
    <w:p>
      <w:pPr>
        <w:spacing w:after="0" w:line="17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764540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76" w:name="page177"/>
    <w:bookmarkEnd w:id="176"/>
    <w:p>
      <w:pPr>
        <w:jc w:val="both"/>
        <w:ind w:left="2260" w:right="20"/>
        <w:spacing w:after="0" w:line="247" w:lineRule="auto"/>
        <w:rPr>
          <w:sz w:val="20"/>
          <w:szCs w:val="20"/>
          <w:color w:val="auto"/>
        </w:rPr>
      </w:pPr>
      <w:r>
        <w:rPr>
          <w:rFonts w:ascii="Times New Roman" w:cs="Times New Roman" w:eastAsia="Times New Roman" w:hAnsi="Times New Roman"/>
          <w:sz w:val="20"/>
          <w:szCs w:val="20"/>
          <w:color w:val="auto"/>
        </w:rPr>
        <w:t xml:space="preserve">a Clinical Trial for the Licensed Products, as appropriate),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information in such Publication remains true, correct, and the most current information with respect to the subject matters set forth therein, complies with Applicable Law and would not reasonably be expected to adversely impact the other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 that such Party will provide the other Party with a draft of such proposed Publication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Party’s review and comment at least [***] prior to the proposed disclosure date.</w:t>
      </w:r>
    </w:p>
    <w:p>
      <w:pPr>
        <w:spacing w:after="0" w:line="180" w:lineRule="exact"/>
        <w:rPr>
          <w:sz w:val="20"/>
          <w:szCs w:val="20"/>
          <w:color w:val="auto"/>
        </w:rPr>
      </w:pPr>
    </w:p>
    <w:p>
      <w:pPr>
        <w:jc w:val="both"/>
        <w:ind w:left="760" w:hanging="748"/>
        <w:spacing w:after="0" w:line="245" w:lineRule="auto"/>
        <w:rPr>
          <w:sz w:val="20"/>
          <w:szCs w:val="20"/>
          <w:color w:val="auto"/>
        </w:rPr>
      </w:pPr>
      <w:r>
        <w:rPr>
          <w:rFonts w:ascii="Times New Roman" w:cs="Times New Roman" w:eastAsia="Times New Roman" w:hAnsi="Times New Roman"/>
          <w:sz w:val="20"/>
          <w:szCs w:val="20"/>
          <w:b w:val="1"/>
          <w:bCs w:val="1"/>
          <w:color w:val="auto"/>
        </w:rPr>
        <w:t>12.6 Publication and Listing of Clinical Trials</w:t>
      </w:r>
      <w:r>
        <w:rPr>
          <w:rFonts w:ascii="Times New Roman" w:cs="Times New Roman" w:eastAsia="Times New Roman" w:hAnsi="Times New Roman"/>
          <w:sz w:val="20"/>
          <w:szCs w:val="20"/>
          <w:color w:val="auto"/>
        </w:rPr>
        <w:t>. With respect to the listing of Clinical Trials or the publication of Clinical Trial results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Licensed Products and to the extent applicable to a Party’s activities conducted under this Agreement, each Party will comply with (a) the Pharmaceutical Research and Manufacturers of America (PhRMA) Guidelines on the listing of Clinical Trials and the Publication of Clinical Trial results, and (b) any Applicable Law or applicable court order, stipulations, consent agreements, and settlements entered into by such Party. The Parties agree that any such listings or publications made pursuant to this Section 12.6 (</w:t>
      </w:r>
      <w:r>
        <w:rPr>
          <w:rFonts w:ascii="Times New Roman" w:cs="Times New Roman" w:eastAsia="Times New Roman" w:hAnsi="Times New Roman"/>
          <w:sz w:val="20"/>
          <w:szCs w:val="20"/>
          <w:i w:val="1"/>
          <w:iCs w:val="1"/>
          <w:color w:val="auto"/>
        </w:rPr>
        <w:t>Publication and Listing of Clinical Trials</w:t>
      </w:r>
      <w:r>
        <w:rPr>
          <w:rFonts w:ascii="Times New Roman" w:cs="Times New Roman" w:eastAsia="Times New Roman" w:hAnsi="Times New Roman"/>
          <w:sz w:val="20"/>
          <w:szCs w:val="20"/>
          <w:color w:val="auto"/>
        </w:rPr>
        <w:t>) will be considered a Publication for purposes of this Agreement and will be subject to Section 12.5 (</w:t>
      </w:r>
      <w:r>
        <w:rPr>
          <w:rFonts w:ascii="Times New Roman" w:cs="Times New Roman" w:eastAsia="Times New Roman" w:hAnsi="Times New Roman"/>
          <w:sz w:val="20"/>
          <w:szCs w:val="20"/>
          <w:i w:val="1"/>
          <w:iCs w:val="1"/>
          <w:color w:val="auto"/>
        </w:rPr>
        <w:t>Joint Publication Strategy</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12.7 Publicity; Use of Names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12.7.1</w:t>
      </w:r>
      <w:r>
        <w:rPr>
          <w:sz w:val="20"/>
          <w:szCs w:val="20"/>
          <w:color w:val="auto"/>
        </w:rPr>
        <w:tab/>
      </w:r>
      <w:r>
        <w:rPr>
          <w:rFonts w:ascii="Times New Roman" w:cs="Times New Roman" w:eastAsia="Times New Roman" w:hAnsi="Times New Roman"/>
          <w:sz w:val="19"/>
          <w:szCs w:val="19"/>
          <w:b w:val="1"/>
          <w:bCs w:val="1"/>
          <w:color w:val="auto"/>
        </w:rPr>
        <w:t>Press Release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260" w:hanging="754"/>
        <w:spacing w:after="0" w:line="256" w:lineRule="auto"/>
        <w:tabs>
          <w:tab w:leader="none" w:pos="192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Initial Press Release</w:t>
      </w:r>
      <w:r>
        <w:rPr>
          <w:rFonts w:ascii="Times New Roman" w:cs="Times New Roman" w:eastAsia="Times New Roman" w:hAnsi="Times New Roman"/>
          <w:sz w:val="20"/>
          <w:szCs w:val="20"/>
          <w:color w:val="auto"/>
        </w:rPr>
        <w:t>. Fulcrum may issue an individual press release announcing this Agreement, as set forth on</w:t>
      </w:r>
      <w:r>
        <w:rPr>
          <w:rFonts w:ascii="Times New Roman" w:cs="Times New Roman" w:eastAsia="Times New Roman" w:hAnsi="Times New Roman"/>
          <w:sz w:val="20"/>
          <w:szCs w:val="20"/>
          <w:b w:val="1"/>
          <w:bCs w:val="1"/>
          <w:color w:val="auto"/>
        </w:rPr>
        <w:t xml:space="preserve"> Schedule 12.7.1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Press Release</w:t>
      </w:r>
      <w:r>
        <w:rPr>
          <w:rFonts w:ascii="Times New Roman" w:cs="Times New Roman" w:eastAsia="Times New Roman" w:hAnsi="Times New Roman"/>
          <w:sz w:val="20"/>
          <w:szCs w:val="20"/>
          <w:color w:val="auto"/>
        </w:rPr>
        <w:t>), on such date and time as may be agreed by the Parties. Sanofi may choose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sole discretion to provide a quote to be incorporated into such press release.</w:t>
      </w:r>
    </w:p>
    <w:p>
      <w:pPr>
        <w:spacing w:after="0" w:line="168" w:lineRule="exact"/>
        <w:rPr>
          <w:rFonts w:ascii="Times New Roman" w:cs="Times New Roman" w:eastAsia="Times New Roman" w:hAnsi="Times New Roman"/>
          <w:sz w:val="20"/>
          <w:szCs w:val="20"/>
          <w:color w:val="auto"/>
        </w:rPr>
      </w:pPr>
    </w:p>
    <w:p>
      <w:pPr>
        <w:ind w:left="2260" w:hanging="754"/>
        <w:spacing w:after="0" w:line="246" w:lineRule="auto"/>
        <w:tabs>
          <w:tab w:leader="none" w:pos="192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Press Releases and Public Announcements under Global Development Plan</w:t>
      </w:r>
      <w:r>
        <w:rPr>
          <w:rFonts w:ascii="Times New Roman" w:cs="Times New Roman" w:eastAsia="Times New Roman" w:hAnsi="Times New Roman"/>
          <w:sz w:val="20"/>
          <w:szCs w:val="20"/>
          <w:color w:val="auto"/>
        </w:rPr>
        <w:t>. Neither Party will make a press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release or other similar public disclosure with respect to any Clinical Trial data, non-clinical or preclinical data arising from any Clinical Trial conducted under the Global Development Plan without the other Party’s prior written consent, except with respect to the Positive Data Readout in which case either Party may make a press release or other public disclosure, subject to the review process and additional limitations set forth in Section 12.7.1(d) (</w:t>
      </w:r>
      <w:r>
        <w:rPr>
          <w:rFonts w:ascii="Times New Roman" w:cs="Times New Roman" w:eastAsia="Times New Roman" w:hAnsi="Times New Roman"/>
          <w:sz w:val="20"/>
          <w:szCs w:val="20"/>
          <w:i w:val="1"/>
          <w:iCs w:val="1"/>
          <w:color w:val="auto"/>
        </w:rPr>
        <w:t>Review Process and Other Limitations</w:t>
      </w:r>
      <w:r>
        <w:rPr>
          <w:rFonts w:ascii="Times New Roman" w:cs="Times New Roman" w:eastAsia="Times New Roman" w:hAnsi="Times New Roman"/>
          <w:sz w:val="20"/>
          <w:szCs w:val="20"/>
          <w:color w:val="auto"/>
        </w:rPr>
        <w:t>) and Section 12.7.1(e) (</w:t>
      </w:r>
      <w:r>
        <w:rPr>
          <w:rFonts w:ascii="Times New Roman" w:cs="Times New Roman" w:eastAsia="Times New Roman" w:hAnsi="Times New Roman"/>
          <w:sz w:val="20"/>
          <w:szCs w:val="20"/>
          <w:i w:val="1"/>
          <w:iCs w:val="1"/>
          <w:color w:val="auto"/>
        </w:rPr>
        <w:t>Repeat Disclosures</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2260" w:hanging="754"/>
        <w:spacing w:after="0" w:line="245" w:lineRule="auto"/>
        <w:tabs>
          <w:tab w:leader="none" w:pos="196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Press Releases and Public Announcements under Sanofi Independent Development Plan and Fulcrum Independent Development Plan</w:t>
      </w:r>
      <w:r>
        <w:rPr>
          <w:rFonts w:ascii="Times New Roman" w:cs="Times New Roman" w:eastAsia="Times New Roman" w:hAnsi="Times New Roman"/>
          <w:sz w:val="20"/>
          <w:szCs w:val="20"/>
          <w:color w:val="auto"/>
        </w:rPr>
        <w:t>. Each Party will have the sole right to make a press release or other similar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public disclosure with respect to any (i) Clinical Trial data, non-clinical or preclinical data arising from any Clinical Trial or (ii) data arising from any non-clinical study conducted independently of any Clinical Trial, in each case ((i) and (ii)), conducted by such Party under the Sanofi Independent Development Plan or Fulcrum Independent Development Plan, as applicable, subject to the review process and additional limitations set forth in Section 12.7.1(d) (</w:t>
      </w:r>
      <w:r>
        <w:rPr>
          <w:rFonts w:ascii="Times New Roman" w:cs="Times New Roman" w:eastAsia="Times New Roman" w:hAnsi="Times New Roman"/>
          <w:sz w:val="20"/>
          <w:szCs w:val="20"/>
          <w:i w:val="1"/>
          <w:iCs w:val="1"/>
          <w:color w:val="auto"/>
        </w:rPr>
        <w:t>Review Process and Other Limitations</w:t>
      </w:r>
      <w:r>
        <w:rPr>
          <w:rFonts w:ascii="Times New Roman" w:cs="Times New Roman" w:eastAsia="Times New Roman" w:hAnsi="Times New Roman"/>
          <w:sz w:val="20"/>
          <w:szCs w:val="20"/>
          <w:color w:val="auto"/>
        </w:rPr>
        <w:t>) and Section 12.7.1(e) (</w:t>
      </w:r>
      <w:r>
        <w:rPr>
          <w:rFonts w:ascii="Times New Roman" w:cs="Times New Roman" w:eastAsia="Times New Roman" w:hAnsi="Times New Roman"/>
          <w:sz w:val="20"/>
          <w:szCs w:val="20"/>
          <w:i w:val="1"/>
          <w:iCs w:val="1"/>
          <w:color w:val="auto"/>
        </w:rPr>
        <w:t>Repeat Disclosures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2260" w:hanging="754"/>
        <w:spacing w:after="0" w:line="256" w:lineRule="auto"/>
        <w:tabs>
          <w:tab w:leader="none" w:pos="192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Review Process and Other Limitations</w:t>
      </w:r>
      <w:r>
        <w:rPr>
          <w:rFonts w:ascii="Times New Roman" w:cs="Times New Roman" w:eastAsia="Times New Roman" w:hAnsi="Times New Roman"/>
          <w:sz w:val="20"/>
          <w:szCs w:val="20"/>
          <w:color w:val="auto"/>
        </w:rPr>
        <w:t>. If either Party or any of its Affiliates desires to make a press release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similar public disclosure in accordance with Section 12.7.1(b) (</w:t>
      </w:r>
      <w:r>
        <w:rPr>
          <w:rFonts w:ascii="Times New Roman" w:cs="Times New Roman" w:eastAsia="Times New Roman" w:hAnsi="Times New Roman"/>
          <w:sz w:val="20"/>
          <w:szCs w:val="20"/>
          <w:i w:val="1"/>
          <w:iCs w:val="1"/>
          <w:color w:val="auto"/>
        </w:rPr>
        <w:t>Press Releases and Public Announcements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under Global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7" w:name="page178"/>
    <w:bookmarkEnd w:id="177"/>
    <w:p>
      <w:pPr>
        <w:jc w:val="both"/>
        <w:ind w:left="2260"/>
        <w:spacing w:after="0" w:line="244" w:lineRule="auto"/>
        <w:rPr>
          <w:sz w:val="20"/>
          <w:szCs w:val="20"/>
          <w:color w:val="auto"/>
        </w:rPr>
      </w:pPr>
      <w:r>
        <w:rPr>
          <w:rFonts w:ascii="Times New Roman" w:cs="Times New Roman" w:eastAsia="Times New Roman" w:hAnsi="Times New Roman"/>
          <w:sz w:val="20"/>
          <w:szCs w:val="20"/>
          <w:i w:val="1"/>
          <w:iCs w:val="1"/>
          <w:color w:val="auto"/>
        </w:rPr>
        <w:t>Development Plan</w:t>
      </w:r>
      <w:r>
        <w:rPr>
          <w:rFonts w:ascii="Times New Roman" w:cs="Times New Roman" w:eastAsia="Times New Roman" w:hAnsi="Times New Roman"/>
          <w:sz w:val="20"/>
          <w:szCs w:val="20"/>
          <w:color w:val="auto"/>
        </w:rPr>
        <w:t>) or Section 12.7.1(c) (</w:t>
      </w:r>
      <w:r>
        <w:rPr>
          <w:rFonts w:ascii="Times New Roman" w:cs="Times New Roman" w:eastAsia="Times New Roman" w:hAnsi="Times New Roman"/>
          <w:sz w:val="20"/>
          <w:szCs w:val="20"/>
          <w:i w:val="1"/>
          <w:iCs w:val="1"/>
          <w:color w:val="auto"/>
        </w:rPr>
        <w:t>Press Releases and Public Announcements under Sanofi Independent Development Plan and Fulcrum Independent Development Plan</w:t>
      </w:r>
      <w:r>
        <w:rPr>
          <w:rFonts w:ascii="Times New Roman" w:cs="Times New Roman" w:eastAsia="Times New Roman" w:hAnsi="Times New Roman"/>
          <w:sz w:val="20"/>
          <w:szCs w:val="20"/>
          <w:color w:val="auto"/>
        </w:rPr>
        <w:t>), such Party shall give at least [***] prior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advance notice of the proposed content of such press release or announcement to the other Party for its prior review and approval, with such approval not to be unreasonably withheld, conditioned, or delayed (except as otherwise provided herein). A Party commenting on such a proposed press release or public disclosure shall provide its comments, if any, at least [***] prior to the proposed disclosure date. In relation to a Party’s review of such a proposed press release or announcement, the Party may make specific, reasonable comments on such proposed press release or announcement within the prescribed time for commentary.</w:t>
      </w:r>
    </w:p>
    <w:p>
      <w:pPr>
        <w:spacing w:after="0" w:line="182" w:lineRule="exact"/>
        <w:rPr>
          <w:sz w:val="20"/>
          <w:szCs w:val="20"/>
          <w:color w:val="auto"/>
        </w:rPr>
      </w:pPr>
    </w:p>
    <w:p>
      <w:pPr>
        <w:ind w:left="2260" w:hanging="754"/>
        <w:spacing w:after="0" w:line="243" w:lineRule="auto"/>
        <w:tabs>
          <w:tab w:leader="none" w:pos="1907"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Repeat Disclosures</w:t>
      </w:r>
      <w:r>
        <w:rPr>
          <w:rFonts w:ascii="Times New Roman" w:cs="Times New Roman" w:eastAsia="Times New Roman" w:hAnsi="Times New Roman"/>
          <w:sz w:val="20"/>
          <w:szCs w:val="20"/>
          <w:color w:val="auto"/>
        </w:rPr>
        <w:t>. The Parties agree that after (i) a disclosure pursuant to Section 12.7 (</w:t>
      </w:r>
      <w:r>
        <w:rPr>
          <w:rFonts w:ascii="Times New Roman" w:cs="Times New Roman" w:eastAsia="Times New Roman" w:hAnsi="Times New Roman"/>
          <w:sz w:val="20"/>
          <w:szCs w:val="20"/>
          <w:i w:val="1"/>
          <w:iCs w:val="1"/>
          <w:color w:val="auto"/>
        </w:rPr>
        <w:t>Publicity; Use of Names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Section 12.4 (</w:t>
      </w:r>
      <w:r>
        <w:rPr>
          <w:rFonts w:ascii="Times New Roman" w:cs="Times New Roman" w:eastAsia="Times New Roman" w:hAnsi="Times New Roman"/>
          <w:sz w:val="20"/>
          <w:szCs w:val="20"/>
          <w:i w:val="1"/>
          <w:iCs w:val="1"/>
          <w:color w:val="auto"/>
        </w:rPr>
        <w:t>Authorized Disclosures</w:t>
      </w:r>
      <w:r>
        <w:rPr>
          <w:rFonts w:ascii="Times New Roman" w:cs="Times New Roman" w:eastAsia="Times New Roman" w:hAnsi="Times New Roman"/>
          <w:sz w:val="20"/>
          <w:szCs w:val="20"/>
          <w:color w:val="auto"/>
        </w:rPr>
        <w:t>) or (ii) the issuance of a press release (including the initial press release) or other public announcement pursuant to this Section 12.7.1 (</w:t>
      </w:r>
      <w:r>
        <w:rPr>
          <w:rFonts w:ascii="Times New Roman" w:cs="Times New Roman" w:eastAsia="Times New Roman" w:hAnsi="Times New Roman"/>
          <w:sz w:val="20"/>
          <w:szCs w:val="20"/>
          <w:i w:val="1"/>
          <w:iCs w:val="1"/>
          <w:color w:val="auto"/>
        </w:rPr>
        <w:t>Press Release</w:t>
      </w:r>
      <w:r>
        <w:rPr>
          <w:rFonts w:ascii="Times New Roman" w:cs="Times New Roman" w:eastAsia="Times New Roman" w:hAnsi="Times New Roman"/>
          <w:sz w:val="20"/>
          <w:szCs w:val="20"/>
          <w:color w:val="auto"/>
        </w:rPr>
        <w:t xml:space="preserve">) that has been reviewed and approved by the other Party, the disclosing Party may make subsequent public disclosures reiterating such information as previously reviewed and approved;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information in such press release or other public announcement remains true, correct, and the most current information with respect to the subject matters set forth therein, complies with Applicable Law and would not reasonably be expected to adversely impact the other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such Party will provide the other Party with a draft of such proposed disclosure for the other Party’s review and comment at least [***] prior to the proposed disclosure date.</w:t>
      </w:r>
    </w:p>
    <w:p>
      <w:pPr>
        <w:spacing w:after="0" w:line="186" w:lineRule="exact"/>
        <w:rPr>
          <w:sz w:val="20"/>
          <w:szCs w:val="20"/>
          <w:color w:val="auto"/>
        </w:rPr>
      </w:pPr>
    </w:p>
    <w:p>
      <w:pPr>
        <w:jc w:val="both"/>
        <w:ind w:left="1500" w:hanging="694"/>
        <w:spacing w:after="0" w:line="242" w:lineRule="auto"/>
        <w:tabs>
          <w:tab w:leader="none" w:pos="1480" w:val="left"/>
        </w:tabs>
        <w:rPr>
          <w:sz w:val="20"/>
          <w:szCs w:val="20"/>
          <w:color w:val="auto"/>
        </w:rPr>
      </w:pPr>
      <w:r>
        <w:rPr>
          <w:rFonts w:ascii="Times New Roman" w:cs="Times New Roman" w:eastAsia="Times New Roman" w:hAnsi="Times New Roman"/>
          <w:sz w:val="20"/>
          <w:szCs w:val="20"/>
          <w:color w:val="auto"/>
        </w:rPr>
        <w:t>12.7.2</w:t>
      </w:r>
      <w:r>
        <w:rPr>
          <w:sz w:val="20"/>
          <w:szCs w:val="20"/>
          <w:color w:val="auto"/>
        </w:rPr>
        <w:tab/>
      </w:r>
      <w:r>
        <w:rPr>
          <w:rFonts w:ascii="Times New Roman" w:cs="Times New Roman" w:eastAsia="Times New Roman" w:hAnsi="Times New Roman"/>
          <w:sz w:val="20"/>
          <w:szCs w:val="20"/>
          <w:b w:val="1"/>
          <w:bCs w:val="1"/>
          <w:color w:val="auto"/>
        </w:rPr>
        <w:t>Use of Names</w:t>
      </w:r>
      <w:r>
        <w:rPr>
          <w:rFonts w:ascii="Times New Roman" w:cs="Times New Roman" w:eastAsia="Times New Roman" w:hAnsi="Times New Roman"/>
          <w:sz w:val="20"/>
          <w:szCs w:val="20"/>
          <w:color w:val="auto"/>
        </w:rPr>
        <w:t>. Except as otherwise expressly set forth herein, neither Party (or any of its respective Affiliates) will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corporate name, Trademark, service mark, trade name or logo of the other Party or any of its Affiliates, or its or their respective employees, in any publicity, promotion, news release or other public disclosure relating to this Agreement or its subject matter, without first obtaining the prior written consent of the other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consent will not be required (a) to the extent such use thereof may be required by Applicable Law, including the rules of any securities exchange or market on which a Party’s or its Affiliate’s securities are listed or traded, and (b) for either Party’s use of the other Party’s name and company logo, in accordance with written specifications and standards to be provided by the other Party to such Party, solely to identify the other Party as a collaborator on such Party’s website and in public presentations. If a Party at any time determines that the use of such Party’s name and company logo does not comply with standards provided by such Party and so notifies the other Party, then the other Party will cease using the first Party’s name and company logo in such unapproved manner as soon as reasonably possible. Each Party (or its Affiliate, as applicable) will retain all rights, title and interests in and to all such corporate names, trademarks, trade names and logos of such Party and its Affiliates.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190" w:lineRule="exact"/>
        <w:rPr>
          <w:sz w:val="20"/>
          <w:szCs w:val="20"/>
          <w:color w:val="auto"/>
        </w:rPr>
      </w:pPr>
    </w:p>
    <w:p>
      <w:pPr>
        <w:jc w:val="both"/>
        <w:ind w:left="760" w:hanging="7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13.1 Indemnification by Fulcrum </w:t>
      </w:r>
      <w:r>
        <w:rPr>
          <w:rFonts w:ascii="Times New Roman" w:cs="Times New Roman" w:eastAsia="Times New Roman" w:hAnsi="Times New Roman"/>
          <w:sz w:val="20"/>
          <w:szCs w:val="20"/>
          <w:color w:val="auto"/>
        </w:rPr>
        <w:t>.</w:t>
      </w:r>
      <w:r>
        <w:rPr>
          <w:sz w:val="20"/>
          <w:szCs w:val="20"/>
          <w:color w:val="auto"/>
        </w:rPr>
        <w:t xml:space="preserve"> </w:t>
      </w:r>
      <w:r>
        <w:rPr>
          <w:rFonts w:ascii="Times New Roman" w:cs="Times New Roman" w:eastAsia="Times New Roman" w:hAnsi="Times New Roman"/>
          <w:sz w:val="20"/>
          <w:szCs w:val="20"/>
          <w:color w:val="auto"/>
        </w:rPr>
        <w:t>Fulcrum will indemnify, hold harmless, and defend Sanofi and its Affiliates and their respective, directors, officers, employees, agents, successors, assigns and Sublicensees (the “</w:t>
      </w:r>
      <w:r>
        <w:rPr>
          <w:rFonts w:ascii="Times New Roman" w:cs="Times New Roman" w:eastAsia="Times New Roman" w:hAnsi="Times New Roman"/>
          <w:sz w:val="20"/>
          <w:szCs w:val="20"/>
          <w:b w:val="1"/>
          <w:bCs w:val="1"/>
          <w:color w:val="auto"/>
        </w:rPr>
        <w:t>Sanofi Indemnitees</w:t>
      </w:r>
      <w:r>
        <w:rPr>
          <w:rFonts w:ascii="Times New Roman" w:cs="Times New Roman" w:eastAsia="Times New Roman" w:hAnsi="Times New Roman"/>
          <w:sz w:val="20"/>
          <w:szCs w:val="20"/>
          <w:color w:val="auto"/>
        </w:rPr>
        <w:t>”) from and against any and all Third Party suits, claims, proceedings, actions, and demands (“</w:t>
      </w:r>
      <w:r>
        <w:rPr>
          <w:rFonts w:ascii="Times New Roman" w:cs="Times New Roman" w:eastAsia="Times New Roman" w:hAnsi="Times New Roman"/>
          <w:sz w:val="20"/>
          <w:szCs w:val="20"/>
          <w:b w:val="1"/>
          <w:bCs w:val="1"/>
          <w:color w:val="auto"/>
        </w:rPr>
        <w:t>Third Party Claims</w:t>
      </w:r>
      <w:r>
        <w:rPr>
          <w:rFonts w:ascii="Times New Roman" w:cs="Times New Roman" w:eastAsia="Times New Roman" w:hAnsi="Times New Roman"/>
          <w:sz w:val="20"/>
          <w:szCs w:val="20"/>
          <w:color w:val="auto"/>
        </w:rPr>
        <w:t>”) and all losses, liabilities, costs, claims,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8" w:name="page179"/>
    <w:bookmarkEnd w:id="178"/>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damages, judgments, expenses, or losses (including reasonable attorneys’ fees, court costs, witness fees, damages, judgments, fines, and amounts paid in settlement) arising therefrom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to the extent that the applicable Third Party Claims and such Losses arise out of (a) a breach by Fulcrum of any of its representations, warranties, covenants, agreements or obligations under this Agreement, (b) the Exploitation of the Licensed Compounds and Licensed Products by or on behalf of Fulcrum or any of its Affiliates, licensees (not including Sanofi or its Affiliates, Sublicensees, or its subcontractors), Sublicensees, or subcontractors, (c) Fulcrum’s failure to undertake any recall or product withdrawal of a Licensed Product in the Fulcrum Territory in accordance with Section 6.11 (</w:t>
      </w:r>
      <w:r>
        <w:rPr>
          <w:rFonts w:ascii="Times New Roman" w:cs="Times New Roman" w:eastAsia="Times New Roman" w:hAnsi="Times New Roman"/>
          <w:sz w:val="20"/>
          <w:szCs w:val="20"/>
          <w:i w:val="1"/>
          <w:iCs w:val="1"/>
          <w:color w:val="auto"/>
        </w:rPr>
        <w:t>Recall, Withdrawal, or Field Alerts</w:t>
      </w:r>
      <w:r>
        <w:rPr>
          <w:rFonts w:ascii="Times New Roman" w:cs="Times New Roman" w:eastAsia="Times New Roman" w:hAnsi="Times New Roman"/>
          <w:sz w:val="20"/>
          <w:szCs w:val="20"/>
          <w:color w:val="auto"/>
        </w:rPr>
        <w:t>), (d) the gross negligence, recklessness or willful misconduct of any Fulcrum Indemnitee or (e) any violation of Applicable Law by Fulcrum, its Affiliates, Sublicensees or subcontractors in connection with the performance of its obligations or exercise of its rights under this Agreement. Notwithstanding the foregoing, Fulcrum will not have any obligation to indemnify Sanofi Indemnitees to the extent that any Losses arise out of any Third Party Claim for which Sanofi is responsible for indemnifying Fulcrum pursuant to Section 13.2 (</w:t>
      </w:r>
      <w:r>
        <w:rPr>
          <w:rFonts w:ascii="Times New Roman" w:cs="Times New Roman" w:eastAsia="Times New Roman" w:hAnsi="Times New Roman"/>
          <w:sz w:val="20"/>
          <w:szCs w:val="20"/>
          <w:i w:val="1"/>
          <w:iCs w:val="1"/>
          <w:color w:val="auto"/>
        </w:rPr>
        <w:t>Indemnification by Sanofi</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760" w:hanging="748"/>
        <w:spacing w:after="0" w:line="256" w:lineRule="auto"/>
        <w:rPr>
          <w:sz w:val="20"/>
          <w:szCs w:val="20"/>
          <w:color w:val="auto"/>
        </w:rPr>
      </w:pPr>
      <w:r>
        <w:rPr>
          <w:rFonts w:ascii="Times New Roman" w:cs="Times New Roman" w:eastAsia="Times New Roman" w:hAnsi="Times New Roman"/>
          <w:sz w:val="19"/>
          <w:szCs w:val="19"/>
          <w:b w:val="1"/>
          <w:bCs w:val="1"/>
          <w:color w:val="auto"/>
        </w:rPr>
        <w:t>13.2 Indemnification by Sanofi</w:t>
      </w:r>
      <w:r>
        <w:rPr>
          <w:rFonts w:ascii="Times New Roman" w:cs="Times New Roman" w:eastAsia="Times New Roman" w:hAnsi="Times New Roman"/>
          <w:sz w:val="19"/>
          <w:szCs w:val="19"/>
          <w:color w:val="auto"/>
        </w:rPr>
        <w:t>. Sanofi will indemnify, hold harmless, and defend Fulcrum and its Affiliates, and their respective directors,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officers, employees, agents, successors, assigns and Sublicensees (the “</w:t>
      </w:r>
      <w:r>
        <w:rPr>
          <w:rFonts w:ascii="Times New Roman" w:cs="Times New Roman" w:eastAsia="Times New Roman" w:hAnsi="Times New Roman"/>
          <w:sz w:val="19"/>
          <w:szCs w:val="19"/>
          <w:b w:val="1"/>
          <w:bCs w:val="1"/>
          <w:color w:val="auto"/>
        </w:rPr>
        <w:t>Fulcrum Indemnitees</w:t>
      </w:r>
      <w:r>
        <w:rPr>
          <w:rFonts w:ascii="Times New Roman" w:cs="Times New Roman" w:eastAsia="Times New Roman" w:hAnsi="Times New Roman"/>
          <w:sz w:val="19"/>
          <w:szCs w:val="19"/>
          <w:color w:val="auto"/>
        </w:rPr>
        <w:t>”) from and against any and all Losses, to the extent that the applicable Third Party Claims and such Losses arise out of (a) a breach by Sanofi of any of its representations, warranties, covenants, agreements or obligations under this Agreement, (b) the Exploitation of the Licensed Compounds and Licensed Products by or on behalf of Sanofi or any of its Affiliates, Sublicensees, or subcontractors, (c) Sanofi’s failure to undertake any recall or product withdrawal of a Licensed Product in the Sanofi Territory in accordance with Section 6.11 (</w:t>
      </w:r>
      <w:r>
        <w:rPr>
          <w:rFonts w:ascii="Times New Roman" w:cs="Times New Roman" w:eastAsia="Times New Roman" w:hAnsi="Times New Roman"/>
          <w:sz w:val="19"/>
          <w:szCs w:val="19"/>
          <w:i w:val="1"/>
          <w:iCs w:val="1"/>
          <w:color w:val="auto"/>
        </w:rPr>
        <w:t>Recall, Withdrawal, or Field Alerts</w:t>
      </w:r>
      <w:r>
        <w:rPr>
          <w:rFonts w:ascii="Times New Roman" w:cs="Times New Roman" w:eastAsia="Times New Roman" w:hAnsi="Times New Roman"/>
          <w:sz w:val="19"/>
          <w:szCs w:val="19"/>
          <w:color w:val="auto"/>
        </w:rPr>
        <w:t>), (d) the gross negligence, recklessness or willful misconduct of any Sanofi Indemnitee or (e) any violation of Applicable Law by Sanofi, its Affiliates, Sublicensees or subcontractors in connection with the performance of its obligations or exercise of its rights under this Agreement. Notwithstanding any provision to the contrary set forth in this Agreement, Sanofi will not have any obligation to indemnify the Fulcrum Indemnitees to the extent that any Losses arise out of any Third Party Claim for which Fulcrum is responsible for indemnifying Sanofi pursuant to Section 13.1 (</w:t>
      </w:r>
      <w:r>
        <w:rPr>
          <w:rFonts w:ascii="Times New Roman" w:cs="Times New Roman" w:eastAsia="Times New Roman" w:hAnsi="Times New Roman"/>
          <w:sz w:val="19"/>
          <w:szCs w:val="19"/>
          <w:i w:val="1"/>
          <w:iCs w:val="1"/>
          <w:color w:val="auto"/>
        </w:rPr>
        <w:t>Indemnification by Fulcrum</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jc w:val="both"/>
        <w:ind w:left="760" w:hanging="748"/>
        <w:spacing w:after="0" w:line="256" w:lineRule="auto"/>
        <w:rPr>
          <w:sz w:val="20"/>
          <w:szCs w:val="20"/>
          <w:color w:val="auto"/>
        </w:rPr>
      </w:pPr>
      <w:r>
        <w:rPr>
          <w:rFonts w:ascii="Times New Roman" w:cs="Times New Roman" w:eastAsia="Times New Roman" w:hAnsi="Times New Roman"/>
          <w:sz w:val="19"/>
          <w:szCs w:val="19"/>
          <w:b w:val="1"/>
          <w:bCs w:val="1"/>
          <w:color w:val="auto"/>
        </w:rPr>
        <w:t>13.3 Indemnification Procedure</w:t>
      </w:r>
      <w:r>
        <w:rPr>
          <w:rFonts w:ascii="Times New Roman" w:cs="Times New Roman" w:eastAsia="Times New Roman" w:hAnsi="Times New Roman"/>
          <w:sz w:val="19"/>
          <w:szCs w:val="19"/>
          <w:color w:val="auto"/>
        </w:rPr>
        <w:t>. If either Party is seeking indemnification under Section 13.1 (</w:t>
      </w:r>
      <w:r>
        <w:rPr>
          <w:rFonts w:ascii="Times New Roman" w:cs="Times New Roman" w:eastAsia="Times New Roman" w:hAnsi="Times New Roman"/>
          <w:sz w:val="19"/>
          <w:szCs w:val="19"/>
          <w:i w:val="1"/>
          <w:iCs w:val="1"/>
          <w:color w:val="auto"/>
        </w:rPr>
        <w:t>Indemnification by Fulcrum</w:t>
      </w:r>
      <w:r>
        <w:rPr>
          <w:rFonts w:ascii="Times New Roman" w:cs="Times New Roman" w:eastAsia="Times New Roman" w:hAnsi="Times New Roman"/>
          <w:sz w:val="19"/>
          <w:szCs w:val="19"/>
          <w:color w:val="auto"/>
        </w:rPr>
        <w:t>) or Section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13.2 (</w:t>
      </w:r>
      <w:r>
        <w:rPr>
          <w:rFonts w:ascii="Times New Roman" w:cs="Times New Roman" w:eastAsia="Times New Roman" w:hAnsi="Times New Roman"/>
          <w:sz w:val="19"/>
          <w:szCs w:val="19"/>
          <w:i w:val="1"/>
          <w:iCs w:val="1"/>
          <w:color w:val="auto"/>
        </w:rPr>
        <w:t>Indemnification by Sanofi</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Indemnified Party</w:t>
      </w:r>
      <w:r>
        <w:rPr>
          <w:rFonts w:ascii="Times New Roman" w:cs="Times New Roman" w:eastAsia="Times New Roman" w:hAnsi="Times New Roman"/>
          <w:sz w:val="19"/>
          <w:szCs w:val="19"/>
          <w:color w:val="auto"/>
        </w:rPr>
        <w:t>”), then it will as soon as reasonably practicable inform the other Party (the “</w:t>
      </w:r>
      <w:r>
        <w:rPr>
          <w:rFonts w:ascii="Times New Roman" w:cs="Times New Roman" w:eastAsia="Times New Roman" w:hAnsi="Times New Roman"/>
          <w:sz w:val="19"/>
          <w:szCs w:val="19"/>
          <w:b w:val="1"/>
          <w:bCs w:val="1"/>
          <w:color w:val="auto"/>
        </w:rPr>
        <w:t>Indemnifying Party</w:t>
      </w:r>
      <w:r>
        <w:rPr>
          <w:rFonts w:ascii="Times New Roman" w:cs="Times New Roman" w:eastAsia="Times New Roman" w:hAnsi="Times New Roman"/>
          <w:sz w:val="19"/>
          <w:szCs w:val="19"/>
          <w:color w:val="auto"/>
        </w:rPr>
        <w:t>”) of the Third Party Claim giving rise to such indemnification obligations (it being understood and agreed, however, that the failure or delay by an Indemnified Party to give such notice of a Third Party Claim will not affect the Indemnifying Party’s indemnification obligations hereunder except to the extent the Indemnifying Party will have been actually and materially prejudiced as a result of such failure or delay to give notice). The Indemnifying Party will have the right to assume the defense of any such Third Party Claim for which it is obligated to indemnify the Indemnified Party by giving written notice to the Indemnified Party within [***] after receipt of notice of the Third Party Claim. The assumption of defense of the Third Party Claim shall not be construed as an acknowledgment that the Indemnifying Party is liable to indemnify any Indemnified Party in respect of the Third Party Claim, nor shall it constitute waiver by the Indemnifying Party of any defenses it may assert against the Indemnified Party’s claim for indemnification. The Indemnified Party will cooperate with the Indemnifying Party and the Indemnifying Party’s insurer as the Indemnifying Party may reasonably request, and at the Indemnifying Party’s cost and expense. The Indemnified Party will have the right to participate, at its own expense and with counsel of its choice, in the defense of any Third Party that has been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9" w:name="page180"/>
    <w:bookmarkEnd w:id="179"/>
    <w:p>
      <w:pPr>
        <w:jc w:val="both"/>
        <w:ind w:left="760"/>
        <w:spacing w:after="0" w:line="255" w:lineRule="auto"/>
        <w:rPr>
          <w:sz w:val="20"/>
          <w:szCs w:val="20"/>
          <w:color w:val="auto"/>
        </w:rPr>
      </w:pPr>
      <w:r>
        <w:rPr>
          <w:rFonts w:ascii="Times New Roman" w:cs="Times New Roman" w:eastAsia="Times New Roman" w:hAnsi="Times New Roman"/>
          <w:sz w:val="19"/>
          <w:szCs w:val="19"/>
          <w:color w:val="auto"/>
        </w:rPr>
        <w:t xml:space="preserve">assumed by the Indemnifying Party;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Indemnifying Party shall have the right to conduct the defense of the Third Party Claim with counsel of its choice. Neither Party will have the obligation to indemnify the other Party in connection with any settlement made without the Indemnifying Party’s written consent, which consent will not be unreasonably withheld, conditioned, or delayed. The Indemnifying Party will not admit liability of the Indemnified Party or settle any Third Party Claim without the Indemnified Party’s prior written consent, which consent will not be unreasonably withheld, conditioned, or delayed. If the Indemnifying Party does not assume and conduct the defense of the Third Party Claim as provided above, (a) the Indemnified Party may defend against, and consent to the entry of any judgment or enter into any settlement with respect to the Third Party Claim in any manner the Indemnified Party may deem reasonably appropriate (and the Indemnified Party need not consult with, or obtain any consent from, the Indemnifying Party in connection therewith), and (b) the Indemnified Party reserves any right it may have under this Article 13 (</w:t>
      </w:r>
      <w:r>
        <w:rPr>
          <w:rFonts w:ascii="Times New Roman" w:cs="Times New Roman" w:eastAsia="Times New Roman" w:hAnsi="Times New Roman"/>
          <w:sz w:val="19"/>
          <w:szCs w:val="19"/>
          <w:i w:val="1"/>
          <w:iCs w:val="1"/>
          <w:color w:val="auto"/>
        </w:rPr>
        <w:t>Indemnification</w:t>
      </w:r>
      <w:r>
        <w:rPr>
          <w:rFonts w:ascii="Times New Roman" w:cs="Times New Roman" w:eastAsia="Times New Roman" w:hAnsi="Times New Roman"/>
          <w:sz w:val="19"/>
          <w:szCs w:val="19"/>
          <w:color w:val="auto"/>
        </w:rPr>
        <w:t>) to obtain indemnification from the Indemnified Party. In the event that it is ultimately determined that the Indemnifying Party is not obligated to indemnify, defend or hold harmless the Indemnified Party from and against the Third Party Claim, the Indemnified Party will reimburse the Indemnifying Party for any and all costs and expenses (including attorneys’ fees and expenses and costs of suit) and any Losses incurred by the Indemnifying Party in its defense of the Third Party Claim. If the Parties cannot agree as to the application of Section 13.1 (</w:t>
      </w:r>
      <w:r>
        <w:rPr>
          <w:rFonts w:ascii="Times New Roman" w:cs="Times New Roman" w:eastAsia="Times New Roman" w:hAnsi="Times New Roman"/>
          <w:sz w:val="19"/>
          <w:szCs w:val="19"/>
          <w:i w:val="1"/>
          <w:iCs w:val="1"/>
          <w:color w:val="auto"/>
        </w:rPr>
        <w:t>Indemnification by Fulcrum</w:t>
      </w:r>
      <w:r>
        <w:rPr>
          <w:rFonts w:ascii="Times New Roman" w:cs="Times New Roman" w:eastAsia="Times New Roman" w:hAnsi="Times New Roman"/>
          <w:sz w:val="19"/>
          <w:szCs w:val="19"/>
          <w:color w:val="auto"/>
        </w:rPr>
        <w:t>) or Section 13.2 (</w:t>
      </w:r>
      <w:r>
        <w:rPr>
          <w:rFonts w:ascii="Times New Roman" w:cs="Times New Roman" w:eastAsia="Times New Roman" w:hAnsi="Times New Roman"/>
          <w:sz w:val="19"/>
          <w:szCs w:val="19"/>
          <w:i w:val="1"/>
          <w:iCs w:val="1"/>
          <w:color w:val="auto"/>
        </w:rPr>
        <w:t>Indemnification by Sanofi</w:t>
      </w:r>
      <w:r>
        <w:rPr>
          <w:rFonts w:ascii="Times New Roman" w:cs="Times New Roman" w:eastAsia="Times New Roman" w:hAnsi="Times New Roman"/>
          <w:sz w:val="19"/>
          <w:szCs w:val="19"/>
          <w:color w:val="auto"/>
        </w:rPr>
        <w:t>) as to any Third Party Claim, then, pending resolution of the dispute pursuant to Article 15 (</w:t>
      </w:r>
      <w:r>
        <w:rPr>
          <w:rFonts w:ascii="Times New Roman" w:cs="Times New Roman" w:eastAsia="Times New Roman" w:hAnsi="Times New Roman"/>
          <w:sz w:val="19"/>
          <w:szCs w:val="19"/>
          <w:i w:val="1"/>
          <w:iCs w:val="1"/>
          <w:color w:val="auto"/>
        </w:rPr>
        <w:t>Dispute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Resolution; Governing Law</w:t>
      </w:r>
      <w:r>
        <w:rPr>
          <w:rFonts w:ascii="Times New Roman" w:cs="Times New Roman" w:eastAsia="Times New Roman" w:hAnsi="Times New Roman"/>
          <w:sz w:val="19"/>
          <w:szCs w:val="19"/>
          <w:color w:val="auto"/>
        </w:rPr>
        <w:t>), the Parties may conduct separate defenses of such Third Party Claim, with each Party retaining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right to claim indemnification from the other Party in accordance with Section 13.1 (</w:t>
      </w:r>
      <w:r>
        <w:rPr>
          <w:rFonts w:ascii="Times New Roman" w:cs="Times New Roman" w:eastAsia="Times New Roman" w:hAnsi="Times New Roman"/>
          <w:sz w:val="19"/>
          <w:szCs w:val="19"/>
          <w:i w:val="1"/>
          <w:iCs w:val="1"/>
          <w:color w:val="auto"/>
        </w:rPr>
        <w:t>Indemnification by Fulcrum</w:t>
      </w:r>
      <w:r>
        <w:rPr>
          <w:rFonts w:ascii="Times New Roman" w:cs="Times New Roman" w:eastAsia="Times New Roman" w:hAnsi="Times New Roman"/>
          <w:sz w:val="19"/>
          <w:szCs w:val="19"/>
          <w:color w:val="auto"/>
        </w:rPr>
        <w:t>) or Section 13.2</w:t>
      </w:r>
    </w:p>
    <w:p>
      <w:pPr>
        <w:spacing w:after="0" w:line="9" w:lineRule="exact"/>
        <w:rPr>
          <w:sz w:val="20"/>
          <w:szCs w:val="20"/>
          <w:color w:val="auto"/>
        </w:rPr>
      </w:pPr>
    </w:p>
    <w:p>
      <w:pPr>
        <w:jc w:val="both"/>
        <w:ind w:left="76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Indemnification by Sanofi</w:t>
      </w:r>
      <w:r>
        <w:rPr>
          <w:rFonts w:ascii="Times New Roman" w:cs="Times New Roman" w:eastAsia="Times New Roman" w:hAnsi="Times New Roman"/>
          <w:sz w:val="20"/>
          <w:szCs w:val="20"/>
          <w:color w:val="auto"/>
        </w:rPr>
        <w:t>), as applicable, upon resolution of the underlying Third Party Claim. In each case, the Indemnified Party will reasonably cooperate with the Indemnifying Party and will make available to the Indemnifying Party all pertinent information under the control of the Indemnified Party, which information will be subject to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760" w:hanging="748"/>
        <w:spacing w:after="0" w:line="256" w:lineRule="auto"/>
        <w:rPr>
          <w:sz w:val="20"/>
          <w:szCs w:val="20"/>
          <w:color w:val="auto"/>
        </w:rPr>
      </w:pPr>
      <w:r>
        <w:rPr>
          <w:rFonts w:ascii="Times New Roman" w:cs="Times New Roman" w:eastAsia="Times New Roman" w:hAnsi="Times New Roman"/>
          <w:sz w:val="19"/>
          <w:szCs w:val="19"/>
          <w:b w:val="1"/>
          <w:bCs w:val="1"/>
          <w:color w:val="auto"/>
        </w:rPr>
        <w:t>13.4 Insurance</w:t>
      </w:r>
      <w:r>
        <w:rPr>
          <w:rFonts w:ascii="Times New Roman" w:cs="Times New Roman" w:eastAsia="Times New Roman" w:hAnsi="Times New Roman"/>
          <w:sz w:val="19"/>
          <w:szCs w:val="19"/>
          <w:color w:val="auto"/>
        </w:rPr>
        <w:t>. During the Term and for a period of [***] thereafter, each Party will, at its own expense, procure and maintain insurance,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product liability insurance (with a Third Party insurance company with a current A.M. Best rating of A- or equivalent or higher, or solely with respect to Sanofi through a program of self-insurance), which insurance will be adequate to cover its obligations hereunder. Such insurance coverage will in no event be less than [***] per loss occurrence and [***] in the aggregate. It is understood that such insurance will not be construed to create a limit of either Party’s liability with respect to its indemnification obligations under this Article 13 (</w:t>
      </w:r>
      <w:r>
        <w:rPr>
          <w:rFonts w:ascii="Times New Roman" w:cs="Times New Roman" w:eastAsia="Times New Roman" w:hAnsi="Times New Roman"/>
          <w:sz w:val="19"/>
          <w:szCs w:val="19"/>
          <w:i w:val="1"/>
          <w:iCs w:val="1"/>
          <w:color w:val="auto"/>
        </w:rPr>
        <w:t>Indemnification</w:t>
      </w:r>
      <w:r>
        <w:rPr>
          <w:rFonts w:ascii="Times New Roman" w:cs="Times New Roman" w:eastAsia="Times New Roman" w:hAnsi="Times New Roman"/>
          <w:sz w:val="19"/>
          <w:szCs w:val="19"/>
          <w:color w:val="auto"/>
        </w:rPr>
        <w:t>). Each Party will provide the other Party with written evidence of such insurance upon request. Each Party will provide the other Party with written notice at least [***] prior to the expiration, cancellation, nonrenewal, or material change in such insurance that materially adversely affects the rights of the other Party hereunder. To the extent insurance policies are written on claims-made form, such Party shall maintain the insurance coverage for a term of [***] after the termination or expiration of this Agreement or as legally required to maintain insurance, or when the last Clinical Trial subject receives treatment in connection with the Clinical Trial, including any treatment received after Clinical Trial completion.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 AND TERMINATION</w:t>
      </w:r>
    </w:p>
    <w:p>
      <w:pPr>
        <w:spacing w:after="0" w:line="190"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14.1 Term</w:t>
      </w:r>
      <w:r>
        <w:rPr>
          <w:rFonts w:ascii="Times New Roman" w:cs="Times New Roman" w:eastAsia="Times New Roman" w:hAnsi="Times New Roman"/>
          <w:sz w:val="20"/>
          <w:szCs w:val="20"/>
          <w:color w:val="auto"/>
        </w:rPr>
        <w:t>. The term of this Agreement will begin on the Effective Date and, unless earlier terminated in accordance with this Article 14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Term and Termination</w:t>
      </w:r>
      <w:r>
        <w:rPr>
          <w:rFonts w:ascii="Times New Roman" w:cs="Times New Roman" w:eastAsia="Times New Roman" w:hAnsi="Times New Roman"/>
          <w:sz w:val="20"/>
          <w:szCs w:val="20"/>
          <w:color w:val="auto"/>
        </w:rPr>
        <w:t>), will continue, on a Licensed Product-by-Licensed Product and country-by-country basis until the expiration of the last Royalty Term for such Licensed Product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Upon expiration of this Agreement with respect to a Licensed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0" w:name="page181"/>
    <w:bookmarkEnd w:id="180"/>
    <w:p>
      <w:pPr>
        <w:jc w:val="both"/>
        <w:ind w:left="760"/>
        <w:spacing w:after="0" w:line="250" w:lineRule="auto"/>
        <w:rPr>
          <w:sz w:val="20"/>
          <w:szCs w:val="20"/>
          <w:color w:val="auto"/>
        </w:rPr>
      </w:pPr>
      <w:r>
        <w:rPr>
          <w:rFonts w:ascii="Times New Roman" w:cs="Times New Roman" w:eastAsia="Times New Roman" w:hAnsi="Times New Roman"/>
          <w:sz w:val="20"/>
          <w:szCs w:val="20"/>
          <w:color w:val="auto"/>
        </w:rPr>
        <w:t>Product, the licenses granted in such country pursuant to Section 2.1 (</w:t>
      </w:r>
      <w:r>
        <w:rPr>
          <w:rFonts w:ascii="Times New Roman" w:cs="Times New Roman" w:eastAsia="Times New Roman" w:hAnsi="Times New Roman"/>
          <w:sz w:val="20"/>
          <w:szCs w:val="20"/>
          <w:i w:val="1"/>
          <w:iCs w:val="1"/>
          <w:color w:val="auto"/>
        </w:rPr>
        <w:t>License Grant to Sanofi</w:t>
      </w:r>
      <w:r>
        <w:rPr>
          <w:rFonts w:ascii="Times New Roman" w:cs="Times New Roman" w:eastAsia="Times New Roman" w:hAnsi="Times New Roman"/>
          <w:sz w:val="20"/>
          <w:szCs w:val="20"/>
          <w:color w:val="auto"/>
        </w:rPr>
        <w:t>) to Sanofi for such Licensed Product shall be exclusive, perpetual, irrevocable, fully paid-up and free of royalties or other payment obligations and, subject to the foregoing and except as set forth in Section 14.9 (</w:t>
      </w:r>
      <w:r>
        <w:rPr>
          <w:rFonts w:ascii="Times New Roman" w:cs="Times New Roman" w:eastAsia="Times New Roman" w:hAnsi="Times New Roman"/>
          <w:sz w:val="20"/>
          <w:szCs w:val="20"/>
          <w:i w:val="1"/>
          <w:iCs w:val="1"/>
          <w:color w:val="auto"/>
        </w:rPr>
        <w:t>Survival; Accrued Rights</w:t>
      </w:r>
      <w:r>
        <w:rPr>
          <w:rFonts w:ascii="Times New Roman" w:cs="Times New Roman" w:eastAsia="Times New Roman" w:hAnsi="Times New Roman"/>
          <w:sz w:val="20"/>
          <w:szCs w:val="20"/>
          <w:color w:val="auto"/>
        </w:rPr>
        <w:t>), all rights and obligations of the Parties under this Agreement with respect to such Licensed Products in such country shall cease.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14.2 Termination for Material Breach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2" w:lineRule="auto"/>
        <w:tabs>
          <w:tab w:leader="none" w:pos="1480" w:val="left"/>
        </w:tabs>
        <w:rPr>
          <w:sz w:val="20"/>
          <w:szCs w:val="20"/>
          <w:color w:val="auto"/>
        </w:rPr>
      </w:pPr>
      <w:r>
        <w:rPr>
          <w:rFonts w:ascii="Times New Roman" w:cs="Times New Roman" w:eastAsia="Times New Roman" w:hAnsi="Times New Roman"/>
          <w:sz w:val="20"/>
          <w:szCs w:val="20"/>
          <w:color w:val="auto"/>
        </w:rPr>
        <w:t>14.2.1</w:t>
      </w:r>
      <w:r>
        <w:rPr>
          <w:sz w:val="20"/>
          <w:szCs w:val="20"/>
          <w:color w:val="auto"/>
        </w:rPr>
        <w:tab/>
      </w:r>
      <w:r>
        <w:rPr>
          <w:rFonts w:ascii="Times New Roman" w:cs="Times New Roman" w:eastAsia="Times New Roman" w:hAnsi="Times New Roman"/>
          <w:sz w:val="20"/>
          <w:szCs w:val="20"/>
          <w:b w:val="1"/>
          <w:bCs w:val="1"/>
          <w:color w:val="auto"/>
        </w:rPr>
        <w:t>Material Breach</w:t>
      </w:r>
      <w:r>
        <w:rPr>
          <w:rFonts w:ascii="Times New Roman" w:cs="Times New Roman" w:eastAsia="Times New Roman" w:hAnsi="Times New Roman"/>
          <w:sz w:val="20"/>
          <w:szCs w:val="20"/>
          <w:color w:val="auto"/>
        </w:rPr>
        <w:t>. If either Party believes in good faith that the other is in material breach of this Agreement, then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non-breaching Party may deliver notice of such material breach to the other Party identifying the material breach in reasonable detail and a proposed remedy (“</w:t>
      </w:r>
      <w:r>
        <w:rPr>
          <w:rFonts w:ascii="Times New Roman" w:cs="Times New Roman" w:eastAsia="Times New Roman" w:hAnsi="Times New Roman"/>
          <w:sz w:val="20"/>
          <w:szCs w:val="20"/>
          <w:b w:val="1"/>
          <w:bCs w:val="1"/>
          <w:color w:val="auto"/>
        </w:rPr>
        <w:t>Breach Notification</w:t>
      </w:r>
      <w:r>
        <w:rPr>
          <w:rFonts w:ascii="Times New Roman" w:cs="Times New Roman" w:eastAsia="Times New Roman" w:hAnsi="Times New Roman"/>
          <w:sz w:val="20"/>
          <w:szCs w:val="20"/>
          <w:color w:val="auto"/>
        </w:rPr>
        <w:t>”). For any material breach arising from a failure to make a payment set forth in this Agreement, the allegedly breaching Party will have [***] from the receipt of the applicable Breach Notification to cure such material breach. For all material breaches other than a failure to make a payment as set forth in this Agreement, the allegedly breaching Party will have [***] from the date of the Breach Notification to cure such material breach. If the Party receiving notice of a material breach fails to cure that material breach within the applicable period set forth above, then the Party originally delivering the Breach Notification may terminate this Agreement in its entirety effective on written notice of termination to the other Party. In the event that a material breach is curable but the allegedly breaching Party demonstrates that it cannot be reasonably cured within the applicable cure period despite its diligent efforts, then the allegedly breaching Party will be allowed to continue to cure such material breach using diligent efforts for another [***] or a longer period if mutually agreed upon by the Parties.</w:t>
      </w:r>
    </w:p>
    <w:p>
      <w:pPr>
        <w:spacing w:after="0" w:line="187"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14.2.2</w:t>
      </w:r>
      <w:r>
        <w:rPr>
          <w:sz w:val="20"/>
          <w:szCs w:val="20"/>
          <w:color w:val="auto"/>
        </w:rPr>
        <w:tab/>
      </w:r>
      <w:r>
        <w:rPr>
          <w:rFonts w:ascii="Times New Roman" w:cs="Times New Roman" w:eastAsia="Times New Roman" w:hAnsi="Times New Roman"/>
          <w:sz w:val="20"/>
          <w:szCs w:val="20"/>
          <w:b w:val="1"/>
          <w:bCs w:val="1"/>
          <w:color w:val="auto"/>
        </w:rPr>
        <w:t>Disagreement as to Material Breach</w:t>
      </w:r>
      <w:r>
        <w:rPr>
          <w:rFonts w:ascii="Times New Roman" w:cs="Times New Roman" w:eastAsia="Times New Roman" w:hAnsi="Times New Roman"/>
          <w:sz w:val="20"/>
          <w:szCs w:val="20"/>
          <w:color w:val="auto"/>
        </w:rPr>
        <w:t>. Notwithstanding Section 14.2.1 (</w:t>
      </w:r>
      <w:r>
        <w:rPr>
          <w:rFonts w:ascii="Times New Roman" w:cs="Times New Roman" w:eastAsia="Times New Roman" w:hAnsi="Times New Roman"/>
          <w:sz w:val="20"/>
          <w:szCs w:val="20"/>
          <w:i w:val="1"/>
          <w:iCs w:val="1"/>
          <w:color w:val="auto"/>
        </w:rPr>
        <w:t>Material Breach</w:t>
      </w:r>
      <w:r>
        <w:rPr>
          <w:rFonts w:ascii="Times New Roman" w:cs="Times New Roman" w:eastAsia="Times New Roman" w:hAnsi="Times New Roman"/>
          <w:sz w:val="20"/>
          <w:szCs w:val="20"/>
          <w:color w:val="auto"/>
        </w:rPr>
        <w:t>), if the Parties, reasonably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good faith, disagree as to whether there has been a material breach of this Agreement, then: (a) the Party that disputes whether there has been a material breach may contest the allegation by referring such matter, within the cure period applicable to such alleged material breach, for resolution in accordance with Article 15 (</w:t>
      </w:r>
      <w:r>
        <w:rPr>
          <w:rFonts w:ascii="Times New Roman" w:cs="Times New Roman" w:eastAsia="Times New Roman" w:hAnsi="Times New Roman"/>
          <w:sz w:val="20"/>
          <w:szCs w:val="20"/>
          <w:i w:val="1"/>
          <w:iCs w:val="1"/>
          <w:color w:val="auto"/>
        </w:rPr>
        <w:t>Dispute Resolution; Governing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Law</w:t>
      </w:r>
      <w:r>
        <w:rPr>
          <w:rFonts w:ascii="Times New Roman" w:cs="Times New Roman" w:eastAsia="Times New Roman" w:hAnsi="Times New Roman"/>
          <w:sz w:val="20"/>
          <w:szCs w:val="20"/>
          <w:color w:val="auto"/>
        </w:rPr>
        <w:t>); (b) the relevant cure period with respect to such alleged material breach will be tolled from the date on which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Party that disputes whether there has been a material breach notifies the other Party of such dispute and through the resolution of such dispute in accordance with Article 15 (</w:t>
      </w:r>
      <w:r>
        <w:rPr>
          <w:rFonts w:ascii="Times New Roman" w:cs="Times New Roman" w:eastAsia="Times New Roman" w:hAnsi="Times New Roman"/>
          <w:sz w:val="20"/>
          <w:szCs w:val="20"/>
          <w:i w:val="1"/>
          <w:iCs w:val="1"/>
          <w:color w:val="auto"/>
        </w:rPr>
        <w:t>Dispute Resolution; Governing Law</w:t>
      </w:r>
      <w:r>
        <w:rPr>
          <w:rFonts w:ascii="Times New Roman" w:cs="Times New Roman" w:eastAsia="Times New Roman" w:hAnsi="Times New Roman"/>
          <w:sz w:val="20"/>
          <w:szCs w:val="20"/>
          <w:color w:val="auto"/>
        </w:rPr>
        <w:t>); and (c) subject to Section 16.6 (</w:t>
      </w:r>
      <w:r>
        <w:rPr>
          <w:rFonts w:ascii="Times New Roman" w:cs="Times New Roman" w:eastAsia="Times New Roman" w:hAnsi="Times New Roman"/>
          <w:sz w:val="20"/>
          <w:szCs w:val="20"/>
          <w:i w:val="1"/>
          <w:iCs w:val="1"/>
          <w:color w:val="auto"/>
        </w:rPr>
        <w:t>Force Majeure</w:t>
      </w:r>
      <w:r>
        <w:rPr>
          <w:rFonts w:ascii="Times New Roman" w:cs="Times New Roman" w:eastAsia="Times New Roman" w:hAnsi="Times New Roman"/>
          <w:sz w:val="20"/>
          <w:szCs w:val="20"/>
          <w:color w:val="auto"/>
        </w:rPr>
        <w:t>), during the pendency of such dispute, all of the terms and conditions of this Agreement will remain in effect and the Parties will continue to perform all of their respective obligations hereunder.</w:t>
      </w:r>
    </w:p>
    <w:p>
      <w:pPr>
        <w:spacing w:after="0" w:line="186" w:lineRule="exact"/>
        <w:rPr>
          <w:sz w:val="20"/>
          <w:szCs w:val="20"/>
          <w:color w:val="auto"/>
        </w:rPr>
      </w:pPr>
    </w:p>
    <w:p>
      <w:pPr>
        <w:jc w:val="both"/>
        <w:ind w:left="760" w:hanging="7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14.3 Termination by Sanofi for Convenience </w:t>
      </w:r>
      <w:r>
        <w:rPr>
          <w:rFonts w:ascii="Times New Roman" w:cs="Times New Roman" w:eastAsia="Times New Roman" w:hAnsi="Times New Roman"/>
          <w:sz w:val="20"/>
          <w:szCs w:val="20"/>
          <w:color w:val="auto"/>
        </w:rPr>
        <w:t>. Sanofi will have the right to terminate the Agreement in its entirety or on a Licensed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Product-by-Licensed Product or (a) country-by-country basis with respect to the Sanofi Major Countries or (b) Region-by-Region basis with respect to all other countries that are not Sanofi Major Countries (each such terminated jurisdiction, a “</w:t>
      </w:r>
      <w:r>
        <w:rPr>
          <w:rFonts w:ascii="Times New Roman" w:cs="Times New Roman" w:eastAsia="Times New Roman" w:hAnsi="Times New Roman"/>
          <w:sz w:val="20"/>
          <w:szCs w:val="20"/>
          <w:b w:val="1"/>
          <w:bCs w:val="1"/>
          <w:color w:val="auto"/>
        </w:rPr>
        <w:t>Terminated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Region</w:t>
      </w:r>
      <w:r>
        <w:rPr>
          <w:rFonts w:ascii="Times New Roman" w:cs="Times New Roman" w:eastAsia="Times New Roman" w:hAnsi="Times New Roman"/>
          <w:sz w:val="20"/>
          <w:szCs w:val="20"/>
          <w:color w:val="auto"/>
        </w:rPr>
        <w:t>” and in the event of termination of this Agreement in its entirety, all countries in the Sanofi Territory will be Terminated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Regions) at any time during the Term upon [***] prior written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Sanofi terminates the Agreement under this Section 14.3 (</w:t>
      </w:r>
      <w:r>
        <w:rPr>
          <w:rFonts w:ascii="Times New Roman" w:cs="Times New Roman" w:eastAsia="Times New Roman" w:hAnsi="Times New Roman"/>
          <w:sz w:val="20"/>
          <w:szCs w:val="20"/>
          <w:i w:val="1"/>
          <w:iCs w:val="1"/>
          <w:color w:val="auto"/>
        </w:rPr>
        <w:t>Termination by Sanofi for Convenience</w:t>
      </w:r>
      <w:r>
        <w:rPr>
          <w:rFonts w:ascii="Times New Roman" w:cs="Times New Roman" w:eastAsia="Times New Roman" w:hAnsi="Times New Roman"/>
          <w:sz w:val="20"/>
          <w:szCs w:val="20"/>
          <w:color w:val="auto"/>
        </w:rPr>
        <w:t>) in all of the Sanofi Major Countries, European Region, the Asian Region, and the Latin American Region, then this Agreement will automatically terminate in its entirety.</w:t>
      </w:r>
    </w:p>
    <w:p>
      <w:pPr>
        <w:spacing w:after="0" w:line="179" w:lineRule="exact"/>
        <w:rPr>
          <w:sz w:val="20"/>
          <w:szCs w:val="20"/>
          <w:color w:val="auto"/>
        </w:rPr>
      </w:pPr>
    </w:p>
    <w:p>
      <w:pPr>
        <w:jc w:val="both"/>
        <w:ind w:left="760" w:hanging="748"/>
        <w:spacing w:after="0" w:line="256" w:lineRule="auto"/>
        <w:rPr>
          <w:sz w:val="20"/>
          <w:szCs w:val="20"/>
          <w:color w:val="auto"/>
        </w:rPr>
      </w:pPr>
      <w:r>
        <w:rPr>
          <w:rFonts w:ascii="Times New Roman" w:cs="Times New Roman" w:eastAsia="Times New Roman" w:hAnsi="Times New Roman"/>
          <w:sz w:val="20"/>
          <w:szCs w:val="20"/>
          <w:b w:val="1"/>
          <w:bCs w:val="1"/>
          <w:color w:val="auto"/>
        </w:rPr>
        <w:t>14.4 Termination by Sanofi for Safety</w:t>
      </w:r>
      <w:r>
        <w:rPr>
          <w:rFonts w:ascii="Times New Roman" w:cs="Times New Roman" w:eastAsia="Times New Roman" w:hAnsi="Times New Roman"/>
          <w:sz w:val="20"/>
          <w:szCs w:val="20"/>
          <w:color w:val="auto"/>
        </w:rPr>
        <w:t>. Sanofi may terminate this Agreement for safety concerns with respect to a Licensed Product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 (a) in part on a Licensed Product-by-Licensed Product basis, where the safety concerns are with respect to a particular Licensed Product or (b) in its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1" w:name="page182"/>
    <w:bookmarkEnd w:id="181"/>
    <w:p>
      <w:pPr>
        <w:ind w:left="760"/>
        <w:spacing w:after="0" w:line="269" w:lineRule="auto"/>
        <w:rPr>
          <w:sz w:val="20"/>
          <w:szCs w:val="20"/>
          <w:color w:val="auto"/>
        </w:rPr>
      </w:pPr>
      <w:r>
        <w:rPr>
          <w:rFonts w:ascii="Times New Roman" w:cs="Times New Roman" w:eastAsia="Times New Roman" w:hAnsi="Times New Roman"/>
          <w:sz w:val="20"/>
          <w:szCs w:val="20"/>
          <w:color w:val="auto"/>
        </w:rPr>
        <w:t>entirety, where the safety concerns are with respect to all Licensed Products, in each case ((a) or (b)), upon [***] prior written notice to Fulcrum. Sanofi will include a summary of such safety concerns in such notice of termination.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14.5 Termination by Fulcrum for Sanofi’s Cessation of Development and Commercialization.</w:t>
      </w:r>
    </w:p>
    <w:p>
      <w:pPr>
        <w:spacing w:after="0" w:line="216" w:lineRule="exact"/>
        <w:rPr>
          <w:sz w:val="20"/>
          <w:szCs w:val="20"/>
          <w:color w:val="auto"/>
        </w:rPr>
      </w:pPr>
    </w:p>
    <w:p>
      <w:pPr>
        <w:jc w:val="both"/>
        <w:ind w:left="1500" w:hanging="694"/>
        <w:spacing w:after="0" w:line="236" w:lineRule="auto"/>
        <w:tabs>
          <w:tab w:leader="none" w:pos="1480" w:val="left"/>
        </w:tabs>
        <w:rPr>
          <w:sz w:val="20"/>
          <w:szCs w:val="20"/>
          <w:color w:val="auto"/>
        </w:rPr>
      </w:pPr>
      <w:r>
        <w:rPr>
          <w:rFonts w:ascii="Times New Roman" w:cs="Times New Roman" w:eastAsia="Times New Roman" w:hAnsi="Times New Roman"/>
          <w:sz w:val="20"/>
          <w:szCs w:val="20"/>
          <w:color w:val="auto"/>
        </w:rPr>
        <w:t>14.5.1</w:t>
      </w:r>
      <w:r>
        <w:rPr>
          <w:sz w:val="20"/>
          <w:szCs w:val="20"/>
          <w:color w:val="auto"/>
        </w:rPr>
        <w:tab/>
      </w:r>
      <w:r>
        <w:rPr>
          <w:rFonts w:ascii="Times New Roman" w:cs="Times New Roman" w:eastAsia="Times New Roman" w:hAnsi="Times New Roman"/>
          <w:sz w:val="20"/>
          <w:szCs w:val="20"/>
          <w:b w:val="1"/>
          <w:bCs w:val="1"/>
          <w:color w:val="auto"/>
        </w:rPr>
        <w:t>Shelving Event</w:t>
      </w:r>
      <w:r>
        <w:rPr>
          <w:rFonts w:ascii="Times New Roman" w:cs="Times New Roman" w:eastAsia="Times New Roman" w:hAnsi="Times New Roman"/>
          <w:sz w:val="20"/>
          <w:szCs w:val="20"/>
          <w:color w:val="auto"/>
        </w:rPr>
        <w:t>. If, at any time during the period commencing on the earlier of the date of the Positive Data Readout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Global Phase 3 REACH Study and Regulatory Approval for a Licensed Product in the Field in the Territory and ending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anniversary of the First Commercial Sale of a Licensed Product in a Sanofi Major Country there is a consecutive [***] period during which (a) Sanofi and its Affiliates do not conduct any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material Development or Commercialization activities with respect to any Licensed Compound or Licensed Product anywhere in the Territory for the benefit of the Sanofi Territory or (b) Sanofi has instituted and maintained (per Sanofi’s internal policies) a hold on conducting all Development and Commercialization activities for Licensed Compounds or Licensed Products in the Territory, and such foregoing circumstances ((a) and (b)) are not:</w:t>
      </w:r>
    </w:p>
    <w:p>
      <w:pPr>
        <w:spacing w:after="0" w:line="192" w:lineRule="exact"/>
        <w:rPr>
          <w:sz w:val="20"/>
          <w:szCs w:val="20"/>
          <w:color w:val="auto"/>
        </w:rPr>
      </w:pPr>
    </w:p>
    <w:p>
      <w:pPr>
        <w:ind w:left="1900" w:hanging="394"/>
        <w:spacing w:after="0"/>
        <w:tabs>
          <w:tab w:leader="none" w:pos="19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written agreement of the Parties,</w:t>
      </w:r>
    </w:p>
    <w:p>
      <w:pPr>
        <w:spacing w:after="0" w:line="215" w:lineRule="exact"/>
        <w:rPr>
          <w:rFonts w:ascii="Times New Roman" w:cs="Times New Roman" w:eastAsia="Times New Roman" w:hAnsi="Times New Roman"/>
          <w:sz w:val="20"/>
          <w:szCs w:val="20"/>
          <w:color w:val="auto"/>
        </w:rPr>
      </w:pPr>
    </w:p>
    <w:p>
      <w:pPr>
        <w:ind w:left="2260" w:right="20" w:hanging="754"/>
        <w:spacing w:after="0" w:line="254" w:lineRule="auto"/>
        <w:tabs>
          <w:tab w:leader="none" w:pos="190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result of any action or inaction by Fulcrum, its Affiliates or its or their respective directors, officers, employees, agents, successors or assigns for which Fulcrum has an obligation to indemnify Sanofi under Section 13.1 (</w:t>
      </w:r>
      <w:r>
        <w:rPr>
          <w:rFonts w:ascii="Times New Roman" w:cs="Times New Roman" w:eastAsia="Times New Roman" w:hAnsi="Times New Roman"/>
          <w:sz w:val="20"/>
          <w:szCs w:val="20"/>
          <w:i w:val="1"/>
          <w:iCs w:val="1"/>
          <w:color w:val="auto"/>
        </w:rPr>
        <w:t>Indemnification by Fulcrum</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2260" w:right="60" w:hanging="754"/>
        <w:spacing w:after="0" w:line="269" w:lineRule="auto"/>
        <w:tabs>
          <w:tab w:leader="none" w:pos="190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result of Sanofi’s reasonable response to guidance from or action or inaction by a Regulatory Authority or Governmental Authority (such as a clinical hold, recall or withdrawal),</w:t>
      </w:r>
    </w:p>
    <w:p>
      <w:pPr>
        <w:spacing w:after="0" w:line="159" w:lineRule="exact"/>
        <w:rPr>
          <w:rFonts w:ascii="Times New Roman" w:cs="Times New Roman" w:eastAsia="Times New Roman" w:hAnsi="Times New Roman"/>
          <w:sz w:val="20"/>
          <w:szCs w:val="20"/>
          <w:color w:val="auto"/>
        </w:rPr>
      </w:pPr>
    </w:p>
    <w:p>
      <w:pPr>
        <w:ind w:left="2260" w:hanging="754"/>
        <w:spacing w:after="0" w:line="249" w:lineRule="auto"/>
        <w:tabs>
          <w:tab w:leader="none" w:pos="190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result of Sanofi’s internal regulatory decision-makers recommending, in accordance with Sanofi’s internal policies, the cessation of Development or Commercialization activities with respect to a Licensed Compound or Licensed Product due to material concerns regarding the benefit:risk ratio of such Licensed Compound or Licensed Product,</w:t>
      </w:r>
    </w:p>
    <w:p>
      <w:pPr>
        <w:spacing w:after="0" w:line="179" w:lineRule="exact"/>
        <w:rPr>
          <w:rFonts w:ascii="Times New Roman" w:cs="Times New Roman" w:eastAsia="Times New Roman" w:hAnsi="Times New Roman"/>
          <w:sz w:val="20"/>
          <w:szCs w:val="20"/>
          <w:color w:val="auto"/>
        </w:rPr>
      </w:pPr>
    </w:p>
    <w:p>
      <w:pPr>
        <w:ind w:left="2260" w:right="60" w:hanging="754"/>
        <w:spacing w:after="0" w:line="269" w:lineRule="auto"/>
        <w:tabs>
          <w:tab w:leader="none" w:pos="190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failure beyond the reasonable control of Sanofi or its Affiliates to secure adequate supply of such Licensed Compound or Licensed Product, or</w:t>
      </w:r>
    </w:p>
    <w:p>
      <w:pPr>
        <w:spacing w:after="0" w:line="159" w:lineRule="exact"/>
        <w:rPr>
          <w:rFonts w:ascii="Times New Roman" w:cs="Times New Roman" w:eastAsia="Times New Roman" w:hAnsi="Times New Roman"/>
          <w:sz w:val="20"/>
          <w:szCs w:val="20"/>
          <w:color w:val="auto"/>
        </w:rPr>
      </w:pPr>
    </w:p>
    <w:p>
      <w:pPr>
        <w:ind w:left="2260" w:hanging="754"/>
        <w:spacing w:after="0" w:line="249" w:lineRule="auto"/>
        <w:tabs>
          <w:tab w:leader="none" w:pos="190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in whole or in part, of a Force Majeure Event or any claim brought by a Third Party against Sanofi, its Affiliate or Sublicensee that, through the grant of injunctive relief to a Third Party, prevents the continued conduct of Development or Commercialization activities with respect to a Licensed Compound or Licensed Product;</w:t>
      </w:r>
    </w:p>
    <w:p>
      <w:pPr>
        <w:spacing w:after="0" w:line="176" w:lineRule="exact"/>
        <w:rPr>
          <w:sz w:val="20"/>
          <w:szCs w:val="20"/>
          <w:color w:val="auto"/>
        </w:rPr>
      </w:pPr>
    </w:p>
    <w:p>
      <w:pPr>
        <w:jc w:val="both"/>
        <w:ind w:left="150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the case of the foregoing clauses (iii), (iv) (v) and (vi), Sanofi keeps Fulcrum reasonably apprised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circumstance and is working in good faith to overcome or remedy the underlying circumstance that serves as the basis of such exclusion (such circumstances described in the foregoing clauses ((a) and (b)), subject to the exclusions set forth in the foregoing clauses ((i)-(vi)), a “</w:t>
      </w:r>
      <w:r>
        <w:rPr>
          <w:rFonts w:ascii="Times New Roman" w:cs="Times New Roman" w:eastAsia="Times New Roman" w:hAnsi="Times New Roman"/>
          <w:sz w:val="20"/>
          <w:szCs w:val="20"/>
          <w:b w:val="1"/>
          <w:bCs w:val="1"/>
          <w:color w:val="auto"/>
        </w:rPr>
        <w:t>Shelving Event</w:t>
      </w:r>
      <w:r>
        <w:rPr>
          <w:rFonts w:ascii="Times New Roman" w:cs="Times New Roman" w:eastAsia="Times New Roman" w:hAnsi="Times New Roman"/>
          <w:sz w:val="20"/>
          <w:szCs w:val="20"/>
          <w:color w:val="auto"/>
        </w:rPr>
        <w:t>”), then Fulcrum will notify Sanofi in writing upon becoming aware of such Shelving Event having occurred. Within [***] following Sanofi’s receipt of notice from Fulcrum regarding the existence of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2" w:name="page183"/>
    <w:bookmarkEnd w:id="182"/>
    <w:p>
      <w:pPr>
        <w:jc w:val="both"/>
        <w:ind w:left="1500"/>
        <w:spacing w:after="0" w:line="245" w:lineRule="auto"/>
        <w:rPr>
          <w:sz w:val="20"/>
          <w:szCs w:val="20"/>
          <w:color w:val="auto"/>
        </w:rPr>
      </w:pPr>
      <w:r>
        <w:rPr>
          <w:rFonts w:ascii="Times New Roman" w:cs="Times New Roman" w:eastAsia="Times New Roman" w:hAnsi="Times New Roman"/>
          <w:sz w:val="20"/>
          <w:szCs w:val="20"/>
          <w:color w:val="auto"/>
        </w:rPr>
        <w:t>Shelving Event, the Parties shall meet (including via teleconference or videoconference) to discuss the nature and circumstances surrounding any such Shelving Event. Subject to Section 14.5.2 (</w:t>
      </w:r>
      <w:r>
        <w:rPr>
          <w:rFonts w:ascii="Times New Roman" w:cs="Times New Roman" w:eastAsia="Times New Roman" w:hAnsi="Times New Roman"/>
          <w:sz w:val="20"/>
          <w:szCs w:val="20"/>
          <w:i w:val="1"/>
          <w:iCs w:val="1"/>
          <w:color w:val="auto"/>
        </w:rPr>
        <w:t>Disagreement as to Shelving Event</w:t>
      </w:r>
      <w:r>
        <w:rPr>
          <w:rFonts w:ascii="Times New Roman" w:cs="Times New Roman" w:eastAsia="Times New Roman" w:hAnsi="Times New Roman"/>
          <w:sz w:val="20"/>
          <w:szCs w:val="20"/>
          <w:color w:val="auto"/>
        </w:rPr>
        <w:t>), Sanofi shall have [***] from such meeting date to cure such Shelving Event. If Sanofi fails to cure such Shelving Event within such [***] period or maintain such cure for at least [***], then Fulcrum may, at its election, terminate this Agreement in its entirety upon [***] prior written notice to Sanofi. For clarity, a Shelving Event can happen multiple times if this Agreement is not terminated due to a previous Shelving Event.</w:t>
      </w:r>
    </w:p>
    <w:p>
      <w:pPr>
        <w:spacing w:after="0" w:line="180"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14.5.2</w:t>
      </w:r>
      <w:r>
        <w:rPr>
          <w:sz w:val="20"/>
          <w:szCs w:val="20"/>
          <w:color w:val="auto"/>
        </w:rPr>
        <w:tab/>
      </w:r>
      <w:r>
        <w:rPr>
          <w:rFonts w:ascii="Times New Roman" w:cs="Times New Roman" w:eastAsia="Times New Roman" w:hAnsi="Times New Roman"/>
          <w:sz w:val="20"/>
          <w:szCs w:val="20"/>
          <w:b w:val="1"/>
          <w:bCs w:val="1"/>
          <w:color w:val="auto"/>
        </w:rPr>
        <w:t>Disagreement as to Shelving Event</w:t>
      </w:r>
      <w:r>
        <w:rPr>
          <w:rFonts w:ascii="Times New Roman" w:cs="Times New Roman" w:eastAsia="Times New Roman" w:hAnsi="Times New Roman"/>
          <w:sz w:val="20"/>
          <w:szCs w:val="20"/>
          <w:color w:val="auto"/>
        </w:rPr>
        <w:t>. Notwithstanding Section 14.5.1 (</w:t>
      </w:r>
      <w:r>
        <w:rPr>
          <w:rFonts w:ascii="Times New Roman" w:cs="Times New Roman" w:eastAsia="Times New Roman" w:hAnsi="Times New Roman"/>
          <w:sz w:val="20"/>
          <w:szCs w:val="20"/>
          <w:i w:val="1"/>
          <w:iCs w:val="1"/>
          <w:color w:val="auto"/>
        </w:rPr>
        <w:t>Shelving Event</w:t>
      </w:r>
      <w:r>
        <w:rPr>
          <w:rFonts w:ascii="Times New Roman" w:cs="Times New Roman" w:eastAsia="Times New Roman" w:hAnsi="Times New Roman"/>
          <w:sz w:val="20"/>
          <w:szCs w:val="20"/>
          <w:color w:val="auto"/>
        </w:rPr>
        <w:t>), if the Parties in good faith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disagree as to whether a Shelving Event has occurred: (a) Sanofi may contest such allegation by referring such matter, within [***] following the Parties’ meeting to discuss the nature and circumstances surrounding such Shelving Event in accordance with Section 14.5.1 (</w:t>
      </w:r>
      <w:r>
        <w:rPr>
          <w:rFonts w:ascii="Times New Roman" w:cs="Times New Roman" w:eastAsia="Times New Roman" w:hAnsi="Times New Roman"/>
          <w:sz w:val="20"/>
          <w:szCs w:val="20"/>
          <w:i w:val="1"/>
          <w:iCs w:val="1"/>
          <w:color w:val="auto"/>
        </w:rPr>
        <w:t>Shelving Event</w:t>
      </w:r>
      <w:r>
        <w:rPr>
          <w:rFonts w:ascii="Times New Roman" w:cs="Times New Roman" w:eastAsia="Times New Roman" w:hAnsi="Times New Roman"/>
          <w:sz w:val="20"/>
          <w:szCs w:val="20"/>
          <w:color w:val="auto"/>
        </w:rPr>
        <w:t>), for resolution in accordance with Section 15.1 (</w:t>
      </w:r>
      <w:r>
        <w:rPr>
          <w:rFonts w:ascii="Times New Roman" w:cs="Times New Roman" w:eastAsia="Times New Roman" w:hAnsi="Times New Roman"/>
          <w:sz w:val="20"/>
          <w:szCs w:val="20"/>
          <w:i w:val="1"/>
          <w:iCs w:val="1"/>
          <w:color w:val="auto"/>
        </w:rPr>
        <w:t>Dispute Resolution</w:t>
      </w:r>
      <w:r>
        <w:rPr>
          <w:rFonts w:ascii="Times New Roman" w:cs="Times New Roman" w:eastAsia="Times New Roman" w:hAnsi="Times New Roman"/>
          <w:sz w:val="20"/>
          <w:szCs w:val="20"/>
          <w:color w:val="auto"/>
        </w:rPr>
        <w:t>); (b) the [***] cure period with respect to such alleged Shelving Event will be tolled from the date on which Sanofi notifies Fulcrum of such dispute through the resolution of such dispute in accordance with the applicable provisions of this Agreement; and (c) subject to Section 16.6 (</w:t>
      </w:r>
      <w:r>
        <w:rPr>
          <w:rFonts w:ascii="Times New Roman" w:cs="Times New Roman" w:eastAsia="Times New Roman" w:hAnsi="Times New Roman"/>
          <w:sz w:val="20"/>
          <w:szCs w:val="20"/>
          <w:i w:val="1"/>
          <w:iCs w:val="1"/>
          <w:color w:val="auto"/>
        </w:rPr>
        <w:t>Force Majeure</w:t>
      </w:r>
      <w:r>
        <w:rPr>
          <w:rFonts w:ascii="Times New Roman" w:cs="Times New Roman" w:eastAsia="Times New Roman" w:hAnsi="Times New Roman"/>
          <w:sz w:val="20"/>
          <w:szCs w:val="20"/>
          <w:color w:val="auto"/>
        </w:rPr>
        <w:t>), during the pendency of such dispute, all of the terms and conditions of this Agreement will remain in effect and the Parties will continue to perform all of their respective obligations hereunder.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14.6 Termination for Insolvency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14.6.1</w:t>
      </w:r>
      <w:r>
        <w:rPr>
          <w:sz w:val="20"/>
          <w:szCs w:val="20"/>
          <w:color w:val="auto"/>
        </w:rPr>
        <w:tab/>
      </w:r>
      <w:r>
        <w:rPr>
          <w:rFonts w:ascii="Times New Roman" w:cs="Times New Roman" w:eastAsia="Times New Roman" w:hAnsi="Times New Roman"/>
          <w:sz w:val="20"/>
          <w:szCs w:val="20"/>
          <w:b w:val="1"/>
          <w:bCs w:val="1"/>
          <w:color w:val="auto"/>
        </w:rPr>
        <w:t>Termination Right</w:t>
      </w:r>
      <w:r>
        <w:rPr>
          <w:rFonts w:ascii="Times New Roman" w:cs="Times New Roman" w:eastAsia="Times New Roman" w:hAnsi="Times New Roman"/>
          <w:sz w:val="20"/>
          <w:szCs w:val="20"/>
          <w:color w:val="auto"/>
        </w:rPr>
        <w:t>. Each Party will have the right to terminate this Agreement in its entirety upon delivery of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to the other Party if (a) such other Party files in any court or agency pursuant to the United States Bankruptcy Code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or any similar bankruptcy or insolvency law, foreign or domestic, (b) such other Party is served with a petition against it under the Code or any similar bankruptcy or insolvency law and such petition has not been discharged or dismissed within [***] of its filing, (c) such other Party makes an assignment for the benefit of, or an arrangement or composition generally with, its creditors, (d) such other Party appoints an examiner of or a receiver or trustee over all or substantially all of its property or suffers the appointment of such party that is not discharged within [***] after such filing or appointment, (e) such other Party proposes a written agreement of composition or extension of its debts, (f) such other Party proposes or is a party to any dissolution, liquidation or winding up or (g) such other Party admits in writing its inability generally to meet its obligations as they fall due in the ordinary course.</w:t>
      </w:r>
    </w:p>
    <w:p>
      <w:pPr>
        <w:spacing w:after="0" w:line="182" w:lineRule="exact"/>
        <w:rPr>
          <w:sz w:val="20"/>
          <w:szCs w:val="20"/>
          <w:color w:val="auto"/>
        </w:rPr>
      </w:pPr>
    </w:p>
    <w:p>
      <w:pPr>
        <w:jc w:val="both"/>
        <w:ind w:left="1500" w:hanging="694"/>
        <w:spacing w:after="0" w:line="242" w:lineRule="auto"/>
        <w:tabs>
          <w:tab w:leader="none" w:pos="1480" w:val="left"/>
        </w:tabs>
        <w:rPr>
          <w:sz w:val="20"/>
          <w:szCs w:val="20"/>
          <w:color w:val="auto"/>
        </w:rPr>
      </w:pPr>
      <w:r>
        <w:rPr>
          <w:rFonts w:ascii="Times New Roman" w:cs="Times New Roman" w:eastAsia="Times New Roman" w:hAnsi="Times New Roman"/>
          <w:sz w:val="20"/>
          <w:szCs w:val="20"/>
          <w:color w:val="auto"/>
        </w:rPr>
        <w:t>14.6.2</w:t>
      </w:r>
      <w:r>
        <w:rPr>
          <w:sz w:val="20"/>
          <w:szCs w:val="20"/>
          <w:color w:val="auto"/>
        </w:rPr>
        <w:tab/>
      </w:r>
      <w:r>
        <w:rPr>
          <w:rFonts w:ascii="Times New Roman" w:cs="Times New Roman" w:eastAsia="Times New Roman" w:hAnsi="Times New Roman"/>
          <w:sz w:val="20"/>
          <w:szCs w:val="20"/>
          <w:b w:val="1"/>
          <w:bCs w:val="1"/>
          <w:color w:val="auto"/>
        </w:rPr>
        <w:t>Section 365(n) Rights</w:t>
      </w:r>
      <w:r>
        <w:rPr>
          <w:rFonts w:ascii="Times New Roman" w:cs="Times New Roman" w:eastAsia="Times New Roman" w:hAnsi="Times New Roman"/>
          <w:sz w:val="20"/>
          <w:szCs w:val="20"/>
          <w:color w:val="auto"/>
        </w:rPr>
        <w:t>. For purposes of Section 365(n) of the Code and any similar Applicable Law, foreign or domestic,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rights and licenses granted under or pursuant to any Section of this Agreement are rights to “intellectual property” (as defined in Section 101(35A) of the Code). The Parties agree that the licensee of such rights under this Agreement will retain and may fully exercise all of its protections, rights and elections under the Code and any similar laws in any other country. Without limiting the generality of the foregoing, the Parties intend and agree that any sale of the licensor’s assets under Section 363 of the Code will be subject to the licensee’s rights under Section 365(n) of the Code, that the licensee cannot be compelled to accept a money satisfaction of its interests in the intellectual property licensed pursuant to this Agreement and that any such sale therefore may not be made to a purchaser “free and clear” of the licensee’s rights under this Agreement and Section 365(n) of the Code without the express, contemporaneous consent of the licensee. Further, each Party agrees and acknowledges that all payments by the licensee to the licensor hereunder, other than the Royalty Payments pursuant to Section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3" w:name="page184"/>
    <w:bookmarkEnd w:id="183"/>
    <w:p>
      <w:pPr>
        <w:jc w:val="both"/>
        <w:ind w:left="1500"/>
        <w:spacing w:after="0" w:line="253" w:lineRule="auto"/>
        <w:rPr>
          <w:sz w:val="20"/>
          <w:szCs w:val="20"/>
          <w:color w:val="auto"/>
        </w:rPr>
      </w:pPr>
      <w:r>
        <w:rPr>
          <w:rFonts w:ascii="Times New Roman" w:cs="Times New Roman" w:eastAsia="Times New Roman" w:hAnsi="Times New Roman"/>
          <w:sz w:val="19"/>
          <w:szCs w:val="19"/>
          <w:color w:val="auto"/>
        </w:rPr>
        <w:t>9.3.1 (</w:t>
      </w:r>
      <w:r>
        <w:rPr>
          <w:rFonts w:ascii="Times New Roman" w:cs="Times New Roman" w:eastAsia="Times New Roman" w:hAnsi="Times New Roman"/>
          <w:sz w:val="19"/>
          <w:szCs w:val="19"/>
          <w:i w:val="1"/>
          <w:iCs w:val="1"/>
          <w:color w:val="auto"/>
        </w:rPr>
        <w:t>Royalty Payments</w:t>
      </w:r>
      <w:r>
        <w:rPr>
          <w:rFonts w:ascii="Times New Roman" w:cs="Times New Roman" w:eastAsia="Times New Roman" w:hAnsi="Times New Roman"/>
          <w:sz w:val="19"/>
          <w:szCs w:val="19"/>
          <w:color w:val="auto"/>
        </w:rPr>
        <w:t>), do not constitute royalties within the meaning of Section 365(n) of the Bankruptcy Code or relate to licenses of intellectual property hereunder. The licensor will, during the Term, create and maintain current copies or, if not amenable to copying, detailed descriptions or other appropriate embodiments, to the extent feasible, of all such intellectual property. Each Party hereby acknowledges and agrees that “embodiments” of intellectual property within the meaning of Section 365(n) of the Code include copies of research data, laboratory samples, product samples and inventory, formulas, laboratory notes and notebooks, pre-clinical research data and results, tangible Know-How and rights of access or reference, in each case, that relate to such intellectual property. If (a) a case under the Code is commenced by or against the licensor, (b) this Agreement is rejected as provided in the Code and (c) the licensee elects to retain its rights hereunder as provided in Section 365(n) of the Code, then the licensor (in any capacity, including debtor-in-possession) and its successors and assigns (including a trustee) will: (i) provide to the licensee all such intellectual property (including all embodiments thereof) held by the licensor and such successors and assigns, or otherwise available to them, immediately upon the licensee’s written request; and (ii) not interfere with the licensee’s rights under this Agreement, or any agreement supplemental hereto, to such intellectual property (including such embodiments), including any right to obtain such intellectual property (or such embodiments) from another entity, to the extent provided in Section 365(n) of the Code. Whenever the licensor or any of its successors or assigns provides to the licensee any of the intellectual property licensed hereunder (or any embodiment thereof) pursuant to this Section 14.6.2 (</w:t>
      </w:r>
      <w:r>
        <w:rPr>
          <w:rFonts w:ascii="Times New Roman" w:cs="Times New Roman" w:eastAsia="Times New Roman" w:hAnsi="Times New Roman"/>
          <w:sz w:val="19"/>
          <w:szCs w:val="19"/>
          <w:i w:val="1"/>
          <w:iCs w:val="1"/>
          <w:color w:val="auto"/>
        </w:rPr>
        <w:t>Section 365(n) Rights</w:t>
      </w:r>
      <w:r>
        <w:rPr>
          <w:rFonts w:ascii="Times New Roman" w:cs="Times New Roman" w:eastAsia="Times New Roman" w:hAnsi="Times New Roman"/>
          <w:sz w:val="19"/>
          <w:szCs w:val="19"/>
          <w:color w:val="auto"/>
        </w:rPr>
        <w:t>), the licensee will have the right to perform the licensor’s obligations hereunder with respect to such intellectual property, but neither such provision nor such performance by the licensee will release the licensor from liability resulting from rejection of the license or the failure to perform such obligations. The provisions of this Section 14.6.2 (</w:t>
      </w:r>
      <w:r>
        <w:rPr>
          <w:rFonts w:ascii="Times New Roman" w:cs="Times New Roman" w:eastAsia="Times New Roman" w:hAnsi="Times New Roman"/>
          <w:sz w:val="19"/>
          <w:szCs w:val="19"/>
          <w:i w:val="1"/>
          <w:iCs w:val="1"/>
          <w:color w:val="auto"/>
        </w:rPr>
        <w:t>Section 365(n) Rights</w:t>
      </w:r>
      <w:r>
        <w:rPr>
          <w:rFonts w:ascii="Times New Roman" w:cs="Times New Roman" w:eastAsia="Times New Roman" w:hAnsi="Times New Roman"/>
          <w:sz w:val="19"/>
          <w:szCs w:val="19"/>
          <w:color w:val="auto"/>
        </w:rPr>
        <w:t>) are without prejudice to any rights the licensee may have arising under the Code, the laws of other jurisdictions governing insolvency and bankruptcy or other Applicable Law. The Parties agree that they intend the rights, powers and remedies set forth in this Section 14.6.2 (</w:t>
      </w:r>
      <w:r>
        <w:rPr>
          <w:rFonts w:ascii="Times New Roman" w:cs="Times New Roman" w:eastAsia="Times New Roman" w:hAnsi="Times New Roman"/>
          <w:sz w:val="19"/>
          <w:szCs w:val="19"/>
          <w:i w:val="1"/>
          <w:iCs w:val="1"/>
          <w:color w:val="auto"/>
        </w:rPr>
        <w:t>Section 365(n) Rights</w:t>
      </w:r>
      <w:r>
        <w:rPr>
          <w:rFonts w:ascii="Times New Roman" w:cs="Times New Roman" w:eastAsia="Times New Roman" w:hAnsi="Times New Roman"/>
          <w:sz w:val="19"/>
          <w:szCs w:val="19"/>
          <w:color w:val="auto"/>
        </w:rPr>
        <w:t>), including: (a) the licensee’s right of access to any intellectual property (including all embodiments thereof) of the licensor, or any Third Party with whom the licensor contracts to perform an obligation of such licensor under this Agreement which is necessary for the Development, Manufacture, Commercialization or other Exploitation of a Licensed Product; (b) the right to contract directly with any Third Party described in clause (a) of this Section 14.6.2 (</w:t>
      </w:r>
      <w:r>
        <w:rPr>
          <w:rFonts w:ascii="Times New Roman" w:cs="Times New Roman" w:eastAsia="Times New Roman" w:hAnsi="Times New Roman"/>
          <w:sz w:val="19"/>
          <w:szCs w:val="19"/>
          <w:i w:val="1"/>
          <w:iCs w:val="1"/>
          <w:color w:val="auto"/>
        </w:rPr>
        <w:t>Section 365(n) Rights</w:t>
      </w:r>
      <w:r>
        <w:rPr>
          <w:rFonts w:ascii="Times New Roman" w:cs="Times New Roman" w:eastAsia="Times New Roman" w:hAnsi="Times New Roman"/>
          <w:sz w:val="19"/>
          <w:szCs w:val="19"/>
          <w:color w:val="auto"/>
        </w:rPr>
        <w:t>) to complete the contracted work; and (c) the right to cure any breach of or default under any such agreement with a Third Party and set off the costs thereof against amounts payable to the licensor under this Agreement, in each case ((a) through (c)): (i) to extend to the maximum extent permitted by Applicable Law, including for purposes of the Code and any similar laws in any other country; (ii) to be enforceable; and (iii) to be additional to and not in substitution for any and all other rights, powers and remedies now or hereafter existing at law or in equity (including pursuant to the Code and any similar laws in any other country).</w:t>
      </w:r>
    </w:p>
    <w:p>
      <w:pPr>
        <w:spacing w:after="0" w:line="200" w:lineRule="exact"/>
        <w:rPr>
          <w:sz w:val="20"/>
          <w:szCs w:val="20"/>
          <w:color w:val="auto"/>
        </w:rPr>
      </w:pPr>
    </w:p>
    <w:p>
      <w:pPr>
        <w:spacing w:after="0" w:line="221" w:lineRule="exact"/>
        <w:rPr>
          <w:sz w:val="20"/>
          <w:szCs w:val="20"/>
          <w:color w:val="auto"/>
        </w:rPr>
      </w:pPr>
    </w:p>
    <w:p>
      <w:pPr>
        <w:jc w:val="both"/>
        <w:ind w:left="760" w:hanging="748"/>
        <w:spacing w:after="0" w:line="268" w:lineRule="auto"/>
        <w:rPr>
          <w:sz w:val="20"/>
          <w:szCs w:val="20"/>
          <w:color w:val="auto"/>
        </w:rPr>
      </w:pPr>
      <w:r>
        <w:rPr>
          <w:rFonts w:ascii="Times New Roman" w:cs="Times New Roman" w:eastAsia="Times New Roman" w:hAnsi="Times New Roman"/>
          <w:sz w:val="19"/>
          <w:szCs w:val="19"/>
          <w:b w:val="1"/>
          <w:bCs w:val="1"/>
          <w:color w:val="auto"/>
        </w:rPr>
        <w:t>14.7 Full Force and Effect During Notice Period</w:t>
      </w:r>
      <w:r>
        <w:rPr>
          <w:rFonts w:ascii="Times New Roman" w:cs="Times New Roman" w:eastAsia="Times New Roman" w:hAnsi="Times New Roman"/>
          <w:sz w:val="19"/>
          <w:szCs w:val="19"/>
          <w:color w:val="auto"/>
        </w:rPr>
        <w:t>. This Agreement will remain in full force and effect until the expiration of the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termination notice period. For clarity, if Sanofi or any of its Affiliates or Sublicensees achieve any Milestone Events during the termination notice period, then the corresponding Milestone Payment is accrued and Sanofi will remain responsible for the payment of such Milestone Payment even if the due date of such Milestone Payment occurs after the effective date of the termination.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4" w:name="page185"/>
    <w:bookmarkEnd w:id="184"/>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14.8 Effects of Termination</w:t>
      </w:r>
      <w:r>
        <w:rPr>
          <w:rFonts w:ascii="Times New Roman" w:cs="Times New Roman" w:eastAsia="Times New Roman" w:hAnsi="Times New Roman"/>
          <w:sz w:val="20"/>
          <w:szCs w:val="20"/>
          <w:color w:val="auto"/>
        </w:rPr>
        <w:t>. In the event of any termination of this Agreement the following will apply with respect to the Terminated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Products;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of termination by Sanofi pursuant to Section 14.6 (</w:t>
      </w:r>
      <w:r>
        <w:rPr>
          <w:rFonts w:ascii="Times New Roman" w:cs="Times New Roman" w:eastAsia="Times New Roman" w:hAnsi="Times New Roman"/>
          <w:sz w:val="20"/>
          <w:szCs w:val="20"/>
          <w:i w:val="1"/>
          <w:iCs w:val="1"/>
          <w:color w:val="auto"/>
        </w:rPr>
        <w:t>Termination for Insolvency</w:t>
      </w:r>
      <w:r>
        <w:rPr>
          <w:rFonts w:ascii="Times New Roman" w:cs="Times New Roman" w:eastAsia="Times New Roman" w:hAnsi="Times New Roman"/>
          <w:sz w:val="20"/>
          <w:szCs w:val="20"/>
          <w:color w:val="auto"/>
        </w:rPr>
        <w:t>), only Section 14.8.4 (</w:t>
      </w:r>
      <w:r>
        <w:rPr>
          <w:rFonts w:ascii="Times New Roman" w:cs="Times New Roman" w:eastAsia="Times New Roman" w:hAnsi="Times New Roman"/>
          <w:sz w:val="20"/>
          <w:szCs w:val="20"/>
          <w:i w:val="1"/>
          <w:iCs w:val="1"/>
          <w:color w:val="auto"/>
        </w:rPr>
        <w:t>Inventory</w:t>
      </w:r>
      <w:r>
        <w:rPr>
          <w:rFonts w:ascii="Times New Roman" w:cs="Times New Roman" w:eastAsia="Times New Roman" w:hAnsi="Times New Roman"/>
          <w:sz w:val="20"/>
          <w:szCs w:val="20"/>
          <w:color w:val="auto"/>
        </w:rPr>
        <w:t>), Section 14.8.5 (</w:t>
      </w:r>
      <w:r>
        <w:rPr>
          <w:rFonts w:ascii="Times New Roman" w:cs="Times New Roman" w:eastAsia="Times New Roman" w:hAnsi="Times New Roman"/>
          <w:sz w:val="20"/>
          <w:szCs w:val="20"/>
          <w:i w:val="1"/>
          <w:iCs w:val="1"/>
          <w:color w:val="auto"/>
        </w:rPr>
        <w:t>Clinical Trials</w:t>
      </w:r>
      <w:r>
        <w:rPr>
          <w:rFonts w:ascii="Times New Roman" w:cs="Times New Roman" w:eastAsia="Times New Roman" w:hAnsi="Times New Roman"/>
          <w:sz w:val="20"/>
          <w:szCs w:val="20"/>
          <w:color w:val="auto"/>
        </w:rPr>
        <w:t>), Section 14.8.8 (</w:t>
      </w:r>
      <w:r>
        <w:rPr>
          <w:rFonts w:ascii="Times New Roman" w:cs="Times New Roman" w:eastAsia="Times New Roman" w:hAnsi="Times New Roman"/>
          <w:sz w:val="20"/>
          <w:szCs w:val="20"/>
          <w:i w:val="1"/>
          <w:iCs w:val="1"/>
          <w:color w:val="auto"/>
        </w:rPr>
        <w:t>Termination of Rights</w:t>
      </w:r>
      <w:r>
        <w:rPr>
          <w:rFonts w:ascii="Times New Roman" w:cs="Times New Roman" w:eastAsia="Times New Roman" w:hAnsi="Times New Roman"/>
          <w:sz w:val="20"/>
          <w:szCs w:val="20"/>
          <w:color w:val="auto"/>
        </w:rPr>
        <w:t>), and Section 14.8.9 (</w:t>
      </w:r>
      <w:r>
        <w:rPr>
          <w:rFonts w:ascii="Times New Roman" w:cs="Times New Roman" w:eastAsia="Times New Roman" w:hAnsi="Times New Roman"/>
          <w:sz w:val="20"/>
          <w:szCs w:val="20"/>
          <w:i w:val="1"/>
          <w:iCs w:val="1"/>
          <w:color w:val="auto"/>
        </w:rPr>
        <w:t>Return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Confidential Information</w:t>
      </w:r>
      <w:r>
        <w:rPr>
          <w:rFonts w:ascii="Times New Roman" w:cs="Times New Roman" w:eastAsia="Times New Roman" w:hAnsi="Times New Roman"/>
          <w:sz w:val="20"/>
          <w:szCs w:val="20"/>
          <w:color w:val="auto"/>
        </w:rPr>
        <w:t>) shall apply to such termination:</w:t>
      </w:r>
    </w:p>
    <w:p>
      <w:pPr>
        <w:spacing w:after="0" w:line="176" w:lineRule="exact"/>
        <w:rPr>
          <w:sz w:val="20"/>
          <w:szCs w:val="20"/>
          <w:color w:val="auto"/>
        </w:rPr>
      </w:pPr>
    </w:p>
    <w:p>
      <w:pPr>
        <w:ind w:left="820"/>
        <w:spacing w:after="0"/>
        <w:tabs>
          <w:tab w:leader="none" w:pos="1600" w:val="left"/>
        </w:tabs>
        <w:rPr>
          <w:sz w:val="20"/>
          <w:szCs w:val="20"/>
          <w:color w:val="auto"/>
        </w:rPr>
      </w:pPr>
      <w:r>
        <w:rPr>
          <w:rFonts w:ascii="Times New Roman" w:cs="Times New Roman" w:eastAsia="Times New Roman" w:hAnsi="Times New Roman"/>
          <w:sz w:val="20"/>
          <w:szCs w:val="20"/>
          <w:color w:val="auto"/>
        </w:rPr>
        <w:t>14.8.1</w:t>
      </w:r>
      <w:r>
        <w:rPr>
          <w:sz w:val="20"/>
          <w:szCs w:val="20"/>
          <w:color w:val="auto"/>
        </w:rPr>
        <w:tab/>
      </w:r>
      <w:r>
        <w:rPr>
          <w:rFonts w:ascii="Times New Roman" w:cs="Times New Roman" w:eastAsia="Times New Roman" w:hAnsi="Times New Roman"/>
          <w:sz w:val="20"/>
          <w:szCs w:val="20"/>
          <w:b w:val="1"/>
          <w:bCs w:val="1"/>
          <w:color w:val="auto"/>
        </w:rPr>
        <w:t>Reversion</w:t>
      </w:r>
      <w:r>
        <w:rPr>
          <w:rFonts w:ascii="Times New Roman" w:cs="Times New Roman" w:eastAsia="Times New Roman" w:hAnsi="Times New Roman"/>
          <w:sz w:val="20"/>
          <w:szCs w:val="20"/>
          <w:color w:val="auto"/>
        </w:rPr>
        <w:t>. In the event that Fulcrum notifies Sanofi in writing (such notice, a “</w:t>
      </w:r>
      <w:r>
        <w:rPr>
          <w:rFonts w:ascii="Times New Roman" w:cs="Times New Roman" w:eastAsia="Times New Roman" w:hAnsi="Times New Roman"/>
          <w:sz w:val="20"/>
          <w:szCs w:val="20"/>
          <w:b w:val="1"/>
          <w:bCs w:val="1"/>
          <w:color w:val="auto"/>
        </w:rPr>
        <w:t>Reversion Notice</w:t>
      </w:r>
      <w:r>
        <w:rPr>
          <w:rFonts w:ascii="Times New Roman" w:cs="Times New Roman" w:eastAsia="Times New Roman" w:hAnsi="Times New Roman"/>
          <w:sz w:val="20"/>
          <w:szCs w:val="20"/>
          <w:color w:val="auto"/>
        </w:rPr>
        <w:t>”) on or before the</w:t>
      </w:r>
    </w:p>
    <w:p>
      <w:pPr>
        <w:spacing w:after="0" w:line="26" w:lineRule="exact"/>
        <w:rPr>
          <w:sz w:val="20"/>
          <w:szCs w:val="20"/>
          <w:color w:val="auto"/>
        </w:rPr>
      </w:pPr>
    </w:p>
    <w:p>
      <w:pPr>
        <w:ind w:left="1500" w:firstLine="6"/>
        <w:spacing w:after="0" w:line="246" w:lineRule="auto"/>
        <w:tabs>
          <w:tab w:leader="none" w:pos="201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termination of this Agreement with respect to any Terminated Product that it wishes to obtain a reversion license to (such Terminated Products, “</w:t>
      </w:r>
      <w:r>
        <w:rPr>
          <w:rFonts w:ascii="Times New Roman" w:cs="Times New Roman" w:eastAsia="Times New Roman" w:hAnsi="Times New Roman"/>
          <w:sz w:val="20"/>
          <w:szCs w:val="20"/>
          <w:b w:val="1"/>
          <w:bCs w:val="1"/>
          <w:color w:val="auto"/>
        </w:rPr>
        <w:t>Reversion Products</w:t>
      </w:r>
      <w:r>
        <w:rPr>
          <w:rFonts w:ascii="Times New Roman" w:cs="Times New Roman" w:eastAsia="Times New Roman" w:hAnsi="Times New Roman"/>
          <w:sz w:val="20"/>
          <w:szCs w:val="20"/>
          <w:color w:val="auto"/>
        </w:rPr>
        <w:t>”), the following provisions will apply:</w:t>
      </w:r>
    </w:p>
    <w:p>
      <w:pPr>
        <w:spacing w:after="0" w:line="178" w:lineRule="exact"/>
        <w:rPr>
          <w:sz w:val="20"/>
          <w:szCs w:val="20"/>
          <w:color w:val="auto"/>
        </w:rPr>
      </w:pPr>
    </w:p>
    <w:p>
      <w:pPr>
        <w:ind w:left="1900" w:hanging="394"/>
        <w:spacing w:after="0"/>
        <w:tabs>
          <w:tab w:leader="none" w:pos="19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License Grant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3000" w:hanging="746"/>
        <w:spacing w:after="0" w:line="241" w:lineRule="auto"/>
        <w:tabs>
          <w:tab w:leader="none" w:pos="2647"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Fulcrum will have, and Sanofi hereby grants to Fulcrum, effective upon such termination, a worldwide, exclusive, perpetual, and sublicensable (through multiple tiers) license under (1) all Sanofi Background Technology that is actually used in the Reversion Products in the Terminated Regions as of the effective date of termination or otherwise Covers the Reversion Product as it was being Exploited in the Terminated Region as of the effective date of termination (whether in the Global Development Plan or Sanofi Independent Development Plan) and (2) Sanofi’s interest in the Collaboration Technology that is necessary or reasonably useful for the Exploitation of the Reversion Products in the Terminated Regions, in each case (1) and (2), other than any Sanofi Manufacturing Technology that is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necessary to perform the Manufacturing process transferred under Section 14.8.1(b) (</w:t>
      </w:r>
      <w:r>
        <w:rPr>
          <w:rFonts w:ascii="Times New Roman" w:cs="Times New Roman" w:eastAsia="Times New Roman" w:hAnsi="Times New Roman"/>
          <w:sz w:val="20"/>
          <w:szCs w:val="20"/>
          <w:i w:val="1"/>
          <w:iCs w:val="1"/>
          <w:color w:val="auto"/>
        </w:rPr>
        <w:t>Manufacturing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Technology Transfer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Sanofi Reversion Technology</w:t>
      </w:r>
      <w:r>
        <w:rPr>
          <w:rFonts w:ascii="Times New Roman" w:cs="Times New Roman" w:eastAsia="Times New Roman" w:hAnsi="Times New Roman"/>
          <w:sz w:val="20"/>
          <w:szCs w:val="20"/>
          <w:color w:val="auto"/>
        </w:rPr>
        <w:t>”) solely to Exploit the Reversion Products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Terminated Regions (the “</w:t>
      </w:r>
      <w:r>
        <w:rPr>
          <w:rFonts w:ascii="Times New Roman" w:cs="Times New Roman" w:eastAsia="Times New Roman" w:hAnsi="Times New Roman"/>
          <w:sz w:val="20"/>
          <w:szCs w:val="20"/>
          <w:b w:val="1"/>
          <w:bCs w:val="1"/>
          <w:color w:val="auto"/>
        </w:rPr>
        <w:t>Reversion License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this Agreement is terminated by Sanofi pursuant to Section 14.4 (</w:t>
      </w:r>
      <w:r>
        <w:rPr>
          <w:rFonts w:ascii="Times New Roman" w:cs="Times New Roman" w:eastAsia="Times New Roman" w:hAnsi="Times New Roman"/>
          <w:sz w:val="20"/>
          <w:szCs w:val="20"/>
          <w:i w:val="1"/>
          <w:iCs w:val="1"/>
          <w:color w:val="auto"/>
        </w:rPr>
        <w:t>Termination by Sanofi for Safety</w:t>
      </w:r>
      <w:r>
        <w:rPr>
          <w:rFonts w:ascii="Times New Roman" w:cs="Times New Roman" w:eastAsia="Times New Roman" w:hAnsi="Times New Roman"/>
          <w:sz w:val="20"/>
          <w:szCs w:val="20"/>
          <w:color w:val="auto"/>
        </w:rPr>
        <w:t>), (A) the Sanofi Reversion Technology shall not include any Patent Rights or Know-How, the practice of which was, or was reasonably believed to be, causally related to the applicable safety concern, and (B) the Reversion License shall not include the right to Exploit any Licensed Product in the manner that was, or was reasonably believed to be, causally related to the applicable safety concern.</w:t>
      </w:r>
    </w:p>
    <w:p>
      <w:pPr>
        <w:spacing w:after="0" w:line="193" w:lineRule="exact"/>
        <w:rPr>
          <w:rFonts w:ascii="Times New Roman" w:cs="Times New Roman" w:eastAsia="Times New Roman" w:hAnsi="Times New Roman"/>
          <w:sz w:val="20"/>
          <w:szCs w:val="20"/>
          <w:color w:val="auto"/>
        </w:rPr>
      </w:pPr>
    </w:p>
    <w:p>
      <w:pPr>
        <w:ind w:left="3000" w:hanging="746"/>
        <w:spacing w:after="0" w:line="242" w:lineRule="auto"/>
        <w:tabs>
          <w:tab w:leader="none" w:pos="2647"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Reversion License will be (1) royalty-free if this Agreement is terminated by Fulcrum pursuant to Section 14.2 (</w:t>
      </w:r>
      <w:r>
        <w:rPr>
          <w:rFonts w:ascii="Times New Roman" w:cs="Times New Roman" w:eastAsia="Times New Roman" w:hAnsi="Times New Roman"/>
          <w:sz w:val="20"/>
          <w:szCs w:val="20"/>
          <w:i w:val="1"/>
          <w:iCs w:val="1"/>
          <w:color w:val="auto"/>
        </w:rPr>
        <w:t>Termination for Material Breach</w:t>
      </w:r>
      <w:r>
        <w:rPr>
          <w:rFonts w:ascii="Times New Roman" w:cs="Times New Roman" w:eastAsia="Times New Roman" w:hAnsi="Times New Roman"/>
          <w:sz w:val="20"/>
          <w:szCs w:val="20"/>
          <w:color w:val="auto"/>
        </w:rPr>
        <w:t>) and (2) royalty-bearing in all other events of termination, on financial terms reflecting reasonable financial compensation and fair market value of such license, determined in accordance with customary industry practice. If, in the event this Agreement is terminated by Sanofi pursuant to Section 14.2 (</w:t>
      </w:r>
      <w:r>
        <w:rPr>
          <w:rFonts w:ascii="Times New Roman" w:cs="Times New Roman" w:eastAsia="Times New Roman" w:hAnsi="Times New Roman"/>
          <w:sz w:val="20"/>
          <w:szCs w:val="20"/>
          <w:i w:val="1"/>
          <w:iCs w:val="1"/>
          <w:color w:val="auto"/>
        </w:rPr>
        <w:t>Termination for Material Breach</w:t>
      </w:r>
      <w:r>
        <w:rPr>
          <w:rFonts w:ascii="Times New Roman" w:cs="Times New Roman" w:eastAsia="Times New Roman" w:hAnsi="Times New Roman"/>
          <w:sz w:val="20"/>
          <w:szCs w:val="20"/>
          <w:color w:val="auto"/>
        </w:rPr>
        <w:t>), Section 14.3 (</w:t>
      </w:r>
      <w:r>
        <w:rPr>
          <w:rFonts w:ascii="Times New Roman" w:cs="Times New Roman" w:eastAsia="Times New Roman" w:hAnsi="Times New Roman"/>
          <w:sz w:val="20"/>
          <w:szCs w:val="20"/>
          <w:i w:val="1"/>
          <w:iCs w:val="1"/>
          <w:color w:val="auto"/>
        </w:rPr>
        <w:t>Termination by Sanofi for Convenience</w:t>
      </w:r>
      <w:r>
        <w:rPr>
          <w:rFonts w:ascii="Times New Roman" w:cs="Times New Roman" w:eastAsia="Times New Roman" w:hAnsi="Times New Roman"/>
          <w:sz w:val="20"/>
          <w:szCs w:val="20"/>
          <w:color w:val="auto"/>
        </w:rPr>
        <w:t>) or Section 14.4 (</w:t>
      </w:r>
      <w:r>
        <w:rPr>
          <w:rFonts w:ascii="Times New Roman" w:cs="Times New Roman" w:eastAsia="Times New Roman" w:hAnsi="Times New Roman"/>
          <w:sz w:val="20"/>
          <w:szCs w:val="20"/>
          <w:i w:val="1"/>
          <w:iCs w:val="1"/>
          <w:color w:val="auto"/>
        </w:rPr>
        <w:t>Termination by Sanofi for Safety</w:t>
      </w:r>
      <w:r>
        <w:rPr>
          <w:rFonts w:ascii="Times New Roman" w:cs="Times New Roman" w:eastAsia="Times New Roman" w:hAnsi="Times New Roman"/>
          <w:sz w:val="20"/>
          <w:szCs w:val="20"/>
          <w:color w:val="auto"/>
        </w:rPr>
        <w:t>) or by Fulcrum pursuant to Section 14.5 (</w:t>
      </w:r>
      <w:r>
        <w:rPr>
          <w:rFonts w:ascii="Times New Roman" w:cs="Times New Roman" w:eastAsia="Times New Roman" w:hAnsi="Times New Roman"/>
          <w:sz w:val="20"/>
          <w:szCs w:val="20"/>
          <w:i w:val="1"/>
          <w:iCs w:val="1"/>
          <w:color w:val="auto"/>
        </w:rPr>
        <w:t>Termination by Fulcrum for Sanofi’s Cessation of Development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Commercialization</w:t>
      </w:r>
      <w:r>
        <w:rPr>
          <w:rFonts w:ascii="Times New Roman" w:cs="Times New Roman" w:eastAsia="Times New Roman" w:hAnsi="Times New Roman"/>
          <w:sz w:val="20"/>
          <w:szCs w:val="20"/>
          <w:color w:val="auto"/>
        </w:rPr>
        <w:t>), and the Parties cannot agree on the financial terms of such license within a period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 of the Reversion Notice, then such dispute shall be referred to the Executive Officers of the Parties for resolution. If the Executive Officers do not fully resolve such dispute within [***] (or a later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5" w:name="page186"/>
    <w:bookmarkEnd w:id="185"/>
    <w:p>
      <w:pPr>
        <w:jc w:val="both"/>
        <w:ind w:left="1880"/>
        <w:spacing w:after="0" w:line="254" w:lineRule="auto"/>
        <w:rPr>
          <w:sz w:val="20"/>
          <w:szCs w:val="20"/>
          <w:color w:val="auto"/>
        </w:rPr>
      </w:pPr>
      <w:r>
        <w:rPr>
          <w:rFonts w:ascii="Times New Roman" w:cs="Times New Roman" w:eastAsia="Times New Roman" w:hAnsi="Times New Roman"/>
          <w:sz w:val="20"/>
          <w:szCs w:val="20"/>
          <w:color w:val="auto"/>
        </w:rPr>
        <w:t xml:space="preserve">date agreed to by each of the Parties) of the dispute being referred to them then the financial terms of such license shall be decided by baseball arbitration pursuant to the terms set forth on </w:t>
      </w:r>
      <w:r>
        <w:rPr>
          <w:rFonts w:ascii="Times New Roman" w:cs="Times New Roman" w:eastAsia="Times New Roman" w:hAnsi="Times New Roman"/>
          <w:sz w:val="20"/>
          <w:szCs w:val="20"/>
          <w:b w:val="1"/>
          <w:bCs w:val="1"/>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14.8.1(a)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Baseball Arbitration Terms</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1140" w:hanging="754"/>
        <w:spacing w:after="0"/>
        <w:tabs>
          <w:tab w:leader="none" w:pos="78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Manufacturing Technology Transfer</w:t>
      </w:r>
      <w:r>
        <w:rPr>
          <w:rFonts w:ascii="Times New Roman" w:cs="Times New Roman" w:eastAsia="Times New Roman" w:hAnsi="Times New Roman"/>
          <w:sz w:val="20"/>
          <w:szCs w:val="20"/>
          <w:color w:val="auto"/>
        </w:rPr>
        <w:t>. At Fulcrum’s request, Sanofi will promptly, at Sanofi’s discretion, (i)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last Manufacturing process for the Reversion Product that may contain proprietary Manufacturing Know-How of Sanofi or its Affiliates (determined at Sanofi’s discretion) to a CMO of Sanofi’s choice and reasonably acceptable to Fulcrum,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Sanofi may exclude proprietary Know-How embedded in the existing Manufacturing process from direct transfer to Fulcrum and such CMO agrees to keep such Manufacturing process confidential and not transfer such proprietary Know-How directly or indirectly to Fulcrum; (ii) transfer to Fulcrum or to a CMO mutually agreed by the Parties (such mutual agreement of Sanofi not to be unreasonably withheld, conditioned or delayed), the last Manufacturing process for the Reversion Product used by Sanofi that does not include proprietary Manufacturing Know-How of Sanofi or its Affiliates (determined at Sanofi’s discretion); or (iii) at Sanofi’s sole cost use Commercially Reasonable Efforts to develop (by itself or through a CMO reasonably acceptable to Fulcrum, such acceptance not to be unreasonably withheld, conditioned or delayed), an alternative Manufacturing process for the Reversion Product that excludes proprietary Manufacturing Know-How of Sanofi or its Affiliates, and to conduct a technology transfer of such alternative process to Fulcrum or a CMO mutually agreed by the Parties (such mutual agreement not to be unreasonably withheld, conditioned or delayed). Such Manufacturing process technology transfer, in such cases ((i)-(iii)), will be at Fulcrum’s sole cost pursuant to a budget to be mutually agreed upon by the Parties unless the applicable termination of this Agreement is by Fulcrum pursuant to Section 14.2 (</w:t>
      </w:r>
      <w:r>
        <w:rPr>
          <w:rFonts w:ascii="Times New Roman" w:cs="Times New Roman" w:eastAsia="Times New Roman" w:hAnsi="Times New Roman"/>
          <w:sz w:val="20"/>
          <w:szCs w:val="20"/>
          <w:i w:val="1"/>
          <w:iCs w:val="1"/>
          <w:color w:val="auto"/>
        </w:rPr>
        <w:t>Termination for Material Breach</w:t>
      </w:r>
      <w:r>
        <w:rPr>
          <w:rFonts w:ascii="Times New Roman" w:cs="Times New Roman" w:eastAsia="Times New Roman" w:hAnsi="Times New Roman"/>
          <w:sz w:val="20"/>
          <w:szCs w:val="20"/>
          <w:color w:val="auto"/>
        </w:rPr>
        <w:t>) or by Sanofi pursuant to Section 14.3 (</w:t>
      </w:r>
      <w:r>
        <w:rPr>
          <w:rFonts w:ascii="Times New Roman" w:cs="Times New Roman" w:eastAsia="Times New Roman" w:hAnsi="Times New Roman"/>
          <w:sz w:val="20"/>
          <w:szCs w:val="20"/>
          <w:i w:val="1"/>
          <w:iCs w:val="1"/>
          <w:color w:val="auto"/>
        </w:rPr>
        <w:t>Termination by Sanofi for Convenience</w:t>
      </w:r>
      <w:r>
        <w:rPr>
          <w:rFonts w:ascii="Times New Roman" w:cs="Times New Roman" w:eastAsia="Times New Roman" w:hAnsi="Times New Roman"/>
          <w:sz w:val="20"/>
          <w:szCs w:val="20"/>
          <w:color w:val="auto"/>
        </w:rPr>
        <w:t xml:space="preserve">), in which case it shall be at Sanofi’s sole cost pursuant to a budget to be mutually agreed upon by the Parties. Sanofi shall, and where applicable, cause its Affiliates or CMOs to supply Reversion Product in bulk finished form, to Fulcrum pursuant to the terms of a supply agreement (to be promptly negotiated by the Parties on commercially reasonable terms) on a cost plus [***] basis, for a period from the effective date of such termination until such time as Sanofi shall have performed all of its obligations pursuant to the foregoing clauses (i) through (iii),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Sanofi elects to develop an alternative Manufacturing process for the Reversion Product that excludes proprietary Manufacturing Know-How of Sanofi or its Affiliates, then,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Fulcrum uses Commercially Reasonable Efforts to obtain qualification to Manufacture the Reversion Product, Sanofi will continue to supply Fulcrum with Reversion Product in bulk finished form until Fulcrum or a CMO obtains such qualification to Manufacture the Reversion Product using such alternative Manufacturing process. In the event the Parties are unable to agree on either the budget for such Manufacturing process technology transfer, or the terms of such supply agreement, within [***] following Sanofi’s receipt of a request from Fulcrum to negotiate such budget or supply agreement (as applicable), then upon notice to Sanofi, such budget or the final terms of such supply agreement, as applicable, shall immediately be referred for resolution in accordance with Section 15.1 (</w:t>
      </w:r>
      <w:r>
        <w:rPr>
          <w:rFonts w:ascii="Times New Roman" w:cs="Times New Roman" w:eastAsia="Times New Roman" w:hAnsi="Times New Roman"/>
          <w:sz w:val="20"/>
          <w:szCs w:val="20"/>
          <w:i w:val="1"/>
          <w:iCs w:val="1"/>
          <w:color w:val="auto"/>
        </w:rPr>
        <w:t>Dispute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Resolution</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764540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86" w:name="page187"/>
    <w:bookmarkEnd w:id="186"/>
    <w:p>
      <w:pPr>
        <w:spacing w:after="0"/>
        <w:tabs>
          <w:tab w:leader="none" w:pos="760" w:val="left"/>
        </w:tabs>
        <w:rPr>
          <w:sz w:val="20"/>
          <w:szCs w:val="20"/>
          <w:color w:val="auto"/>
        </w:rPr>
      </w:pPr>
      <w:r>
        <w:rPr>
          <w:rFonts w:ascii="Times New Roman" w:cs="Times New Roman" w:eastAsia="Times New Roman" w:hAnsi="Times New Roman"/>
          <w:sz w:val="20"/>
          <w:szCs w:val="20"/>
          <w:color w:val="auto"/>
        </w:rPr>
        <w:t>14.8.2</w:t>
      </w:r>
      <w:r>
        <w:rPr>
          <w:sz w:val="20"/>
          <w:szCs w:val="20"/>
          <w:color w:val="auto"/>
        </w:rPr>
        <w:tab/>
      </w:r>
      <w:r>
        <w:rPr>
          <w:rFonts w:ascii="Times New Roman" w:cs="Times New Roman" w:eastAsia="Times New Roman" w:hAnsi="Times New Roman"/>
          <w:sz w:val="19"/>
          <w:szCs w:val="19"/>
          <w:b w:val="1"/>
          <w:bCs w:val="1"/>
          <w:color w:val="auto"/>
        </w:rPr>
        <w:t>Sanofi Product Trademarks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440" w:hanging="754"/>
        <w:spacing w:after="0" w:line="246" w:lineRule="auto"/>
        <w:tabs>
          <w:tab w:leader="none" w:pos="111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License Grant</w:t>
      </w:r>
      <w:r>
        <w:rPr>
          <w:rFonts w:ascii="Times New Roman" w:cs="Times New Roman" w:eastAsia="Times New Roman" w:hAnsi="Times New Roman"/>
          <w:sz w:val="20"/>
          <w:szCs w:val="20"/>
          <w:color w:val="auto"/>
        </w:rPr>
        <w:t>. Effective as of the effective date of termination of this Agreement with respect to a Terminated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 Sanofi hereby grants to Fulcrum an exclusive, transferable (pursuant to Section 16.1 (</w:t>
      </w: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and sublicensable (through multiple tiers) license under any Sanofi Product Trademarks that are actually used in, and solely related to, the Commercialization of the Terminated Products as of the effective date of termination of this Agreement with respect to such Terminated Product in the Terminated Region, solely as necessary to Commercialize the Terminated Products in the Terminated Region.</w:t>
      </w:r>
    </w:p>
    <w:p>
      <w:pPr>
        <w:spacing w:after="0" w:line="178" w:lineRule="exact"/>
        <w:rPr>
          <w:rFonts w:ascii="Times New Roman" w:cs="Times New Roman" w:eastAsia="Times New Roman" w:hAnsi="Times New Roman"/>
          <w:sz w:val="20"/>
          <w:szCs w:val="20"/>
          <w:color w:val="auto"/>
        </w:rPr>
      </w:pPr>
    </w:p>
    <w:p>
      <w:pPr>
        <w:ind w:left="1440" w:hanging="754"/>
        <w:spacing w:after="0" w:line="243" w:lineRule="auto"/>
        <w:tabs>
          <w:tab w:leader="none" w:pos="112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Quality Control</w:t>
      </w:r>
      <w:r>
        <w:rPr>
          <w:rFonts w:ascii="Times New Roman" w:cs="Times New Roman" w:eastAsia="Times New Roman" w:hAnsi="Times New Roman"/>
          <w:sz w:val="20"/>
          <w:szCs w:val="20"/>
          <w:color w:val="auto"/>
        </w:rPr>
        <w:t>. In connection with the license grant to the Sanofi Product Trademarks described in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14.8.2(a)14.8.2(a) (</w:t>
      </w:r>
      <w:r>
        <w:rPr>
          <w:rFonts w:ascii="Times New Roman" w:cs="Times New Roman" w:eastAsia="Times New Roman" w:hAnsi="Times New Roman"/>
          <w:sz w:val="20"/>
          <w:szCs w:val="20"/>
          <w:i w:val="1"/>
          <w:iCs w:val="1"/>
          <w:color w:val="auto"/>
        </w:rPr>
        <w:t>License Grant</w:t>
      </w:r>
      <w:r>
        <w:rPr>
          <w:rFonts w:ascii="Times New Roman" w:cs="Times New Roman" w:eastAsia="Times New Roman" w:hAnsi="Times New Roman"/>
          <w:sz w:val="20"/>
          <w:szCs w:val="20"/>
          <w:color w:val="auto"/>
        </w:rPr>
        <w:t>), Fulcrum covenants that all uses of the Sanofi Product Trademarks, and the Terminated Products offered in connection therewith, by or on behalf of Fulcrum, its Affiliates or sublicensees, shall be consistent with (i) the high quality of the Terminated Products being offered under the Sanofi Product Trademarks as of the effective date of termination, and (ii) any quality standards or practices required under Applicable Law. Upon Sanofi’s or its designee’s reasonable request, Fulcrum shall provide samples of any Terminated Products or related goods and services bearing the Sanofi Product Trademarks to Sanofi or its designee for the purpose of inspecting and evaluating Fulcrum’s compliance with the requirements set forth in this Section14.8.2(b) 14.8.2(b) (</w:t>
      </w:r>
      <w:r>
        <w:rPr>
          <w:rFonts w:ascii="Times New Roman" w:cs="Times New Roman" w:eastAsia="Times New Roman" w:hAnsi="Times New Roman"/>
          <w:sz w:val="20"/>
          <w:szCs w:val="20"/>
          <w:i w:val="1"/>
          <w:iCs w:val="1"/>
          <w:color w:val="auto"/>
        </w:rPr>
        <w:t>Quality Control</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680" w:hanging="694"/>
        <w:spacing w:after="0" w:line="242" w:lineRule="auto"/>
        <w:tabs>
          <w:tab w:leader="none" w:pos="660" w:val="left"/>
        </w:tabs>
        <w:rPr>
          <w:sz w:val="20"/>
          <w:szCs w:val="20"/>
          <w:color w:val="auto"/>
        </w:rPr>
      </w:pPr>
      <w:r>
        <w:rPr>
          <w:rFonts w:ascii="Times New Roman" w:cs="Times New Roman" w:eastAsia="Times New Roman" w:hAnsi="Times New Roman"/>
          <w:sz w:val="20"/>
          <w:szCs w:val="20"/>
          <w:color w:val="auto"/>
        </w:rPr>
        <w:t>14.8.3</w:t>
      </w:r>
      <w:r>
        <w:rPr>
          <w:sz w:val="20"/>
          <w:szCs w:val="20"/>
          <w:color w:val="auto"/>
        </w:rPr>
        <w:tab/>
      </w:r>
      <w:r>
        <w:rPr>
          <w:rFonts w:ascii="Times New Roman" w:cs="Times New Roman" w:eastAsia="Times New Roman" w:hAnsi="Times New Roman"/>
          <w:sz w:val="20"/>
          <w:szCs w:val="20"/>
          <w:b w:val="1"/>
          <w:bCs w:val="1"/>
          <w:color w:val="auto"/>
        </w:rPr>
        <w:t>Regulatory Submissions and Regulatory Approvals</w:t>
      </w:r>
      <w:r>
        <w:rPr>
          <w:rFonts w:ascii="Times New Roman" w:cs="Times New Roman" w:eastAsia="Times New Roman" w:hAnsi="Times New Roman"/>
          <w:sz w:val="20"/>
          <w:szCs w:val="20"/>
          <w:color w:val="auto"/>
        </w:rPr>
        <w:t>. Sanofi will and hereby does, and will cause its Affiliates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Sublicensees to, (a) within a reasonable period of time after the effective date of termination of this Agreement with respect to a Terminated Product, assign and transfer to Fulcrum or its designee all of Sanofi’s rights, title, and interests in and to all Regulatory Submissions, Regulatory Approvals, and Reimbursement Approvals (excluding the drug master file or equivalent maintained by Sanofi, its Affiliates, Sublicensees or subcontractors) then Controlled by Sanofi or any of its Affiliates or Sublicensees, in each case, solely related to such Terminated Products,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Sanofi will have the right to redact and remove from such Regulatory Submissions, Regulatory Approvals and Reimbursement Approvals any business sensitive information of Sanofi, its Affiliates, Sublicensees or subcontractors contained in such Regulatory Submissions, Regulatory Approvals and Reimbursement Approvals, and (b) to the extent assignment pursuant to clause</w:t>
      </w:r>
    </w:p>
    <w:p>
      <w:pPr>
        <w:spacing w:after="0" w:line="4" w:lineRule="exact"/>
        <w:rPr>
          <w:sz w:val="20"/>
          <w:szCs w:val="20"/>
          <w:color w:val="auto"/>
        </w:rPr>
      </w:pPr>
    </w:p>
    <w:p>
      <w:pPr>
        <w:jc w:val="both"/>
        <w:ind w:left="680" w:firstLine="6"/>
        <w:spacing w:after="0"/>
        <w:tabs>
          <w:tab w:leader="none" w:pos="95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delayed or is not permitted by the applicable Regulatory Authority, permit Fulcrum to cross-reference and rely upon any such Regulatory Submissions, Regulatory Approvals, and Reimbursement Approvals (excluding (i) the drug master file or equivalent maintained by Sanofi, its Affiliates, Sublicensees or subcontractors and (ii) any business sensitive information of Sanofi, its Affiliates, Sublicensees or subcontractors, in each case (i) or (ii), contained in such Regulatory Submissions, Regulatory Approvals, and Reimbursement Approvals) filed by Sanofi or any of its Affiliates or Sublicensees solely in connection with the Research, Development, Manufacture, Commercialization or other Exploitation of the Terminated Products. Sanofi will execute and deliver, or will cause to be executed and delivered, to Fulcrum or its designee such endorsements, assignments, commitments, acknowledgements, and other documents as may be necessary and reasonably requested by Fulcrum to assign, convey, transfer, and deliver to Fulcrum or its designee all of Sanofi’s or its applicable Affiliate’s or designee’s rights, title, and interests in and to all such assigned Regulatory Submissions, Regulatory Approvals, and Reimbursement Approvals,</w:t>
      </w:r>
    </w:p>
    <w:p>
      <w:pPr>
        <w:spacing w:after="0" w:line="18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764540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140" w:top="1409" w:right="339" w:bottom="1440" w:gutter="0" w:footer="0" w:header="0"/>
        </w:sectPr>
      </w:pPr>
    </w:p>
    <w:bookmarkStart w:id="187" w:name="page188"/>
    <w:bookmarkEnd w:id="187"/>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including submitting to each applicable Regulatory Authority or other Governmental Authority in the Terminated Regions a letter or other necessary documentation (with copy to Fulcrum) notifying such Regulatory Authority or other Governmental Authority of, or otherwise giving effect to, the transfer of ownership to Fulcrum of all such assigned Regulatory Submissions, Regulatory Approvals, and Reimbursement Approvals.</w:t>
      </w:r>
    </w:p>
    <w:p>
      <w:pPr>
        <w:spacing w:after="0" w:line="176" w:lineRule="exact"/>
        <w:rPr>
          <w:sz w:val="20"/>
          <w:szCs w:val="20"/>
          <w:color w:val="auto"/>
        </w:rPr>
      </w:pPr>
    </w:p>
    <w:p>
      <w:pPr>
        <w:jc w:val="both"/>
        <w:ind w:left="380" w:hanging="694"/>
        <w:spacing w:after="0" w:line="243" w:lineRule="auto"/>
        <w:tabs>
          <w:tab w:leader="none" w:pos="360" w:val="left"/>
        </w:tabs>
        <w:rPr>
          <w:sz w:val="20"/>
          <w:szCs w:val="20"/>
          <w:color w:val="auto"/>
        </w:rPr>
      </w:pPr>
      <w:r>
        <w:rPr>
          <w:rFonts w:ascii="Times New Roman" w:cs="Times New Roman" w:eastAsia="Times New Roman" w:hAnsi="Times New Roman"/>
          <w:sz w:val="20"/>
          <w:szCs w:val="20"/>
          <w:color w:val="auto"/>
        </w:rPr>
        <w:t>14.8.4</w:t>
      </w:r>
      <w:r>
        <w:rPr>
          <w:sz w:val="20"/>
          <w:szCs w:val="20"/>
          <w:color w:val="auto"/>
        </w:rPr>
        <w:tab/>
      </w:r>
      <w:r>
        <w:rPr>
          <w:rFonts w:ascii="Times New Roman" w:cs="Times New Roman" w:eastAsia="Times New Roman" w:hAnsi="Times New Roman"/>
          <w:sz w:val="20"/>
          <w:szCs w:val="20"/>
          <w:b w:val="1"/>
          <w:bCs w:val="1"/>
          <w:color w:val="auto"/>
        </w:rPr>
        <w:t>Inventory</w:t>
      </w:r>
      <w:r>
        <w:rPr>
          <w:rFonts w:ascii="Times New Roman" w:cs="Times New Roman" w:eastAsia="Times New Roman" w:hAnsi="Times New Roman"/>
          <w:sz w:val="20"/>
          <w:szCs w:val="20"/>
          <w:color w:val="auto"/>
        </w:rPr>
        <w:t>. Upon any termination of this Agreement with respect to a Terminated Product, Sanofi will be entitled, for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of [***] after the effective date of termination, to: (a) complete Manufacture of work-in-progress of such Terminated Products and (b) continue conducting Commercialization activities with respect to such Terminated Products in Sanofi’s inventory as of such effective date of termination (or added to such inventory as a result of the completion of Manufacturing activities described in clause (a)). During such [***] inventory sell-off period, the terms of Article 9 (</w:t>
      </w:r>
      <w:r>
        <w:rPr>
          <w:rFonts w:ascii="Times New Roman" w:cs="Times New Roman" w:eastAsia="Times New Roman" w:hAnsi="Times New Roman"/>
          <w:sz w:val="20"/>
          <w:szCs w:val="20"/>
          <w:i w:val="1"/>
          <w:iCs w:val="1"/>
          <w:color w:val="auto"/>
        </w:rPr>
        <w:t>Payments</w:t>
      </w:r>
      <w:r>
        <w:rPr>
          <w:rFonts w:ascii="Times New Roman" w:cs="Times New Roman" w:eastAsia="Times New Roman" w:hAnsi="Times New Roman"/>
          <w:sz w:val="20"/>
          <w:szCs w:val="20"/>
          <w:color w:val="auto"/>
        </w:rPr>
        <w:t xml:space="preserve">) will continue to apply to any Commercialization activities conducted by or on behalf of Sanofi pursuant to the foregoing clause (b). At the end of such [***] inventory sell-off period, at Fulcrum’s election and request, Sanofi will transfer to Fulcrum or its designee some or all inventory of the Terminated Products for the Terminated Regions then in the possession or Control of Sanofi, its Affiliates or Sublicensees;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Fulcrum will pay Sanofi a price equal to [***] of Sanofi’s Manufacturing Cost for such Terminated Product.</w:t>
      </w:r>
    </w:p>
    <w:p>
      <w:pPr>
        <w:spacing w:after="0" w:line="182" w:lineRule="exact"/>
        <w:rPr>
          <w:sz w:val="20"/>
          <w:szCs w:val="20"/>
          <w:color w:val="auto"/>
        </w:rPr>
      </w:pPr>
    </w:p>
    <w:p>
      <w:pPr>
        <w:jc w:val="both"/>
        <w:ind w:left="380" w:hanging="694"/>
        <w:spacing w:after="0" w:line="243" w:lineRule="auto"/>
        <w:tabs>
          <w:tab w:leader="none" w:pos="360" w:val="left"/>
        </w:tabs>
        <w:rPr>
          <w:sz w:val="20"/>
          <w:szCs w:val="20"/>
          <w:color w:val="auto"/>
        </w:rPr>
      </w:pPr>
      <w:r>
        <w:rPr>
          <w:rFonts w:ascii="Times New Roman" w:cs="Times New Roman" w:eastAsia="Times New Roman" w:hAnsi="Times New Roman"/>
          <w:sz w:val="20"/>
          <w:szCs w:val="20"/>
          <w:color w:val="auto"/>
        </w:rPr>
        <w:t>14.8.5</w:t>
      </w:r>
      <w:r>
        <w:rPr>
          <w:sz w:val="20"/>
          <w:szCs w:val="20"/>
          <w:color w:val="auto"/>
        </w:rPr>
        <w:tab/>
      </w:r>
      <w:r>
        <w:rPr>
          <w:rFonts w:ascii="Times New Roman" w:cs="Times New Roman" w:eastAsia="Times New Roman" w:hAnsi="Times New Roman"/>
          <w:sz w:val="20"/>
          <w:szCs w:val="20"/>
          <w:b w:val="1"/>
          <w:bCs w:val="1"/>
          <w:color w:val="auto"/>
        </w:rPr>
        <w:t>Clinical Trials</w:t>
      </w:r>
      <w:r>
        <w:rPr>
          <w:rFonts w:ascii="Times New Roman" w:cs="Times New Roman" w:eastAsia="Times New Roman" w:hAnsi="Times New Roman"/>
          <w:sz w:val="20"/>
          <w:szCs w:val="20"/>
          <w:color w:val="auto"/>
        </w:rPr>
        <w:t>. If as of the effective date of termination of this Agreement with respect to a Terminated Product,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Clinical Trials of such Terminated Product are being conducted by or on behalf of Sanofi or its Affiliates, then within a reasonable period after such effective date of termination, Sanofi and its Affiliates will wind down any such ongoing Clinical Trials pursuant to Applicable Law or any requirements from the applicable Regulatory Authorities unless Fulcrum elects to assume such ongoing Clinical Trials after such effective date of termination, in which case: (a) to the extent permitted by Applicable Law and any requirements from the applicable Regulatory Authorities, Sanofi and its Affiliates will transfer such Clinical Trials to Fulcrum at Fulcrum’s sole cost and expense; and (b) Fulcrum will assume any and all liabilities for the conduct of such transferred Clinical Trials for the applicable Terminated Product as of the effective date of such transfer.</w:t>
      </w:r>
    </w:p>
    <w:p>
      <w:pPr>
        <w:spacing w:after="0" w:line="186" w:lineRule="exact"/>
        <w:rPr>
          <w:sz w:val="20"/>
          <w:szCs w:val="20"/>
          <w:color w:val="auto"/>
        </w:rPr>
      </w:pPr>
    </w:p>
    <w:p>
      <w:pPr>
        <w:jc w:val="both"/>
        <w:ind w:left="380" w:hanging="694"/>
        <w:spacing w:after="0" w:line="242" w:lineRule="auto"/>
        <w:tabs>
          <w:tab w:leader="none" w:pos="360" w:val="left"/>
        </w:tabs>
        <w:rPr>
          <w:sz w:val="20"/>
          <w:szCs w:val="20"/>
          <w:color w:val="auto"/>
        </w:rPr>
      </w:pPr>
      <w:r>
        <w:rPr>
          <w:rFonts w:ascii="Times New Roman" w:cs="Times New Roman" w:eastAsia="Times New Roman" w:hAnsi="Times New Roman"/>
          <w:sz w:val="20"/>
          <w:szCs w:val="20"/>
          <w:color w:val="auto"/>
        </w:rPr>
        <w:t>14.8.6</w:t>
      </w:r>
      <w:r>
        <w:rPr>
          <w:sz w:val="20"/>
          <w:szCs w:val="20"/>
          <w:color w:val="auto"/>
        </w:rPr>
        <w:tab/>
      </w:r>
      <w:r>
        <w:rPr>
          <w:rFonts w:ascii="Times New Roman" w:cs="Times New Roman" w:eastAsia="Times New Roman" w:hAnsi="Times New Roman"/>
          <w:sz w:val="20"/>
          <w:szCs w:val="20"/>
          <w:b w:val="1"/>
          <w:bCs w:val="1"/>
          <w:color w:val="auto"/>
        </w:rPr>
        <w:t>Transition Services Agreement</w:t>
      </w:r>
      <w:r>
        <w:rPr>
          <w:rFonts w:ascii="Times New Roman" w:cs="Times New Roman" w:eastAsia="Times New Roman" w:hAnsi="Times New Roman"/>
          <w:sz w:val="20"/>
          <w:szCs w:val="20"/>
          <w:color w:val="auto"/>
        </w:rPr>
        <w:t>. Upon written request from Fulcrum to Sanofi provided within [***] of the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of termination of this Agreement with respect to a Terminated Product, the Parties will enter into good-faith negotiations for up to [***] for a definitive transition services agreement to facilitate the orderly transition to Fulcrum or its designee of all Commercialization and other activities then being performed by or on behalf of Sanofi or its Affiliates or Sublicensees for the Terminated Products and any other transition or assistance mutually agreed upon by the Parties (the “</w:t>
      </w:r>
      <w:r>
        <w:rPr>
          <w:rFonts w:ascii="Times New Roman" w:cs="Times New Roman" w:eastAsia="Times New Roman" w:hAnsi="Times New Roman"/>
          <w:sz w:val="20"/>
          <w:szCs w:val="20"/>
          <w:b w:val="1"/>
          <w:bCs w:val="1"/>
          <w:color w:val="auto"/>
        </w:rPr>
        <w:t>Transition Services Agreement</w:t>
      </w:r>
      <w:r>
        <w:rPr>
          <w:rFonts w:ascii="Times New Roman" w:cs="Times New Roman" w:eastAsia="Times New Roman" w:hAnsi="Times New Roman"/>
          <w:sz w:val="20"/>
          <w:szCs w:val="20"/>
          <w:color w:val="auto"/>
        </w:rPr>
        <w:t>”). The Transition Services Agreement will (a) be on reasonable market terms and (b) include reimbursement by Fulcrum to Sanofi for Sanofi’s Internal Costs and External Costs, in each case, of providing any such transition assistance to Fulcrum. In addition, neither Party may unreasonably withhold, delay or condition their consent to the execution of the Transition Services Agreement. If the Parties cannot agree on the financial terms of such Transition Services Agreement within the [***] time period, then such dispute shall be referred to the Executive Officers of the Parties for resolution. If the Executive Officers do not fully resolve such dispute within [***] (or a later date agreed to by each of the Parties) of the dispute being referred to them, then, to the extent the dispute pertains to [***] of such Transition Services Agreement, such dispute shall be decided by</w:t>
      </w:r>
    </w:p>
    <w:p>
      <w:pPr>
        <w:spacing w:after="0" w:line="18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764540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88" w:name="page189"/>
    <w:bookmarkEnd w:id="188"/>
    <w:p>
      <w:pPr>
        <w:jc w:val="center"/>
        <w:ind w:right="80"/>
        <w:spacing w:after="0"/>
        <w:rPr>
          <w:sz w:val="20"/>
          <w:szCs w:val="20"/>
          <w:color w:val="auto"/>
        </w:rPr>
      </w:pPr>
      <w:r>
        <w:rPr>
          <w:rFonts w:ascii="Times New Roman" w:cs="Times New Roman" w:eastAsia="Times New Roman" w:hAnsi="Times New Roman"/>
          <w:sz w:val="20"/>
          <w:szCs w:val="20"/>
          <w:color w:val="auto"/>
        </w:rPr>
        <w:t xml:space="preserve">baseball arbitration pursuant to the terms set forth on </w:t>
      </w:r>
      <w:r>
        <w:rPr>
          <w:rFonts w:ascii="Times New Roman" w:cs="Times New Roman" w:eastAsia="Times New Roman" w:hAnsi="Times New Roman"/>
          <w:sz w:val="20"/>
          <w:szCs w:val="20"/>
          <w:b w:val="1"/>
          <w:bCs w:val="1"/>
          <w:color w:val="auto"/>
        </w:rPr>
        <w:t>Schedule 14.8.1(a)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Baseball Arbitration Terms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14.8.7</w:t>
      </w:r>
      <w:r>
        <w:rPr>
          <w:sz w:val="20"/>
          <w:szCs w:val="20"/>
          <w:color w:val="auto"/>
        </w:rPr>
        <w:tab/>
      </w:r>
      <w:r>
        <w:rPr>
          <w:rFonts w:ascii="Times New Roman" w:cs="Times New Roman" w:eastAsia="Times New Roman" w:hAnsi="Times New Roman"/>
          <w:sz w:val="20"/>
          <w:szCs w:val="20"/>
          <w:b w:val="1"/>
          <w:bCs w:val="1"/>
          <w:color w:val="auto"/>
        </w:rPr>
        <w:t>Termination by Sanofi for Breach</w:t>
      </w:r>
      <w:r>
        <w:rPr>
          <w:rFonts w:ascii="Times New Roman" w:cs="Times New Roman" w:eastAsia="Times New Roman" w:hAnsi="Times New Roman"/>
          <w:sz w:val="20"/>
          <w:szCs w:val="20"/>
          <w:color w:val="auto"/>
        </w:rPr>
        <w:t>. Notwithstanding any provision to the contrary in this Section 14.8 (</w:t>
      </w:r>
      <w:r>
        <w:rPr>
          <w:rFonts w:ascii="Times New Roman" w:cs="Times New Roman" w:eastAsia="Times New Roman" w:hAnsi="Times New Roman"/>
          <w:sz w:val="20"/>
          <w:szCs w:val="20"/>
          <w:i w:val="1"/>
          <w:iCs w:val="1"/>
          <w:color w:val="auto"/>
        </w:rPr>
        <w:t>Effects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Termination</w:t>
      </w:r>
      <w:r>
        <w:rPr>
          <w:rFonts w:ascii="Times New Roman" w:cs="Times New Roman" w:eastAsia="Times New Roman" w:hAnsi="Times New Roman"/>
          <w:sz w:val="20"/>
          <w:szCs w:val="20"/>
          <w:color w:val="auto"/>
        </w:rPr>
        <w:t>), in the event of any termination of this Agreement with respect to a Terminated Product by Sanofi pursuant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Section 14.2 (</w:t>
      </w:r>
      <w:r>
        <w:rPr>
          <w:rFonts w:ascii="Times New Roman" w:cs="Times New Roman" w:eastAsia="Times New Roman" w:hAnsi="Times New Roman"/>
          <w:sz w:val="20"/>
          <w:szCs w:val="20"/>
          <w:i w:val="1"/>
          <w:iCs w:val="1"/>
          <w:color w:val="auto"/>
        </w:rPr>
        <w:t>Termination for Material Breach</w:t>
      </w:r>
      <w:r>
        <w:rPr>
          <w:rFonts w:ascii="Times New Roman" w:cs="Times New Roman" w:eastAsia="Times New Roman" w:hAnsi="Times New Roman"/>
          <w:sz w:val="20"/>
          <w:szCs w:val="20"/>
          <w:color w:val="auto"/>
        </w:rPr>
        <w:t>), Fulcrum will be responsible for the reasonable out-of-pocket costs incurred by Sanofi directly in connection with the performance of the activities set forth in this Section 14.8 (</w:t>
      </w:r>
      <w:r>
        <w:rPr>
          <w:rFonts w:ascii="Times New Roman" w:cs="Times New Roman" w:eastAsia="Times New Roman" w:hAnsi="Times New Roman"/>
          <w:sz w:val="20"/>
          <w:szCs w:val="20"/>
          <w:i w:val="1"/>
          <w:iCs w:val="1"/>
          <w:color w:val="auto"/>
        </w:rPr>
        <w:t>Effects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Termination</w:t>
      </w:r>
      <w:r>
        <w:rPr>
          <w:rFonts w:ascii="Times New Roman" w:cs="Times New Roman" w:eastAsia="Times New Roman" w:hAnsi="Times New Roman"/>
          <w:sz w:val="20"/>
          <w:szCs w:val="20"/>
          <w:color w:val="auto"/>
        </w:rPr>
        <w:t>). Sanofi will invoice Fulcrum quarterly for the foregoing costs incurred by or on behalf of Sanofi in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Calendar Quarter, and Fulcrum will pay the undisputed invoiced amounts within [***] after the date of any such invoice.</w:t>
      </w:r>
    </w:p>
    <w:p>
      <w:pPr>
        <w:spacing w:after="0" w:line="179"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14.8.8</w:t>
      </w:r>
      <w:r>
        <w:rPr>
          <w:sz w:val="20"/>
          <w:szCs w:val="20"/>
          <w:color w:val="auto"/>
        </w:rPr>
        <w:tab/>
      </w:r>
      <w:r>
        <w:rPr>
          <w:rFonts w:ascii="Times New Roman" w:cs="Times New Roman" w:eastAsia="Times New Roman" w:hAnsi="Times New Roman"/>
          <w:sz w:val="20"/>
          <w:szCs w:val="20"/>
          <w:b w:val="1"/>
          <w:bCs w:val="1"/>
          <w:color w:val="auto"/>
        </w:rPr>
        <w:t>Termination of Rights</w:t>
      </w:r>
      <w:r>
        <w:rPr>
          <w:rFonts w:ascii="Times New Roman" w:cs="Times New Roman" w:eastAsia="Times New Roman" w:hAnsi="Times New Roman"/>
          <w:sz w:val="20"/>
          <w:szCs w:val="20"/>
          <w:color w:val="auto"/>
        </w:rPr>
        <w:t>. Upon any termination of this Agreement in its entirety or with respect to a Terminated Product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 Terminated Region, all rights licensed to each Party under this Agreement will terminate, including all sublicenses granted by Sanofi or its Affiliates pursuant to Section 2.3.1 (</w:t>
      </w:r>
      <w:r>
        <w:rPr>
          <w:rFonts w:ascii="Times New Roman" w:cs="Times New Roman" w:eastAsia="Times New Roman" w:hAnsi="Times New Roman"/>
          <w:sz w:val="20"/>
          <w:szCs w:val="20"/>
          <w:i w:val="1"/>
          <w:iCs w:val="1"/>
          <w:color w:val="auto"/>
        </w:rPr>
        <w:t>Rights of Sanofi to Grant Sublicenses</w:t>
      </w:r>
      <w:r>
        <w:rPr>
          <w:rFonts w:ascii="Times New Roman" w:cs="Times New Roman" w:eastAsia="Times New Roman" w:hAnsi="Times New Roman"/>
          <w:sz w:val="20"/>
          <w:szCs w:val="20"/>
          <w:color w:val="auto"/>
        </w:rPr>
        <w:t xml:space="preserve">), with respect to such Terminated Product in such Terminated Region, as applicable, </w:t>
      </w:r>
      <w:r>
        <w:rPr>
          <w:rFonts w:ascii="Times New Roman" w:cs="Times New Roman" w:eastAsia="Times New Roman" w:hAnsi="Times New Roman"/>
          <w:sz w:val="20"/>
          <w:szCs w:val="20"/>
          <w:i w:val="1"/>
          <w:iCs w:val="1"/>
          <w:color w:val="auto"/>
        </w:rPr>
        <w:t>except</w:t>
      </w:r>
      <w:r>
        <w:rPr>
          <w:rFonts w:ascii="Times New Roman" w:cs="Times New Roman" w:eastAsia="Times New Roman" w:hAnsi="Times New Roman"/>
          <w:sz w:val="20"/>
          <w:szCs w:val="20"/>
          <w:color w:val="auto"/>
        </w:rPr>
        <w:t xml:space="preserve"> (a) as set forth in Section 2.3.2 (</w:t>
      </w:r>
      <w:r>
        <w:rPr>
          <w:rFonts w:ascii="Times New Roman" w:cs="Times New Roman" w:eastAsia="Times New Roman" w:hAnsi="Times New Roman"/>
          <w:sz w:val="20"/>
          <w:szCs w:val="20"/>
          <w:i w:val="1"/>
          <w:iCs w:val="1"/>
          <w:color w:val="auto"/>
        </w:rPr>
        <w:t>Effects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Termination on Sanofi Sublicenses to a Third Party</w:t>
      </w:r>
      <w:r>
        <w:rPr>
          <w:rFonts w:ascii="Times New Roman" w:cs="Times New Roman" w:eastAsia="Times New Roman" w:hAnsi="Times New Roman"/>
          <w:sz w:val="20"/>
          <w:szCs w:val="20"/>
          <w:color w:val="auto"/>
        </w:rPr>
        <w:t>) or (b) with respect to the licenses granted in Section 2.2.3 (</w:t>
      </w:r>
      <w:r>
        <w:rPr>
          <w:rFonts w:ascii="Times New Roman" w:cs="Times New Roman" w:eastAsia="Times New Roman" w:hAnsi="Times New Roman"/>
          <w:sz w:val="20"/>
          <w:szCs w:val="20"/>
          <w:i w:val="1"/>
          <w:iCs w:val="1"/>
          <w:color w:val="auto"/>
        </w:rPr>
        <w:t>License Grants to Fulcrum</w:t>
      </w:r>
      <w:r>
        <w:rPr>
          <w:rFonts w:ascii="Times New Roman" w:cs="Times New Roman" w:eastAsia="Times New Roman" w:hAnsi="Times New Roman"/>
          <w:sz w:val="20"/>
          <w:szCs w:val="20"/>
          <w:color w:val="auto"/>
        </w:rPr>
        <w:t>), but, for clarity, (i) such termination will not affect the Parties’ rights and obligations under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with respect to other Licensed Products or other Regions for which this Agreement has not terminated and (ii) Fulcrum’s royalty obligation with respect to such licenses in Section 2.2.3 (</w:t>
      </w:r>
      <w:r>
        <w:rPr>
          <w:rFonts w:ascii="Times New Roman" w:cs="Times New Roman" w:eastAsia="Times New Roman" w:hAnsi="Times New Roman"/>
          <w:sz w:val="20"/>
          <w:szCs w:val="20"/>
          <w:i w:val="1"/>
          <w:iCs w:val="1"/>
          <w:color w:val="auto"/>
        </w:rPr>
        <w:t>License Grants to Fulcrum</w:t>
      </w:r>
      <w:r>
        <w:rPr>
          <w:rFonts w:ascii="Times New Roman" w:cs="Times New Roman" w:eastAsia="Times New Roman" w:hAnsi="Times New Roman"/>
          <w:sz w:val="20"/>
          <w:szCs w:val="20"/>
          <w:color w:val="auto"/>
        </w:rPr>
        <w:t>) will survive until and unless such license subsequently terminates. Notwithstanding the foregoing, each Party will retain its joint ownership interests in the Joint Collaboration Technology.</w:t>
      </w:r>
    </w:p>
    <w:p>
      <w:pPr>
        <w:spacing w:after="0" w:line="182" w:lineRule="exact"/>
        <w:rPr>
          <w:sz w:val="20"/>
          <w:szCs w:val="20"/>
          <w:color w:val="auto"/>
        </w:rPr>
      </w:pPr>
    </w:p>
    <w:p>
      <w:pPr>
        <w:jc w:val="both"/>
        <w:ind w:left="1500" w:hanging="694"/>
        <w:spacing w:after="0" w:line="242" w:lineRule="auto"/>
        <w:tabs>
          <w:tab w:leader="none" w:pos="1480" w:val="left"/>
        </w:tabs>
        <w:rPr>
          <w:sz w:val="20"/>
          <w:szCs w:val="20"/>
          <w:color w:val="auto"/>
        </w:rPr>
      </w:pPr>
      <w:r>
        <w:rPr>
          <w:rFonts w:ascii="Times New Roman" w:cs="Times New Roman" w:eastAsia="Times New Roman" w:hAnsi="Times New Roman"/>
          <w:sz w:val="20"/>
          <w:szCs w:val="20"/>
          <w:color w:val="auto"/>
        </w:rPr>
        <w:t>14.8.9</w:t>
      </w:r>
      <w:r>
        <w:rPr>
          <w:sz w:val="20"/>
          <w:szCs w:val="20"/>
          <w:color w:val="auto"/>
        </w:rPr>
        <w:tab/>
      </w:r>
      <w:r>
        <w:rPr>
          <w:rFonts w:ascii="Times New Roman" w:cs="Times New Roman" w:eastAsia="Times New Roman" w:hAnsi="Times New Roman"/>
          <w:sz w:val="20"/>
          <w:szCs w:val="20"/>
          <w:b w:val="1"/>
          <w:bCs w:val="1"/>
          <w:color w:val="auto"/>
        </w:rPr>
        <w:t>Return of Confidential Information</w:t>
      </w:r>
      <w:r>
        <w:rPr>
          <w:rFonts w:ascii="Times New Roman" w:cs="Times New Roman" w:eastAsia="Times New Roman" w:hAnsi="Times New Roman"/>
          <w:sz w:val="20"/>
          <w:szCs w:val="20"/>
          <w:color w:val="auto"/>
        </w:rPr>
        <w:t>. If this Agreement is terminated in its entirety, then each Party will return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destroy (at the other Party’s election) all Confidential Information of the other Party in its possession upon termination of this Agreement at the Disclosing Party’s election and written request and, if applicable, the Receiving Party will provide a written confirmation of such destruction within [***] of such request. Notwithstanding the foregoing or any provision to the contrary set forth in this Agreement: (a) the foregoing terms of this Section 14.8.9 (</w:t>
      </w:r>
      <w:r>
        <w:rPr>
          <w:rFonts w:ascii="Times New Roman" w:cs="Times New Roman" w:eastAsia="Times New Roman" w:hAnsi="Times New Roman"/>
          <w:sz w:val="20"/>
          <w:szCs w:val="20"/>
          <w:i w:val="1"/>
          <w:iCs w:val="1"/>
          <w:color w:val="auto"/>
        </w:rPr>
        <w:t>Return of Confidential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Information</w:t>
      </w:r>
      <w:r>
        <w:rPr>
          <w:rFonts w:ascii="Times New Roman" w:cs="Times New Roman" w:eastAsia="Times New Roman" w:hAnsi="Times New Roman"/>
          <w:sz w:val="20"/>
          <w:szCs w:val="20"/>
          <w:color w:val="auto"/>
        </w:rPr>
        <w:t>) will not apply to any Confidential Information that is necessary to allow the Receiving Party to perform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obligations or exercise any of its rights that expressly survive the applicable termination of this Agreement, and the Receiving Party may retain one copy of such Confidential Information for its legal archives; and (b) the Receiving Party will not be required to destroy electronic files containing such Confidential Information that are made in the ordinary course of its business information back-up procedures pursuant to its electronic record retention and destruction practices that apply to its own general electronic files and information.</w:t>
      </w:r>
    </w:p>
    <w:p>
      <w:pPr>
        <w:spacing w:after="0" w:line="190" w:lineRule="exact"/>
        <w:rPr>
          <w:sz w:val="20"/>
          <w:szCs w:val="20"/>
          <w:color w:val="auto"/>
        </w:rPr>
      </w:pPr>
    </w:p>
    <w:p>
      <w:pPr>
        <w:jc w:val="both"/>
        <w:ind w:left="760" w:hanging="748"/>
        <w:spacing w:after="0" w:line="245" w:lineRule="auto"/>
        <w:rPr>
          <w:sz w:val="20"/>
          <w:szCs w:val="20"/>
          <w:color w:val="auto"/>
        </w:rPr>
      </w:pPr>
      <w:r>
        <w:rPr>
          <w:rFonts w:ascii="Times New Roman" w:cs="Times New Roman" w:eastAsia="Times New Roman" w:hAnsi="Times New Roman"/>
          <w:sz w:val="20"/>
          <w:szCs w:val="20"/>
          <w:b w:val="1"/>
          <w:bCs w:val="1"/>
          <w:color w:val="auto"/>
        </w:rPr>
        <w:t>14.9 Survival; Accrued Rights</w:t>
      </w:r>
      <w:r>
        <w:rPr>
          <w:rFonts w:ascii="Times New Roman" w:cs="Times New Roman" w:eastAsia="Times New Roman" w:hAnsi="Times New Roman"/>
          <w:sz w:val="20"/>
          <w:szCs w:val="20"/>
          <w:color w:val="auto"/>
        </w:rPr>
        <w:t>. Except as otherwise expressly set forth in this Agreement, the expiration or termination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not relieve the Parties of any liability that accrued hereunder prior to the effective date of such expiration or termination nor preclude either Party from pursuing all rights and remedies it may have hereunder or at law or in equity with respect to any breach of this Agreement, nor prejudice either Party’s right to obtain performance of any obligation. Without limiting the foregoing, the following provisions of this Agreement will survive the expiration or termination of this Agreement: Article 1 (</w:t>
      </w: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 to the extent the definitions are used in other provisions surviving the expiration or termination of this Agreement; Section 2.2.3 (</w:t>
      </w:r>
      <w:r>
        <w:rPr>
          <w:rFonts w:ascii="Times New Roman" w:cs="Times New Roman" w:eastAsia="Times New Roman" w:hAnsi="Times New Roman"/>
          <w:sz w:val="20"/>
          <w:szCs w:val="20"/>
          <w:i w:val="1"/>
          <w:iCs w:val="1"/>
          <w:color w:val="auto"/>
        </w:rPr>
        <w:t>License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Grants to Fulcrum</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Section 2.2.3(a) will no longer be restricted to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9" w:name="page190"/>
    <w:bookmarkEnd w:id="189"/>
    <w:p>
      <w:pPr>
        <w:jc w:val="both"/>
        <w:ind w:left="760"/>
        <w:spacing w:after="0"/>
        <w:rPr>
          <w:sz w:val="20"/>
          <w:szCs w:val="20"/>
          <w:color w:val="auto"/>
        </w:rPr>
      </w:pPr>
      <w:r>
        <w:rPr>
          <w:rFonts w:ascii="Times New Roman" w:cs="Times New Roman" w:eastAsia="Times New Roman" w:hAnsi="Times New Roman"/>
          <w:sz w:val="20"/>
          <w:szCs w:val="20"/>
          <w:color w:val="auto"/>
        </w:rPr>
        <w:t>Global Development Plan and Fulcrum Independent Development Plan but will also include all Research or Development activities that are solely intended to support obtaining or maintaining Regulatory Approval or label expansion of the Terminated Products in the Fulcrum Territory in the event of termination but not expiration of this Agreement); Section 2.4 (</w:t>
      </w:r>
      <w:r>
        <w:rPr>
          <w:rFonts w:ascii="Times New Roman" w:cs="Times New Roman" w:eastAsia="Times New Roman" w:hAnsi="Times New Roman"/>
          <w:sz w:val="20"/>
          <w:szCs w:val="20"/>
          <w:i w:val="1"/>
          <w:iCs w:val="1"/>
          <w:color w:val="auto"/>
        </w:rPr>
        <w:t>No Other Rights and Retained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Rights</w:t>
      </w:r>
      <w:r>
        <w:rPr>
          <w:rFonts w:ascii="Times New Roman" w:cs="Times New Roman" w:eastAsia="Times New Roman" w:hAnsi="Times New Roman"/>
          <w:sz w:val="20"/>
          <w:szCs w:val="20"/>
          <w:color w:val="auto"/>
        </w:rPr>
        <w:t>); Sections 9.3 (</w:t>
      </w:r>
      <w:r>
        <w:rPr>
          <w:rFonts w:ascii="Times New Roman" w:cs="Times New Roman" w:eastAsia="Times New Roman" w:hAnsi="Times New Roman"/>
          <w:sz w:val="20"/>
          <w:szCs w:val="20"/>
          <w:i w:val="1"/>
          <w:iCs w:val="1"/>
          <w:color w:val="auto"/>
        </w:rPr>
        <w:t>Royalties</w:t>
      </w:r>
      <w:r>
        <w:rPr>
          <w:rFonts w:ascii="Times New Roman" w:cs="Times New Roman" w:eastAsia="Times New Roman" w:hAnsi="Times New Roman"/>
          <w:sz w:val="20"/>
          <w:szCs w:val="20"/>
          <w:color w:val="auto"/>
        </w:rPr>
        <w:t>) through 9.12 (</w:t>
      </w:r>
      <w:r>
        <w:rPr>
          <w:rFonts w:ascii="Times New Roman" w:cs="Times New Roman" w:eastAsia="Times New Roman" w:hAnsi="Times New Roman"/>
          <w:sz w:val="20"/>
          <w:szCs w:val="20"/>
          <w:i w:val="1"/>
          <w:iCs w:val="1"/>
          <w:color w:val="auto"/>
        </w:rPr>
        <w:t>Late Payments; Disputed Payments</w:t>
      </w:r>
      <w:r>
        <w:rPr>
          <w:rFonts w:ascii="Times New Roman" w:cs="Times New Roman" w:eastAsia="Times New Roman" w:hAnsi="Times New Roman"/>
          <w:sz w:val="20"/>
          <w:szCs w:val="20"/>
          <w:color w:val="auto"/>
        </w:rPr>
        <w:t>) solely to the extent that any payment accrued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prior to the effective date of expiration or termination of this Agreement or with respect to royalties payable as a result of Fulcrum’s license grant under Section 2.2.3 (</w:t>
      </w:r>
      <w:r>
        <w:rPr>
          <w:rFonts w:ascii="Times New Roman" w:cs="Times New Roman" w:eastAsia="Times New Roman" w:hAnsi="Times New Roman"/>
          <w:sz w:val="20"/>
          <w:szCs w:val="20"/>
          <w:i w:val="1"/>
          <w:iCs w:val="1"/>
          <w:color w:val="auto"/>
        </w:rPr>
        <w:t>License Grants to Fulcrum</w:t>
      </w:r>
      <w:r>
        <w:rPr>
          <w:rFonts w:ascii="Times New Roman" w:cs="Times New Roman" w:eastAsia="Times New Roman" w:hAnsi="Times New Roman"/>
          <w:sz w:val="20"/>
          <w:szCs w:val="20"/>
          <w:color w:val="auto"/>
        </w:rPr>
        <w:t>) or the reversion royalties under Section 14.8.1 (</w:t>
      </w:r>
      <w:r>
        <w:rPr>
          <w:rFonts w:ascii="Times New Roman" w:cs="Times New Roman" w:eastAsia="Times New Roman" w:hAnsi="Times New Roman"/>
          <w:sz w:val="20"/>
          <w:szCs w:val="20"/>
          <w:i w:val="1"/>
          <w:iCs w:val="1"/>
          <w:color w:val="auto"/>
        </w:rPr>
        <w:t>Reversion</w:t>
      </w:r>
      <w:r>
        <w:rPr>
          <w:rFonts w:ascii="Times New Roman" w:cs="Times New Roman" w:eastAsia="Times New Roman" w:hAnsi="Times New Roman"/>
          <w:sz w:val="20"/>
          <w:szCs w:val="20"/>
          <w:color w:val="auto"/>
        </w:rPr>
        <w:t>), and with respect to record keeping obligations under Section 9.7.1 (</w:t>
      </w:r>
      <w:r>
        <w:rPr>
          <w:rFonts w:ascii="Times New Roman" w:cs="Times New Roman" w:eastAsia="Times New Roman" w:hAnsi="Times New Roman"/>
          <w:sz w:val="20"/>
          <w:szCs w:val="20"/>
          <w:i w:val="1"/>
          <w:iCs w:val="1"/>
          <w:color w:val="auto"/>
        </w:rPr>
        <w:t>Financial Records</w:t>
      </w:r>
      <w:r>
        <w:rPr>
          <w:rFonts w:ascii="Times New Roman" w:cs="Times New Roman" w:eastAsia="Times New Roman" w:hAnsi="Times New Roman"/>
          <w:sz w:val="20"/>
          <w:szCs w:val="20"/>
          <w:color w:val="auto"/>
        </w:rPr>
        <w:t>), solely for the time periods set forth therein; Section 10.1.1 (</w:t>
      </w:r>
      <w:r>
        <w:rPr>
          <w:rFonts w:ascii="Times New Roman" w:cs="Times New Roman" w:eastAsia="Times New Roman" w:hAnsi="Times New Roman"/>
          <w:sz w:val="20"/>
          <w:szCs w:val="20"/>
          <w:i w:val="1"/>
          <w:iCs w:val="1"/>
          <w:color w:val="auto"/>
        </w:rPr>
        <w:t>Ownership of Background Technology</w:t>
      </w:r>
      <w:r>
        <w:rPr>
          <w:rFonts w:ascii="Times New Roman" w:cs="Times New Roman" w:eastAsia="Times New Roman" w:hAnsi="Times New Roman"/>
          <w:sz w:val="20"/>
          <w:szCs w:val="20"/>
          <w:color w:val="auto"/>
        </w:rPr>
        <w:t>); Section 10.1.2 (</w:t>
      </w:r>
      <w:r>
        <w:rPr>
          <w:rFonts w:ascii="Times New Roman" w:cs="Times New Roman" w:eastAsia="Times New Roman" w:hAnsi="Times New Roman"/>
          <w:sz w:val="20"/>
          <w:szCs w:val="20"/>
          <w:i w:val="1"/>
          <w:iCs w:val="1"/>
          <w:color w:val="auto"/>
        </w:rPr>
        <w:t>Ownership of Foreground Intellectual Property</w:t>
      </w:r>
      <w:r>
        <w:rPr>
          <w:rFonts w:ascii="Times New Roman" w:cs="Times New Roman" w:eastAsia="Times New Roman" w:hAnsi="Times New Roman"/>
          <w:sz w:val="20"/>
          <w:szCs w:val="20"/>
          <w:color w:val="auto"/>
        </w:rPr>
        <w:t>); the last sentence of Section 11.3.7 (</w:t>
      </w:r>
      <w:r>
        <w:rPr>
          <w:rFonts w:ascii="Times New Roman" w:cs="Times New Roman" w:eastAsia="Times New Roman" w:hAnsi="Times New Roman"/>
          <w:sz w:val="20"/>
          <w:szCs w:val="20"/>
          <w:i w:val="1"/>
          <w:iCs w:val="1"/>
          <w:color w:val="auto"/>
        </w:rPr>
        <w:t>Debarred/Excluded Persons</w:t>
      </w:r>
      <w:r>
        <w:rPr>
          <w:rFonts w:ascii="Times New Roman" w:cs="Times New Roman" w:eastAsia="Times New Roman" w:hAnsi="Times New Roman"/>
          <w:sz w:val="20"/>
          <w:szCs w:val="20"/>
          <w:color w:val="auto"/>
        </w:rPr>
        <w:t>), Article 13 (</w:t>
      </w: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Section 13.4 (</w:t>
      </w:r>
      <w:r>
        <w:rPr>
          <w:rFonts w:ascii="Times New Roman" w:cs="Times New Roman" w:eastAsia="Times New Roman" w:hAnsi="Times New Roman"/>
          <w:sz w:val="20"/>
          <w:szCs w:val="20"/>
          <w:i w:val="1"/>
          <w:iCs w:val="1"/>
          <w:color w:val="auto"/>
        </w:rPr>
        <w:t>Insurance</w:t>
      </w:r>
      <w:r>
        <w:rPr>
          <w:rFonts w:ascii="Times New Roman" w:cs="Times New Roman" w:eastAsia="Times New Roman" w:hAnsi="Times New Roman"/>
          <w:sz w:val="20"/>
          <w:szCs w:val="20"/>
          <w:color w:val="auto"/>
        </w:rPr>
        <w:t>) shall survive solely for the time period set forth therein);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solely for the period set forth therein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of termination but not expiration of this Agreement, notwithstanding Section 12.2 (</w:t>
      </w:r>
      <w:r>
        <w:rPr>
          <w:rFonts w:ascii="Times New Roman" w:cs="Times New Roman" w:eastAsia="Times New Roman" w:hAnsi="Times New Roman"/>
          <w:sz w:val="20"/>
          <w:szCs w:val="20"/>
          <w:i w:val="1"/>
          <w:iCs w:val="1"/>
          <w:color w:val="auto"/>
        </w:rPr>
        <w:t>Confidential Information</w:t>
      </w:r>
      <w:r>
        <w:rPr>
          <w:rFonts w:ascii="Times New Roman" w:cs="Times New Roman" w:eastAsia="Times New Roman" w:hAnsi="Times New Roman"/>
          <w:sz w:val="20"/>
          <w:szCs w:val="20"/>
          <w:color w:val="auto"/>
        </w:rPr>
        <w:t xml:space="preserve">), all Fulcrum Know-How will be deemed the Confidential Information of Fulcrum rather than the Confidential Information of both Parties upon completion of Sanofi’s transition activities under Section 14.8 (Effects of Termination) of this Agreement) and </w:t>
      </w:r>
      <w:r>
        <w:rPr>
          <w:rFonts w:ascii="Times New Roman" w:cs="Times New Roman" w:eastAsia="Times New Roman" w:hAnsi="Times New Roman"/>
          <w:sz w:val="20"/>
          <w:szCs w:val="20"/>
          <w:i w:val="1"/>
          <w:iCs w:val="1"/>
          <w:color w:val="auto"/>
        </w:rPr>
        <w:t>except</w:t>
      </w:r>
      <w:r>
        <w:rPr>
          <w:rFonts w:ascii="Times New Roman" w:cs="Times New Roman" w:eastAsia="Times New Roman" w:hAnsi="Times New Roman"/>
          <w:sz w:val="20"/>
          <w:szCs w:val="20"/>
          <w:color w:val="auto"/>
        </w:rPr>
        <w:t xml:space="preserve"> for Section 12.5 (</w:t>
      </w:r>
      <w:r>
        <w:rPr>
          <w:rFonts w:ascii="Times New Roman" w:cs="Times New Roman" w:eastAsia="Times New Roman" w:hAnsi="Times New Roman"/>
          <w:sz w:val="20"/>
          <w:szCs w:val="20"/>
          <w:i w:val="1"/>
          <w:iCs w:val="1"/>
          <w:color w:val="auto"/>
        </w:rPr>
        <w:t>Joint Publication Strategy</w:t>
      </w:r>
      <w:r>
        <w:rPr>
          <w:rFonts w:ascii="Times New Roman" w:cs="Times New Roman" w:eastAsia="Times New Roman" w:hAnsi="Times New Roman"/>
          <w:sz w:val="20"/>
          <w:szCs w:val="20"/>
          <w:color w:val="auto"/>
        </w:rPr>
        <w:t>), Section 12.6 (</w:t>
      </w:r>
      <w:r>
        <w:rPr>
          <w:rFonts w:ascii="Times New Roman" w:cs="Times New Roman" w:eastAsia="Times New Roman" w:hAnsi="Times New Roman"/>
          <w:sz w:val="20"/>
          <w:szCs w:val="20"/>
          <w:i w:val="1"/>
          <w:iCs w:val="1"/>
          <w:color w:val="auto"/>
        </w:rPr>
        <w:t>Publication and Listing of Clinical Trials</w:t>
      </w:r>
      <w:r>
        <w:rPr>
          <w:rFonts w:ascii="Times New Roman" w:cs="Times New Roman" w:eastAsia="Times New Roman" w:hAnsi="Times New Roman"/>
          <w:sz w:val="20"/>
          <w:szCs w:val="20"/>
          <w:color w:val="auto"/>
        </w:rPr>
        <w:t>) and Section 12.7.1 (</w:t>
      </w:r>
      <w:r>
        <w:rPr>
          <w:rFonts w:ascii="Times New Roman" w:cs="Times New Roman" w:eastAsia="Times New Roman" w:hAnsi="Times New Roman"/>
          <w:sz w:val="20"/>
          <w:szCs w:val="20"/>
          <w:i w:val="1"/>
          <w:iCs w:val="1"/>
          <w:color w:val="auto"/>
        </w:rPr>
        <w:t>Press Releases</w:t>
      </w:r>
      <w:r>
        <w:rPr>
          <w:rFonts w:ascii="Times New Roman" w:cs="Times New Roman" w:eastAsia="Times New Roman" w:hAnsi="Times New Roman"/>
          <w:sz w:val="20"/>
          <w:szCs w:val="20"/>
          <w:color w:val="auto"/>
        </w:rPr>
        <w:t>), which will each terminate upon expiration or termination of this Agreement; the second sentence of Section 14.1 (</w:t>
      </w:r>
      <w:r>
        <w:rPr>
          <w:rFonts w:ascii="Times New Roman" w:cs="Times New Roman" w:eastAsia="Times New Roman" w:hAnsi="Times New Roman"/>
          <w:sz w:val="20"/>
          <w:szCs w:val="20"/>
          <w:i w:val="1"/>
          <w:iCs w:val="1"/>
          <w:color w:val="auto"/>
        </w:rPr>
        <w:t>Term</w:t>
      </w:r>
      <w:r>
        <w:rPr>
          <w:rFonts w:ascii="Times New Roman" w:cs="Times New Roman" w:eastAsia="Times New Roman" w:hAnsi="Times New Roman"/>
          <w:sz w:val="20"/>
          <w:szCs w:val="20"/>
          <w:color w:val="auto"/>
        </w:rPr>
        <w:t>); Section 14.8 (</w:t>
      </w:r>
      <w:r>
        <w:rPr>
          <w:rFonts w:ascii="Times New Roman" w:cs="Times New Roman" w:eastAsia="Times New Roman" w:hAnsi="Times New Roman"/>
          <w:sz w:val="20"/>
          <w:szCs w:val="20"/>
          <w:i w:val="1"/>
          <w:iCs w:val="1"/>
          <w:color w:val="auto"/>
        </w:rPr>
        <w:t>Effects of Termination of this Agreement</w:t>
      </w:r>
      <w:r>
        <w:rPr>
          <w:rFonts w:ascii="Times New Roman" w:cs="Times New Roman" w:eastAsia="Times New Roman" w:hAnsi="Times New Roman"/>
          <w:sz w:val="20"/>
          <w:szCs w:val="20"/>
          <w:color w:val="auto"/>
        </w:rPr>
        <w:t>); this Section 14.9 (</w:t>
      </w:r>
      <w:r>
        <w:rPr>
          <w:rFonts w:ascii="Times New Roman" w:cs="Times New Roman" w:eastAsia="Times New Roman" w:hAnsi="Times New Roman"/>
          <w:sz w:val="20"/>
          <w:szCs w:val="20"/>
          <w:i w:val="1"/>
          <w:iCs w:val="1"/>
          <w:color w:val="auto"/>
        </w:rPr>
        <w:t>Survival; Accrued Rights</w:t>
      </w:r>
      <w:r>
        <w:rPr>
          <w:rFonts w:ascii="Times New Roman" w:cs="Times New Roman" w:eastAsia="Times New Roman" w:hAnsi="Times New Roman"/>
          <w:sz w:val="20"/>
          <w:szCs w:val="20"/>
          <w:color w:val="auto"/>
        </w:rPr>
        <w:t>); Article 15 (</w:t>
      </w:r>
      <w:r>
        <w:rPr>
          <w:rFonts w:ascii="Times New Roman" w:cs="Times New Roman" w:eastAsia="Times New Roman" w:hAnsi="Times New Roman"/>
          <w:sz w:val="20"/>
          <w:szCs w:val="20"/>
          <w:i w:val="1"/>
          <w:iCs w:val="1"/>
          <w:color w:val="auto"/>
        </w:rPr>
        <w:t>Dispute Resolution;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and Article 16 (</w:t>
      </w:r>
      <w:r>
        <w:rPr>
          <w:rFonts w:ascii="Times New Roman" w:cs="Times New Roman" w:eastAsia="Times New Roman" w:hAnsi="Times New Roman"/>
          <w:sz w:val="20"/>
          <w:szCs w:val="20"/>
          <w:i w:val="1"/>
          <w:iCs w:val="1"/>
          <w:color w:val="auto"/>
        </w:rPr>
        <w:t>Miscellaneous</w:t>
      </w:r>
      <w:r>
        <w:rPr>
          <w:rFonts w:ascii="Times New Roman" w:cs="Times New Roman" w:eastAsia="Times New Roman" w:hAnsi="Times New Roman"/>
          <w:sz w:val="20"/>
          <w:szCs w:val="20"/>
          <w:color w:val="auto"/>
        </w:rPr>
        <w:t>). For any surviving provisions requiring action or decision by a Committee, 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Party shall appoint representatives to act as its Committee members. All provisions not surviving in accordance with the foregoing shall terminate upon expiration or termination of this Agreement and be of no further force and effect. If this Agreement is terminated with respect to one or more Reversion Products but not in its entirety, then following such termination the foregoing provisions of this Agreement shall remain in effect with respect to such Reversion Product(s) (to the extent they would survive and apply in the event this Agreement expires or is terminated in its entirety), and all provisions not surviving in accordance with the foregoing shall terminate upon termination of this Agreement with respect to the applicable Reversion Products and be of no further force and effect.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DISPUTE RESOLUTION; GOVERNING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15.1 Dispute Resolution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500" w:hanging="694"/>
        <w:spacing w:after="0" w:line="242" w:lineRule="auto"/>
        <w:tabs>
          <w:tab w:leader="none" w:pos="1480" w:val="left"/>
        </w:tabs>
        <w:rPr>
          <w:sz w:val="20"/>
          <w:szCs w:val="20"/>
          <w:color w:val="auto"/>
        </w:rPr>
      </w:pPr>
      <w:r>
        <w:rPr>
          <w:rFonts w:ascii="Times New Roman" w:cs="Times New Roman" w:eastAsia="Times New Roman" w:hAnsi="Times New Roman"/>
          <w:sz w:val="20"/>
          <w:szCs w:val="20"/>
          <w:color w:val="auto"/>
        </w:rPr>
        <w:t>15.1.1</w:t>
        <w:tab/>
        <w:t>Each Party will ensure that an Executive Officer is designated for such Party at all times during the Term for dispute resolution purposes, and will promptly notify the other Party of any change in its designated Executive Officer. Except as expressly set forth in this Agreement, in the event of a dispute arising under, relating to, or in connection with this Agreement (except for disputes arising at the JSC, which will be resolved in accordance with Section 3.8 (</w:t>
      </w:r>
      <w:r>
        <w:rPr>
          <w:rFonts w:ascii="Times New Roman" w:cs="Times New Roman" w:eastAsia="Times New Roman" w:hAnsi="Times New Roman"/>
          <w:sz w:val="20"/>
          <w:szCs w:val="20"/>
          <w:i w:val="1"/>
          <w:iCs w:val="1"/>
          <w:color w:val="auto"/>
        </w:rPr>
        <w:t>Resolution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Committee Disputes</w:t>
      </w:r>
      <w:r>
        <w:rPr>
          <w:rFonts w:ascii="Times New Roman" w:cs="Times New Roman" w:eastAsia="Times New Roman" w:hAnsi="Times New Roman"/>
          <w:sz w:val="20"/>
          <w:szCs w:val="20"/>
          <w:color w:val="auto"/>
        </w:rPr>
        <w:t>)), the Alliance Manager of the Party claiming that such dispute exists will give notice in writing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Dispute</w:t>
      </w:r>
      <w:r>
        <w:rPr>
          <w:rFonts w:ascii="Times New Roman" w:cs="Times New Roman" w:eastAsia="Times New Roman" w:hAnsi="Times New Roman"/>
          <w:sz w:val="20"/>
          <w:szCs w:val="20"/>
          <w:color w:val="auto"/>
        </w:rPr>
        <w:t>”) to the other Party of the nature of the dispute. For [***] after receipt of such Notice of Dispute, the Parties will make good faith efforts to resolve the dispute (“</w:t>
      </w:r>
      <w:r>
        <w:rPr>
          <w:rFonts w:ascii="Times New Roman" w:cs="Times New Roman" w:eastAsia="Times New Roman" w:hAnsi="Times New Roman"/>
          <w:sz w:val="20"/>
          <w:szCs w:val="20"/>
          <w:b w:val="1"/>
          <w:bCs w:val="1"/>
          <w:color w:val="auto"/>
        </w:rPr>
        <w:t>EO Dispute Resolution Period</w:t>
      </w:r>
      <w:r>
        <w:rPr>
          <w:rFonts w:ascii="Times New Roman" w:cs="Times New Roman" w:eastAsia="Times New Roman" w:hAnsi="Times New Roman"/>
          <w:sz w:val="20"/>
          <w:szCs w:val="20"/>
          <w:color w:val="auto"/>
        </w:rPr>
        <w:t>”), and within [***] following receipt of a Notice of Dispute, the Executive Officers will meet (including via teleconference) at a mutually agreed upon time and location for discussion and potential resolution. After the EO Dispute Resolution Period, if the Party that issued the Notice of Dispute considers the dispute to be unresolved, then such Party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0" w:name="page191"/>
    <w:bookmarkEnd w:id="190"/>
    <w:p>
      <w:pPr>
        <w:jc w:val="both"/>
        <w:ind w:left="380"/>
        <w:spacing w:after="0" w:line="250" w:lineRule="auto"/>
        <w:rPr>
          <w:sz w:val="20"/>
          <w:szCs w:val="20"/>
          <w:color w:val="auto"/>
        </w:rPr>
      </w:pPr>
      <w:r>
        <w:rPr>
          <w:rFonts w:ascii="Times New Roman" w:cs="Times New Roman" w:eastAsia="Times New Roman" w:hAnsi="Times New Roman"/>
          <w:sz w:val="20"/>
          <w:szCs w:val="20"/>
          <w:color w:val="auto"/>
        </w:rPr>
        <w:t>may give a written notice to the other Party (a “</w:t>
      </w:r>
      <w:r>
        <w:rPr>
          <w:rFonts w:ascii="Times New Roman" w:cs="Times New Roman" w:eastAsia="Times New Roman" w:hAnsi="Times New Roman"/>
          <w:sz w:val="20"/>
          <w:szCs w:val="20"/>
          <w:b w:val="1"/>
          <w:bCs w:val="1"/>
          <w:color w:val="auto"/>
        </w:rPr>
        <w:t>Notice of Arbitration</w:t>
      </w:r>
      <w:r>
        <w:rPr>
          <w:rFonts w:ascii="Times New Roman" w:cs="Times New Roman" w:eastAsia="Times New Roman" w:hAnsi="Times New Roman"/>
          <w:sz w:val="20"/>
          <w:szCs w:val="20"/>
          <w:color w:val="auto"/>
        </w:rPr>
        <w:t>”) of the first Party’s intent to arbitrate such dispute. If the Party that issued the Notice of Dispute fails to issue a Notice of Arbitration within [***] after the expiration of the EO Dispute Resolution Period, then such dispute will be deemed to have been resolved under this Section 15.1.1 (</w:t>
      </w:r>
      <w:r>
        <w:rPr>
          <w:rFonts w:ascii="Times New Roman" w:cs="Times New Roman" w:eastAsia="Times New Roman" w:hAnsi="Times New Roman"/>
          <w:sz w:val="20"/>
          <w:szCs w:val="20"/>
          <w:i w:val="1"/>
          <w:iCs w:val="1"/>
          <w:color w:val="auto"/>
        </w:rPr>
        <w:t>Dispute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Resolution</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left="380" w:hanging="694"/>
        <w:spacing w:after="0" w:line="246" w:lineRule="auto"/>
        <w:tabs>
          <w:tab w:leader="none" w:pos="360" w:val="left"/>
        </w:tabs>
        <w:rPr>
          <w:sz w:val="20"/>
          <w:szCs w:val="20"/>
          <w:color w:val="auto"/>
        </w:rPr>
      </w:pPr>
      <w:r>
        <w:rPr>
          <w:rFonts w:ascii="Times New Roman" w:cs="Times New Roman" w:eastAsia="Times New Roman" w:hAnsi="Times New Roman"/>
          <w:sz w:val="20"/>
          <w:szCs w:val="20"/>
          <w:color w:val="auto"/>
        </w:rPr>
        <w:t>15.1.2</w:t>
        <w:tab/>
        <w:t>Any dispute (other than any dispute described in Section 15.2 (</w:t>
      </w:r>
      <w:r>
        <w:rPr>
          <w:rFonts w:ascii="Times New Roman" w:cs="Times New Roman" w:eastAsia="Times New Roman" w:hAnsi="Times New Roman"/>
          <w:sz w:val="20"/>
          <w:szCs w:val="20"/>
          <w:i w:val="1"/>
          <w:iCs w:val="1"/>
          <w:color w:val="auto"/>
        </w:rPr>
        <w:t>Intellectual Property Disputes</w:t>
      </w:r>
      <w:r>
        <w:rPr>
          <w:rFonts w:ascii="Times New Roman" w:cs="Times New Roman" w:eastAsia="Times New Roman" w:hAnsi="Times New Roman"/>
          <w:sz w:val="20"/>
          <w:szCs w:val="20"/>
          <w:color w:val="auto"/>
        </w:rPr>
        <w:t>) below) unresolved under Section 15.1.1 (</w:t>
      </w:r>
      <w:r>
        <w:rPr>
          <w:rFonts w:ascii="Times New Roman" w:cs="Times New Roman" w:eastAsia="Times New Roman" w:hAnsi="Times New Roman"/>
          <w:sz w:val="20"/>
          <w:szCs w:val="20"/>
          <w:i w:val="1"/>
          <w:iCs w:val="1"/>
          <w:color w:val="auto"/>
        </w:rPr>
        <w:t>Dispute Resolution</w:t>
      </w:r>
      <w:r>
        <w:rPr>
          <w:rFonts w:ascii="Times New Roman" w:cs="Times New Roman" w:eastAsia="Times New Roman" w:hAnsi="Times New Roman"/>
          <w:sz w:val="20"/>
          <w:szCs w:val="20"/>
          <w:color w:val="auto"/>
        </w:rPr>
        <w:t>) shall be finally resolved by binding arbitration administered by the Judicial Arbitration and Mediation Services (“</w:t>
      </w:r>
      <w:r>
        <w:rPr>
          <w:rFonts w:ascii="Times New Roman" w:cs="Times New Roman" w:eastAsia="Times New Roman" w:hAnsi="Times New Roman"/>
          <w:sz w:val="20"/>
          <w:szCs w:val="20"/>
          <w:b w:val="1"/>
          <w:bCs w:val="1"/>
          <w:color w:val="auto"/>
        </w:rPr>
        <w:t>JAMS</w:t>
      </w:r>
      <w:r>
        <w:rPr>
          <w:rFonts w:ascii="Times New Roman" w:cs="Times New Roman" w:eastAsia="Times New Roman" w:hAnsi="Times New Roman"/>
          <w:sz w:val="20"/>
          <w:szCs w:val="20"/>
          <w:color w:val="auto"/>
        </w:rPr>
        <w:t>”) pursuant to JAMS’ Streamlined Arbitration Rules and Procedures then in effect, as modified in this Section 15.1 (</w:t>
      </w:r>
      <w:r>
        <w:rPr>
          <w:rFonts w:ascii="Times New Roman" w:cs="Times New Roman" w:eastAsia="Times New Roman" w:hAnsi="Times New Roman"/>
          <w:sz w:val="20"/>
          <w:szCs w:val="20"/>
          <w:i w:val="1"/>
          <w:iCs w:val="1"/>
          <w:color w:val="auto"/>
        </w:rPr>
        <w:t>Dispute Resolution</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JAMS Rules</w:t>
      </w:r>
      <w:r>
        <w:rPr>
          <w:rFonts w:ascii="Times New Roman" w:cs="Times New Roman" w:eastAsia="Times New Roman" w:hAnsi="Times New Roman"/>
          <w:sz w:val="20"/>
          <w:szCs w:val="20"/>
          <w:color w:val="auto"/>
        </w:rPr>
        <w:t>”), except to the extent such JAMS Rules are inconsistent with this Section 15.1 (</w:t>
      </w:r>
      <w:r>
        <w:rPr>
          <w:rFonts w:ascii="Times New Roman" w:cs="Times New Roman" w:eastAsia="Times New Roman" w:hAnsi="Times New Roman"/>
          <w:sz w:val="20"/>
          <w:szCs w:val="20"/>
          <w:i w:val="1"/>
          <w:iCs w:val="1"/>
          <w:color w:val="auto"/>
        </w:rPr>
        <w:t>Dispute Resolution</w:t>
      </w:r>
      <w:r>
        <w:rPr>
          <w:rFonts w:ascii="Times New Roman" w:cs="Times New Roman" w:eastAsia="Times New Roman" w:hAnsi="Times New Roman"/>
          <w:sz w:val="20"/>
          <w:szCs w:val="20"/>
          <w:color w:val="auto"/>
        </w:rPr>
        <w:t>) in which case, this Section 15.1 (</w:t>
      </w:r>
      <w:r>
        <w:rPr>
          <w:rFonts w:ascii="Times New Roman" w:cs="Times New Roman" w:eastAsia="Times New Roman" w:hAnsi="Times New Roman"/>
          <w:sz w:val="20"/>
          <w:szCs w:val="20"/>
          <w:i w:val="1"/>
          <w:iCs w:val="1"/>
          <w:color w:val="auto"/>
        </w:rPr>
        <w:t>Dispute Resolution</w:t>
      </w:r>
      <w:r>
        <w:rPr>
          <w:rFonts w:ascii="Times New Roman" w:cs="Times New Roman" w:eastAsia="Times New Roman" w:hAnsi="Times New Roman"/>
          <w:sz w:val="20"/>
          <w:szCs w:val="20"/>
          <w:color w:val="auto"/>
        </w:rPr>
        <w:t>) will control (including with regard to any limitations of liability or forms of relief).</w:t>
      </w:r>
    </w:p>
    <w:p>
      <w:pPr>
        <w:spacing w:after="0" w:line="183" w:lineRule="exact"/>
        <w:rPr>
          <w:sz w:val="20"/>
          <w:szCs w:val="20"/>
          <w:color w:val="auto"/>
        </w:rPr>
      </w:pPr>
    </w:p>
    <w:p>
      <w:pPr>
        <w:jc w:val="both"/>
        <w:ind w:left="380" w:hanging="694"/>
        <w:spacing w:after="0" w:line="257" w:lineRule="auto"/>
        <w:tabs>
          <w:tab w:leader="none" w:pos="360" w:val="left"/>
        </w:tabs>
        <w:rPr>
          <w:sz w:val="20"/>
          <w:szCs w:val="20"/>
          <w:color w:val="auto"/>
        </w:rPr>
      </w:pPr>
      <w:r>
        <w:rPr>
          <w:rFonts w:ascii="Times New Roman" w:cs="Times New Roman" w:eastAsia="Times New Roman" w:hAnsi="Times New Roman"/>
          <w:sz w:val="20"/>
          <w:szCs w:val="20"/>
          <w:color w:val="auto"/>
        </w:rPr>
        <w:t>15.1.3</w:t>
      </w:r>
      <w:r>
        <w:rPr>
          <w:sz w:val="20"/>
          <w:szCs w:val="20"/>
          <w:color w:val="auto"/>
        </w:rPr>
        <w:tab/>
      </w:r>
      <w:r>
        <w:rPr>
          <w:rFonts w:ascii="Times New Roman" w:cs="Times New Roman" w:eastAsia="Times New Roman" w:hAnsi="Times New Roman"/>
          <w:sz w:val="19"/>
          <w:szCs w:val="19"/>
          <w:color w:val="auto"/>
        </w:rPr>
        <w:t xml:space="preserve">The applicable dispute will be resolved by final and binding arbitration before a single arbitrator mutually agreed by the Parties;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the Parties cannot agree within [***] after receipt of a notice to arbitrate, then the arbitrator will be chosen in accordance with JAMS Rule 15 (the “</w:t>
      </w:r>
      <w:r>
        <w:rPr>
          <w:rFonts w:ascii="Times New Roman" w:cs="Times New Roman" w:eastAsia="Times New Roman" w:hAnsi="Times New Roman"/>
          <w:sz w:val="19"/>
          <w:szCs w:val="19"/>
          <w:b w:val="1"/>
          <w:bCs w:val="1"/>
          <w:color w:val="auto"/>
        </w:rPr>
        <w:t>Arbitrator</w:t>
      </w:r>
      <w:r>
        <w:rPr>
          <w:rFonts w:ascii="Times New Roman" w:cs="Times New Roman" w:eastAsia="Times New Roman" w:hAnsi="Times New Roman"/>
          <w:sz w:val="19"/>
          <w:szCs w:val="19"/>
          <w:color w:val="auto"/>
        </w:rPr>
        <w:t>”). The Arbitrator (i) will not be from academia, (ii) will be a qualified attorney in private practice or a retired judge with experience in complex commercial disputes, (iii) will be professionally fluent in English, (iv) will have not less than [***] of experience in the biotechnology or pharmaceutical industry and subject matter expertise with respect to the matter subject to arbitration, and (v) will have educational training and industry experience sufficient to demonstrate a reasonable level of scientific, financial, medical and industry knowledge relevant to the particular dispute. The Arbitrator will agree to a fixed fee of [***] or less; if the Arbitrator will not agree to such amount, then either Party will have the right to cause a different Arbitrator to be selected.</w:t>
      </w:r>
    </w:p>
    <w:p>
      <w:pPr>
        <w:spacing w:after="0" w:line="176" w:lineRule="exact"/>
        <w:rPr>
          <w:sz w:val="20"/>
          <w:szCs w:val="20"/>
          <w:color w:val="auto"/>
        </w:rPr>
      </w:pPr>
    </w:p>
    <w:p>
      <w:pPr>
        <w:ind w:left="380" w:right="60" w:hanging="694"/>
        <w:spacing w:after="0" w:line="269" w:lineRule="auto"/>
        <w:tabs>
          <w:tab w:leader="none" w:pos="360" w:val="left"/>
        </w:tabs>
        <w:rPr>
          <w:sz w:val="20"/>
          <w:szCs w:val="20"/>
          <w:color w:val="auto"/>
        </w:rPr>
      </w:pPr>
      <w:r>
        <w:rPr>
          <w:rFonts w:ascii="Times New Roman" w:cs="Times New Roman" w:eastAsia="Times New Roman" w:hAnsi="Times New Roman"/>
          <w:sz w:val="20"/>
          <w:szCs w:val="20"/>
          <w:color w:val="auto"/>
        </w:rPr>
        <w:t>15.1.4</w:t>
        <w:tab/>
        <w:t>Discovery will be limited to [***] custodial document productions per side, and no more than [***] discovery depositions may be conducted per side.</w:t>
      </w:r>
    </w:p>
    <w:p>
      <w:pPr>
        <w:spacing w:after="0" w:line="159" w:lineRule="exact"/>
        <w:rPr>
          <w:sz w:val="20"/>
          <w:szCs w:val="20"/>
          <w:color w:val="auto"/>
        </w:rPr>
      </w:pPr>
    </w:p>
    <w:p>
      <w:pPr>
        <w:jc w:val="both"/>
        <w:ind w:left="380" w:right="20" w:hanging="694"/>
        <w:spacing w:after="0" w:line="269" w:lineRule="auto"/>
        <w:tabs>
          <w:tab w:leader="none" w:pos="360" w:val="left"/>
        </w:tabs>
        <w:rPr>
          <w:sz w:val="20"/>
          <w:szCs w:val="20"/>
          <w:color w:val="auto"/>
        </w:rPr>
      </w:pPr>
      <w:r>
        <w:rPr>
          <w:rFonts w:ascii="Times New Roman" w:cs="Times New Roman" w:eastAsia="Times New Roman" w:hAnsi="Times New Roman"/>
          <w:sz w:val="20"/>
          <w:szCs w:val="20"/>
          <w:color w:val="auto"/>
        </w:rPr>
        <w:t>15.1.5</w:t>
        <w:tab/>
        <w:t>Direct testimony per fact witness will not exceed [***] hours, and cross examination of any fact witness will not exceed [***].</w:t>
      </w:r>
    </w:p>
    <w:p>
      <w:pPr>
        <w:spacing w:after="0" w:line="159" w:lineRule="exact"/>
        <w:rPr>
          <w:sz w:val="20"/>
          <w:szCs w:val="20"/>
          <w:color w:val="auto"/>
        </w:rPr>
      </w:pPr>
    </w:p>
    <w:p>
      <w:pPr>
        <w:jc w:val="both"/>
        <w:ind w:left="380" w:hanging="694"/>
        <w:spacing w:after="0" w:line="246" w:lineRule="auto"/>
        <w:tabs>
          <w:tab w:leader="none" w:pos="360" w:val="left"/>
        </w:tabs>
        <w:rPr>
          <w:sz w:val="20"/>
          <w:szCs w:val="20"/>
          <w:color w:val="auto"/>
        </w:rPr>
      </w:pPr>
      <w:r>
        <w:rPr>
          <w:rFonts w:ascii="Times New Roman" w:cs="Times New Roman" w:eastAsia="Times New Roman" w:hAnsi="Times New Roman"/>
          <w:sz w:val="20"/>
          <w:szCs w:val="20"/>
          <w:color w:val="auto"/>
        </w:rPr>
        <w:t>15.1.6</w:t>
        <w:tab/>
        <w:t>The JAMS Rules will be modified to delete paragraphs 16.2(b) and 16.2(e) of such procedures as in effect on the Effective Date, and the timelines will be modified to provide that: (i) the discovery cutoff for percipient discovery will not exceed [***] after the preliminary conference, (ii) the discovery cutoff for expert discovery will not exceed [***] after the preliminary conference and (iii) the hearing will commence within [***] after the cutoff for expert discovery and will be concluded within [***] after it is commenced.</w:t>
      </w:r>
    </w:p>
    <w:p>
      <w:pPr>
        <w:spacing w:after="0" w:line="185" w:lineRule="exact"/>
        <w:rPr>
          <w:sz w:val="20"/>
          <w:szCs w:val="20"/>
          <w:color w:val="auto"/>
        </w:rPr>
      </w:pPr>
    </w:p>
    <w:p>
      <w:pPr>
        <w:jc w:val="both"/>
        <w:ind w:left="380" w:hanging="694"/>
        <w:spacing w:after="0" w:line="245" w:lineRule="auto"/>
        <w:tabs>
          <w:tab w:leader="none" w:pos="360" w:val="left"/>
        </w:tabs>
        <w:rPr>
          <w:sz w:val="20"/>
          <w:szCs w:val="20"/>
          <w:color w:val="auto"/>
        </w:rPr>
      </w:pPr>
      <w:r>
        <w:rPr>
          <w:rFonts w:ascii="Times New Roman" w:cs="Times New Roman" w:eastAsia="Times New Roman" w:hAnsi="Times New Roman"/>
          <w:sz w:val="20"/>
          <w:szCs w:val="20"/>
          <w:color w:val="auto"/>
        </w:rPr>
        <w:t>15.1.7</w:t>
        <w:tab/>
        <w:t>The Arbitrator will, within [***] after the conclusion of the hearing, issue a written award and statement of decision describing the material facts and the grounds for the conclusions on which the award is based, including the calculation of any damages awarded. The Arbitrator will be authorized to award compensatory damages, but will not be authorized to reform, modify or materially change this Agreement. The proceedings and decisions of the Arbitrator will be confidential, final and binding on the Parties, and judgment upon the award of the Arbitrator may be entered in any court having jurisdiction thereof. For clarity, neither Party will have any right to appeal the decisions of the Arbitrator.</w:t>
      </w:r>
    </w:p>
    <w:p>
      <w:pPr>
        <w:spacing w:after="0" w:line="18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764540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91" w:name="page192"/>
    <w:bookmarkEnd w:id="191"/>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0"/>
          <w:szCs w:val="20"/>
          <w:color w:val="auto"/>
        </w:rPr>
        <w:t>15.1.8</w:t>
        <w:tab/>
        <w:t>Each Party will bear its own costs and expenses (including legal fees and expenses) relating to the arbitration proceeding, except that the fees of the Arbitrator and other related costs of the arbitration will be shared equally by the Parties, unless the Arbitrator determines that a Party has incurred unreasonable expenses due to vexatious or bad faith positions taken by the other Party, in which event the Arbitrator may make an award of all or any portion of such expenses (including legal fees and expenses) so incurred.</w:t>
      </w:r>
    </w:p>
    <w:p>
      <w:pPr>
        <w:spacing w:after="0" w:line="185" w:lineRule="exact"/>
        <w:rPr>
          <w:sz w:val="20"/>
          <w:szCs w:val="20"/>
          <w:color w:val="auto"/>
        </w:rPr>
      </w:pPr>
    </w:p>
    <w:p>
      <w:pPr>
        <w:jc w:val="both"/>
        <w:ind w:left="1500" w:hanging="694"/>
        <w:spacing w:after="0" w:line="249" w:lineRule="auto"/>
        <w:tabs>
          <w:tab w:leader="none" w:pos="1480" w:val="left"/>
        </w:tabs>
        <w:rPr>
          <w:sz w:val="20"/>
          <w:szCs w:val="20"/>
          <w:color w:val="auto"/>
        </w:rPr>
      </w:pPr>
      <w:r>
        <w:rPr>
          <w:rFonts w:ascii="Times New Roman" w:cs="Times New Roman" w:eastAsia="Times New Roman" w:hAnsi="Times New Roman"/>
          <w:sz w:val="20"/>
          <w:szCs w:val="20"/>
          <w:color w:val="auto"/>
        </w:rPr>
        <w:t>15.1.9</w:t>
        <w:tab/>
        <w:t>The Arbitrator will be required to render the decision in writing that is no more than [***] pages. The Arbitrator will comply with, and the award will be limited by, any express provisions of this Agreement relating to damages or the limitation thereof. The Arbitrator will not have the power to award punitive damages under this Agreement regardless of whether any such damages are contained in a proposal, and such award is expressly prohibited.</w:t>
      </w:r>
    </w:p>
    <w:p>
      <w:pPr>
        <w:spacing w:after="0" w:line="180" w:lineRule="exact"/>
        <w:rPr>
          <w:sz w:val="20"/>
          <w:szCs w:val="20"/>
          <w:color w:val="auto"/>
        </w:rPr>
      </w:pPr>
    </w:p>
    <w:p>
      <w:pPr>
        <w:jc w:val="both"/>
        <w:ind w:left="1500" w:hanging="694"/>
        <w:spacing w:after="0" w:line="243" w:lineRule="auto"/>
        <w:tabs>
          <w:tab w:leader="none" w:pos="1480" w:val="left"/>
        </w:tabs>
        <w:rPr>
          <w:sz w:val="20"/>
          <w:szCs w:val="20"/>
          <w:color w:val="auto"/>
        </w:rPr>
      </w:pPr>
      <w:r>
        <w:rPr>
          <w:rFonts w:ascii="Times New Roman" w:cs="Times New Roman" w:eastAsia="Times New Roman" w:hAnsi="Times New Roman"/>
          <w:sz w:val="20"/>
          <w:szCs w:val="20"/>
          <w:color w:val="auto"/>
        </w:rPr>
        <w:t>15.1.10</w:t>
        <w:tab/>
        <w:t>Unless the Parties otherwise agree in writing, during the period of time that any arbitration proceeding is pending under this Agreement: (i) the Parties will continue to comply with all those terms and provisions of this Agreement that are not the subject of the pending arbitration proceeding; (ii) in the event the arbitration proceeding concerns a potential material breach under Section 14.2 (</w:t>
      </w:r>
      <w:r>
        <w:rPr>
          <w:rFonts w:ascii="Times New Roman" w:cs="Times New Roman" w:eastAsia="Times New Roman" w:hAnsi="Times New Roman"/>
          <w:sz w:val="20"/>
          <w:szCs w:val="20"/>
          <w:i w:val="1"/>
          <w:iCs w:val="1"/>
          <w:color w:val="auto"/>
        </w:rPr>
        <w:t>Termination for Material Breach</w:t>
      </w:r>
      <w:r>
        <w:rPr>
          <w:rFonts w:ascii="Times New Roman" w:cs="Times New Roman" w:eastAsia="Times New Roman" w:hAnsi="Times New Roman"/>
          <w:sz w:val="20"/>
          <w:szCs w:val="20"/>
          <w:color w:val="auto"/>
        </w:rPr>
        <w:t>), the applicable cure period will be stayed until the conclusion of the proceedings under this Section 15.1 (</w:t>
      </w:r>
      <w:r>
        <w:rPr>
          <w:rFonts w:ascii="Times New Roman" w:cs="Times New Roman" w:eastAsia="Times New Roman" w:hAnsi="Times New Roman"/>
          <w:sz w:val="20"/>
          <w:szCs w:val="20"/>
          <w:i w:val="1"/>
          <w:iCs w:val="1"/>
          <w:color w:val="auto"/>
        </w:rPr>
        <w:t>Dispute Resolution</w:t>
      </w:r>
      <w:r>
        <w:rPr>
          <w:rFonts w:ascii="Times New Roman" w:cs="Times New Roman" w:eastAsia="Times New Roman" w:hAnsi="Times New Roman"/>
          <w:sz w:val="20"/>
          <w:szCs w:val="20"/>
          <w:color w:val="auto"/>
        </w:rPr>
        <w:t>); and (iii) in the event that the subject of the dispute relates to the exercise by a Party of a termination right hereunder, including in the case of a material breach of this Agreement, the effectiveness of such termination will be stayed until the conclusion of the proceedings under this Section 15.1 (</w:t>
      </w:r>
      <w:r>
        <w:rPr>
          <w:rFonts w:ascii="Times New Roman" w:cs="Times New Roman" w:eastAsia="Times New Roman" w:hAnsi="Times New Roman"/>
          <w:sz w:val="20"/>
          <w:szCs w:val="20"/>
          <w:i w:val="1"/>
          <w:iCs w:val="1"/>
          <w:color w:val="auto"/>
        </w:rPr>
        <w:t>Dispute Resolution</w:t>
      </w:r>
      <w:r>
        <w:rPr>
          <w:rFonts w:ascii="Times New Roman" w:cs="Times New Roman" w:eastAsia="Times New Roman" w:hAnsi="Times New Roman"/>
          <w:sz w:val="20"/>
          <w:szCs w:val="20"/>
          <w:color w:val="auto"/>
        </w:rPr>
        <w:t>). All arbitration proceedings and decisions of the Arbitrator under this Section 15.1 (</w:t>
      </w:r>
      <w:r>
        <w:rPr>
          <w:rFonts w:ascii="Times New Roman" w:cs="Times New Roman" w:eastAsia="Times New Roman" w:hAnsi="Times New Roman"/>
          <w:sz w:val="20"/>
          <w:szCs w:val="20"/>
          <w:i w:val="1"/>
          <w:iCs w:val="1"/>
          <w:color w:val="auto"/>
        </w:rPr>
        <w:t>Dispute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Resolution</w:t>
      </w:r>
      <w:r>
        <w:rPr>
          <w:rFonts w:ascii="Times New Roman" w:cs="Times New Roman" w:eastAsia="Times New Roman" w:hAnsi="Times New Roman"/>
          <w:sz w:val="20"/>
          <w:szCs w:val="20"/>
          <w:color w:val="auto"/>
        </w:rPr>
        <w:t>) will be deemed Confidential Information of both Parties under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15.1.11</w:t>
      </w:r>
      <w:r>
        <w:rPr>
          <w:sz w:val="20"/>
          <w:szCs w:val="20"/>
          <w:color w:val="auto"/>
        </w:rPr>
        <w:tab/>
      </w:r>
      <w:r>
        <w:rPr>
          <w:rFonts w:ascii="Times New Roman" w:cs="Times New Roman" w:eastAsia="Times New Roman" w:hAnsi="Times New Roman"/>
          <w:sz w:val="19"/>
          <w:szCs w:val="19"/>
          <w:color w:val="auto"/>
        </w:rPr>
        <w:t>The arbitration proceedings will take place in New York City, New York, in the English language.</w:t>
      </w:r>
    </w:p>
    <w:p>
      <w:pPr>
        <w:spacing w:after="0" w:line="212" w:lineRule="exact"/>
        <w:rPr>
          <w:sz w:val="20"/>
          <w:szCs w:val="20"/>
          <w:color w:val="auto"/>
        </w:rPr>
      </w:pPr>
    </w:p>
    <w:p>
      <w:pPr>
        <w:jc w:val="both"/>
        <w:ind w:left="1500" w:hanging="694"/>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15.1.12</w:t>
        <w:tab/>
        <w:t>Nothing in this Section 15.1 (</w:t>
      </w:r>
      <w:r>
        <w:rPr>
          <w:rFonts w:ascii="Times New Roman" w:cs="Times New Roman" w:eastAsia="Times New Roman" w:hAnsi="Times New Roman"/>
          <w:sz w:val="20"/>
          <w:szCs w:val="20"/>
          <w:i w:val="1"/>
          <w:iCs w:val="1"/>
          <w:color w:val="auto"/>
        </w:rPr>
        <w:t>Dispute Resolution</w:t>
      </w:r>
      <w:r>
        <w:rPr>
          <w:rFonts w:ascii="Times New Roman" w:cs="Times New Roman" w:eastAsia="Times New Roman" w:hAnsi="Times New Roman"/>
          <w:sz w:val="20"/>
          <w:szCs w:val="20"/>
          <w:color w:val="auto"/>
        </w:rPr>
        <w:t>) will preclude either Party from seeking equitable 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w:t>
      </w:r>
    </w:p>
    <w:p>
      <w:pPr>
        <w:spacing w:after="0" w:line="180" w:lineRule="exact"/>
        <w:rPr>
          <w:sz w:val="20"/>
          <w:szCs w:val="20"/>
          <w:color w:val="auto"/>
        </w:rPr>
      </w:pPr>
    </w:p>
    <w:p>
      <w:pPr>
        <w:ind w:left="1500" w:right="40" w:hanging="694"/>
        <w:spacing w:after="0" w:line="269" w:lineRule="auto"/>
        <w:tabs>
          <w:tab w:leader="none" w:pos="1480" w:val="left"/>
        </w:tabs>
        <w:rPr>
          <w:sz w:val="20"/>
          <w:szCs w:val="20"/>
          <w:color w:val="auto"/>
        </w:rPr>
      </w:pPr>
      <w:r>
        <w:rPr>
          <w:rFonts w:ascii="Times New Roman" w:cs="Times New Roman" w:eastAsia="Times New Roman" w:hAnsi="Times New Roman"/>
          <w:sz w:val="20"/>
          <w:szCs w:val="20"/>
          <w:color w:val="auto"/>
        </w:rPr>
        <w:t>15.1.13</w:t>
        <w:tab/>
        <w:t>In the event of a dispute regarding any payments owing under this Agreement, all undisputed amounts will be paid promptly when due and the balance, if any, promptly after resolution of the dispute.</w:t>
      </w:r>
    </w:p>
    <w:p>
      <w:pPr>
        <w:spacing w:after="0" w:line="155" w:lineRule="exact"/>
        <w:rPr>
          <w:sz w:val="20"/>
          <w:szCs w:val="20"/>
          <w:color w:val="auto"/>
        </w:rPr>
      </w:pPr>
    </w:p>
    <w:p>
      <w:pPr>
        <w:jc w:val="both"/>
        <w:ind w:left="760" w:hanging="748"/>
        <w:spacing w:after="0" w:line="247" w:lineRule="auto"/>
        <w:rPr>
          <w:sz w:val="20"/>
          <w:szCs w:val="20"/>
          <w:color w:val="auto"/>
        </w:rPr>
      </w:pPr>
      <w:r>
        <w:rPr>
          <w:rFonts w:ascii="Times New Roman" w:cs="Times New Roman" w:eastAsia="Times New Roman" w:hAnsi="Times New Roman"/>
          <w:sz w:val="20"/>
          <w:szCs w:val="20"/>
          <w:b w:val="1"/>
          <w:bCs w:val="1"/>
          <w:color w:val="auto"/>
        </w:rPr>
        <w:t>15.2 Intellectual Property Disputes</w:t>
      </w:r>
      <w:r>
        <w:rPr>
          <w:rFonts w:ascii="Times New Roman" w:cs="Times New Roman" w:eastAsia="Times New Roman" w:hAnsi="Times New Roman"/>
          <w:sz w:val="20"/>
          <w:szCs w:val="20"/>
          <w:color w:val="auto"/>
        </w:rPr>
        <w:t>. Notwithstanding any provision to the contrary set forth in this Agreement, if a dispute arises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with respect to the validity, scope, enforceability, or ownership of any Patent Right or other intellectual property rights, and such dispute is not resolved in accordance with Section 3.8.1 (</w:t>
      </w:r>
      <w:r>
        <w:rPr>
          <w:rFonts w:ascii="Times New Roman" w:cs="Times New Roman" w:eastAsia="Times New Roman" w:hAnsi="Times New Roman"/>
          <w:sz w:val="20"/>
          <w:szCs w:val="20"/>
          <w:i w:val="1"/>
          <w:iCs w:val="1"/>
          <w:color w:val="auto"/>
        </w:rPr>
        <w:t>Referral to Executive Officers</w:t>
      </w:r>
      <w:r>
        <w:rPr>
          <w:rFonts w:ascii="Times New Roman" w:cs="Times New Roman" w:eastAsia="Times New Roman" w:hAnsi="Times New Roman"/>
          <w:sz w:val="20"/>
          <w:szCs w:val="20"/>
          <w:color w:val="auto"/>
        </w:rPr>
        <w:t>), then such dispute will be submitted to a court of competent jurisdiction in the jurisdiction in which such Patent Right or other intellectual property right was granted or arose.</w:t>
      </w:r>
    </w:p>
    <w:p>
      <w:pPr>
        <w:spacing w:after="0" w:line="180" w:lineRule="exact"/>
        <w:rPr>
          <w:sz w:val="20"/>
          <w:szCs w:val="20"/>
          <w:color w:val="auto"/>
        </w:rPr>
      </w:pPr>
    </w:p>
    <w:p>
      <w:pPr>
        <w:jc w:val="both"/>
        <w:ind w:left="760" w:hanging="7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15.3 Equitable Remedies </w:t>
      </w:r>
      <w:r>
        <w:rPr>
          <w:rFonts w:ascii="Times New Roman" w:cs="Times New Roman" w:eastAsia="Times New Roman" w:hAnsi="Times New Roman"/>
          <w:sz w:val="20"/>
          <w:szCs w:val="20"/>
          <w:color w:val="auto"/>
        </w:rPr>
        <w:t>. Notwithstanding any provision to the contrary set forth in this Agreement, the Parties each stipulate and agree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(a) the other Party’s Confidential Information includes highly sensitive trade secret information such that a breach of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by a Party will cause irrevocable harm for which monetary damages would not provide a sufficient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2" w:name="page193"/>
    <w:bookmarkEnd w:id="192"/>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remedy; and (b) in such case of such breach of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the non-breaching Party will be entitled to equitable relief, including specific performance, temporary or permanent restraining orders, preliminary injunction, permanent injunction, or other equitable relief without the posting of any bond or other security, from any court of competent jurisdiction. In addition, and notwithstanding any provision to the contrary set forth in this Agreement, in the event of any other actual or threatened breach hereunder, the aggrieved Party may seek equitable relief (including specific performance, temporary or permanent restraining orders, or other equitable relief) from any court of competent jurisdiction without first submitting to the dispute resolution procedures set forth in Article 15 (</w:t>
      </w:r>
      <w:r>
        <w:rPr>
          <w:rFonts w:ascii="Times New Roman" w:cs="Times New Roman" w:eastAsia="Times New Roman" w:hAnsi="Times New Roman"/>
          <w:sz w:val="20"/>
          <w:szCs w:val="20"/>
          <w:i w:val="1"/>
          <w:iCs w:val="1"/>
          <w:color w:val="auto"/>
        </w:rPr>
        <w:t>Dispute Resolution; Governing Law</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760" w:hanging="748"/>
        <w:spacing w:after="0" w:line="245" w:lineRule="auto"/>
        <w:rPr>
          <w:sz w:val="20"/>
          <w:szCs w:val="20"/>
          <w:color w:val="auto"/>
        </w:rPr>
      </w:pPr>
      <w:r>
        <w:rPr>
          <w:rFonts w:ascii="Times New Roman" w:cs="Times New Roman" w:eastAsia="Times New Roman" w:hAnsi="Times New Roman"/>
          <w:sz w:val="20"/>
          <w:szCs w:val="20"/>
          <w:b w:val="1"/>
          <w:bCs w:val="1"/>
          <w:color w:val="auto"/>
        </w:rPr>
        <w:t>15.4 Governing Law; English Language</w:t>
      </w:r>
      <w:r>
        <w:rPr>
          <w:rFonts w:ascii="Times New Roman" w:cs="Times New Roman" w:eastAsia="Times New Roman" w:hAnsi="Times New Roman"/>
          <w:sz w:val="20"/>
          <w:szCs w:val="20"/>
          <w:color w:val="auto"/>
        </w:rPr>
        <w:t>. This Agreement and all amendments, modifications, alterations, or supplements hereto,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of the Parties, will be construed under and governed by the laws of the State of New York, United States, exclusive of its conflicts of laws principles. The provisions of the United Nations Convention on Contracts for the International Sale of Goods will not apply to this Agreement or any subject matter hereof. This Agreement has been prepared in the English language and the English language will control its interpretation. All consents, notices, reports, and other written documents to be delivered or provided by a Party under this Agreement will be in the English language, and in the event of any conflict between the provisions of any document and the English language translation thereof, the terms of the English language translation will control.</w:t>
      </w:r>
    </w:p>
    <w:p>
      <w:pPr>
        <w:spacing w:after="0" w:line="179" w:lineRule="exact"/>
        <w:rPr>
          <w:sz w:val="20"/>
          <w:szCs w:val="20"/>
          <w:color w:val="auto"/>
        </w:rPr>
      </w:pPr>
    </w:p>
    <w:p>
      <w:pPr>
        <w:jc w:val="both"/>
        <w:ind w:left="760" w:hanging="7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15.5 Waiver of Jury Trial </w:t>
      </w:r>
      <w:r>
        <w:rPr>
          <w:rFonts w:ascii="Times New Roman" w:cs="Times New Roman" w:eastAsia="Times New Roman" w:hAnsi="Times New Roman"/>
          <w:sz w:val="20"/>
          <w:szCs w:val="20"/>
          <w:color w:val="auto"/>
        </w:rPr>
        <w:t>.</w:t>
      </w:r>
      <w:r>
        <w:rPr>
          <w:sz w:val="20"/>
          <w:szCs w:val="20"/>
          <w:color w:val="auto"/>
        </w:rPr>
        <w:t xml:space="preserve"> </w:t>
      </w:r>
      <w:r>
        <w:rPr>
          <w:rFonts w:ascii="Times New Roman" w:cs="Times New Roman" w:eastAsia="Times New Roman" w:hAnsi="Times New Roman"/>
          <w:sz w:val="20"/>
          <w:szCs w:val="20"/>
          <w:color w:val="auto"/>
        </w:rPr>
        <w:t>TO THE EXTENT NOT PROHIBITED BY APPLICABLE LAW THAT CANNOT BE WAIVED, THE PARTIES HEREBY WAIVE, AND COVENANT THAT THEY WILL NOT ASSERT (WHETHER AS PLAINTIFF, DEFENDANT, OR OTHERWISE), ANY RIGHT TO TRIAL BY JURY IN ANY ACTION ARISING IN WHOLE OR IN PART UNDER OR IN CONNECTION WITH THIS AGREEMENT,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ITS RIGHT TO TRIAL BY JURY IN ANY PROCEEDING WHATSOEVER BETWEEN THEM RELATING TO THIS AGREEMENT, WHICH WILL INSTEAD BE TRIED IN A COURT OF COMPETENT JURISDICTION BY A JUDGE SITTING WITHOUT A JURY.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0" w:lineRule="exact"/>
        <w:rPr>
          <w:sz w:val="20"/>
          <w:szCs w:val="20"/>
          <w:color w:val="auto"/>
        </w:rPr>
      </w:pPr>
    </w:p>
    <w:p>
      <w:pPr>
        <w:jc w:val="both"/>
        <w:ind w:left="760" w:hanging="74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16.1 Assignment </w:t>
      </w:r>
      <w:r>
        <w:rPr>
          <w:rFonts w:ascii="Times New Roman" w:cs="Times New Roman" w:eastAsia="Times New Roman" w:hAnsi="Times New Roman"/>
          <w:sz w:val="20"/>
          <w:szCs w:val="20"/>
          <w:color w:val="auto"/>
        </w:rPr>
        <w:t>. This Agreement may not be assigned or otherwise transferred, whether by operation of law or otherwise, nor may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 or obligation hereunder be assigned or transferred, by either Party without the prior written consent of the other Party. Notwithstanding the foregoing, (a) Fulcrum may assign its rights to receive any of the Royalty Payments or Milestone Payments owed under Article 9 (</w:t>
      </w:r>
      <w:r>
        <w:rPr>
          <w:rFonts w:ascii="Times New Roman" w:cs="Times New Roman" w:eastAsia="Times New Roman" w:hAnsi="Times New Roman"/>
          <w:sz w:val="20"/>
          <w:szCs w:val="20"/>
          <w:i w:val="1"/>
          <w:iCs w:val="1"/>
          <w:color w:val="auto"/>
        </w:rPr>
        <w:t>Payments</w:t>
      </w:r>
      <w:r>
        <w:rPr>
          <w:rFonts w:ascii="Times New Roman" w:cs="Times New Roman" w:eastAsia="Times New Roman" w:hAnsi="Times New Roman"/>
          <w:sz w:val="20"/>
          <w:szCs w:val="20"/>
          <w:color w:val="auto"/>
        </w:rPr>
        <w:t>) to a Third Party (such assignment, a “</w:t>
      </w:r>
      <w:r>
        <w:rPr>
          <w:rFonts w:ascii="Times New Roman" w:cs="Times New Roman" w:eastAsia="Times New Roman" w:hAnsi="Times New Roman"/>
          <w:sz w:val="20"/>
          <w:szCs w:val="20"/>
          <w:b w:val="1"/>
          <w:bCs w:val="1"/>
          <w:color w:val="auto"/>
        </w:rPr>
        <w:t>Securitization Transaction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connection with such a Securitization Transaction, Fulcrum does not make such Third Party a third party beneficiary of this Agreement or otherwise give such Third Party any right to directly enforce any provisions of this Agreement against Sanofi or its Affiliates, and</w:t>
      </w:r>
    </w:p>
    <w:p>
      <w:pPr>
        <w:jc w:val="both"/>
        <w:ind w:left="760" w:firstLine="46"/>
        <w:spacing w:after="0" w:line="241" w:lineRule="auto"/>
        <w:tabs>
          <w:tab w:leader="none" w:pos="109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Party may, without consent of the other Party, assign this Agreement and its rights and obligations hereunder in whole or in part (i) to its successor-in-interest in connection with the transfer or sale of all or substantially all of its assets, or (ii) to its successor-in-interest in a merger, acquisition, or similar transaction or series of related transactions. In the event of an assignment pursuant to the foregoing clauses (b)(i) or (b)(ii), such assignment will only be effective if the Person to whom this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3" w:name="page194"/>
    <w:bookmarkEnd w:id="193"/>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 xml:space="preserve">Agreement is assigned agrees in writing to assume all of the assigning Party’s obligations under this Agreement and the assigning Party provides written notice of such assignment to the non-assigning Party within [***] after the effective date of such assignment. In addition, Sanofi will have the right, without the consent of Fulcrum: (A) to perform any or all of its obligations and exercise any or all of its rights under this Agreement through any of its Affiliates or Sublicensees; and (B) to assign any or all of its rights and delegate any or all of its obligations hereunder to any of its Affiliates or Sublicensees or to any successor-in-interest (whether by merger, acquisition or otherwise) to all or substantially all of the business to which this Agreement (or the applicable Licensed Product(s)) relates;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Sanofi will provide written notice to Fulcrum within [***] after such assignment or delegation. Any attempted assignment of this Agreement in violation of this Section 16.1 (</w:t>
      </w: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will be null, void, and of no legal effect. Any permitted assignee will expressly assume in writing all assigned obligations of its assignor under this Agreement. This Agreement will be binding on and will inure to the benefit of the permitted successors and assigns of the Parties.</w:t>
      </w:r>
    </w:p>
    <w:p>
      <w:pPr>
        <w:spacing w:after="0" w:line="188" w:lineRule="exact"/>
        <w:rPr>
          <w:sz w:val="20"/>
          <w:szCs w:val="20"/>
          <w:color w:val="auto"/>
        </w:rPr>
      </w:pPr>
    </w:p>
    <w:p>
      <w:pPr>
        <w:jc w:val="both"/>
        <w:ind w:left="760" w:hanging="74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16.2 Entire Agreement; Amendment </w:t>
      </w:r>
      <w:r>
        <w:rPr>
          <w:rFonts w:ascii="Times New Roman" w:cs="Times New Roman" w:eastAsia="Times New Roman" w:hAnsi="Times New Roman"/>
          <w:sz w:val="20"/>
          <w:szCs w:val="20"/>
          <w:color w:val="auto"/>
        </w:rPr>
        <w:t>. This Agreement, together with all exhibits and schedules attached hereto, constitutes the entire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between the Parties with respect to the subject matter hereof, and supersedes and merges all prior and contemporaneous, express or implied agreements, negotiations, representations, and understandings, either oral or written, regarding the same, (including that certain confidentiality agreement between the Parties dated November 17, 2021 and as amended on November 17, 2022 (“</w:t>
      </w:r>
      <w:r>
        <w:rPr>
          <w:rFonts w:ascii="Times New Roman" w:cs="Times New Roman" w:eastAsia="Times New Roman" w:hAnsi="Times New Roman"/>
          <w:sz w:val="20"/>
          <w:szCs w:val="20"/>
          <w:b w:val="1"/>
          <w:bCs w:val="1"/>
          <w:color w:val="auto"/>
        </w:rPr>
        <w:t>Confidential Disclosure Agreement</w:t>
      </w:r>
      <w:r>
        <w:rPr>
          <w:rFonts w:ascii="Times New Roman" w:cs="Times New Roman" w:eastAsia="Times New Roman" w:hAnsi="Times New Roman"/>
          <w:sz w:val="20"/>
          <w:szCs w:val="20"/>
          <w:color w:val="auto"/>
        </w:rPr>
        <w:t>”)). All information shared by the Parties pursuant to the Confidential Disclosure Agreement will be Confidential Information under this Agreement from and after the Effective Date, and the use and disclosure thereof will be governed by Article 12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This Agreement may not be modified or amended, except by another agreement in writing executed by duly authorized signatories of each Party.</w:t>
      </w:r>
    </w:p>
    <w:p>
      <w:pPr>
        <w:spacing w:after="0" w:line="182" w:lineRule="exact"/>
        <w:rPr>
          <w:sz w:val="20"/>
          <w:szCs w:val="20"/>
          <w:color w:val="auto"/>
        </w:rPr>
      </w:pPr>
    </w:p>
    <w:p>
      <w:pPr>
        <w:jc w:val="both"/>
        <w:ind w:left="760" w:hanging="748"/>
        <w:spacing w:after="0" w:line="241" w:lineRule="auto"/>
        <w:rPr>
          <w:sz w:val="20"/>
          <w:szCs w:val="20"/>
          <w:color w:val="auto"/>
        </w:rPr>
      </w:pPr>
      <w:r>
        <w:rPr>
          <w:rFonts w:ascii="Times New Roman" w:cs="Times New Roman" w:eastAsia="Times New Roman" w:hAnsi="Times New Roman"/>
          <w:sz w:val="20"/>
          <w:szCs w:val="20"/>
          <w:b w:val="1"/>
          <w:bCs w:val="1"/>
          <w:color w:val="auto"/>
        </w:rPr>
        <w:t>16.3 No Strict Construction; Interpretation</w:t>
      </w:r>
      <w:r>
        <w:rPr>
          <w:rFonts w:ascii="Times New Roman" w:cs="Times New Roman" w:eastAsia="Times New Roman" w:hAnsi="Times New Roman"/>
          <w:sz w:val="20"/>
          <w:szCs w:val="20"/>
          <w:color w:val="auto"/>
        </w:rPr>
        <w:t>. This Agreement has been prepared jointly and will not be strictly construed against either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Party. Ambiguities, if any, in this Agreement will not be construed against any Party, irrespective of which Party may be deemed to have authored the ambiguous provision. Except where the context expressly requires otherwise, (a) whenever any provision of this Agreement uses the term “including” (or “includes”), such term will be deemed to mean “including without limitation” and “including but not limited to” (or “includes without limitations” and “includes but is not limited to”) regardless of whether the words “without limitation” or “but not limited to” actually follow the term “including” (or “includes”); (b) “herein,” “hereby,” “hereunder,” “hereof,” and other equivalent words will refer to this Agreement in its entirety and not solely to the particular portion of this Agreement in which any such word is used; (c) all definitions set forth herein will be deemed applicable whether the words defined are used herein in the singular or the plural; (d) wherever used herein, any pronoun or pronouns will be deemed to include both the singular and plural and to cover all genders; (e) the recitals set forth at the start of this Agreement, along with the schedules and exhibits to this Agreement, and the terms and conditions incorporated in such recitals and schedules and exhibits will be deemed integral parts of this Agreement and all references in this Agreement to this Agreement will encompass such recitals and schedules and exhibits and the terms and conditions incorporated in such recitals and schedules and exhibits;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of any conflict between the terms and conditions of this Agreement and any terms and conditions set forth in the recitals, schedules, or exhibits, the terms of this Agreement will control; (f) in the event of any conflict between the terms and conditions of this Agreement and any terms and conditions that may be set forth on any order, invoice, verbal agreement, or otherwise, the terms and conditions of this Agreement will govern; (g) unless otherwise provided, all references to Sections, Articles, and Schedules in this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4" w:name="page195"/>
    <w:bookmarkEnd w:id="194"/>
    <w:p>
      <w:pPr>
        <w:jc w:val="both"/>
        <w:ind w:left="760"/>
        <w:spacing w:after="0" w:line="233" w:lineRule="exact"/>
        <w:rPr>
          <w:sz w:val="20"/>
          <w:szCs w:val="20"/>
          <w:color w:val="auto"/>
        </w:rPr>
      </w:pPr>
      <w:r>
        <w:rPr>
          <w:rFonts w:ascii="Times New Roman" w:cs="Times New Roman" w:eastAsia="Times New Roman" w:hAnsi="Times New Roman"/>
          <w:sz w:val="20"/>
          <w:szCs w:val="20"/>
          <w:color w:val="auto"/>
        </w:rPr>
        <w:t>are to Sections, Articles, and Schedules of and to this Agreement; (h) any reference to any federal, national, state, local, or foreign statute or law will be deemed to also refer to all rules and regulations promulgated thereunder, and any reference to any law, rule, or regulation will be deemed to include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amendments thereto or any replacement or successor law, rule, or regulation thereof; (i) wherever used, the word “shall” and the word “will” are each understood to be imperative or mandatory in nature and are interchangeable with one another; (j) the term “or” will be interpreted in the inclusive sense commonly associated with the term “and/or”; (k) references to a particular Person include such Person’s successors and assigns to the extent not prohibited by this Agreement; (l) the section headings and captions used herein are inserted for convenience of reference only and will not be construed to create obligations, benefits, or limitations; (m)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(n) the word “notice” means notice in writing (whether or not specifically stated) and will include notices, consents, approvals and other written communications contemplated under this Agreement; and (o) provisions that require that a Party, the Parties or any committee hereunder “agree,” “consent,” or “approve” or the like will require that such agreement, consent or approval be specific and in writing, whether by written agreement, letter, approved minutes, or otherwise (but excluding 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mail and instant messaging).</w:t>
      </w:r>
    </w:p>
    <w:p>
      <w:pPr>
        <w:spacing w:after="0" w:line="189" w:lineRule="exact"/>
        <w:rPr>
          <w:sz w:val="20"/>
          <w:szCs w:val="20"/>
          <w:color w:val="auto"/>
        </w:rPr>
      </w:pPr>
    </w:p>
    <w:p>
      <w:pPr>
        <w:jc w:val="both"/>
        <w:ind w:left="760" w:hanging="748"/>
        <w:spacing w:after="0" w:line="245" w:lineRule="auto"/>
        <w:rPr>
          <w:sz w:val="20"/>
          <w:szCs w:val="20"/>
          <w:color w:val="auto"/>
        </w:rPr>
      </w:pPr>
      <w:r>
        <w:rPr>
          <w:rFonts w:ascii="Times New Roman" w:cs="Times New Roman" w:eastAsia="Times New Roman" w:hAnsi="Times New Roman"/>
          <w:sz w:val="20"/>
          <w:szCs w:val="20"/>
          <w:b w:val="1"/>
          <w:bCs w:val="1"/>
          <w:color w:val="auto"/>
        </w:rPr>
        <w:t>16.4 Severability</w:t>
      </w:r>
      <w:r>
        <w:rPr>
          <w:rFonts w:ascii="Times New Roman" w:cs="Times New Roman" w:eastAsia="Times New Roman" w:hAnsi="Times New Roman"/>
          <w:sz w:val="20"/>
          <w:szCs w:val="20"/>
          <w:color w:val="auto"/>
        </w:rPr>
        <w:t>. If any provision of this Agreement is declared invalid by a court of last resort or by any court or other governmental body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decision of which an appeal is not taken within the time provided by law, then and in such event, this Agreement will be deemed to have been terminated only as to the portion thereof that relates to the provision invalidated by that decision and only in the relevant jurisdiction, but this Agreement will remain in force, in all other respects and all other jurisdictions;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the provision so invalidated is essential to the Agreement as a whole, then the Parties will negotiate in good faith to amend the terms hereof as nearly as practical to carry out the original intent of the Parties, and, failing such amendment, either Party may submit the matter for resolution pursuant to Article 15 (</w:t>
      </w:r>
      <w:r>
        <w:rPr>
          <w:rFonts w:ascii="Times New Roman" w:cs="Times New Roman" w:eastAsia="Times New Roman" w:hAnsi="Times New Roman"/>
          <w:sz w:val="20"/>
          <w:szCs w:val="20"/>
          <w:i w:val="1"/>
          <w:iCs w:val="1"/>
          <w:color w:val="auto"/>
        </w:rPr>
        <w:t>Dispute Resolution; Governing Law</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760" w:hanging="748"/>
        <w:spacing w:after="0" w:line="256" w:lineRule="auto"/>
        <w:rPr>
          <w:sz w:val="20"/>
          <w:szCs w:val="20"/>
          <w:color w:val="auto"/>
        </w:rPr>
      </w:pPr>
      <w:r>
        <w:rPr>
          <w:rFonts w:ascii="Times New Roman" w:cs="Times New Roman" w:eastAsia="Times New Roman" w:hAnsi="Times New Roman"/>
          <w:sz w:val="20"/>
          <w:szCs w:val="20"/>
          <w:b w:val="1"/>
          <w:bCs w:val="1"/>
          <w:color w:val="auto"/>
        </w:rPr>
        <w:t>16.5 Notices</w:t>
      </w:r>
      <w:r>
        <w:rPr>
          <w:rFonts w:ascii="Times New Roman" w:cs="Times New Roman" w:eastAsia="Times New Roman" w:hAnsi="Times New Roman"/>
          <w:sz w:val="20"/>
          <w:szCs w:val="20"/>
          <w:color w:val="auto"/>
        </w:rPr>
        <w:t>. All notices that are required or permitted hereunder will be in writing in English and sufficient if (i) delivered by hand or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prepaid internationally-recognized overnight courier or (ii) sent by first class, registered or certified mail, postage prepaid, return receipt requested, and in each case, addressed as follows (with a courtesy copy sent by email, which will not constitute notice):</w:t>
      </w:r>
    </w:p>
    <w:p>
      <w:pPr>
        <w:spacing w:after="0" w:line="17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If to Fulcrum:</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Fulcrum Therapeutics, Inc.</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26 Landsdowne Street</w:t>
      </w:r>
    </w:p>
    <w:p>
      <w:pPr>
        <w:ind w:left="1500"/>
        <w:spacing w:after="0"/>
        <w:rPr>
          <w:sz w:val="20"/>
          <w:szCs w:val="20"/>
          <w:color w:val="auto"/>
        </w:rPr>
      </w:pPr>
      <w:r>
        <w:rPr>
          <w:rFonts w:ascii="Times New Roman" w:cs="Times New Roman" w:eastAsia="Times New Roman" w:hAnsi="Times New Roman"/>
          <w:sz w:val="20"/>
          <w:szCs w:val="20"/>
          <w:color w:val="auto"/>
        </w:rPr>
        <w:t>Cambridge, MA 02139</w:t>
      </w:r>
    </w:p>
    <w:p>
      <w:pPr>
        <w:ind w:left="1500"/>
        <w:spacing w:after="0"/>
        <w:rPr>
          <w:sz w:val="20"/>
          <w:szCs w:val="20"/>
          <w:color w:val="auto"/>
        </w:rPr>
      </w:pPr>
      <w:r>
        <w:rPr>
          <w:rFonts w:ascii="Times New Roman" w:cs="Times New Roman" w:eastAsia="Times New Roman" w:hAnsi="Times New Roman"/>
          <w:sz w:val="20"/>
          <w:szCs w:val="20"/>
          <w:color w:val="auto"/>
        </w:rPr>
        <w:t>Attention: [***]</w:t>
      </w:r>
    </w:p>
    <w:p>
      <w:pPr>
        <w:ind w:left="1500"/>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If to Sanofi:</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Sanofi – Global Alliance Management</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450 Water Street</w:t>
      </w:r>
    </w:p>
    <w:p>
      <w:pPr>
        <w:ind w:left="1500"/>
        <w:spacing w:after="0"/>
        <w:rPr>
          <w:sz w:val="20"/>
          <w:szCs w:val="20"/>
          <w:color w:val="auto"/>
        </w:rPr>
      </w:pPr>
      <w:r>
        <w:rPr>
          <w:rFonts w:ascii="Times New Roman" w:cs="Times New Roman" w:eastAsia="Times New Roman" w:hAnsi="Times New Roman"/>
          <w:sz w:val="20"/>
          <w:szCs w:val="20"/>
          <w:color w:val="auto"/>
        </w:rPr>
        <w:t>Cambridge, MA 02141</w:t>
      </w:r>
    </w:p>
    <w:p>
      <w:pPr>
        <w:ind w:left="1500"/>
        <w:spacing w:after="0"/>
        <w:rPr>
          <w:sz w:val="20"/>
          <w:szCs w:val="20"/>
          <w:color w:val="auto"/>
        </w:rPr>
      </w:pPr>
      <w:r>
        <w:rPr>
          <w:rFonts w:ascii="Times New Roman" w:cs="Times New Roman" w:eastAsia="Times New Roman" w:hAnsi="Times New Roman"/>
          <w:sz w:val="20"/>
          <w:szCs w:val="20"/>
          <w:color w:val="auto"/>
        </w:rPr>
        <w:t>Attention: Global Head of Alliance Management</w:t>
      </w:r>
    </w:p>
    <w:p>
      <w:pPr>
        <w:ind w:left="1500"/>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5" w:name="page196"/>
    <w:bookmarkEnd w:id="195"/>
    <w:p>
      <w:pPr>
        <w:ind w:left="1060"/>
        <w:spacing w:after="0"/>
        <w:rPr>
          <w:sz w:val="20"/>
          <w:szCs w:val="20"/>
          <w:color w:val="auto"/>
        </w:rPr>
      </w:pPr>
      <w:r>
        <w:rPr>
          <w:rFonts w:ascii="Times New Roman" w:cs="Times New Roman" w:eastAsia="Times New Roman" w:hAnsi="Times New Roman"/>
          <w:sz w:val="20"/>
          <w:szCs w:val="20"/>
          <w:i w:val="1"/>
          <w:iCs w:val="1"/>
          <w:color w:val="auto"/>
        </w:rPr>
        <w:t>With a copy (which will not constitute notice for purposes of this Agreement) to:</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Sanofi – Global Business Development</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450 Water Street</w:t>
      </w:r>
    </w:p>
    <w:p>
      <w:pPr>
        <w:ind w:left="1500"/>
        <w:spacing w:after="0"/>
        <w:rPr>
          <w:sz w:val="20"/>
          <w:szCs w:val="20"/>
          <w:color w:val="auto"/>
        </w:rPr>
      </w:pPr>
      <w:r>
        <w:rPr>
          <w:rFonts w:ascii="Times New Roman" w:cs="Times New Roman" w:eastAsia="Times New Roman" w:hAnsi="Times New Roman"/>
          <w:sz w:val="20"/>
          <w:szCs w:val="20"/>
          <w:color w:val="auto"/>
        </w:rPr>
        <w:t>Cambridge, MA 02141</w:t>
      </w:r>
    </w:p>
    <w:p>
      <w:pPr>
        <w:ind w:left="1500"/>
        <w:spacing w:after="0"/>
        <w:rPr>
          <w:sz w:val="20"/>
          <w:szCs w:val="20"/>
          <w:color w:val="auto"/>
        </w:rPr>
      </w:pPr>
      <w:r>
        <w:rPr>
          <w:rFonts w:ascii="Times New Roman" w:cs="Times New Roman" w:eastAsia="Times New Roman" w:hAnsi="Times New Roman"/>
          <w:sz w:val="20"/>
          <w:szCs w:val="20"/>
          <w:color w:val="auto"/>
        </w:rPr>
        <w:t>Attention: [***]</w:t>
      </w:r>
    </w:p>
    <w:p>
      <w:pPr>
        <w:ind w:left="1500"/>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Sanofi – Legal Global Functions</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450 Water Street</w:t>
      </w:r>
    </w:p>
    <w:p>
      <w:pPr>
        <w:ind w:left="1500"/>
        <w:spacing w:after="0"/>
        <w:rPr>
          <w:sz w:val="20"/>
          <w:szCs w:val="20"/>
          <w:color w:val="auto"/>
        </w:rPr>
      </w:pPr>
      <w:r>
        <w:rPr>
          <w:rFonts w:ascii="Times New Roman" w:cs="Times New Roman" w:eastAsia="Times New Roman" w:hAnsi="Times New Roman"/>
          <w:sz w:val="20"/>
          <w:szCs w:val="20"/>
          <w:color w:val="auto"/>
        </w:rPr>
        <w:t>Cambridge, MA 02141</w:t>
      </w:r>
    </w:p>
    <w:p>
      <w:pPr>
        <w:ind w:left="1500"/>
        <w:spacing w:after="0"/>
        <w:rPr>
          <w:sz w:val="20"/>
          <w:szCs w:val="20"/>
          <w:color w:val="auto"/>
        </w:rPr>
      </w:pPr>
      <w:r>
        <w:rPr>
          <w:rFonts w:ascii="Times New Roman" w:cs="Times New Roman" w:eastAsia="Times New Roman" w:hAnsi="Times New Roman"/>
          <w:sz w:val="20"/>
          <w:szCs w:val="20"/>
          <w:color w:val="auto"/>
        </w:rPr>
        <w:t>Attention: [***]</w:t>
      </w:r>
    </w:p>
    <w:p>
      <w:pPr>
        <w:ind w:left="1500"/>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jc w:val="both"/>
        <w:ind w:left="1500"/>
        <w:spacing w:after="0" w:line="242" w:lineRule="auto"/>
        <w:rPr>
          <w:sz w:val="20"/>
          <w:szCs w:val="20"/>
          <w:color w:val="auto"/>
        </w:rPr>
      </w:pPr>
      <w:r>
        <w:rPr>
          <w:rFonts w:ascii="Times New Roman" w:cs="Times New Roman" w:eastAsia="Times New Roman" w:hAnsi="Times New Roman"/>
          <w:sz w:val="20"/>
          <w:szCs w:val="20"/>
          <w:color w:val="auto"/>
        </w:rPr>
        <w:t>or to such other address as the Party to whom notice is to be given may have furnished to the other Party in writing in accordance herewith. Any such notice will be deemed to have been given on the date received, except any notice received after 5:30 p.m. (in the time zone of the receiving Party) on a Business Day or received on a non-Business Day, in each case, will be deemed to have been received on the next Business Day. A Party may add, delete or change the person or address to which notices should be sent at any time upon written notice delivered to the other Parties in accordance with this Section 16.5 (</w:t>
      </w:r>
      <w:r>
        <w:rPr>
          <w:rFonts w:ascii="Times New Roman" w:cs="Times New Roman" w:eastAsia="Times New Roman" w:hAnsi="Times New Roman"/>
          <w:sz w:val="20"/>
          <w:szCs w:val="20"/>
          <w:i w:val="1"/>
          <w:iCs w:val="1"/>
          <w:color w:val="auto"/>
        </w:rPr>
        <w:t>Notices</w:t>
      </w:r>
      <w:r>
        <w:rPr>
          <w:rFonts w:ascii="Times New Roman" w:cs="Times New Roman" w:eastAsia="Times New Roman" w:hAnsi="Times New Roman"/>
          <w:sz w:val="20"/>
          <w:szCs w:val="20"/>
          <w:color w:val="auto"/>
        </w:rPr>
        <w:t>). This Section 16.5 (</w:t>
      </w:r>
      <w:r>
        <w:rPr>
          <w:rFonts w:ascii="Times New Roman" w:cs="Times New Roman" w:eastAsia="Times New Roman" w:hAnsi="Times New Roman"/>
          <w:sz w:val="20"/>
          <w:szCs w:val="20"/>
          <w:i w:val="1"/>
          <w:iCs w:val="1"/>
          <w:color w:val="auto"/>
        </w:rPr>
        <w:t>Notices</w:t>
      </w:r>
      <w:r>
        <w:rPr>
          <w:rFonts w:ascii="Times New Roman" w:cs="Times New Roman" w:eastAsia="Times New Roman" w:hAnsi="Times New Roman"/>
          <w:sz w:val="20"/>
          <w:szCs w:val="20"/>
          <w:color w:val="auto"/>
        </w:rPr>
        <w:t>) is not intended to govern the day-to-day business communications necessary between the Parties in performing their obligations under the terms of this Agreement, which communications may be sent by email, including as set forth in Section 3.1.2 (</w:t>
      </w:r>
      <w:r>
        <w:rPr>
          <w:rFonts w:ascii="Times New Roman" w:cs="Times New Roman" w:eastAsia="Times New Roman" w:hAnsi="Times New Roman"/>
          <w:sz w:val="20"/>
          <w:szCs w:val="20"/>
          <w:i w:val="1"/>
          <w:iCs w:val="1"/>
          <w:color w:val="auto"/>
        </w:rPr>
        <w:t>Membership</w:t>
      </w:r>
      <w:r>
        <w:rPr>
          <w:rFonts w:ascii="Times New Roman" w:cs="Times New Roman" w:eastAsia="Times New Roman" w:hAnsi="Times New Roman"/>
          <w:sz w:val="20"/>
          <w:szCs w:val="20"/>
          <w:color w:val="auto"/>
        </w:rPr>
        <w:t>), Section 3.2.2 (</w:t>
      </w:r>
      <w:r>
        <w:rPr>
          <w:rFonts w:ascii="Times New Roman" w:cs="Times New Roman" w:eastAsia="Times New Roman" w:hAnsi="Times New Roman"/>
          <w:sz w:val="20"/>
          <w:szCs w:val="20"/>
          <w:i w:val="1"/>
          <w:iCs w:val="1"/>
          <w:color w:val="auto"/>
        </w:rPr>
        <w:t>Membership of the JDC</w:t>
      </w:r>
      <w:r>
        <w:rPr>
          <w:rFonts w:ascii="Times New Roman" w:cs="Times New Roman" w:eastAsia="Times New Roman" w:hAnsi="Times New Roman"/>
          <w:sz w:val="20"/>
          <w:szCs w:val="20"/>
          <w:color w:val="auto"/>
        </w:rPr>
        <w:t>), Section 3.3.2 (</w:t>
      </w:r>
      <w:r>
        <w:rPr>
          <w:rFonts w:ascii="Times New Roman" w:cs="Times New Roman" w:eastAsia="Times New Roman" w:hAnsi="Times New Roman"/>
          <w:sz w:val="20"/>
          <w:szCs w:val="20"/>
          <w:i w:val="1"/>
          <w:iCs w:val="1"/>
          <w:color w:val="auto"/>
        </w:rPr>
        <w:t>Membership of the JMC</w:t>
      </w:r>
      <w:r>
        <w:rPr>
          <w:rFonts w:ascii="Times New Roman" w:cs="Times New Roman" w:eastAsia="Times New Roman" w:hAnsi="Times New Roman"/>
          <w:sz w:val="20"/>
          <w:szCs w:val="20"/>
          <w:color w:val="auto"/>
        </w:rPr>
        <w:t>), Section 3.4.2 (</w:t>
      </w:r>
      <w:r>
        <w:rPr>
          <w:rFonts w:ascii="Times New Roman" w:cs="Times New Roman" w:eastAsia="Times New Roman" w:hAnsi="Times New Roman"/>
          <w:sz w:val="20"/>
          <w:szCs w:val="20"/>
          <w:i w:val="1"/>
          <w:iCs w:val="1"/>
          <w:color w:val="auto"/>
        </w:rPr>
        <w:t>Membership of the JCC</w:t>
      </w:r>
      <w:r>
        <w:rPr>
          <w:rFonts w:ascii="Times New Roman" w:cs="Times New Roman" w:eastAsia="Times New Roman" w:hAnsi="Times New Roman"/>
          <w:sz w:val="20"/>
          <w:szCs w:val="20"/>
          <w:color w:val="auto"/>
        </w:rPr>
        <w:t>), Section 3.5.2 (</w:t>
      </w:r>
      <w:r>
        <w:rPr>
          <w:rFonts w:ascii="Times New Roman" w:cs="Times New Roman" w:eastAsia="Times New Roman" w:hAnsi="Times New Roman"/>
          <w:sz w:val="20"/>
          <w:szCs w:val="20"/>
          <w:i w:val="1"/>
          <w:iCs w:val="1"/>
          <w:color w:val="auto"/>
        </w:rPr>
        <w:t>Subcommittee Leadership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Meetings</w:t>
      </w:r>
      <w:r>
        <w:rPr>
          <w:rFonts w:ascii="Times New Roman" w:cs="Times New Roman" w:eastAsia="Times New Roman" w:hAnsi="Times New Roman"/>
          <w:sz w:val="20"/>
          <w:szCs w:val="20"/>
          <w:color w:val="auto"/>
        </w:rPr>
        <w:t>) and Section 3.7.1 (</w:t>
      </w:r>
      <w:r>
        <w:rPr>
          <w:rFonts w:ascii="Times New Roman" w:cs="Times New Roman" w:eastAsia="Times New Roman" w:hAnsi="Times New Roman"/>
          <w:sz w:val="20"/>
          <w:szCs w:val="20"/>
          <w:i w:val="1"/>
          <w:iCs w:val="1"/>
          <w:color w:val="auto"/>
        </w:rPr>
        <w:t>General Decision-Making Process</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left="760" w:hanging="748"/>
        <w:spacing w:after="0" w:line="241" w:lineRule="auto"/>
        <w:rPr>
          <w:sz w:val="20"/>
          <w:szCs w:val="20"/>
          <w:color w:val="auto"/>
        </w:rPr>
      </w:pPr>
      <w:r>
        <w:rPr>
          <w:rFonts w:ascii="Times New Roman" w:cs="Times New Roman" w:eastAsia="Times New Roman" w:hAnsi="Times New Roman"/>
          <w:sz w:val="20"/>
          <w:szCs w:val="20"/>
          <w:b w:val="1"/>
          <w:bCs w:val="1"/>
          <w:color w:val="auto"/>
        </w:rPr>
        <w:t>16.6 Force Majeure</w:t>
      </w:r>
      <w:r>
        <w:rPr>
          <w:rFonts w:ascii="Times New Roman" w:cs="Times New Roman" w:eastAsia="Times New Roman" w:hAnsi="Times New Roman"/>
          <w:sz w:val="20"/>
          <w:szCs w:val="20"/>
          <w:color w:val="auto"/>
        </w:rPr>
        <w:t>. Neither Party will be held liable or responsible to the other Party or be deemed to have defaulted under or breached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for failure or delay in fulfilling or performing any term of this Agreement if such failure or delay is caused by or results from events beyond the reasonable control of the non-performing Party, including: fires, floods, earthquakes, hurricanes, shortages, epidemics, pandemics, quarantines, war, acts of war (whether war be declared or not), terrorist acts, insurrections, riots, civil commotion, strikes, or other labor disturbances of a Person other than the non-performing Party, acts of God or acts, omissions or delays in acting by any Governmental Authority (except to the extent such omission or delay results from the breach by the non-performing Party or any of its Affiliates of any term or condition of this Agreement) (any such event, a “</w:t>
      </w:r>
      <w:r>
        <w:rPr>
          <w:rFonts w:ascii="Times New Roman" w:cs="Times New Roman" w:eastAsia="Times New Roman" w:hAnsi="Times New Roman"/>
          <w:sz w:val="20"/>
          <w:szCs w:val="20"/>
          <w:b w:val="1"/>
          <w:bCs w:val="1"/>
          <w:color w:val="auto"/>
        </w:rPr>
        <w:t>Force Majeure Event</w:t>
      </w:r>
      <w:r>
        <w:rPr>
          <w:rFonts w:ascii="Times New Roman" w:cs="Times New Roman" w:eastAsia="Times New Roman" w:hAnsi="Times New Roman"/>
          <w:sz w:val="20"/>
          <w:szCs w:val="20"/>
          <w:color w:val="auto"/>
        </w:rPr>
        <w:t>”). The non-performing Party will notify the other Party of such Force Majeure Event within [***] after such occurrence by giving notice to the other Party stating the nature of the Force Majeure Event, its anticipated duration and any action being taken to avoid or minimize its effect. The suspension of performance will be of no greater scope and no longer duration than is necessary. The non-performing Party will use commercially reasonable efforts to avoid or remove such Force Majeure Event, to mitigate the effect of such Force Majeure Event and to otherwise remedy its inability to perform. The non-performing Party will continue performance in accordance with the terms of this Agreement whenever such causes are removed. When such circumstances arise, the Parties will negotiate in good faith any modifications of the terms of this Agreement that may be necessary or appropriate in order to arrive at an equitable solution.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6" w:name="page197"/>
    <w:bookmarkEnd w:id="196"/>
    <w:p>
      <w:pPr>
        <w:jc w:val="both"/>
        <w:ind w:left="760" w:hanging="748"/>
        <w:spacing w:after="0" w:line="247" w:lineRule="auto"/>
        <w:rPr>
          <w:sz w:val="20"/>
          <w:szCs w:val="20"/>
          <w:color w:val="auto"/>
        </w:rPr>
      </w:pPr>
      <w:r>
        <w:rPr>
          <w:rFonts w:ascii="Times New Roman" w:cs="Times New Roman" w:eastAsia="Times New Roman" w:hAnsi="Times New Roman"/>
          <w:sz w:val="20"/>
          <w:szCs w:val="20"/>
          <w:b w:val="1"/>
          <w:bCs w:val="1"/>
          <w:color w:val="auto"/>
        </w:rPr>
        <w:t>16.7 Further Assurances</w:t>
      </w:r>
      <w:r>
        <w:rPr>
          <w:rFonts w:ascii="Times New Roman" w:cs="Times New Roman" w:eastAsia="Times New Roman" w:hAnsi="Times New Roman"/>
          <w:sz w:val="20"/>
          <w:szCs w:val="20"/>
          <w:color w:val="auto"/>
        </w:rPr>
        <w:t>. The Parties agree to reasonably cooperate with each other in connection with any actions required to be taken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 of their respective obligations under this Agreement, and will (a) furnish to each other such further information; (b) execute and deliver to each other such other documents; and (c) do such other acts and things (including working collaboratively to correct any clerical, typographical, or other similar errors in this Agreement), all as the other Party may reasonably request for the purpose of carrying out the intent of this Agreement.</w:t>
      </w:r>
    </w:p>
    <w:p>
      <w:pPr>
        <w:spacing w:after="0" w:line="180" w:lineRule="exact"/>
        <w:rPr>
          <w:sz w:val="20"/>
          <w:szCs w:val="20"/>
          <w:color w:val="auto"/>
        </w:rPr>
      </w:pPr>
    </w:p>
    <w:p>
      <w:pPr>
        <w:jc w:val="both"/>
        <w:ind w:left="760" w:hanging="748"/>
        <w:spacing w:after="0" w:line="247" w:lineRule="auto"/>
        <w:rPr>
          <w:sz w:val="20"/>
          <w:szCs w:val="20"/>
          <w:color w:val="auto"/>
        </w:rPr>
      </w:pPr>
      <w:r>
        <w:rPr>
          <w:rFonts w:ascii="Times New Roman" w:cs="Times New Roman" w:eastAsia="Times New Roman" w:hAnsi="Times New Roman"/>
          <w:sz w:val="20"/>
          <w:szCs w:val="20"/>
          <w:b w:val="1"/>
          <w:bCs w:val="1"/>
          <w:color w:val="auto"/>
        </w:rPr>
        <w:t>16.8 Performance by Affiliates</w:t>
      </w:r>
      <w:r>
        <w:rPr>
          <w:rFonts w:ascii="Times New Roman" w:cs="Times New Roman" w:eastAsia="Times New Roman" w:hAnsi="Times New Roman"/>
          <w:sz w:val="20"/>
          <w:szCs w:val="20"/>
          <w:color w:val="auto"/>
        </w:rPr>
        <w:t>. Notwithstanding any provision to the contrary set forth in this Agreement, either Party will have the right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perform any or all of its obligations and exercise any or all of its rights under this Agreement through any Affiliate;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Party shall at all times remain responsible and liable hereunder for the performance of such Affiliates. Each Party hereby guarantees the performance by its Affiliates of such Party’s obligations under this Agreement and will cause its Affiliates to comply with the provisions of this Agreement in connection with such performance.</w:t>
      </w:r>
    </w:p>
    <w:p>
      <w:pPr>
        <w:spacing w:after="0" w:line="180" w:lineRule="exact"/>
        <w:rPr>
          <w:sz w:val="20"/>
          <w:szCs w:val="20"/>
          <w:color w:val="auto"/>
        </w:rPr>
      </w:pPr>
    </w:p>
    <w:p>
      <w:pPr>
        <w:jc w:val="both"/>
        <w:ind w:left="760" w:hanging="748"/>
        <w:spacing w:after="0" w:line="250" w:lineRule="auto"/>
        <w:rPr>
          <w:sz w:val="20"/>
          <w:szCs w:val="20"/>
          <w:color w:val="auto"/>
        </w:rPr>
      </w:pPr>
      <w:r>
        <w:rPr>
          <w:rFonts w:ascii="Times New Roman" w:cs="Times New Roman" w:eastAsia="Times New Roman" w:hAnsi="Times New Roman"/>
          <w:sz w:val="20"/>
          <w:szCs w:val="20"/>
          <w:b w:val="1"/>
          <w:bCs w:val="1"/>
          <w:color w:val="auto"/>
        </w:rPr>
        <w:t>16.9 Agency</w:t>
      </w:r>
      <w:r>
        <w:rPr>
          <w:rFonts w:ascii="Times New Roman" w:cs="Times New Roman" w:eastAsia="Times New Roman" w:hAnsi="Times New Roman"/>
          <w:sz w:val="20"/>
          <w:szCs w:val="20"/>
          <w:color w:val="auto"/>
        </w:rPr>
        <w:t>. Neither Party is, nor will be deemed to be an employee, agent, or representative of the other Party for any purpose. Each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an independent contractor, not an employee, agent, joint venturer or partner of the other Party. Neither Party will have any express or implied right or authority to speak for, represent, or obligate the other Party in any way without prior written authority from the other Party.</w:t>
      </w:r>
    </w:p>
    <w:p>
      <w:pPr>
        <w:spacing w:after="0" w:line="176"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16.10</w:t>
        <w:tab/>
        <w:t>Binding Effect; No Third Party Beneficiaries or Obligors</w:t>
      </w:r>
      <w:r>
        <w:rPr>
          <w:rFonts w:ascii="Times New Roman" w:cs="Times New Roman" w:eastAsia="Times New Roman" w:hAnsi="Times New Roman"/>
          <w:sz w:val="20"/>
          <w:szCs w:val="20"/>
          <w:color w:val="auto"/>
        </w:rPr>
        <w:t>. As of the Effective Date, this Agreement will be binding upon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inure to the benefit of the Parties and their respective permitted successors and assigns. Except as set forth in Article 13 (</w:t>
      </w: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 no Person other than Fulcrum, Sanofi, and their respective permitted successors and assigns hereunder will be deemed an intended beneficiary hereunder, nor have any right to enforce any obligation of any Party to this Agreement, nor will any Person other than Fulcrum and Sanofi and their respective permitted successors and assigns have any obligations to any Party under this Agreement.</w:t>
      </w:r>
    </w:p>
    <w:p>
      <w:pPr>
        <w:spacing w:after="0" w:line="179"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16.11</w:t>
        <w:tab/>
        <w:t xml:space="preserve">No Waiver </w:t>
      </w:r>
      <w:r>
        <w:rPr>
          <w:rFonts w:ascii="Times New Roman" w:cs="Times New Roman" w:eastAsia="Times New Roman" w:hAnsi="Times New Roman"/>
          <w:sz w:val="20"/>
          <w:szCs w:val="20"/>
          <w:color w:val="auto"/>
        </w:rPr>
        <w:t>. Any omission or delay by either Party at any time to enforce any right or remedy reserved to it, or to require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of any of the terms, covenants, or provisions hereof, by the other Party, will not constitute a waiver of such Party’s rights to the future enforcement of its rights under this Agreement. Any waiver by a Party of a particular breach or default by the other Party will not operate or be construed as a waiver of any subsequent breach or default by the other Party. No waiver, modification, release or amendment of any obligation under or provision of this Agreement will be valid or effective unless in writing and signed by the Parties.</w:t>
      </w:r>
    </w:p>
    <w:p>
      <w:pPr>
        <w:spacing w:after="0" w:line="179"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16.12</w:t>
        <w:tab/>
        <w:t xml:space="preserve">Cumulative Remedies </w:t>
      </w:r>
      <w:r>
        <w:rPr>
          <w:rFonts w:ascii="Times New Roman" w:cs="Times New Roman" w:eastAsia="Times New Roman" w:hAnsi="Times New Roman"/>
          <w:sz w:val="20"/>
          <w:szCs w:val="20"/>
          <w:color w:val="auto"/>
        </w:rPr>
        <w:t>. No remedy referred to in this Agreement, including termination of this Agreement, is intended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exclusive, but each will be cumulative and in addition to any other remedy referred to in this Agreement or otherwise available under law.</w:t>
      </w:r>
    </w:p>
    <w:p>
      <w:pPr>
        <w:spacing w:after="0" w:line="169" w:lineRule="exact"/>
        <w:rPr>
          <w:sz w:val="20"/>
          <w:szCs w:val="20"/>
          <w:color w:val="auto"/>
        </w:rPr>
      </w:pPr>
    </w:p>
    <w:p>
      <w:pPr>
        <w:jc w:val="both"/>
        <w:ind w:left="760" w:hanging="748"/>
        <w:spacing w:after="0" w:line="250" w:lineRule="auto"/>
        <w:tabs>
          <w:tab w:leader="none" w:pos="740" w:val="left"/>
        </w:tabs>
        <w:rPr>
          <w:sz w:val="20"/>
          <w:szCs w:val="20"/>
          <w:color w:val="auto"/>
        </w:rPr>
      </w:pPr>
      <w:r>
        <w:rPr>
          <w:rFonts w:ascii="Times New Roman" w:cs="Times New Roman" w:eastAsia="Times New Roman" w:hAnsi="Times New Roman"/>
          <w:sz w:val="20"/>
          <w:szCs w:val="20"/>
          <w:b w:val="1"/>
          <w:bCs w:val="1"/>
          <w:color w:val="auto"/>
        </w:rPr>
        <w:t>16.13</w:t>
        <w:tab/>
        <w:t>Counterparts</w:t>
      </w:r>
      <w:r>
        <w:rPr>
          <w:rFonts w:ascii="Times New Roman" w:cs="Times New Roman" w:eastAsia="Times New Roman" w:hAnsi="Times New Roman"/>
          <w:sz w:val="20"/>
          <w:szCs w:val="20"/>
          <w:color w:val="auto"/>
        </w:rPr>
        <w:t>. This Agreement may be executed in one or more counterparts, all of which taken together will be regarded as 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same instrument. Each Party may execute this Agreement in Adobe™ Portable Document Format (PDF) sent by electronic mail. PDF signatures of authorized signatories of the Parties will be deemed to be original signatures, will be valid and binding upon the Parties, and, upon delivery, will constitute due execution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7" w:name="page198"/>
    <w:bookmarkEnd w:id="197"/>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executed this Agreement through their duly authorized representatives to be effective as of the Effective Date.</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FULCRUM THERAPETUICS INC.</w:t>
            </w:r>
          </w:p>
        </w:tc>
        <w:tc>
          <w:tcPr>
            <w:tcW w:w="5940" w:type="dxa"/>
            <w:vAlign w:val="bottom"/>
            <w:gridSpan w:val="2"/>
          </w:tcPr>
          <w:p>
            <w:pPr>
              <w:ind w:left="800"/>
              <w:spacing w:after="0"/>
              <w:rPr>
                <w:sz w:val="20"/>
                <w:szCs w:val="20"/>
                <w:color w:val="auto"/>
              </w:rPr>
            </w:pPr>
            <w:r>
              <w:rPr>
                <w:rFonts w:ascii="Times New Roman" w:cs="Times New Roman" w:eastAsia="Times New Roman" w:hAnsi="Times New Roman"/>
                <w:sz w:val="22"/>
                <w:szCs w:val="22"/>
                <w:b w:val="1"/>
                <w:bCs w:val="1"/>
                <w:color w:val="auto"/>
              </w:rPr>
              <w:t>GENZYME CORPORATION</w:t>
            </w:r>
          </w:p>
        </w:tc>
        <w:tc>
          <w:tcPr>
            <w:tcW w:w="60" w:type="dxa"/>
            <w:vAlign w:val="bottom"/>
          </w:tcPr>
          <w:p>
            <w:pPr>
              <w:spacing w:after="0"/>
              <w:rPr>
                <w:sz w:val="24"/>
                <w:szCs w:val="24"/>
                <w:color w:val="auto"/>
              </w:rPr>
            </w:pPr>
          </w:p>
        </w:tc>
      </w:tr>
      <w:tr>
        <w:trPr>
          <w:trHeight w:val="497"/>
        </w:trPr>
        <w:tc>
          <w:tcPr>
            <w:tcW w:w="8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Alex C. Sapir</w:t>
            </w:r>
          </w:p>
        </w:tc>
        <w:tc>
          <w:tcPr>
            <w:tcW w:w="15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Burcu Eryilmaz</w:t>
            </w:r>
          </w:p>
        </w:tc>
        <w:tc>
          <w:tcPr>
            <w:tcW w:w="60" w:type="dxa"/>
            <w:vAlign w:val="bottom"/>
          </w:tcPr>
          <w:p>
            <w:pPr>
              <w:spacing w:after="0"/>
              <w:rPr>
                <w:sz w:val="24"/>
                <w:szCs w:val="24"/>
                <w:color w:val="auto"/>
              </w:rPr>
            </w:pPr>
          </w:p>
        </w:tc>
      </w:tr>
      <w:tr>
        <w:trPr>
          <w:trHeight w:val="480"/>
        </w:trPr>
        <w:tc>
          <w:tcPr>
            <w:tcW w:w="8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Name:</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Alex C. Sapir</w:t>
            </w:r>
          </w:p>
        </w:tc>
        <w:tc>
          <w:tcPr>
            <w:tcW w:w="15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Name:</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Burcu Eryilmaz</w:t>
            </w:r>
          </w:p>
        </w:tc>
        <w:tc>
          <w:tcPr>
            <w:tcW w:w="60" w:type="dxa"/>
            <w:vAlign w:val="bottom"/>
          </w:tcPr>
          <w:p>
            <w:pPr>
              <w:spacing w:after="0"/>
              <w:rPr>
                <w:sz w:val="24"/>
                <w:szCs w:val="24"/>
                <w:color w:val="auto"/>
              </w:rPr>
            </w:pPr>
          </w:p>
        </w:tc>
      </w:tr>
      <w:tr>
        <w:trPr>
          <w:trHeight w:val="479"/>
        </w:trPr>
        <w:tc>
          <w:tcPr>
            <w:tcW w:w="8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Title:</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Chief Executive Officer and President</w:t>
            </w:r>
          </w:p>
        </w:tc>
        <w:tc>
          <w:tcPr>
            <w:tcW w:w="15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Title:</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Global Head of Rare Diseases Franchise</w:t>
            </w:r>
          </w:p>
        </w:tc>
        <w:tc>
          <w:tcPr>
            <w:tcW w:w="60" w:type="dxa"/>
            <w:vAlign w:val="bottom"/>
          </w:tcPr>
          <w:p>
            <w:pPr>
              <w:spacing w:after="0"/>
              <w:rPr>
                <w:sz w:val="24"/>
                <w:szCs w:val="24"/>
                <w:color w:val="auto"/>
              </w:rPr>
            </w:pPr>
          </w:p>
        </w:tc>
      </w:tr>
      <w:tr>
        <w:trPr>
          <w:trHeight w:val="1624"/>
        </w:trPr>
        <w:tc>
          <w:tcPr>
            <w:tcW w:w="8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8" w:name="page199"/>
    <w:bookmarkEnd w:id="198"/>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Schedule 1.61</w:t>
      </w:r>
    </w:p>
    <w:p>
      <w:pPr>
        <w:spacing w:after="0" w:line="2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Existing Third Party IP Agreements</w:t>
      </w:r>
    </w:p>
    <w:p>
      <w:pPr>
        <w:spacing w:after="0" w:line="200" w:lineRule="exact"/>
        <w:rPr>
          <w:sz w:val="20"/>
          <w:szCs w:val="20"/>
          <w:color w:val="auto"/>
        </w:rPr>
      </w:pPr>
    </w:p>
    <w:p>
      <w:pPr>
        <w:ind w:right="4639" w:hanging="36"/>
        <w:spacing w:after="0" w:line="662"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19"/>
          <w:szCs w:val="19"/>
          <w:color w:val="auto"/>
        </w:rPr>
        <w:t>GSK License Agreement (as defined in Section 1.104)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GSK Side Letter (as defined in Section 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1004570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19"/>
          </w:cols>
          <w:pgMar w:left="1140" w:top="1409" w:right="1440"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20"/>
          <w:szCs w:val="20"/>
          <w:b w:val="1"/>
          <w:bCs w:val="1"/>
          <w:color w:val="auto"/>
        </w:rPr>
        <w:t>Schedule 1.83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Fulcrum Patent Rights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2221865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00" w:name="page201"/>
    <w:bookmarkEnd w:id="200"/>
    <w:p>
      <w:pPr>
        <w:jc w:val="right"/>
        <w:ind w:right="3879"/>
        <w:spacing w:after="0"/>
        <w:rPr>
          <w:sz w:val="20"/>
          <w:szCs w:val="20"/>
          <w:color w:val="auto"/>
        </w:rPr>
      </w:pPr>
      <w:r>
        <w:rPr>
          <w:rFonts w:ascii="Times New Roman" w:cs="Times New Roman" w:eastAsia="Times New Roman" w:hAnsi="Times New Roman"/>
          <w:sz w:val="20"/>
          <w:szCs w:val="20"/>
          <w:b w:val="1"/>
          <w:bCs w:val="1"/>
          <w:color w:val="auto"/>
        </w:rPr>
        <w:t>Schedule 1.132</w:t>
      </w:r>
    </w:p>
    <w:p>
      <w:pPr>
        <w:spacing w:after="0" w:line="2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Losmapimod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274320</wp:posOffset>
            </wp:positionV>
            <wp:extent cx="1714500" cy="17145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1714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Formula: C</w:t>
      </w:r>
      <w:r>
        <w:rPr>
          <w:rFonts w:ascii="Times New Roman" w:cs="Times New Roman" w:eastAsia="Times New Roman" w:hAnsi="Times New Roman"/>
          <w:sz w:val="26"/>
          <w:szCs w:val="26"/>
          <w:color w:val="auto"/>
          <w:vertAlign w:val="subscript"/>
        </w:rPr>
        <w:t>22</w:t>
      </w:r>
      <w:r>
        <w:rPr>
          <w:rFonts w:ascii="Times New Roman" w:cs="Times New Roman" w:eastAsia="Times New Roman" w:hAnsi="Times New Roman"/>
          <w:sz w:val="20"/>
          <w:szCs w:val="20"/>
          <w:color w:val="auto"/>
        </w:rPr>
        <w:t>H</w:t>
      </w:r>
      <w:r>
        <w:rPr>
          <w:rFonts w:ascii="Times New Roman" w:cs="Times New Roman" w:eastAsia="Times New Roman" w:hAnsi="Times New Roman"/>
          <w:sz w:val="26"/>
          <w:szCs w:val="26"/>
          <w:color w:val="auto"/>
          <w:vertAlign w:val="subscript"/>
        </w:rPr>
        <w:t>26</w:t>
      </w:r>
      <w:r>
        <w:rPr>
          <w:rFonts w:ascii="Times New Roman" w:cs="Times New Roman" w:eastAsia="Times New Roman" w:hAnsi="Times New Roman"/>
          <w:sz w:val="20"/>
          <w:szCs w:val="20"/>
          <w:color w:val="auto"/>
        </w:rPr>
        <w:t>FN</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20"/>
          <w:szCs w:val="20"/>
          <w:color w:val="auto"/>
        </w:rPr>
        <w:t>O</w:t>
      </w:r>
      <w:r>
        <w:rPr>
          <w:rFonts w:ascii="Times New Roman" w:cs="Times New Roman" w:eastAsia="Times New Roman" w:hAnsi="Times New Roman"/>
          <w:sz w:val="26"/>
          <w:szCs w:val="26"/>
          <w:color w:val="auto"/>
          <w:vertAlign w:val="subscript"/>
        </w:rPr>
        <w:t>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Molecular Weight: 383.459</w:t>
      </w:r>
    </w:p>
    <w:p>
      <w:pPr>
        <w:spacing w:after="0"/>
        <w:rPr>
          <w:sz w:val="20"/>
          <w:szCs w:val="20"/>
          <w:color w:val="auto"/>
        </w:rPr>
      </w:pPr>
      <w:r>
        <w:rPr>
          <w:rFonts w:ascii="Times New Roman" w:cs="Times New Roman" w:eastAsia="Times New Roman" w:hAnsi="Times New Roman"/>
          <w:sz w:val="20"/>
          <w:szCs w:val="20"/>
          <w:color w:val="auto"/>
        </w:rPr>
        <w:t>GSK Compound Number: GW856553</w:t>
      </w:r>
    </w:p>
    <w:p>
      <w:pPr>
        <w:spacing w:after="0"/>
        <w:rPr>
          <w:sz w:val="20"/>
          <w:szCs w:val="20"/>
          <w:color w:val="auto"/>
        </w:rPr>
      </w:pPr>
      <w:r>
        <w:rPr>
          <w:rFonts w:ascii="Times New Roman" w:cs="Times New Roman" w:eastAsia="Times New Roman" w:hAnsi="Times New Roman"/>
          <w:sz w:val="20"/>
          <w:szCs w:val="20"/>
          <w:color w:val="auto"/>
        </w:rPr>
        <w:t>Fulcrum Compound Number: FTX-1821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201" w:name="page202"/>
    <w:bookmarkEnd w:id="20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1.168</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Statistical Analysis Plan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1029970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4.1</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Initial Technology Transfer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978535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03" w:name="page204"/>
    <w:bookmarkEnd w:id="20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5.2</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Initial Global Development Plan and Budget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1304290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04" w:name="page205"/>
    <w:bookmarkEnd w:id="20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8.2</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Supply Agreement Term Sheet</w:t>
      </w:r>
    </w:p>
    <w:p>
      <w:pPr>
        <w:spacing w:after="0" w:line="200" w:lineRule="exact"/>
        <w:rPr>
          <w:sz w:val="20"/>
          <w:szCs w:val="20"/>
          <w:color w:val="auto"/>
        </w:rPr>
      </w:pPr>
    </w:p>
    <w:p>
      <w:pPr>
        <w:spacing w:after="0" w:line="2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1578610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05" w:name="page206"/>
    <w:bookmarkEnd w:id="20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12.7.1</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137160</wp:posOffset>
            </wp:positionV>
            <wp:extent cx="1663065" cy="4972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166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
        <w:spacing w:after="0" w:line="234" w:lineRule="auto"/>
        <w:rPr>
          <w:sz w:val="20"/>
          <w:szCs w:val="20"/>
          <w:color w:val="auto"/>
        </w:rPr>
      </w:pPr>
      <w:r>
        <w:rPr>
          <w:rFonts w:ascii="Calibri" w:cs="Calibri" w:eastAsia="Calibri" w:hAnsi="Calibri"/>
          <w:sz w:val="20"/>
          <w:szCs w:val="20"/>
          <w:b w:val="1"/>
          <w:bCs w:val="1"/>
          <w:color w:val="auto"/>
        </w:rPr>
        <w:t>Fulcrum Therapeutcs Enter into a Collaboraton and License Agreement with Sanof for the Development and Commercializaton of Losmapimod in Facioscapulohumeral Muscular Dystrophy</w:t>
      </w:r>
    </w:p>
    <w:p>
      <w:pPr>
        <w:spacing w:after="0" w:line="243" w:lineRule="exact"/>
        <w:rPr>
          <w:sz w:val="20"/>
          <w:szCs w:val="20"/>
          <w:color w:val="auto"/>
        </w:rPr>
      </w:pPr>
    </w:p>
    <w:p>
      <w:pPr>
        <w:ind w:left="880" w:hanging="220"/>
        <w:spacing w:after="0"/>
        <w:tabs>
          <w:tab w:leader="none" w:pos="880" w:val="left"/>
        </w:tabs>
        <w:numPr>
          <w:ilvl w:val="0"/>
          <w:numId w:val="122"/>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Sanof receives exclusive rights to commercialize losmapimod in all territories outside the U.S.; Fulcrum retains full U.S.</w:t>
      </w:r>
    </w:p>
    <w:p>
      <w:pPr>
        <w:ind w:left="4520"/>
        <w:spacing w:after="0" w:line="238" w:lineRule="auto"/>
        <w:rPr>
          <w:rFonts w:ascii="Calibri" w:cs="Calibri" w:eastAsia="Calibri" w:hAnsi="Calibri"/>
          <w:sz w:val="20"/>
          <w:szCs w:val="20"/>
          <w:i w:val="1"/>
          <w:iCs w:val="1"/>
          <w:color w:val="auto"/>
        </w:rPr>
      </w:pPr>
      <w:r>
        <w:rPr>
          <w:rFonts w:ascii="Calibri" w:cs="Calibri" w:eastAsia="Calibri" w:hAnsi="Calibri"/>
          <w:sz w:val="20"/>
          <w:szCs w:val="20"/>
          <w:i w:val="1"/>
          <w:iCs w:val="1"/>
          <w:color w:val="auto"/>
        </w:rPr>
        <w:t>commercializaton rights―</w:t>
      </w:r>
    </w:p>
    <w:p>
      <w:pPr>
        <w:spacing w:after="0" w:line="225" w:lineRule="exact"/>
        <w:rPr>
          <w:sz w:val="20"/>
          <w:szCs w:val="20"/>
          <w:color w:val="auto"/>
        </w:rPr>
      </w:pPr>
    </w:p>
    <w:p>
      <w:pPr>
        <w:jc w:val="center"/>
        <w:ind w:right="40"/>
        <w:spacing w:after="0" w:line="234" w:lineRule="auto"/>
        <w:rPr>
          <w:sz w:val="20"/>
          <w:szCs w:val="20"/>
          <w:color w:val="auto"/>
        </w:rPr>
      </w:pPr>
      <w:r>
        <w:rPr>
          <w:rFonts w:ascii="Calibri" w:cs="Calibri" w:eastAsia="Calibri" w:hAnsi="Calibri"/>
          <w:sz w:val="20"/>
          <w:szCs w:val="20"/>
          <w:i w:val="1"/>
          <w:iCs w:val="1"/>
          <w:color w:val="auto"/>
        </w:rPr>
        <w:t>―Fulcrum will receive an upfront payment of $80.0 million, and is eligible to receive $975.0 million in potental milestones, plus royaltes on ex-U.S. product sales; partes will share future global development costs 50:50―</w:t>
      </w:r>
    </w:p>
    <w:p>
      <w:pPr>
        <w:spacing w:after="0" w:line="226" w:lineRule="exact"/>
        <w:rPr>
          <w:sz w:val="20"/>
          <w:szCs w:val="20"/>
          <w:color w:val="auto"/>
        </w:rPr>
      </w:pPr>
    </w:p>
    <w:p>
      <w:pPr>
        <w:jc w:val="center"/>
        <w:ind w:left="3180" w:right="120" w:hanging="3106"/>
        <w:spacing w:after="0" w:line="234" w:lineRule="auto"/>
        <w:tabs>
          <w:tab w:leader="none" w:pos="295" w:val="left"/>
        </w:tabs>
        <w:numPr>
          <w:ilvl w:val="0"/>
          <w:numId w:val="123"/>
        </w:numPr>
        <w:rPr>
          <w:rFonts w:ascii="Calibri" w:cs="Calibri" w:eastAsia="Calibri" w:hAnsi="Calibri"/>
          <w:sz w:val="20"/>
          <w:szCs w:val="20"/>
          <w:i w:val="1"/>
          <w:iCs w:val="1"/>
          <w:color w:val="auto"/>
        </w:rPr>
      </w:pPr>
      <w:r>
        <w:rPr>
          <w:rFonts w:ascii="Calibri" w:cs="Calibri" w:eastAsia="Calibri" w:hAnsi="Calibri"/>
          <w:sz w:val="20"/>
          <w:szCs w:val="20"/>
          <w:i w:val="1"/>
          <w:iCs w:val="1"/>
          <w:color w:val="auto"/>
        </w:rPr>
        <w:t>Conference call and webcast scheduled for 8:00 a.m. ET today to discuss the collaboraton and other recent corporate developments, in conjuncton with frst the quarter 2024 fnancial results―</w:t>
      </w:r>
    </w:p>
    <w:p>
      <w:pPr>
        <w:spacing w:after="0" w:line="233" w:lineRule="exact"/>
        <w:rPr>
          <w:sz w:val="20"/>
          <w:szCs w:val="20"/>
          <w:color w:val="auto"/>
        </w:rPr>
      </w:pPr>
    </w:p>
    <w:p>
      <w:pPr>
        <w:ind w:right="400"/>
        <w:spacing w:after="0" w:line="229" w:lineRule="auto"/>
        <w:rPr>
          <w:sz w:val="20"/>
          <w:szCs w:val="20"/>
          <w:color w:val="auto"/>
        </w:rPr>
      </w:pPr>
      <w:r>
        <w:rPr>
          <w:rFonts w:ascii="Calibri" w:cs="Calibri" w:eastAsia="Calibri" w:hAnsi="Calibri"/>
          <w:sz w:val="20"/>
          <w:szCs w:val="20"/>
          <w:b w:val="1"/>
          <w:bCs w:val="1"/>
          <w:color w:val="auto"/>
        </w:rPr>
        <w:t xml:space="preserve">CAMBRIDGE, Mass., – May 13, 2024 </w:t>
      </w:r>
      <w:r>
        <w:rPr>
          <w:rFonts w:ascii="Calibri" w:cs="Calibri" w:eastAsia="Calibri" w:hAnsi="Calibri"/>
          <w:sz w:val="20"/>
          <w:szCs w:val="20"/>
          <w:color w:val="auto"/>
        </w:rPr>
        <w:t>– Fulcrum Therapeutcs, Inc.</w:t>
      </w:r>
      <w:r>
        <w:rPr>
          <w:rFonts w:ascii="Calibri" w:cs="Calibri" w:eastAsia="Calibri" w:hAnsi="Calibri"/>
          <w:sz w:val="26"/>
          <w:szCs w:val="26"/>
          <w:color w:val="auto"/>
          <w:vertAlign w:val="superscript"/>
        </w:rPr>
        <w: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(Fulcrum) (Nasdaq: FULC), a clinical-stage biopharmaceutcal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focused on developing small molecules to improve the lives of patents with genetcally defned rare diseases, today announced that it has entered into a collaboraton and license agreement with Sanof (Nasdaq: SNY) for the development and commercializaton of losmapimod, an oral small molecule being investgated for the treatment of facioscapulohumeral muscular dystrophy (FSHD). Under the collaboraton and license agreement, Sanof obtains exclusive commercializaton rights for losmapimod outside of the U.S.</w:t>
      </w:r>
    </w:p>
    <w:p>
      <w:pPr>
        <w:spacing w:after="0" w:line="226" w:lineRule="exact"/>
        <w:rPr>
          <w:sz w:val="20"/>
          <w:szCs w:val="20"/>
          <w:color w:val="auto"/>
        </w:rPr>
      </w:pPr>
    </w:p>
    <w:p>
      <w:pPr>
        <w:ind w:right="40"/>
        <w:spacing w:after="0" w:line="237" w:lineRule="auto"/>
        <w:rPr>
          <w:sz w:val="20"/>
          <w:szCs w:val="20"/>
          <w:color w:val="auto"/>
        </w:rPr>
      </w:pPr>
      <w:r>
        <w:rPr>
          <w:rFonts w:ascii="Calibri" w:cs="Calibri" w:eastAsia="Calibri" w:hAnsi="Calibri"/>
          <w:sz w:val="20"/>
          <w:szCs w:val="20"/>
          <w:color w:val="auto"/>
        </w:rPr>
        <w:t>The collaboraton and license agreement combines Fulcrum’s expertse in FSHD with Sanof’s global reach and unparalleled commitment to treatng patents with rare diseases. Losmapimod is currently being evaluated in a global Phase 3 clinical trial for the treatment of FSHD, a chronic and progressive genetc muscular disorder that is characterized by signifcant muscle cell death and fat infltraton into muscle tssue. Results from ReDUX4, the Phase 2 clinical trial evaluatng losmapimod for the treatment of FSHD, demonstrated a slowing of disease progression and improved muscle health. Fulcrum expects to report topline data from REACH, the global Phase 3 clinical trial, in the fourth quarter of 2024. Following positve data from the Phase 3 trial, Fulcrum and Sanof plan to submit marketng applicatons in the U.S., Europe, Japan, and other geographies.</w:t>
      </w:r>
    </w:p>
    <w:p>
      <w:pPr>
        <w:spacing w:after="0" w:line="229"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“Sanof is a proven leader in developing therapeutcs for rare neuromuscular diseases and is the ideal partner to maximize the opportunity and reach of losmapimod outside the U.S.,” said Alex C. Sapir, Fulcrum’s president and chief executve ofcer. “This deal aligns with our core strategy, allowing Fulcrum to remain focused on preparatons for commercializaton of losmapimod in the U.S., while leveraging Sanof’s exceptonal global commercial capabilites and established infrastructure in key markets around the world. We are excited about the potental to provide the frst approved treatment for FSHD patents, and we look forward to working with Sanof to bring losmapimod to patents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6" w:name="page207"/>
    <w:bookmarkEnd w:id="206"/>
    <w:p>
      <w:pPr>
        <w:ind w:right="320"/>
        <w:spacing w:after="0" w:line="237" w:lineRule="auto"/>
        <w:rPr>
          <w:sz w:val="20"/>
          <w:szCs w:val="20"/>
          <w:color w:val="auto"/>
        </w:rPr>
      </w:pPr>
      <w:r>
        <w:rPr>
          <w:rFonts w:ascii="Calibri" w:cs="Calibri" w:eastAsia="Calibri" w:hAnsi="Calibri"/>
          <w:sz w:val="20"/>
          <w:szCs w:val="20"/>
          <w:color w:val="auto"/>
        </w:rPr>
        <w:t>“This partnership provides an excitng opportunity to expand Sanof’s rare disease franchise and deliver the frst approved FSHD treatment to patents with the strength and reach of our commercial organizaton,” said Burcu Eryilmaz, Sanof’s Global Head of Rare Diseases “Losmapimod has shown meaningful clinical benefts that underscore the disease-modifying potental and opportunity to address the high unmet need for a safe and efectve drug that slows disease progression. With a deep commitment to bringing hope and new treatment optons to patents, we look forward to working closely with Fulcrum as losmapimod advances through late-stage development.”</w:t>
      </w:r>
    </w:p>
    <w:p>
      <w:pPr>
        <w:spacing w:after="0" w:line="228" w:lineRule="exact"/>
        <w:rPr>
          <w:sz w:val="20"/>
          <w:szCs w:val="20"/>
          <w:color w:val="auto"/>
        </w:rPr>
      </w:pPr>
    </w:p>
    <w:p>
      <w:pPr>
        <w:ind w:right="280"/>
        <w:spacing w:after="0" w:line="236" w:lineRule="auto"/>
        <w:rPr>
          <w:sz w:val="20"/>
          <w:szCs w:val="20"/>
          <w:color w:val="auto"/>
        </w:rPr>
      </w:pPr>
      <w:r>
        <w:rPr>
          <w:rFonts w:ascii="Calibri" w:cs="Calibri" w:eastAsia="Calibri" w:hAnsi="Calibri"/>
          <w:sz w:val="20"/>
          <w:szCs w:val="20"/>
          <w:color w:val="auto"/>
        </w:rPr>
        <w:t>Per the terms of the agreement, Fulcrum will receive an upfront payment of $80.0 million and is eligible to receive up to an additonal $975.0 million in specifed regulatory and sales-based milestones, along with tered escalatng royaltes startng in the low-teens on annual net sales of losmapimod outside the U.S. In additon, Fulcrum and Sanof will equally share future global development costs.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Conference Call and Webcast</w:t>
      </w:r>
    </w:p>
    <w:p>
      <w:pPr>
        <w:spacing w:after="0" w:line="9" w:lineRule="exact"/>
        <w:rPr>
          <w:sz w:val="20"/>
          <w:szCs w:val="20"/>
          <w:color w:val="auto"/>
        </w:rPr>
      </w:pPr>
    </w:p>
    <w:p>
      <w:pPr>
        <w:ind w:right="340"/>
        <w:spacing w:after="0" w:line="236" w:lineRule="auto"/>
        <w:rPr>
          <w:sz w:val="20"/>
          <w:szCs w:val="20"/>
          <w:color w:val="auto"/>
        </w:rPr>
      </w:pPr>
      <w:r>
        <w:rPr>
          <w:rFonts w:ascii="Calibri" w:cs="Calibri" w:eastAsia="Calibri" w:hAnsi="Calibri"/>
          <w:sz w:val="20"/>
          <w:szCs w:val="20"/>
          <w:color w:val="auto"/>
        </w:rPr>
        <w:t>Individuals may register for the conference call by clicking the link here. Once registered, partcipants will receive dial-in details and unique PIN which will allow them to access the call. An audio webcast will be accessible through the Investor Relatons secton of the Fulcrum’s website at www.fulcrumtx.com or by clicking here. Following the live webcast, an archived replay will also be available.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Losmapimod</w:t>
      </w:r>
    </w:p>
    <w:p>
      <w:pPr>
        <w:spacing w:after="0" w:line="9"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Losmapimod is a selectve p38α/β mitogen actvated protein kinase (MAPK) inhibitor. Fulcrum exclusively in-licensed losmapimod from GSK following Fulcrum’s discovery of the role of p38α/β inhibitors in the reducton of DUX4 expression and an extensive review of known compounds. Results reported from the Phase 2 ReDUX4 trial demonstrated a slowing of disease progression and improved functon, including positve impacts on upper extremity strength and functonal measures supportng losmapimod’s potental to be a transformatve therapy for the treatment of FSHD. Although losmapimod had never previously been explored in muscular dystrophies, it had been evaluated in more than 3,600 subjects in clinical trials across multple other indicatons, with no safety signals atributed to losmapimod. Losmapimod has been granted U.S. Food and Drug Administraton (FDA) Fast Track designaton and Orphan Drug Designaton for the treatment of FSHD. Losmapimod is currently being evaluated in a Phase 3 mult-center randomized, double-blind, placebo-controlled, 48-week parallel-group study in people with FSHD (NCT05397470).</w:t>
      </w:r>
    </w:p>
    <w:p>
      <w:pPr>
        <w:spacing w:after="0" w:line="22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FSHD</w:t>
      </w:r>
    </w:p>
    <w:p>
      <w:pPr>
        <w:spacing w:after="0" w:line="9"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FSHD is a serious, rare, progressive and debilitatng disease for which there are no approved treatments. It is characterized by fat infltraton of skeletal muscle leading to muscular atrophy involving primarily the face, scapula and shoulders, upper arms, and abdomen. Impact on patents includes profound decreases in the ability to perform actvites of daily living, loss of upper limb functon, loss of mobility and independence and chronic pain. FSHD is one of the most common forms of muscular dystrophy and has an estmated patent populaton of 30,000 in the United States alone.</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Fulcrum Therapeutcs</w:t>
      </w:r>
    </w:p>
    <w:p>
      <w:pPr>
        <w:spacing w:after="0" w:line="9" w:lineRule="exact"/>
        <w:rPr>
          <w:sz w:val="20"/>
          <w:szCs w:val="20"/>
          <w:color w:val="auto"/>
        </w:rPr>
      </w:pPr>
    </w:p>
    <w:p>
      <w:pPr>
        <w:ind w:right="160"/>
        <w:spacing w:after="0" w:line="237" w:lineRule="auto"/>
        <w:rPr>
          <w:sz w:val="20"/>
          <w:szCs w:val="20"/>
          <w:color w:val="auto"/>
        </w:rPr>
      </w:pPr>
      <w:r>
        <w:rPr>
          <w:rFonts w:ascii="Calibri" w:cs="Calibri" w:eastAsia="Calibri" w:hAnsi="Calibri"/>
          <w:sz w:val="20"/>
          <w:szCs w:val="20"/>
          <w:color w:val="auto"/>
        </w:rPr>
        <w:t>Fulcrum Therapeutcs is a clinical-stage biopharmaceutcal company focused on developing small molecules to improve the lives of patents with genetcally defned rare diseases in areas of high unmet medical need. Fulcrum’s two lead programs in clinical development are losmapimod, a small molecule in development for the treatment of facioscapulohumeral muscular dystrophy (FSHD), and pociredir (formerly known as FTX-6058), a small molecule designed to increase expression of fetal hemoglobin and in development for the treatment of sickle cell disease (SCD). Fulcrum uses 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7" w:name="page208"/>
    <w:bookmarkEnd w:id="207"/>
    <w:p>
      <w:pPr>
        <w:ind w:right="20"/>
        <w:spacing w:after="0" w:line="234" w:lineRule="auto"/>
        <w:rPr>
          <w:sz w:val="20"/>
          <w:szCs w:val="20"/>
          <w:color w:val="auto"/>
        </w:rPr>
      </w:pPr>
      <w:r>
        <w:rPr>
          <w:rFonts w:ascii="Calibri" w:cs="Calibri" w:eastAsia="Calibri" w:hAnsi="Calibri"/>
          <w:sz w:val="20"/>
          <w:szCs w:val="20"/>
          <w:color w:val="auto"/>
        </w:rPr>
        <w:t>to identfy drug targets that can modulate gene expression to treat the known root cause of gene mis-expression. For more informaton, visit www.fulcrumtx.com and follow us on Twiter/X (@FulcrumTx) and LinkedIn.</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9" w:lineRule="exact"/>
        <w:rPr>
          <w:sz w:val="20"/>
          <w:szCs w:val="20"/>
          <w:color w:val="auto"/>
        </w:rPr>
      </w:pPr>
    </w:p>
    <w:p>
      <w:pPr>
        <w:spacing w:after="0" w:line="238" w:lineRule="auto"/>
        <w:rPr>
          <w:sz w:val="20"/>
          <w:szCs w:val="20"/>
          <w:color w:val="auto"/>
        </w:rPr>
      </w:pPr>
      <w:r>
        <w:rPr>
          <w:rFonts w:ascii="Calibri" w:cs="Calibri" w:eastAsia="Calibri" w:hAnsi="Calibri"/>
          <w:sz w:val="20"/>
          <w:szCs w:val="20"/>
          <w:color w:val="auto"/>
        </w:rPr>
        <w:t>This press release contains “forward-looking statements” within the meaning of the Private Securites Litgaton Reform Act of 1995 that involve substantal risks and uncertaintes. All statements, other than statements of historical facts, contained in this press release are forward-looking statements, including express or implied statements regarding Fulcrum’s collaboraton and license agreement with Sanof and receipt of the upfront payment thereunder; its ability to receive the milestone and royalty payments thereunder and achieve benefts therefrom; tming of data from REACH and its ability to support submission of marketng applicatons for losmapimod; and Fulcrum’s ability to deliver an FDA-approved therapy for FSHD patents; among others. The words “antcipate,” “believe,” “contnue,” “could,” “estmate,” “expect,” “intend,” “may,” “plan,” “potental,” “predict,” “project,” “should,” “target,” “will,” “would” and similar expressions are intended to identfy forward-looking statements, although not all forward-looking statements contain these identfying words. Any forward-looking statements are based on management’s current expectatons of future events and are subject to a number of risks and uncertaintes that could cause actual results to difer materially and adversely from those set forth in, or implied by, such forward-looking statements. These risks and uncertaintes include, but are not limited to, risks associated with Fulcrum’s ability to contnue to advance its product candidates in clinical trials; initatng and enrolling clinical trials on the tmeline expected or at all; obtaining and maintaining necessary approvals from the FDA and other regulatory authorites; replicatng in clinical trials positve results found in preclinical studies and/or earlier-stage clinical trials of losmapimod, pociredir and any other product candidates; obtaining, maintaining or protectng intellectual property rights related to its product candidates; managing expenses; managing executve and employee turnover, including integratng a new CMO; and raising the substantal additonal capital needed to achieve its business objectves, among others. For a discussion of other risks and uncertaintes, and other important factors, any of which could cause Fulcrum’s actual results to difer from those contained in the forward-looking statements, see the “Risk Factors” secton, as well as discussions of potental risks, uncertaintes, and other important factors, in Fulcrum’s most recent flings with the Securites and Exchange Commission. In additon, the forward-looking statements included in this press release represent Fulcrum’s views as of the date hereof and should not be relied upon as representng Fulcrum’s views as of any date subsequent to the date hereof. Fulcrum antcipates that subsequent events and developments will cause Fulcrum’s views to change. However, while Fulcrum may elect to update these forward-looking statements at some point in the future, Fulcrum specifcally disclaims any obligaton to do so.</w:t>
      </w:r>
    </w:p>
    <w:p>
      <w:pPr>
        <w:spacing w:after="0" w:line="22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w:t>
      </w:r>
    </w:p>
    <w:p>
      <w:pPr>
        <w:spacing w:after="0" w:line="238" w:lineRule="auto"/>
        <w:rPr>
          <w:sz w:val="20"/>
          <w:szCs w:val="20"/>
          <w:color w:val="auto"/>
        </w:rPr>
      </w:pPr>
      <w:r>
        <w:rPr>
          <w:rFonts w:ascii="Calibri" w:cs="Calibri" w:eastAsia="Calibri" w:hAnsi="Calibri"/>
          <w:sz w:val="20"/>
          <w:szCs w:val="20"/>
          <w:color w:val="auto"/>
        </w:rPr>
        <w:t>Chris Calabrese</w:t>
      </w:r>
    </w:p>
    <w:p>
      <w:pPr>
        <w:spacing w:after="0"/>
        <w:rPr>
          <w:sz w:val="20"/>
          <w:szCs w:val="20"/>
          <w:color w:val="auto"/>
        </w:rPr>
      </w:pPr>
      <w:r>
        <w:rPr>
          <w:rFonts w:ascii="Calibri" w:cs="Calibri" w:eastAsia="Calibri" w:hAnsi="Calibri"/>
          <w:sz w:val="20"/>
          <w:szCs w:val="20"/>
          <w:color w:val="auto"/>
        </w:rPr>
        <w:t>LifeSci Advisors, LLC</w:t>
      </w:r>
    </w:p>
    <w:p>
      <w:pPr>
        <w:spacing w:after="0" w:line="238" w:lineRule="auto"/>
        <w:rPr>
          <w:sz w:val="20"/>
          <w:szCs w:val="20"/>
          <w:color w:val="auto"/>
        </w:rPr>
      </w:pPr>
      <w:r>
        <w:rPr>
          <w:rFonts w:ascii="Calibri" w:cs="Calibri" w:eastAsia="Calibri" w:hAnsi="Calibri"/>
          <w:sz w:val="20"/>
          <w:szCs w:val="20"/>
          <w:color w:val="auto"/>
        </w:rPr>
        <w:t>ccalabrese@lifesciadvisors.com</w:t>
      </w:r>
    </w:p>
    <w:p>
      <w:pPr>
        <w:spacing w:after="0"/>
        <w:rPr>
          <w:sz w:val="20"/>
          <w:szCs w:val="20"/>
          <w:color w:val="auto"/>
        </w:rPr>
      </w:pPr>
      <w:r>
        <w:rPr>
          <w:rFonts w:ascii="Calibri" w:cs="Calibri" w:eastAsia="Calibri" w:hAnsi="Calibri"/>
          <w:sz w:val="20"/>
          <w:szCs w:val="20"/>
          <w:color w:val="auto"/>
        </w:rPr>
        <w:t>917-680-5608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1465580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1" w:right="399" w:bottom="1440" w:gutter="0" w:footer="0" w:header="0"/>
        </w:sectPr>
      </w:pPr>
    </w:p>
    <w:bookmarkStart w:id="208" w:name="page209"/>
    <w:bookmarkEnd w:id="20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14.8.1(a)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Baseball Arbitration Terms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1347470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INDUCEMENT STOCK INCENTIVE PLAN</w:t>
      </w:r>
    </w:p>
    <w:p>
      <w:pPr>
        <w:spacing w:after="0" w:line="200" w:lineRule="exact"/>
        <w:rPr>
          <w:sz w:val="20"/>
          <w:szCs w:val="20"/>
          <w:color w:val="auto"/>
        </w:rPr>
      </w:pPr>
    </w:p>
    <w:p>
      <w:pPr>
        <w:spacing w:after="0" w:line="250" w:lineRule="exact"/>
        <w:rPr>
          <w:sz w:val="20"/>
          <w:szCs w:val="20"/>
          <w:color w:val="auto"/>
        </w:rPr>
      </w:pPr>
    </w:p>
    <w:p>
      <w:pPr>
        <w:ind w:right="80" w:firstLine="8"/>
        <w:spacing w:after="0" w:line="234" w:lineRule="auto"/>
        <w:tabs>
          <w:tab w:leader="none" w:pos="50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Fulcrum Therapeutics, Inc. 2022 Inducement Stock Incentive Plan, as amended (the “Plan”) is hereby amended by deleting the first sentence of Section 4(a) and substituting therefore the following:</w:t>
      </w:r>
    </w:p>
    <w:p>
      <w:pPr>
        <w:spacing w:after="0" w:line="1" w:lineRule="exact"/>
        <w:rPr>
          <w:rFonts w:ascii="Times New Roman" w:cs="Times New Roman" w:eastAsia="Times New Roman" w:hAnsi="Times New Roman"/>
          <w:sz w:val="22"/>
          <w:szCs w:val="22"/>
          <w:color w:val="auto"/>
        </w:rPr>
      </w:pPr>
    </w:p>
    <w:p>
      <w:pPr>
        <w:ind w:left="760" w:right="880"/>
        <w:spacing w:after="0" w:line="260"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adjustment under Section 9, Awards may be made under the Plan for up to 6,150,000 shares of common stock, $0.001 par value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effective date of this Second Amendment shall be June 17, 2024.</w:t>
      </w:r>
    </w:p>
    <w:p>
      <w:pPr>
        <w:spacing w:after="0" w:line="11" w:lineRule="exact"/>
        <w:rPr>
          <w:rFonts w:ascii="Times New Roman" w:cs="Times New Roman" w:eastAsia="Times New Roman" w:hAnsi="Times New Roman"/>
          <w:sz w:val="22"/>
          <w:szCs w:val="22"/>
          <w:color w:val="auto"/>
        </w:rPr>
      </w:pPr>
    </w:p>
    <w:p>
      <w:pPr>
        <w:ind w:left="520" w:hanging="512"/>
        <w:spacing w:after="0" w:line="219" w:lineRule="auto"/>
        <w:tabs>
          <w:tab w:leader="none" w:pos="5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Except as amended herein, the Plan is confirmed in all other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20"/>
        <w:spacing w:after="0" w:line="266" w:lineRule="auto"/>
        <w:rPr>
          <w:sz w:val="20"/>
          <w:szCs w:val="20"/>
          <w:color w:val="auto"/>
        </w:rPr>
      </w:pPr>
      <w:r>
        <w:rPr>
          <w:rFonts w:ascii="Times New Roman" w:cs="Times New Roman" w:eastAsia="Times New Roman" w:hAnsi="Times New Roman"/>
          <w:sz w:val="18"/>
          <w:szCs w:val="18"/>
          <w:color w:val="auto"/>
        </w:rPr>
        <w:t>CERTAIN INFORMATION CONTAINED IN THIS DOCUMENT, MARKED BY [***], HAS BEEN OMITTED BECAUSE IT IS BOTH (I) NOT MATERIAL AND (II) IS THE TYPE THAT THE REGISTRANT TREATS AS PRIVATE OR CONFIDENTIAL</w:t>
      </w:r>
    </w:p>
    <w:p>
      <w:pPr>
        <w:spacing w:after="0" w:line="3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AMENDMENT No. 2</w:t>
      </w:r>
    </w:p>
    <w:p>
      <w:pPr>
        <w:spacing w:after="0" w:line="218" w:lineRule="exact"/>
        <w:rPr>
          <w:sz w:val="20"/>
          <w:szCs w:val="20"/>
          <w:color w:val="auto"/>
        </w:rPr>
      </w:pPr>
    </w:p>
    <w:p>
      <w:pPr>
        <w:jc w:val="both"/>
        <w:ind w:right="400" w:firstLine="747"/>
        <w:spacing w:after="0" w:line="250" w:lineRule="auto"/>
        <w:rPr>
          <w:sz w:val="20"/>
          <w:szCs w:val="20"/>
          <w:color w:val="auto"/>
        </w:rPr>
      </w:pPr>
      <w:r>
        <w:rPr>
          <w:rFonts w:ascii="Times New Roman" w:cs="Times New Roman" w:eastAsia="Times New Roman" w:hAnsi="Times New Roman"/>
          <w:sz w:val="21"/>
          <w:szCs w:val="21"/>
          <w:color w:val="auto"/>
        </w:rPr>
        <w:t xml:space="preserve">This Amendment No. 2 (this </w:t>
      </w:r>
      <w:r>
        <w:rPr>
          <w:rFonts w:ascii="Times New Roman" w:cs="Times New Roman" w:eastAsia="Times New Roman" w:hAnsi="Times New Roman"/>
          <w:sz w:val="21"/>
          <w:szCs w:val="21"/>
          <w:b w:val="1"/>
          <w:bCs w:val="1"/>
          <w:color w:val="auto"/>
        </w:rPr>
        <w:t>“Amendment No. 2”</w:t>
      </w:r>
      <w:r>
        <w:rPr>
          <w:rFonts w:ascii="Times New Roman" w:cs="Times New Roman" w:eastAsia="Times New Roman" w:hAnsi="Times New Roman"/>
          <w:sz w:val="21"/>
          <w:szCs w:val="21"/>
          <w:color w:val="auto"/>
        </w:rPr>
        <w:t>) is effective as of the date signed by the last party to sign below (the “</w:t>
      </w:r>
      <w:r>
        <w:rPr>
          <w:rFonts w:ascii="Times New Roman" w:cs="Times New Roman" w:eastAsia="Times New Roman" w:hAnsi="Times New Roman"/>
          <w:sz w:val="21"/>
          <w:szCs w:val="21"/>
          <w:b w:val="1"/>
          <w:bCs w:val="1"/>
          <w:color w:val="auto"/>
        </w:rPr>
        <w:t>Amendment No. 2 Effective Date”</w:t>
      </w:r>
      <w:r>
        <w:rPr>
          <w:rFonts w:ascii="Times New Roman" w:cs="Times New Roman" w:eastAsia="Times New Roman" w:hAnsi="Times New Roman"/>
          <w:sz w:val="21"/>
          <w:szCs w:val="21"/>
          <w:color w:val="auto"/>
        </w:rPr>
        <w:t xml:space="preserve">) and is made and entered into by and among </w:t>
      </w:r>
      <w:r>
        <w:rPr>
          <w:rFonts w:ascii="Times New Roman" w:cs="Times New Roman" w:eastAsia="Times New Roman" w:hAnsi="Times New Roman"/>
          <w:sz w:val="21"/>
          <w:szCs w:val="21"/>
          <w:b w:val="1"/>
          <w:bCs w:val="1"/>
          <w:color w:val="auto"/>
        </w:rPr>
        <w:t>Fulcrum Therapeutics, Inc., (“Fulcrum”)</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MyoKardia, Inc. (“MyoKardia”)</w:t>
      </w:r>
      <w:r>
        <w:rPr>
          <w:rFonts w:ascii="Times New Roman" w:cs="Times New Roman" w:eastAsia="Times New Roman" w:hAnsi="Times New Roman"/>
          <w:sz w:val="21"/>
          <w:szCs w:val="21"/>
          <w:color w:val="auto"/>
        </w:rPr>
        <w:t>.</w:t>
      </w:r>
    </w:p>
    <w:p>
      <w:pPr>
        <w:spacing w:after="0"/>
        <w:rPr>
          <w:sz w:val="20"/>
          <w:szCs w:val="20"/>
          <w:color w:val="auto"/>
        </w:rPr>
      </w:pPr>
      <w:r>
        <w:rPr>
          <w:rFonts w:ascii="Times New Roman" w:cs="Times New Roman" w:eastAsia="Times New Roman" w:hAnsi="Times New Roman"/>
          <w:sz w:val="21"/>
          <w:szCs w:val="21"/>
          <w:color w:val="auto"/>
        </w:rPr>
        <w:t>Fulcrum and MyoKardia may each be referred to herein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or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207" w:lineRule="exact"/>
        <w:rPr>
          <w:sz w:val="20"/>
          <w:szCs w:val="20"/>
          <w:color w:val="auto"/>
        </w:rPr>
      </w:pPr>
    </w:p>
    <w:p>
      <w:pPr>
        <w:ind w:right="180" w:firstLine="747"/>
        <w:spacing w:after="0" w:line="270" w:lineRule="auto"/>
        <w:rPr>
          <w:sz w:val="20"/>
          <w:szCs w:val="20"/>
          <w:color w:val="auto"/>
        </w:rPr>
      </w:pPr>
      <w:r>
        <w:rPr>
          <w:rFonts w:ascii="Times New Roman" w:cs="Times New Roman" w:eastAsia="Times New Roman" w:hAnsi="Times New Roman"/>
          <w:sz w:val="21"/>
          <w:szCs w:val="21"/>
          <w:color w:val="auto"/>
        </w:rPr>
        <w:t xml:space="preserve">WHEREAS, Fulcrum and MyoKardia entered into a Collaboration and License Agreement having an effective date of July 20, 2020, as amended by Amendment 1, dated April 20, 2023 (collectively,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WHEREAS, Fulcrum and MyoKardia want to amend the Agreement to extend the term;</w:t>
      </w:r>
    </w:p>
    <w:p>
      <w:pPr>
        <w:spacing w:after="0" w:line="245" w:lineRule="exact"/>
        <w:rPr>
          <w:sz w:val="20"/>
          <w:szCs w:val="20"/>
          <w:color w:val="auto"/>
        </w:rPr>
      </w:pPr>
    </w:p>
    <w:p>
      <w:pPr>
        <w:ind w:right="840" w:firstLine="747"/>
        <w:spacing w:after="0" w:line="270" w:lineRule="auto"/>
        <w:rPr>
          <w:sz w:val="20"/>
          <w:szCs w:val="20"/>
          <w:color w:val="auto"/>
        </w:rPr>
      </w:pPr>
      <w:r>
        <w:rPr>
          <w:rFonts w:ascii="Times New Roman" w:cs="Times New Roman" w:eastAsia="Times New Roman" w:hAnsi="Times New Roman"/>
          <w:sz w:val="21"/>
          <w:szCs w:val="21"/>
          <w:color w:val="auto"/>
        </w:rPr>
        <w:t>NOW, THEREFORE, in consideration of the foregoing premises and the mutual promises and covenants contained herein, Fulcrum and MyoKardia agree as follows:</w:t>
      </w:r>
    </w:p>
    <w:p>
      <w:pPr>
        <w:spacing w:after="0" w:line="91" w:lineRule="exact"/>
        <w:rPr>
          <w:sz w:val="20"/>
          <w:szCs w:val="20"/>
          <w:color w:val="auto"/>
        </w:rPr>
      </w:pPr>
    </w:p>
    <w:p>
      <w:pPr>
        <w:ind w:left="1100" w:right="580" w:hanging="733"/>
        <w:spacing w:after="0" w:line="258" w:lineRule="auto"/>
        <w:tabs>
          <w:tab w:leader="none" w:pos="11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terms in this Amendment No. 2 with initial letters capitalized, whether used in the singular or the plural, shall have the meaning set forth herein, or if not defined herein, as set forth in the Agreement.</w:t>
      </w:r>
    </w:p>
    <w:p>
      <w:pPr>
        <w:spacing w:after="0" w:line="197" w:lineRule="exact"/>
        <w:rPr>
          <w:rFonts w:ascii="Times New Roman" w:cs="Times New Roman" w:eastAsia="Times New Roman" w:hAnsi="Times New Roman"/>
          <w:sz w:val="22"/>
          <w:szCs w:val="22"/>
          <w:color w:val="auto"/>
        </w:rPr>
      </w:pPr>
    </w:p>
    <w:p>
      <w:pPr>
        <w:ind w:left="1120" w:hanging="753"/>
        <w:spacing w:after="0"/>
        <w:tabs>
          <w:tab w:leader="none" w:pos="112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Section 1.60 is deleted in its entirety and replaced with the following:</w:t>
      </w:r>
    </w:p>
    <w:p>
      <w:pPr>
        <w:spacing w:after="0" w:line="217"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Term</w:t>
      </w:r>
      <w:r>
        <w:rPr>
          <w:rFonts w:ascii="Times New Roman" w:cs="Times New Roman" w:eastAsia="Times New Roman" w:hAnsi="Times New Roman"/>
          <w:sz w:val="21"/>
          <w:szCs w:val="21"/>
          <w:color w:val="auto"/>
        </w:rPr>
        <w:t>” means the period commencing on the Effective date and ending on [***].</w:t>
      </w:r>
    </w:p>
    <w:p>
      <w:pPr>
        <w:spacing w:after="0" w:line="260" w:lineRule="exact"/>
        <w:rPr>
          <w:rFonts w:ascii="Times New Roman" w:cs="Times New Roman" w:eastAsia="Times New Roman" w:hAnsi="Times New Roman"/>
          <w:sz w:val="22"/>
          <w:szCs w:val="22"/>
          <w:color w:val="auto"/>
        </w:rPr>
      </w:pPr>
    </w:p>
    <w:p>
      <w:pPr>
        <w:ind w:left="1040" w:right="1020" w:hanging="673"/>
        <w:spacing w:after="0" w:line="258" w:lineRule="auto"/>
        <w:tabs>
          <w:tab w:leader="none" w:pos="10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Except as expressly set forth herein, all provisions of the Agreement shall remain unchanged and in full force and effect.</w:t>
      </w:r>
    </w:p>
    <w:p>
      <w:pPr>
        <w:spacing w:after="0" w:line="197" w:lineRule="exact"/>
        <w:rPr>
          <w:rFonts w:ascii="Times New Roman" w:cs="Times New Roman" w:eastAsia="Times New Roman" w:hAnsi="Times New Roman"/>
          <w:sz w:val="22"/>
          <w:szCs w:val="22"/>
          <w:color w:val="auto"/>
        </w:rPr>
      </w:pPr>
    </w:p>
    <w:p>
      <w:pPr>
        <w:ind w:left="1080" w:right="700" w:hanging="713"/>
        <w:spacing w:after="0" w:line="258" w:lineRule="auto"/>
        <w:tabs>
          <w:tab w:leader="none" w:pos="10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Amendment No. 2 shall be governed by and interpreted in accordance with the substantive laws of the State of Delaware, without regard to conflict of law principles thereof.</w:t>
      </w:r>
    </w:p>
    <w:p>
      <w:pPr>
        <w:spacing w:after="0" w:line="197" w:lineRule="exact"/>
        <w:rPr>
          <w:rFonts w:ascii="Times New Roman" w:cs="Times New Roman" w:eastAsia="Times New Roman" w:hAnsi="Times New Roman"/>
          <w:sz w:val="22"/>
          <w:szCs w:val="22"/>
          <w:color w:val="auto"/>
        </w:rPr>
      </w:pPr>
    </w:p>
    <w:p>
      <w:pPr>
        <w:ind w:left="1100" w:right="340" w:hanging="733"/>
        <w:spacing w:after="0" w:line="247" w:lineRule="auto"/>
        <w:tabs>
          <w:tab w:leader="none" w:pos="11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Amendment No. 2 may be executed in two (2) or more counterparts, each of which shall be deemed an original, but all of which together shall constitute one (1) and the same instrument. This Amendment No. 1 may be executed by facsimile or electronic (e.g., .pdf) signatures and such signatures shall be deemed to bind each party hereto as if they were original signatures.</w:t>
      </w:r>
    </w:p>
    <w:p>
      <w:pPr>
        <w:spacing w:after="0" w:line="200" w:lineRule="exact"/>
        <w:rPr>
          <w:sz w:val="20"/>
          <w:szCs w:val="20"/>
          <w:color w:val="auto"/>
        </w:rPr>
      </w:pPr>
    </w:p>
    <w:p>
      <w:pPr>
        <w:spacing w:after="0" w:line="250" w:lineRule="exact"/>
        <w:rPr>
          <w:sz w:val="20"/>
          <w:szCs w:val="20"/>
          <w:color w:val="auto"/>
        </w:rPr>
      </w:pPr>
    </w:p>
    <w:p>
      <w:pPr>
        <w:ind w:right="1520"/>
        <w:spacing w:after="0" w:line="272"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caused this Amendment No. 2 to be executed by their duly authorized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representatives on the date(s)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57" w:right="339" w:bottom="1440" w:gutter="0" w:footer="0" w:header="0"/>
        </w:sectPr>
      </w:pPr>
    </w:p>
    <w:bookmarkStart w:id="211" w:name="page212"/>
    <w:bookmarkEnd w:id="211"/>
    <w:p>
      <w:pPr>
        <w:ind w:left="102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14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MYOKARDIA, INC.</w:t>
            </w:r>
          </w:p>
        </w:tc>
        <w:tc>
          <w:tcPr>
            <w:tcW w:w="6040" w:type="dxa"/>
            <w:vAlign w:val="bottom"/>
            <w:gridSpan w:val="2"/>
          </w:tcPr>
          <w:p>
            <w:pPr>
              <w:ind w:left="1020"/>
              <w:spacing w:after="0"/>
              <w:rPr>
                <w:sz w:val="20"/>
                <w:szCs w:val="20"/>
                <w:color w:val="auto"/>
              </w:rPr>
            </w:pPr>
            <w:r>
              <w:rPr>
                <w:rFonts w:ascii="Times New Roman" w:cs="Times New Roman" w:eastAsia="Times New Roman" w:hAnsi="Times New Roman"/>
                <w:sz w:val="22"/>
                <w:szCs w:val="22"/>
                <w:b w:val="1"/>
                <w:bCs w:val="1"/>
                <w:color w:val="auto"/>
              </w:rPr>
              <w:t>FULCRUM THERAPEUTICS, INC.</w:t>
            </w:r>
          </w:p>
        </w:tc>
        <w:tc>
          <w:tcPr>
            <w:tcW w:w="60" w:type="dxa"/>
            <w:vAlign w:val="bottom"/>
          </w:tcPr>
          <w:p>
            <w:pPr>
              <w:spacing w:after="0"/>
              <w:rPr>
                <w:sz w:val="24"/>
                <w:szCs w:val="24"/>
                <w:color w:val="auto"/>
              </w:rPr>
            </w:pPr>
          </w:p>
        </w:tc>
      </w:tr>
      <w:tr>
        <w:trPr>
          <w:trHeight w:val="514"/>
        </w:trPr>
        <w:tc>
          <w:tcPr>
            <w:tcW w:w="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Patrick Gliha</w:t>
            </w:r>
          </w:p>
        </w:tc>
        <w:tc>
          <w:tcPr>
            <w:tcW w:w="180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By:</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Alex Sapir</w:t>
            </w:r>
          </w:p>
        </w:tc>
        <w:tc>
          <w:tcPr>
            <w:tcW w:w="60" w:type="dxa"/>
            <w:vAlign w:val="bottom"/>
          </w:tcPr>
          <w:p>
            <w:pPr>
              <w:spacing w:after="0"/>
              <w:rPr>
                <w:sz w:val="24"/>
                <w:szCs w:val="24"/>
                <w:color w:val="auto"/>
              </w:rPr>
            </w:pPr>
          </w:p>
        </w:tc>
      </w:tr>
      <w:tr>
        <w:trPr>
          <w:trHeight w:val="506"/>
        </w:trPr>
        <w:tc>
          <w:tcPr>
            <w:tcW w:w="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Name:</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Patrick Gliha</w:t>
            </w:r>
          </w:p>
        </w:tc>
        <w:tc>
          <w:tcPr>
            <w:tcW w:w="180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Alex Sapir</w:t>
            </w:r>
          </w:p>
        </w:tc>
        <w:tc>
          <w:tcPr>
            <w:tcW w:w="60" w:type="dxa"/>
            <w:vAlign w:val="bottom"/>
          </w:tcPr>
          <w:p>
            <w:pPr>
              <w:spacing w:after="0"/>
              <w:rPr>
                <w:sz w:val="24"/>
                <w:szCs w:val="24"/>
                <w:color w:val="auto"/>
              </w:rPr>
            </w:pPr>
          </w:p>
        </w:tc>
      </w:tr>
      <w:tr>
        <w:trPr>
          <w:trHeight w:val="466"/>
        </w:trPr>
        <w:tc>
          <w:tcPr>
            <w:tcW w:w="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w w:val="97"/>
              </w:rPr>
              <w:t>Executive Director, Global Alliances &amp; Business</w:t>
            </w:r>
          </w:p>
        </w:tc>
        <w:tc>
          <w:tcPr>
            <w:tcW w:w="180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Title:</w:t>
            </w:r>
          </w:p>
        </w:tc>
        <w:tc>
          <w:tcPr>
            <w:tcW w:w="4240" w:type="dxa"/>
            <w:vAlign w:val="bottom"/>
          </w:tcPr>
          <w:p>
            <w:pPr>
              <w:spacing w:after="0"/>
              <w:rPr>
                <w:sz w:val="20"/>
                <w:szCs w:val="20"/>
                <w:color w:val="auto"/>
              </w:rPr>
            </w:pPr>
            <w:r>
              <w:rPr>
                <w:rFonts w:ascii="Times New Roman" w:cs="Times New Roman" w:eastAsia="Times New Roman" w:hAnsi="Times New Roman"/>
                <w:sz w:val="22"/>
                <w:szCs w:val="22"/>
                <w:color w:val="auto"/>
              </w:rPr>
              <w:t>President and CEO</w:t>
            </w:r>
          </w:p>
        </w:tc>
        <w:tc>
          <w:tcPr>
            <w:tcW w:w="60" w:type="dxa"/>
            <w:vAlign w:val="bottom"/>
          </w:tcPr>
          <w:p>
            <w:pPr>
              <w:spacing w:after="0"/>
              <w:rPr>
                <w:sz w:val="24"/>
                <w:szCs w:val="24"/>
                <w:color w:val="auto"/>
              </w:rPr>
            </w:pPr>
          </w:p>
        </w:tc>
      </w:tr>
      <w:tr>
        <w:trPr>
          <w:trHeight w:val="283"/>
        </w:trPr>
        <w:tc>
          <w:tcPr>
            <w:tcW w:w="880" w:type="dxa"/>
            <w:vAlign w:val="bottom"/>
          </w:tcPr>
          <w:p>
            <w:pPr>
              <w:spacing w:after="0"/>
              <w:rPr>
                <w:sz w:val="24"/>
                <w:szCs w:val="24"/>
                <w:color w:val="auto"/>
              </w:rPr>
            </w:pP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Development</w:t>
            </w:r>
          </w:p>
        </w:tc>
        <w:tc>
          <w:tcPr>
            <w:tcW w:w="1800" w:type="dxa"/>
            <w:vAlign w:val="bottom"/>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507"/>
        </w:trPr>
        <w:tc>
          <w:tcPr>
            <w:tcW w:w="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Date:</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July 24, 2024</w:t>
            </w:r>
          </w:p>
        </w:tc>
        <w:tc>
          <w:tcPr>
            <w:tcW w:w="180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Date:</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July 24, 2024</w:t>
            </w:r>
          </w:p>
        </w:tc>
        <w:tc>
          <w:tcPr>
            <w:tcW w:w="60" w:type="dxa"/>
            <w:vAlign w:val="bottom"/>
          </w:tcPr>
          <w:p>
            <w:pPr>
              <w:spacing w:after="0"/>
              <w:rPr>
                <w:sz w:val="24"/>
                <w:szCs w:val="24"/>
                <w:color w:val="auto"/>
              </w:rPr>
            </w:pPr>
          </w:p>
        </w:tc>
      </w:tr>
      <w:tr>
        <w:trPr>
          <w:trHeight w:val="2134"/>
        </w:trPr>
        <w:tc>
          <w:tcPr>
            <w:tcW w:w="8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212" w:name="page213"/>
    <w:bookmarkEnd w:id="21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60" w:right="17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C. Sapir, certify that:</w:t>
      </w:r>
    </w:p>
    <w:p>
      <w:pPr>
        <w:spacing w:after="0" w:line="117" w:lineRule="exact"/>
        <w:rPr>
          <w:sz w:val="20"/>
          <w:szCs w:val="20"/>
          <w:color w:val="auto"/>
        </w:rPr>
      </w:pPr>
    </w:p>
    <w:p>
      <w:pPr>
        <w:ind w:left="700" w:hanging="183"/>
        <w:spacing w:after="0"/>
        <w:tabs>
          <w:tab w:leader="none" w:pos="7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40" w:firstLine="517"/>
        <w:spacing w:after="0" w:line="266" w:lineRule="auto"/>
        <w:tabs>
          <w:tab w:leader="none" w:pos="68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00" w:firstLine="506"/>
        <w:spacing w:after="0" w:line="266" w:lineRule="auto"/>
        <w:tabs>
          <w:tab w:leader="none" w:pos="128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6300" w:val="left"/>
          <w:tab w:leader="none" w:pos="6760" w:val="left"/>
        </w:tabs>
        <w:rPr>
          <w:sz w:val="20"/>
          <w:szCs w:val="20"/>
          <w:color w:val="auto"/>
        </w:rPr>
      </w:pPr>
      <w:r>
        <w:rPr>
          <w:rFonts w:ascii="Times New Roman" w:cs="Times New Roman" w:eastAsia="Times New Roman" w:hAnsi="Times New Roman"/>
          <w:sz w:val="18"/>
          <w:szCs w:val="18"/>
          <w:color w:val="auto"/>
        </w:rPr>
        <w:t>Date: July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Alex C. Sapir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13" w:name="page214"/>
    <w:bookmarkEnd w:id="21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60" w:right="17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Musso, certify that:</w:t>
      </w:r>
    </w:p>
    <w:p>
      <w:pPr>
        <w:spacing w:after="0" w:line="117" w:lineRule="exact"/>
        <w:rPr>
          <w:sz w:val="20"/>
          <w:szCs w:val="20"/>
          <w:color w:val="auto"/>
        </w:rPr>
      </w:pPr>
    </w:p>
    <w:p>
      <w:pPr>
        <w:ind w:left="700" w:hanging="183"/>
        <w:spacing w:after="0"/>
        <w:tabs>
          <w:tab w:leader="none" w:pos="7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40" w:firstLine="517"/>
        <w:spacing w:after="0" w:line="266" w:lineRule="auto"/>
        <w:tabs>
          <w:tab w:leader="none" w:pos="68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00" w:firstLine="506"/>
        <w:spacing w:after="0" w:line="266" w:lineRule="auto"/>
        <w:tabs>
          <w:tab w:leader="none" w:pos="128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517"/>
        <w:spacing w:after="0" w:line="282" w:lineRule="auto"/>
        <w:tabs>
          <w:tab w:leader="none" w:pos="68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6300" w:val="left"/>
          <w:tab w:leader="none" w:pos="6760" w:val="left"/>
        </w:tabs>
        <w:rPr>
          <w:sz w:val="20"/>
          <w:szCs w:val="20"/>
          <w:color w:val="auto"/>
        </w:rPr>
      </w:pPr>
      <w:r>
        <w:rPr>
          <w:rFonts w:ascii="Times New Roman" w:cs="Times New Roman" w:eastAsia="Times New Roman" w:hAnsi="Times New Roman"/>
          <w:sz w:val="18"/>
          <w:szCs w:val="18"/>
          <w:color w:val="auto"/>
        </w:rPr>
        <w:t>Date: July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Alan Musso</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June 30, 2024, as filed with the Securities and Exchange Commission on the date hereof (the “Report”), the undersigned, Alex C. Sapir,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July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Alex C. Sapir</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June 30, 2024, as filed with the Securities and Exchange Commission on the date hereof (the “Report”), the undersigned, Alan Musso, Chief Financial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780" w:hanging="263"/>
        <w:spacing w:after="0"/>
        <w:tabs>
          <w:tab w:leader="none" w:pos="7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 July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34290</wp:posOffset>
            </wp:positionV>
            <wp:extent cx="32746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Alan Musso</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6" w:name="page217"/>
    <w:bookmarkEnd w:id="2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1)"/>
      <w:numFmt w:val="lowerRoman"/>
      <w:start w:val="1"/>
    </w:lvl>
  </w:abstractNum>
  <w:abstractNum w:abstractNumId="6">
    <w:nsid w:val="5DB70AE5"/>
    <w:multiLevelType w:val="hybridMultilevel"/>
    <w:lvl w:ilvl="0">
      <w:lvlJc w:val="left"/>
      <w:lvlText w:val="(%1)"/>
      <w:numFmt w:val="lowerRoman"/>
      <w:start w:val="3"/>
    </w:lvl>
  </w:abstractNum>
  <w:abstractNum w:abstractNumId="7">
    <w:nsid w:val="100F8FCA"/>
    <w:multiLevelType w:val="hybridMultilevel"/>
    <w:lvl w:ilvl="0">
      <w:lvlJc w:val="left"/>
      <w:lvlText w:val="%1."/>
      <w:numFmt w:val="decimal"/>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1)"/>
      <w:numFmt w:val="lowerLetter"/>
      <w:start w:val="1"/>
    </w:lvl>
  </w:abstractNum>
  <w:abstractNum w:abstractNumId="47">
    <w:nsid w:val="14E17E33"/>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1)"/>
      <w:numFmt w:val="lowerLetter"/>
      <w:start w:val="1"/>
    </w:lvl>
  </w:abstractNum>
  <w:abstractNum w:abstractNumId="50">
    <w:nsid w:val="68EBC550"/>
    <w:multiLevelType w:val="hybridMultilevel"/>
    <w:lvl w:ilvl="0">
      <w:lvlJc w:val="left"/>
      <w:lvlText w:val="(%1)"/>
      <w:numFmt w:val="lowerLetter"/>
      <w:start w:val="1"/>
    </w:lvl>
  </w:abstractNum>
  <w:abstractNum w:abstractNumId="51">
    <w:nsid w:val="2DF6D648"/>
    <w:multiLevelType w:val="hybridMultilevel"/>
    <w:lvl w:ilvl="0">
      <w:lvlJc w:val="left"/>
      <w:lvlText w:val="(%1)"/>
      <w:numFmt w:val="lowerRoman"/>
      <w:start w:val="1"/>
    </w:lvl>
  </w:abstractNum>
  <w:abstractNum w:abstractNumId="52">
    <w:nsid w:val="46B7D447"/>
    <w:multiLevelType w:val="hybridMultilevel"/>
    <w:lvl w:ilvl="0">
      <w:lvlJc w:val="left"/>
      <w:lvlText w:val="(%1)"/>
      <w:numFmt w:val="upperLetter"/>
      <w:start w:val="1"/>
    </w:lvl>
  </w:abstractNum>
  <w:abstractNum w:abstractNumId="53">
    <w:nsid w:val="4A2AC315"/>
    <w:multiLevelType w:val="hybridMultilevel"/>
    <w:lvl w:ilvl="0">
      <w:lvlJc w:val="left"/>
      <w:lvlText w:val="(%1)"/>
      <w:numFmt w:val="lowerLetter"/>
      <w:start w:val="2"/>
    </w:lvl>
  </w:abstractNum>
  <w:abstractNum w:abstractNumId="54">
    <w:nsid w:val="39EE015C"/>
    <w:multiLevelType w:val="hybridMultilevel"/>
    <w:lvl w:ilvl="0">
      <w:lvlJc w:val="left"/>
      <w:lvlText w:val="(%1)"/>
      <w:numFmt w:val="lowerLetter"/>
      <w:start w:val="1"/>
    </w:lvl>
  </w:abstractNum>
  <w:abstractNum w:abstractNumId="55">
    <w:nsid w:val="57FC4FBB"/>
    <w:multiLevelType w:val="hybridMultilevel"/>
    <w:lvl w:ilvl="0">
      <w:lvlJc w:val="left"/>
      <w:lvlText w:val="(%1)"/>
      <w:numFmt w:val="lowerLetter"/>
      <w:start w:val="1"/>
    </w:lvl>
  </w:abstractNum>
  <w:abstractNum w:abstractNumId="56">
    <w:nsid w:val="CC1016F"/>
    <w:multiLevelType w:val="hybridMultilevel"/>
    <w:lvl w:ilvl="0">
      <w:lvlJc w:val="left"/>
      <w:lvlText w:val="[***]"/>
      <w:numFmt w:val="bullet"/>
      <w:start w:val="1"/>
    </w:lvl>
  </w:abstractNum>
  <w:abstractNum w:abstractNumId="57">
    <w:nsid w:val="43F18422"/>
    <w:multiLevelType w:val="hybridMultilevel"/>
    <w:lvl w:ilvl="0">
      <w:lvlJc w:val="left"/>
      <w:lvlText w:val="(%1)"/>
      <w:numFmt w:val="lowerLetter"/>
      <w:start w:val="1"/>
    </w:lvl>
  </w:abstractNum>
  <w:abstractNum w:abstractNumId="58">
    <w:nsid w:val="60EF0119"/>
    <w:multiLevelType w:val="hybridMultilevel"/>
    <w:lvl w:ilvl="0">
      <w:lvlJc w:val="left"/>
      <w:lvlText w:val="(%1)"/>
      <w:numFmt w:val="lowerLetter"/>
      <w:start w:val="1"/>
    </w:lvl>
  </w:abstractNum>
  <w:abstractNum w:abstractNumId="59">
    <w:nsid w:val="26F324BA"/>
    <w:multiLevelType w:val="hybridMultilevel"/>
    <w:lvl w:ilvl="0">
      <w:lvlJc w:val="left"/>
      <w:lvlText w:val="\endash "/>
      <w:numFmt w:val="bullet"/>
      <w:start w:val="1"/>
    </w:lvl>
  </w:abstractNum>
  <w:abstractNum w:abstractNumId="60">
    <w:nsid w:val="7F01579B"/>
    <w:multiLevelType w:val="hybridMultilevel"/>
    <w:lvl w:ilvl="0">
      <w:lvlJc w:val="left"/>
      <w:lvlText w:val="(%1)"/>
      <w:numFmt w:val="lowerLetter"/>
      <w:start w:val="1"/>
    </w:lvl>
    <w:lvl w:ilvl="1">
      <w:lvlJc w:val="left"/>
      <w:lvlText w:val="(%2)"/>
      <w:numFmt w:val="lowerRoman"/>
      <w:start w:val="1"/>
    </w:lvl>
  </w:abstractNum>
  <w:abstractNum w:abstractNumId="61">
    <w:nsid w:val="49DA307D"/>
    <w:multiLevelType w:val="hybridMultilevel"/>
    <w:lvl w:ilvl="0">
      <w:lvlJc w:val="left"/>
      <w:lvlText w:val="(%1)"/>
      <w:numFmt w:val="lowerLetter"/>
      <w:start w:val="3"/>
    </w:lvl>
  </w:abstractNum>
  <w:abstractNum w:abstractNumId="62">
    <w:nsid w:val="7055A5F5"/>
    <w:multiLevelType w:val="hybridMultilevel"/>
    <w:lvl w:ilvl="0">
      <w:lvlJc w:val="left"/>
      <w:lvlText w:val="(%1)"/>
      <w:numFmt w:val="lowerLetter"/>
      <w:start w:val="1"/>
    </w:lvl>
  </w:abstractNum>
  <w:abstractNum w:abstractNumId="63">
    <w:nsid w:val="5FB8370B"/>
    <w:multiLevelType w:val="hybridMultilevel"/>
    <w:lvl w:ilvl="0">
      <w:lvlJc w:val="left"/>
      <w:lvlText w:val="(%1)"/>
      <w:numFmt w:val="lowerLetter"/>
      <w:start w:val="1"/>
    </w:lvl>
  </w:abstractNum>
  <w:abstractNum w:abstractNumId="64">
    <w:nsid w:val="50801EE1"/>
    <w:multiLevelType w:val="hybridMultilevel"/>
    <w:lvl w:ilvl="0">
      <w:lvlJc w:val="left"/>
      <w:lvlText w:val="[***]"/>
      <w:numFmt w:val="bullet"/>
      <w:start w:val="1"/>
    </w:lvl>
  </w:abstractNum>
  <w:abstractNum w:abstractNumId="65">
    <w:nsid w:val="488AC1A"/>
    <w:multiLevelType w:val="hybridMultilevel"/>
    <w:lvl w:ilvl="0">
      <w:lvlJc w:val="left"/>
      <w:lvlText w:val="(%1)"/>
      <w:numFmt w:val="lowerLetter"/>
      <w:start w:val="3"/>
    </w:lvl>
  </w:abstractNum>
  <w:abstractNum w:abstractNumId="66">
    <w:nsid w:val="5FB8011C"/>
    <w:multiLevelType w:val="hybridMultilevel"/>
    <w:lvl w:ilvl="0">
      <w:lvlJc w:val="left"/>
      <w:lvlText w:val="(%1)"/>
      <w:numFmt w:val="lowerLetter"/>
      <w:start w:val="1"/>
    </w:lvl>
  </w:abstractNum>
  <w:abstractNum w:abstractNumId="67">
    <w:nsid w:val="6AA78F7F"/>
    <w:multiLevelType w:val="hybridMultilevel"/>
    <w:lvl w:ilvl="0">
      <w:lvlJc w:val="left"/>
      <w:lvlText w:val="[***]"/>
      <w:numFmt w:val="bullet"/>
      <w:start w:val="1"/>
    </w:lvl>
  </w:abstractNum>
  <w:abstractNum w:abstractNumId="68">
    <w:nsid w:val="7672BD23"/>
    <w:multiLevelType w:val="hybridMultilevel"/>
    <w:lvl w:ilvl="0">
      <w:lvlJc w:val="left"/>
      <w:lvlText w:val="(%1)"/>
      <w:numFmt w:val="lowerLetter"/>
      <w:start w:val="1"/>
    </w:lvl>
  </w:abstractNum>
  <w:abstractNum w:abstractNumId="69">
    <w:nsid w:val="6FC75AF8"/>
    <w:multiLevelType w:val="hybridMultilevel"/>
    <w:lvl w:ilvl="0">
      <w:lvlJc w:val="left"/>
      <w:lvlText w:val="(%1)"/>
      <w:numFmt w:val="lowerLetter"/>
      <w:start w:val="1"/>
    </w:lvl>
  </w:abstractNum>
  <w:abstractNum w:abstractNumId="70">
    <w:nsid w:val="6A5F7029"/>
    <w:multiLevelType w:val="hybridMultilevel"/>
    <w:lvl w:ilvl="0">
      <w:lvlJc w:val="left"/>
      <w:lvlText w:val="(%1)"/>
      <w:numFmt w:val="lowerLetter"/>
      <w:start w:val="1"/>
    </w:lvl>
  </w:abstractNum>
  <w:abstractNum w:abstractNumId="71">
    <w:nsid w:val="7D5E18F8"/>
    <w:multiLevelType w:val="hybridMultilevel"/>
    <w:lvl w:ilvl="0">
      <w:lvlJc w:val="left"/>
      <w:lvlText w:val="(%1)"/>
      <w:numFmt w:val="lowerLetter"/>
      <w:start w:val="1"/>
    </w:lvl>
  </w:abstractNum>
  <w:abstractNum w:abstractNumId="72">
    <w:nsid w:val="5F3534A4"/>
    <w:multiLevelType w:val="hybridMultilevel"/>
    <w:lvl w:ilvl="0">
      <w:lvlJc w:val="left"/>
      <w:lvlText w:val="(%1)"/>
      <w:numFmt w:val="lowerLetter"/>
      <w:start w:val="4"/>
    </w:lvl>
  </w:abstractNum>
  <w:abstractNum w:abstractNumId="73">
    <w:nsid w:val="73A1821B"/>
    <w:multiLevelType w:val="hybridMultilevel"/>
    <w:lvl w:ilvl="0">
      <w:lvlJc w:val="left"/>
      <w:lvlText w:val="(%1)"/>
      <w:numFmt w:val="lowerLetter"/>
      <w:start w:val="1"/>
    </w:lvl>
    <w:lvl w:ilvl="1">
      <w:lvlJc w:val="left"/>
      <w:lvlText w:val="(%2)"/>
      <w:numFmt w:val="lowerLetter"/>
      <w:start w:val="9"/>
    </w:lvl>
  </w:abstractNum>
  <w:abstractNum w:abstractNumId="74">
    <w:nsid w:val="7DE67713"/>
    <w:multiLevelType w:val="hybridMultilevel"/>
    <w:lvl w:ilvl="0">
      <w:lvlJc w:val="left"/>
      <w:lvlText w:val="(%1)"/>
      <w:numFmt w:val="lowerRoman"/>
      <w:start w:val="2"/>
    </w:lvl>
  </w:abstractNum>
  <w:abstractNum w:abstractNumId="75">
    <w:nsid w:val="555C55B5"/>
    <w:multiLevelType w:val="hybridMultilevel"/>
    <w:lvl w:ilvl="0">
      <w:lvlJc w:val="left"/>
      <w:lvlText w:val="(%1)"/>
      <w:numFmt w:val="lowerLetter"/>
      <w:start w:val="3"/>
    </w:lvl>
    <w:lvl w:ilvl="1">
      <w:lvlJc w:val="left"/>
      <w:lvlText w:val="(%2)"/>
      <w:numFmt w:val="lowerRoman"/>
      <w:start w:val="1"/>
    </w:lvl>
  </w:abstractNum>
  <w:abstractNum w:abstractNumId="76">
    <w:nsid w:val="3FA62ACA"/>
    <w:multiLevelType w:val="hybridMultilevel"/>
    <w:lvl w:ilvl="0">
      <w:lvlJc w:val="left"/>
      <w:lvlText w:val="(%1)"/>
      <w:numFmt w:val="lowerLetter"/>
      <w:start w:val="4"/>
    </w:lvl>
  </w:abstractNum>
  <w:abstractNum w:abstractNumId="77">
    <w:nsid w:val="14FCE74E"/>
    <w:multiLevelType w:val="hybridMultilevel"/>
    <w:lvl w:ilvl="0">
      <w:lvlJc w:val="left"/>
      <w:lvlText w:val="(%1)"/>
      <w:numFmt w:val="lowerLetter"/>
      <w:start w:val="1"/>
    </w:lvl>
  </w:abstractNum>
  <w:abstractNum w:abstractNumId="78">
    <w:nsid w:val="6A3DD3E8"/>
    <w:multiLevelType w:val="hybridMultilevel"/>
    <w:lvl w:ilvl="0">
      <w:lvlJc w:val="left"/>
      <w:lvlText w:val="(%1)"/>
      <w:numFmt w:val="lowerRoman"/>
      <w:start w:val="2"/>
    </w:lvl>
  </w:abstractNum>
  <w:abstractNum w:abstractNumId="79">
    <w:nsid w:val="71C91298"/>
    <w:multiLevelType w:val="hybridMultilevel"/>
    <w:lvl w:ilvl="0">
      <w:lvlJc w:val="left"/>
      <w:lvlText w:val="(%1)"/>
      <w:numFmt w:val="lowerLetter"/>
      <w:start w:val="1"/>
    </w:lvl>
  </w:abstractNum>
  <w:abstractNum w:abstractNumId="80">
    <w:nsid w:val="9DAF632"/>
    <w:multiLevelType w:val="hybridMultilevel"/>
    <w:lvl w:ilvl="0">
      <w:lvlJc w:val="left"/>
      <w:lvlText w:val="(%1)"/>
      <w:numFmt w:val="lowerRoman"/>
      <w:start w:val="1"/>
    </w:lvl>
  </w:abstractNum>
  <w:abstractNum w:abstractNumId="81">
    <w:nsid w:val="53299938"/>
    <w:multiLevelType w:val="hybridMultilevel"/>
    <w:lvl w:ilvl="0">
      <w:lvlJc w:val="left"/>
      <w:lvlText w:val="(%1)"/>
      <w:numFmt w:val="lowerRoman"/>
      <w:start w:val="2"/>
    </w:lvl>
  </w:abstractNum>
  <w:abstractNum w:abstractNumId="82">
    <w:nsid w:val="1FBFE8E0"/>
    <w:multiLevelType w:val="hybridMultilevel"/>
    <w:lvl w:ilvl="0">
      <w:lvlJc w:val="left"/>
      <w:lvlText w:val="(%1)"/>
      <w:numFmt w:val="lowerLetter"/>
      <w:start w:val="1"/>
    </w:lvl>
    <w:lvl w:ilvl="1">
      <w:lvlJc w:val="left"/>
      <w:lvlText w:val="[***]"/>
      <w:numFmt w:val="bullet"/>
      <w:start w:val="1"/>
    </w:lvl>
  </w:abstractNum>
  <w:abstractNum w:abstractNumId="83">
    <w:nsid w:val="5092CA79"/>
    <w:multiLevelType w:val="hybridMultilevel"/>
    <w:lvl w:ilvl="0">
      <w:lvlJc w:val="left"/>
      <w:lvlText w:val="(%1)"/>
      <w:numFmt w:val="lowerLetter"/>
      <w:start w:val="2"/>
    </w:lvl>
  </w:abstractNum>
  <w:abstractNum w:abstractNumId="84">
    <w:nsid w:val="1D545C4D"/>
    <w:multiLevelType w:val="hybridMultilevel"/>
    <w:lvl w:ilvl="0">
      <w:lvlJc w:val="left"/>
      <w:lvlText w:val="(%1)"/>
      <w:numFmt w:val="lowerRoman"/>
      <w:start w:val="1"/>
    </w:lvl>
  </w:abstractNum>
  <w:abstractNum w:abstractNumId="85">
    <w:nsid w:val="59ADEA3D"/>
    <w:multiLevelType w:val="hybridMultilevel"/>
    <w:lvl w:ilvl="0">
      <w:lvlJc w:val="left"/>
      <w:lvlText w:val="(%1)"/>
      <w:numFmt w:val="lowerLetter"/>
      <w:start w:val="1"/>
    </w:lvl>
  </w:abstractNum>
  <w:abstractNum w:abstractNumId="86">
    <w:nsid w:val="288F1A34"/>
    <w:multiLevelType w:val="hybridMultilevel"/>
    <w:lvl w:ilvl="0">
      <w:lvlJc w:val="left"/>
      <w:lvlText w:val="(%1)"/>
      <w:numFmt w:val="lowerLetter"/>
      <w:start w:val="1"/>
    </w:lvl>
  </w:abstractNum>
  <w:abstractNum w:abstractNumId="87">
    <w:nsid w:val="2A155DBC"/>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88">
    <w:nsid w:val="1D9F6E5F"/>
    <w:multiLevelType w:val="hybridMultilevel"/>
    <w:lvl w:ilvl="0">
      <w:lvlJc w:val="left"/>
      <w:lvlText w:val="(%1)"/>
      <w:numFmt w:val="lowerLetter"/>
      <w:start w:val="1"/>
    </w:lvl>
  </w:abstractNum>
  <w:abstractNum w:abstractNumId="89">
    <w:nsid w:val="97E1B4E"/>
    <w:multiLevelType w:val="hybridMultilevel"/>
    <w:lvl w:ilvl="0">
      <w:lvlJc w:val="left"/>
      <w:lvlText w:val="(%1)"/>
      <w:numFmt w:val="lowerLetter"/>
      <w:start w:val="2"/>
    </w:lvl>
    <w:lvl w:ilvl="1">
      <w:lvlJc w:val="left"/>
      <w:lvlText w:val="[***]"/>
      <w:numFmt w:val="bullet"/>
      <w:start w:val="1"/>
    </w:lvl>
  </w:abstractNum>
  <w:abstractNum w:abstractNumId="90">
    <w:nsid w:val="51088277"/>
    <w:multiLevelType w:val="hybridMultilevel"/>
    <w:lvl w:ilvl="0">
      <w:lvlJc w:val="left"/>
      <w:lvlText w:val="(%1)"/>
      <w:numFmt w:val="lowerLetter"/>
      <w:start w:val="1"/>
    </w:lvl>
  </w:abstractNum>
  <w:abstractNum w:abstractNumId="91">
    <w:nsid w:val="1CA0C5FA"/>
    <w:multiLevelType w:val="hybridMultilevel"/>
    <w:lvl w:ilvl="0">
      <w:lvlJc w:val="left"/>
      <w:lvlText w:val="(%1)"/>
      <w:numFmt w:val="lowerLetter"/>
      <w:start w:val="1"/>
    </w:lvl>
  </w:abstractNum>
  <w:abstractNum w:abstractNumId="92">
    <w:nsid w:val="53584BCB"/>
    <w:multiLevelType w:val="hybridMultilevel"/>
    <w:lvl w:ilvl="0">
      <w:lvlJc w:val="left"/>
      <w:lvlText w:val="(%1)"/>
      <w:numFmt w:val="lowerLetter"/>
      <w:start w:val="2"/>
    </w:lvl>
  </w:abstractNum>
  <w:abstractNum w:abstractNumId="93">
    <w:nsid w:val="415E286C"/>
    <w:multiLevelType w:val="hybridMultilevel"/>
    <w:lvl w:ilvl="0">
      <w:lvlJc w:val="left"/>
      <w:lvlText w:val="(%1)"/>
      <w:numFmt w:val="lowerLetter"/>
      <w:start w:val="1"/>
    </w:lvl>
  </w:abstractNum>
  <w:abstractNum w:abstractNumId="94">
    <w:nsid w:val="7C58FD05"/>
    <w:multiLevelType w:val="hybridMultilevel"/>
    <w:lvl w:ilvl="0">
      <w:lvlJc w:val="left"/>
      <w:lvlText w:val="(%1)"/>
      <w:numFmt w:val="lowerLetter"/>
      <w:start w:val="1"/>
    </w:lvl>
  </w:abstractNum>
  <w:abstractNum w:abstractNumId="95">
    <w:nsid w:val="23D86AAC"/>
    <w:multiLevelType w:val="hybridMultilevel"/>
    <w:lvl w:ilvl="0">
      <w:lvlJc w:val="left"/>
      <w:lvlText w:val="(%1)"/>
      <w:numFmt w:val="lowerLetter"/>
      <w:start w:val="2"/>
    </w:lvl>
  </w:abstractNum>
  <w:abstractNum w:abstractNumId="96">
    <w:nsid w:val="45E6D486"/>
    <w:multiLevelType w:val="hybridMultilevel"/>
    <w:lvl w:ilvl="0">
      <w:lvlJc w:val="left"/>
      <w:lvlText w:val="(%1)"/>
      <w:numFmt w:val="lowerLetter"/>
      <w:start w:val="1"/>
    </w:lvl>
  </w:abstractNum>
  <w:abstractNum w:abstractNumId="97">
    <w:nsid w:val="5C10FE21"/>
    <w:multiLevelType w:val="hybridMultilevel"/>
    <w:lvl w:ilvl="0">
      <w:lvlJc w:val="left"/>
      <w:lvlText w:val="(%1)"/>
      <w:numFmt w:val="lowerLetter"/>
      <w:start w:val="1"/>
    </w:lvl>
  </w:abstractNum>
  <w:abstractNum w:abstractNumId="98">
    <w:nsid w:val="E7FFA2B"/>
    <w:multiLevelType w:val="hybridMultilevel"/>
    <w:lvl w:ilvl="0">
      <w:lvlJc w:val="left"/>
      <w:lvlText w:val="(%1)"/>
      <w:numFmt w:val="lowerLetter"/>
      <w:start w:val="2"/>
    </w:lvl>
  </w:abstractNum>
  <w:abstractNum w:abstractNumId="99">
    <w:nsid w:val="3C5991AA"/>
    <w:multiLevelType w:val="hybridMultilevel"/>
    <w:lvl w:ilvl="0">
      <w:lvlJc w:val="left"/>
      <w:lvlText w:val="(%1)"/>
      <w:numFmt w:val="lowerLetter"/>
      <w:start w:val="1"/>
    </w:lvl>
  </w:abstractNum>
  <w:abstractNum w:abstractNumId="100">
    <w:nsid w:val="4BD8591A"/>
    <w:multiLevelType w:val="hybridMultilevel"/>
    <w:lvl w:ilvl="0">
      <w:lvlJc w:val="left"/>
      <w:lvlText w:val="(%1)"/>
      <w:numFmt w:val="lowerLetter"/>
      <w:start w:val="1"/>
    </w:lvl>
  </w:abstractNum>
  <w:abstractNum w:abstractNumId="101">
    <w:nsid w:val="78DF6A55"/>
    <w:multiLevelType w:val="hybridMultilevel"/>
    <w:lvl w:ilvl="0">
      <w:lvlJc w:val="left"/>
      <w:lvlText w:val="(%1)"/>
      <w:numFmt w:val="lowerLetter"/>
      <w:start w:val="1"/>
    </w:lvl>
  </w:abstractNum>
  <w:abstractNum w:abstractNumId="102">
    <w:nsid w:val="39B7AAA2"/>
    <w:multiLevelType w:val="hybridMultilevel"/>
    <w:lvl w:ilvl="0">
      <w:lvlJc w:val="left"/>
      <w:lvlText w:val="(%1)"/>
      <w:numFmt w:val="lowerLetter"/>
      <w:start w:val="1"/>
    </w:lvl>
  </w:abstractNum>
  <w:abstractNum w:abstractNumId="103">
    <w:nsid w:val="2B0D8DBE"/>
    <w:multiLevelType w:val="hybridMultilevel"/>
    <w:lvl w:ilvl="0">
      <w:lvlJc w:val="left"/>
      <w:lvlText w:val="(%1)"/>
      <w:numFmt w:val="lowerLetter"/>
      <w:start w:val="3"/>
    </w:lvl>
  </w:abstractNum>
  <w:abstractNum w:abstractNumId="104">
    <w:nsid w:val="6C80EC70"/>
    <w:multiLevelType w:val="hybridMultilevel"/>
    <w:lvl w:ilvl="0">
      <w:lvlJc w:val="left"/>
      <w:lvlText w:val="(%1)"/>
      <w:numFmt w:val="lowerLetter"/>
      <w:start w:val="1"/>
    </w:lvl>
  </w:abstractNum>
  <w:abstractNum w:abstractNumId="105">
    <w:nsid w:val="379E21B5"/>
    <w:multiLevelType w:val="hybridMultilevel"/>
    <w:lvl w:ilvl="0">
      <w:lvlJc w:val="left"/>
      <w:lvlText w:val="(%1)"/>
      <w:numFmt w:val="lowerLetter"/>
      <w:start w:val="1"/>
    </w:lvl>
  </w:abstractNum>
  <w:abstractNum w:abstractNumId="106">
    <w:nsid w:val="69E373"/>
    <w:multiLevelType w:val="hybridMultilevel"/>
    <w:lvl w:ilvl="0">
      <w:lvlJc w:val="left"/>
      <w:lvlText w:val="(%1)"/>
      <w:numFmt w:val="lowerLetter"/>
      <w:start w:val="1"/>
    </w:lvl>
  </w:abstractNum>
  <w:abstractNum w:abstractNumId="107">
    <w:nsid w:val="2C27173B"/>
    <w:multiLevelType w:val="hybridMultilevel"/>
    <w:lvl w:ilvl="0">
      <w:lvlJc w:val="left"/>
      <w:lvlText w:val="(%1)"/>
      <w:numFmt w:val="lowerLetter"/>
      <w:start w:val="4"/>
    </w:lvl>
  </w:abstractNum>
  <w:abstractNum w:abstractNumId="108">
    <w:nsid w:val="4C9B0904"/>
    <w:multiLevelType w:val="hybridMultilevel"/>
    <w:lvl w:ilvl="0">
      <w:lvlJc w:val="left"/>
      <w:lvlText w:val="(%1)"/>
      <w:numFmt w:val="lowerLetter"/>
      <w:start w:val="6"/>
    </w:lvl>
  </w:abstractNum>
  <w:abstractNum w:abstractNumId="109">
    <w:nsid w:val="6AA7B75C"/>
    <w:multiLevelType w:val="hybridMultilevel"/>
    <w:lvl w:ilvl="0">
      <w:lvlJc w:val="left"/>
      <w:lvlText w:val="(%1)"/>
      <w:numFmt w:val="lowerLetter"/>
      <w:start w:val="1"/>
    </w:lvl>
  </w:abstractNum>
  <w:abstractNum w:abstractNumId="110">
    <w:nsid w:val="1DF029D3"/>
    <w:multiLevelType w:val="hybridMultilevel"/>
    <w:lvl w:ilvl="0">
      <w:lvlJc w:val="left"/>
      <w:lvlText w:val="(%1)"/>
      <w:numFmt w:val="lowerLetter"/>
      <w:start w:val="2"/>
    </w:lvl>
  </w:abstractNum>
  <w:abstractNum w:abstractNumId="111">
    <w:nsid w:val="5675FF36"/>
    <w:multiLevelType w:val="hybridMultilevel"/>
    <w:lvl w:ilvl="0">
      <w:lvlJc w:val="left"/>
      <w:lvlText w:val="(%1)"/>
      <w:numFmt w:val="lowerLetter"/>
      <w:start w:val="1"/>
    </w:lvl>
  </w:abstractNum>
  <w:abstractNum w:abstractNumId="112">
    <w:nsid w:val="3DD15094"/>
    <w:multiLevelType w:val="hybridMultilevel"/>
    <w:lvl w:ilvl="0">
      <w:lvlJc w:val="left"/>
      <w:lvlText w:val="(%1)"/>
      <w:numFmt w:val="lowerLetter"/>
      <w:start w:val="5"/>
    </w:lvl>
  </w:abstractNum>
  <w:abstractNum w:abstractNumId="113">
    <w:nsid w:val="3DB012B3"/>
    <w:multiLevelType w:val="hybridMultilevel"/>
    <w:lvl w:ilvl="0">
      <w:lvlJc w:val="left"/>
      <w:lvlText w:val="(%1)"/>
      <w:numFmt w:val="lowerRoman"/>
      <w:start w:val="1"/>
    </w:lvl>
  </w:abstractNum>
  <w:abstractNum w:abstractNumId="114">
    <w:nsid w:val="2708C9AF"/>
    <w:multiLevelType w:val="hybridMultilevel"/>
    <w:lvl w:ilvl="0">
      <w:lvlJc w:val="left"/>
      <w:lvlText w:val="[***]"/>
      <w:numFmt w:val="bullet"/>
      <w:start w:val="1"/>
    </w:lvl>
  </w:abstractNum>
  <w:abstractNum w:abstractNumId="115">
    <w:nsid w:val="5B25ACE2"/>
    <w:multiLevelType w:val="hybridMultilevel"/>
    <w:lvl w:ilvl="0">
      <w:lvlJc w:val="left"/>
      <w:lvlText w:val="(%1)"/>
      <w:numFmt w:val="lowerLetter"/>
      <w:start w:val="1"/>
    </w:lvl>
    <w:lvl w:ilvl="1">
      <w:lvlJc w:val="left"/>
      <w:lvlText w:val="(%2)"/>
      <w:numFmt w:val="lowerRoman"/>
      <w:start w:val="1"/>
    </w:lvl>
  </w:abstractNum>
  <w:abstractNum w:abstractNumId="116">
    <w:nsid w:val="175DFCF0"/>
    <w:multiLevelType w:val="hybridMultilevel"/>
    <w:lvl w:ilvl="0">
      <w:lvlJc w:val="left"/>
      <w:lvlText w:val="(%1)"/>
      <w:numFmt w:val="lowerLetter"/>
      <w:start w:val="2"/>
    </w:lvl>
  </w:abstractNum>
  <w:abstractNum w:abstractNumId="117">
    <w:nsid w:val="4F97E3E4"/>
    <w:multiLevelType w:val="hybridMultilevel"/>
    <w:lvl w:ilvl="0">
      <w:lvlJc w:val="left"/>
      <w:lvlText w:val="(%1)"/>
      <w:numFmt w:val="lowerLetter"/>
      <w:start w:val="1"/>
    </w:lvl>
  </w:abstractNum>
  <w:abstractNum w:abstractNumId="118">
    <w:nsid w:val="53B0A9E"/>
    <w:multiLevelType w:val="hybridMultilevel"/>
    <w:lvl w:ilvl="0">
      <w:lvlJc w:val="left"/>
      <w:lvlText w:val="(%1)"/>
      <w:numFmt w:val="lowerLetter"/>
      <w:start w:val="1"/>
    </w:lvl>
  </w:abstractNum>
  <w:abstractNum w:abstractNumId="119">
    <w:nsid w:val="34FD6B4F"/>
    <w:multiLevelType w:val="hybridMultilevel"/>
    <w:lvl w:ilvl="0">
      <w:lvlJc w:val="left"/>
      <w:lvlText w:val="(%1)"/>
      <w:numFmt w:val="lowerLetter"/>
      <w:start w:val="2"/>
    </w:lvl>
  </w:abstractNum>
  <w:abstractNum w:abstractNumId="120">
    <w:nsid w:val="5915FF32"/>
    <w:multiLevelType w:val="hybridMultilevel"/>
    <w:lvl w:ilvl="0">
      <w:lvlJc w:val="left"/>
      <w:lvlText w:val=" "/>
      <w:numFmt w:val="bullet"/>
      <w:start w:val="1"/>
    </w:lvl>
  </w:abstractNum>
  <w:abstractNum w:abstractNumId="121">
    <w:nsid w:val="56438D15"/>
    <w:multiLevelType w:val="hybridMultilevel"/>
    <w:lvl w:ilvl="0">
      <w:lvlJc w:val="left"/>
      <w:lvlText w:val="―"/>
      <w:numFmt w:val="bullet"/>
      <w:start w:val="1"/>
    </w:lvl>
  </w:abstractNum>
  <w:abstractNum w:abstractNumId="122">
    <w:nsid w:val="519E3149"/>
    <w:multiLevelType w:val="hybridMultilevel"/>
    <w:lvl w:ilvl="0">
      <w:lvlJc w:val="left"/>
      <w:lvlText w:val="―"/>
      <w:numFmt w:val="bullet"/>
      <w:start w:val="1"/>
    </w:lvl>
  </w:abstractNum>
  <w:abstractNum w:abstractNumId="123">
    <w:nsid w:val="2C6E4AFD"/>
    <w:multiLevelType w:val="hybridMultilevel"/>
    <w:lvl w:ilvl="0">
      <w:lvlJc w:val="left"/>
      <w:lvlText w:val="%1."/>
      <w:numFmt w:val="upperLetter"/>
      <w:start w:val="1"/>
    </w:lvl>
  </w:abstractNum>
  <w:abstractNum w:abstractNumId="124">
    <w:nsid w:val="17A1B582"/>
    <w:multiLevelType w:val="hybridMultilevel"/>
    <w:lvl w:ilvl="0">
      <w:lvlJc w:val="left"/>
      <w:lvlText w:val="%1."/>
      <w:numFmt w:val="decimal"/>
      <w:start w:val="1"/>
    </w:lvl>
  </w:abstractNum>
  <w:abstractNum w:abstractNumId="125">
    <w:nsid w:val="4DF72E4E"/>
    <w:multiLevelType w:val="hybridMultilevel"/>
    <w:lvl w:ilvl="0">
      <w:lvlJc w:val="left"/>
      <w:lvlText w:val="%1."/>
      <w:numFmt w:val="decimal"/>
      <w:start w:val="1"/>
    </w:lvl>
    <w:lvl w:ilvl="1">
      <w:lvlJc w:val="left"/>
      <w:lvlText w:val="(%2)"/>
      <w:numFmt w:val="lowerLetter"/>
      <w:start w:val="1"/>
    </w:lvl>
  </w:abstractNum>
  <w:abstractNum w:abstractNumId="126">
    <w:nsid w:val="5046B5A9"/>
    <w:multiLevelType w:val="hybridMultilevel"/>
    <w:lvl w:ilvl="0">
      <w:lvlJc w:val="left"/>
      <w:lvlText w:val="%1."/>
      <w:numFmt w:val="decimal"/>
      <w:start w:val="1"/>
    </w:lvl>
    <w:lvl w:ilvl="1">
      <w:lvlJc w:val="left"/>
      <w:lvlText w:val="(%2)"/>
      <w:numFmt w:val="lowerLetter"/>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jpe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jpe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254" Type="http://schemas.openxmlformats.org/officeDocument/2006/relationships/hyperlink" Target="https://www.sec.gov/Archives/edgar/data/0001680581/000104746919004324/a2239321zex-3_1.htm" TargetMode="External"/><Relationship Id="rId255" Type="http://schemas.openxmlformats.org/officeDocument/2006/relationships/hyperlink" Target="https://www.sec.gov/Archives/edgar/data/1680581/000119312523164435/d463131dex31.htm" TargetMode="External"/><Relationship Id="rId256" Type="http://schemas.openxmlformats.org/officeDocument/2006/relationships/hyperlink" Target="https://www.sec.gov/Archives/edgar/data/0001680581/000104746919004324/a2239321z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2024-07-31T06:29:22Z</dcterms:created>
  <dcterms:modified xsi:type="dcterms:W3CDTF">2024-07-31T06:29:22Z</dcterms:modified>
</cp:coreProperties>
</file>