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04">
        <w:r>
          <w:rPr>
            <w:rFonts w:ascii="Arial" w:cs="Arial" w:eastAsia="Arial" w:hAnsi="Arial"/>
            <w:sz w:val="22"/>
            <w:szCs w:val="22"/>
            <w:u w:val="single" w:color="auto"/>
            <w:color w:val="0000EE"/>
          </w:rPr>
          <w:t>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confidentially submitted to the Securities and Exchange Commission on May 1, 2019</w:t>
      </w:r>
    </w:p>
    <w:p>
      <w:pPr>
        <w:spacing w:after="0" w:line="204"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S-1</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REGISTRATION STATEMENT</w:t>
      </w:r>
    </w:p>
    <w:p>
      <w:pPr>
        <w:jc w:val="center"/>
        <w:ind w:right="-19"/>
        <w:spacing w:after="0" w:line="221" w:lineRule="auto"/>
        <w:rPr>
          <w:sz w:val="20"/>
          <w:szCs w:val="20"/>
          <w:color w:val="auto"/>
        </w:rPr>
      </w:pPr>
      <w:r>
        <w:rPr>
          <w:rFonts w:ascii="Arial" w:cs="Arial" w:eastAsia="Arial" w:hAnsi="Arial"/>
          <w:sz w:val="14"/>
          <w:szCs w:val="14"/>
          <w:b w:val="1"/>
          <w:bCs w:val="1"/>
          <w:color w:val="auto"/>
        </w:rPr>
        <w:t>UNDER</w:t>
      </w:r>
    </w:p>
    <w:p>
      <w:pPr>
        <w:jc w:val="center"/>
        <w:ind w:right="-19"/>
        <w:spacing w:after="0"/>
        <w:rPr>
          <w:sz w:val="20"/>
          <w:szCs w:val="20"/>
          <w:color w:val="auto"/>
        </w:rPr>
      </w:pPr>
      <w:r>
        <w:rPr>
          <w:rFonts w:ascii="Arial" w:cs="Arial" w:eastAsia="Arial" w:hAnsi="Arial"/>
          <w:sz w:val="14"/>
          <w:szCs w:val="14"/>
          <w:b w:val="1"/>
          <w:bCs w:val="1"/>
          <w:color w:val="auto"/>
        </w:rPr>
        <w:t>THE SECURITIES ACT OF 1933</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FULCRUM THERAPEUTICS,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3100" w:type="dxa"/>
        <w:tblCellMar>
          <w:top w:w="0" w:type="dxa"/>
          <w:left w:w="0" w:type="dxa"/>
          <w:bottom w:w="0" w:type="dxa"/>
          <w:right w:w="0" w:type="dxa"/>
        </w:tblCellMar>
      </w:tblPr>
      <w:tr>
        <w:trPr>
          <w:trHeight w:val="161"/>
        </w:trPr>
        <w:tc>
          <w:tcPr>
            <w:tcW w:w="170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Delaware</w:t>
            </w:r>
          </w:p>
        </w:tc>
        <w:tc>
          <w:tcPr>
            <w:tcW w:w="190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2834</w:t>
            </w:r>
          </w:p>
        </w:tc>
        <w:tc>
          <w:tcPr>
            <w:tcW w:w="1460" w:type="dxa"/>
            <w:vAlign w:val="bottom"/>
          </w:tcPr>
          <w:p>
            <w:pPr>
              <w:jc w:val="center"/>
              <w:ind w:left="152"/>
              <w:spacing w:after="0"/>
              <w:rPr>
                <w:sz w:val="20"/>
                <w:szCs w:val="20"/>
                <w:color w:val="auto"/>
              </w:rPr>
            </w:pPr>
            <w:r>
              <w:rPr>
                <w:rFonts w:ascii="Arial" w:cs="Arial" w:eastAsia="Arial" w:hAnsi="Arial"/>
                <w:sz w:val="14"/>
                <w:szCs w:val="14"/>
                <w:b w:val="1"/>
                <w:bCs w:val="1"/>
                <w:color w:val="auto"/>
                <w:w w:val="85"/>
              </w:rPr>
              <w:t>47-4839948</w:t>
            </w:r>
          </w:p>
        </w:tc>
      </w:tr>
      <w:tr>
        <w:trPr>
          <w:trHeight w:val="149"/>
        </w:trPr>
        <w:tc>
          <w:tcPr>
            <w:tcW w:w="170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0"/>
              </w:rPr>
              <w:t>(State or other jurisdiction of</w:t>
            </w:r>
          </w:p>
        </w:tc>
        <w:tc>
          <w:tcPr>
            <w:tcW w:w="190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8"/>
              </w:rPr>
              <w:t>(Primary Standard Industrial</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9"/>
              </w:rPr>
              <w:t>(I.R.S. Employer</w:t>
            </w:r>
          </w:p>
        </w:tc>
      </w:tr>
      <w:tr>
        <w:trPr>
          <w:trHeight w:val="149"/>
        </w:trPr>
        <w:tc>
          <w:tcPr>
            <w:tcW w:w="170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8"/>
              </w:rPr>
              <w:t>incorporation or</w:t>
            </w:r>
          </w:p>
        </w:tc>
        <w:tc>
          <w:tcPr>
            <w:tcW w:w="190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8"/>
              </w:rPr>
              <w:t>Classification Code Number)</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90"/>
              </w:rPr>
              <w:t>Identification Number)</w:t>
            </w:r>
          </w:p>
        </w:tc>
      </w:tr>
      <w:tr>
        <w:trPr>
          <w:trHeight w:val="172"/>
        </w:trPr>
        <w:tc>
          <w:tcPr>
            <w:tcW w:w="1700" w:type="dxa"/>
            <w:vAlign w:val="bottom"/>
          </w:tcPr>
          <w:p>
            <w:pPr>
              <w:jc w:val="center"/>
              <w:ind w:right="52"/>
              <w:spacing w:after="0"/>
              <w:rPr>
                <w:sz w:val="20"/>
                <w:szCs w:val="20"/>
                <w:color w:val="auto"/>
              </w:rPr>
            </w:pPr>
            <w:r>
              <w:rPr>
                <w:rFonts w:ascii="Arial" w:cs="Arial" w:eastAsia="Arial" w:hAnsi="Arial"/>
                <w:sz w:val="14"/>
                <w:szCs w:val="14"/>
                <w:color w:val="auto"/>
                <w:w w:val="86"/>
              </w:rPr>
              <w:t>organization)</w:t>
            </w:r>
          </w:p>
        </w:tc>
        <w:tc>
          <w:tcPr>
            <w:tcW w:w="190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26 Landsdowne Street</w:t>
      </w:r>
    </w:p>
    <w:p>
      <w:pPr>
        <w:jc w:val="center"/>
        <w:ind w:right="-19"/>
        <w:spacing w:after="0" w:line="223" w:lineRule="auto"/>
        <w:rPr>
          <w:sz w:val="20"/>
          <w:szCs w:val="20"/>
          <w:color w:val="auto"/>
        </w:rPr>
      </w:pPr>
      <w:r>
        <w:rPr>
          <w:rFonts w:ascii="Arial" w:cs="Arial" w:eastAsia="Arial" w:hAnsi="Arial"/>
          <w:sz w:val="14"/>
          <w:szCs w:val="14"/>
          <w:b w:val="1"/>
          <w:bCs w:val="1"/>
          <w:color w:val="auto"/>
        </w:rPr>
        <w:t>Cambridge, Massachusetts 02139</w:t>
      </w:r>
    </w:p>
    <w:p>
      <w:pPr>
        <w:jc w:val="center"/>
        <w:ind w:right="-19"/>
        <w:spacing w:after="0" w:line="222" w:lineRule="auto"/>
        <w:rPr>
          <w:sz w:val="20"/>
          <w:szCs w:val="20"/>
          <w:color w:val="auto"/>
        </w:rPr>
      </w:pPr>
      <w:r>
        <w:rPr>
          <w:rFonts w:ascii="Arial" w:cs="Arial" w:eastAsia="Arial" w:hAnsi="Arial"/>
          <w:sz w:val="14"/>
          <w:szCs w:val="14"/>
          <w:b w:val="1"/>
          <w:bCs w:val="1"/>
          <w:color w:val="auto"/>
        </w:rPr>
        <w:t>(617) 651-8851</w:t>
      </w: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Robert J. Gould, Ph.D.</w:t>
      </w:r>
    </w:p>
    <w:p>
      <w:pPr>
        <w:jc w:val="center"/>
        <w:ind w:right="-19"/>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9"/>
        <w:spacing w:after="0" w:line="222" w:lineRule="auto"/>
        <w:rPr>
          <w:sz w:val="20"/>
          <w:szCs w:val="20"/>
          <w:color w:val="auto"/>
        </w:rPr>
      </w:pPr>
      <w:r>
        <w:rPr>
          <w:rFonts w:ascii="Arial" w:cs="Arial" w:eastAsia="Arial" w:hAnsi="Arial"/>
          <w:sz w:val="14"/>
          <w:szCs w:val="14"/>
          <w:b w:val="1"/>
          <w:bCs w:val="1"/>
          <w:color w:val="auto"/>
        </w:rPr>
        <w:t>Fulcrum Therapeutics, Inc.</w:t>
      </w:r>
    </w:p>
    <w:p>
      <w:pPr>
        <w:jc w:val="center"/>
        <w:ind w:right="-19"/>
        <w:spacing w:after="0" w:line="221" w:lineRule="auto"/>
        <w:rPr>
          <w:sz w:val="20"/>
          <w:szCs w:val="20"/>
          <w:color w:val="auto"/>
        </w:rPr>
      </w:pPr>
      <w:r>
        <w:rPr>
          <w:rFonts w:ascii="Arial" w:cs="Arial" w:eastAsia="Arial" w:hAnsi="Arial"/>
          <w:sz w:val="14"/>
          <w:szCs w:val="14"/>
          <w:b w:val="1"/>
          <w:bCs w:val="1"/>
          <w:color w:val="auto"/>
        </w:rPr>
        <w:t>26 Landsdowne Street</w:t>
      </w:r>
    </w:p>
    <w:p>
      <w:pPr>
        <w:jc w:val="center"/>
        <w:ind w:right="-19"/>
        <w:spacing w:after="0" w:line="222" w:lineRule="auto"/>
        <w:rPr>
          <w:sz w:val="20"/>
          <w:szCs w:val="20"/>
          <w:color w:val="auto"/>
        </w:rPr>
      </w:pPr>
      <w:r>
        <w:rPr>
          <w:rFonts w:ascii="Arial" w:cs="Arial" w:eastAsia="Arial" w:hAnsi="Arial"/>
          <w:sz w:val="14"/>
          <w:szCs w:val="14"/>
          <w:b w:val="1"/>
          <w:bCs w:val="1"/>
          <w:color w:val="auto"/>
        </w:rPr>
        <w:t>Cambridge, Massachusetts 02139</w:t>
      </w:r>
    </w:p>
    <w:p>
      <w:pPr>
        <w:jc w:val="center"/>
        <w:ind w:right="-19"/>
        <w:spacing w:after="0" w:line="221" w:lineRule="auto"/>
        <w:rPr>
          <w:sz w:val="20"/>
          <w:szCs w:val="20"/>
          <w:color w:val="auto"/>
        </w:rPr>
      </w:pPr>
      <w:r>
        <w:rPr>
          <w:rFonts w:ascii="Arial" w:cs="Arial" w:eastAsia="Arial" w:hAnsi="Arial"/>
          <w:sz w:val="14"/>
          <w:szCs w:val="14"/>
          <w:b w:val="1"/>
          <w:bCs w:val="1"/>
          <w:color w:val="auto"/>
        </w:rPr>
        <w:t>(617) 651-8851</w:t>
      </w: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1360" w:type="dxa"/>
        <w:tblCellMar>
          <w:top w:w="0" w:type="dxa"/>
          <w:left w:w="0" w:type="dxa"/>
          <w:bottom w:w="0" w:type="dxa"/>
          <w:right w:w="0" w:type="dxa"/>
        </w:tblCellMar>
      </w:tblPr>
      <w:tr>
        <w:trPr>
          <w:trHeight w:val="174"/>
        </w:trPr>
        <w:tc>
          <w:tcPr>
            <w:tcW w:w="320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4"/>
              </w:rPr>
              <w:t>Copies to:</w:t>
            </w:r>
          </w:p>
        </w:tc>
        <w:tc>
          <w:tcPr>
            <w:tcW w:w="2840" w:type="dxa"/>
            <w:vAlign w:val="bottom"/>
          </w:tcPr>
          <w:p>
            <w:pPr>
              <w:spacing w:after="0"/>
              <w:rPr>
                <w:sz w:val="15"/>
                <w:szCs w:val="15"/>
                <w:color w:val="auto"/>
              </w:rPr>
            </w:pPr>
          </w:p>
        </w:tc>
      </w:tr>
      <w:tr>
        <w:trPr>
          <w:trHeight w:val="366"/>
        </w:trPr>
        <w:tc>
          <w:tcPr>
            <w:tcW w:w="3200" w:type="dxa"/>
            <w:vAlign w:val="bottom"/>
          </w:tcPr>
          <w:p>
            <w:pPr>
              <w:jc w:val="center"/>
              <w:ind w:right="1132"/>
              <w:spacing w:after="0"/>
              <w:rPr>
                <w:sz w:val="20"/>
                <w:szCs w:val="20"/>
                <w:color w:val="auto"/>
              </w:rPr>
            </w:pPr>
            <w:r>
              <w:rPr>
                <w:rFonts w:ascii="Arial" w:cs="Arial" w:eastAsia="Arial" w:hAnsi="Arial"/>
                <w:sz w:val="14"/>
                <w:szCs w:val="14"/>
                <w:b w:val="1"/>
                <w:bCs w:val="1"/>
                <w:color w:val="auto"/>
                <w:w w:val="90"/>
              </w:rPr>
              <w:t>Lia Der Marderosian, Esq.</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0"/>
              </w:rPr>
              <w:t>Bryan Stuart</w:t>
            </w:r>
          </w:p>
        </w:tc>
        <w:tc>
          <w:tcPr>
            <w:tcW w:w="2840" w:type="dxa"/>
            <w:vAlign w:val="bottom"/>
          </w:tcPr>
          <w:p>
            <w:pPr>
              <w:jc w:val="center"/>
              <w:ind w:left="1512"/>
              <w:spacing w:after="0"/>
              <w:rPr>
                <w:sz w:val="20"/>
                <w:szCs w:val="20"/>
                <w:color w:val="auto"/>
              </w:rPr>
            </w:pPr>
            <w:r>
              <w:rPr>
                <w:rFonts w:ascii="Arial" w:cs="Arial" w:eastAsia="Arial" w:hAnsi="Arial"/>
                <w:sz w:val="14"/>
                <w:szCs w:val="14"/>
                <w:b w:val="1"/>
                <w:bCs w:val="1"/>
                <w:color w:val="auto"/>
                <w:w w:val="91"/>
              </w:rPr>
              <w:t>Patrick O'Brien, Esq.</w:t>
            </w:r>
          </w:p>
        </w:tc>
      </w:tr>
      <w:tr>
        <w:trPr>
          <w:trHeight w:val="149"/>
        </w:trPr>
        <w:tc>
          <w:tcPr>
            <w:tcW w:w="3200" w:type="dxa"/>
            <w:vAlign w:val="bottom"/>
          </w:tcPr>
          <w:p>
            <w:pPr>
              <w:jc w:val="center"/>
              <w:ind w:right="1152"/>
              <w:spacing w:after="0" w:line="149" w:lineRule="exact"/>
              <w:rPr>
                <w:sz w:val="20"/>
                <w:szCs w:val="20"/>
                <w:color w:val="auto"/>
              </w:rPr>
            </w:pPr>
            <w:r>
              <w:rPr>
                <w:rFonts w:ascii="Arial" w:cs="Arial" w:eastAsia="Arial" w:hAnsi="Arial"/>
                <w:sz w:val="14"/>
                <w:szCs w:val="14"/>
                <w:b w:val="1"/>
                <w:bCs w:val="1"/>
                <w:color w:val="auto"/>
                <w:w w:val="84"/>
              </w:rPr>
              <w:t>Steven D. Singer, Esq.</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Chief Operating Officer</w:t>
            </w:r>
          </w:p>
        </w:tc>
        <w:tc>
          <w:tcPr>
            <w:tcW w:w="2840" w:type="dxa"/>
            <w:vAlign w:val="bottom"/>
          </w:tcPr>
          <w:p>
            <w:pPr>
              <w:jc w:val="center"/>
              <w:ind w:left="1512"/>
              <w:spacing w:after="0" w:line="149" w:lineRule="exact"/>
              <w:rPr>
                <w:sz w:val="20"/>
                <w:szCs w:val="20"/>
                <w:color w:val="auto"/>
              </w:rPr>
            </w:pPr>
            <w:r>
              <w:rPr>
                <w:rFonts w:ascii="Arial" w:cs="Arial" w:eastAsia="Arial" w:hAnsi="Arial"/>
                <w:sz w:val="14"/>
                <w:szCs w:val="14"/>
                <w:b w:val="1"/>
                <w:bCs w:val="1"/>
                <w:color w:val="auto"/>
                <w:w w:val="87"/>
              </w:rPr>
              <w:t>Emily Oldshue, Esq.</w:t>
            </w:r>
          </w:p>
        </w:tc>
      </w:tr>
      <w:tr>
        <w:trPr>
          <w:trHeight w:val="149"/>
        </w:trPr>
        <w:tc>
          <w:tcPr>
            <w:tcW w:w="3200" w:type="dxa"/>
            <w:vAlign w:val="bottom"/>
          </w:tcPr>
          <w:p>
            <w:pPr>
              <w:jc w:val="center"/>
              <w:ind w:right="1132"/>
              <w:spacing w:after="0" w:line="149" w:lineRule="exact"/>
              <w:rPr>
                <w:sz w:val="20"/>
                <w:szCs w:val="20"/>
                <w:color w:val="auto"/>
              </w:rPr>
            </w:pPr>
            <w:r>
              <w:rPr>
                <w:rFonts w:ascii="Arial" w:cs="Arial" w:eastAsia="Arial" w:hAnsi="Arial"/>
                <w:sz w:val="14"/>
                <w:szCs w:val="14"/>
                <w:b w:val="1"/>
                <w:bCs w:val="1"/>
                <w:color w:val="auto"/>
                <w:w w:val="90"/>
              </w:rPr>
              <w:t>Wilmer Cutler Pickering Hale and</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Fulcrum Therapeutics, Inc.</w:t>
            </w:r>
          </w:p>
        </w:tc>
        <w:tc>
          <w:tcPr>
            <w:tcW w:w="2840" w:type="dxa"/>
            <w:vAlign w:val="bottom"/>
          </w:tcPr>
          <w:p>
            <w:pPr>
              <w:jc w:val="center"/>
              <w:ind w:left="1512"/>
              <w:spacing w:after="0" w:line="149" w:lineRule="exact"/>
              <w:rPr>
                <w:sz w:val="20"/>
                <w:szCs w:val="20"/>
                <w:color w:val="auto"/>
              </w:rPr>
            </w:pPr>
            <w:r>
              <w:rPr>
                <w:rFonts w:ascii="Arial" w:cs="Arial" w:eastAsia="Arial" w:hAnsi="Arial"/>
                <w:sz w:val="14"/>
                <w:szCs w:val="14"/>
                <w:b w:val="1"/>
                <w:bCs w:val="1"/>
                <w:color w:val="auto"/>
                <w:w w:val="92"/>
              </w:rPr>
              <w:t>Ropes &amp; Gray LLP</w:t>
            </w:r>
          </w:p>
        </w:tc>
      </w:tr>
      <w:tr>
        <w:trPr>
          <w:trHeight w:val="149"/>
        </w:trPr>
        <w:tc>
          <w:tcPr>
            <w:tcW w:w="3200" w:type="dxa"/>
            <w:vAlign w:val="bottom"/>
          </w:tcPr>
          <w:p>
            <w:pPr>
              <w:jc w:val="center"/>
              <w:ind w:right="1152"/>
              <w:spacing w:after="0" w:line="149" w:lineRule="exact"/>
              <w:rPr>
                <w:sz w:val="20"/>
                <w:szCs w:val="20"/>
                <w:color w:val="auto"/>
              </w:rPr>
            </w:pPr>
            <w:r>
              <w:rPr>
                <w:rFonts w:ascii="Arial" w:cs="Arial" w:eastAsia="Arial" w:hAnsi="Arial"/>
                <w:sz w:val="14"/>
                <w:szCs w:val="14"/>
                <w:b w:val="1"/>
                <w:bCs w:val="1"/>
                <w:color w:val="auto"/>
                <w:w w:val="96"/>
              </w:rPr>
              <w:t>Dorr LLP</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26 Landsdowne Street</w:t>
            </w:r>
          </w:p>
        </w:tc>
        <w:tc>
          <w:tcPr>
            <w:tcW w:w="2840" w:type="dxa"/>
            <w:vAlign w:val="bottom"/>
          </w:tcPr>
          <w:p>
            <w:pPr>
              <w:jc w:val="center"/>
              <w:ind w:left="1512"/>
              <w:spacing w:after="0" w:line="149" w:lineRule="exact"/>
              <w:rPr>
                <w:sz w:val="20"/>
                <w:szCs w:val="20"/>
                <w:color w:val="auto"/>
              </w:rPr>
            </w:pPr>
            <w:r>
              <w:rPr>
                <w:rFonts w:ascii="Arial" w:cs="Arial" w:eastAsia="Arial" w:hAnsi="Arial"/>
                <w:sz w:val="14"/>
                <w:szCs w:val="14"/>
                <w:b w:val="1"/>
                <w:bCs w:val="1"/>
                <w:color w:val="auto"/>
                <w:w w:val="89"/>
              </w:rPr>
              <w:t>Prudential Tower</w:t>
            </w:r>
          </w:p>
        </w:tc>
      </w:tr>
      <w:tr>
        <w:trPr>
          <w:trHeight w:val="149"/>
        </w:trPr>
        <w:tc>
          <w:tcPr>
            <w:tcW w:w="3200" w:type="dxa"/>
            <w:vAlign w:val="bottom"/>
          </w:tcPr>
          <w:p>
            <w:pPr>
              <w:jc w:val="center"/>
              <w:ind w:right="1132"/>
              <w:spacing w:after="0" w:line="149" w:lineRule="exact"/>
              <w:rPr>
                <w:sz w:val="20"/>
                <w:szCs w:val="20"/>
                <w:color w:val="auto"/>
              </w:rPr>
            </w:pPr>
            <w:r>
              <w:rPr>
                <w:rFonts w:ascii="Arial" w:cs="Arial" w:eastAsia="Arial" w:hAnsi="Arial"/>
                <w:sz w:val="14"/>
                <w:szCs w:val="14"/>
                <w:b w:val="1"/>
                <w:bCs w:val="1"/>
                <w:color w:val="auto"/>
                <w:w w:val="86"/>
              </w:rPr>
              <w:t>60 State Street</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Cambridge, Massachusetts 02139</w:t>
            </w:r>
          </w:p>
        </w:tc>
        <w:tc>
          <w:tcPr>
            <w:tcW w:w="2840" w:type="dxa"/>
            <w:vAlign w:val="bottom"/>
          </w:tcPr>
          <w:p>
            <w:pPr>
              <w:jc w:val="center"/>
              <w:ind w:left="1512"/>
              <w:spacing w:after="0" w:line="149" w:lineRule="exact"/>
              <w:rPr>
                <w:sz w:val="20"/>
                <w:szCs w:val="20"/>
                <w:color w:val="auto"/>
              </w:rPr>
            </w:pPr>
            <w:r>
              <w:rPr>
                <w:rFonts w:ascii="Arial" w:cs="Arial" w:eastAsia="Arial" w:hAnsi="Arial"/>
                <w:sz w:val="14"/>
                <w:szCs w:val="14"/>
                <w:b w:val="1"/>
                <w:bCs w:val="1"/>
                <w:color w:val="auto"/>
                <w:w w:val="84"/>
              </w:rPr>
              <w:t>800 Boylston Street</w:t>
            </w:r>
          </w:p>
        </w:tc>
      </w:tr>
      <w:tr>
        <w:trPr>
          <w:trHeight w:val="149"/>
        </w:trPr>
        <w:tc>
          <w:tcPr>
            <w:tcW w:w="3200" w:type="dxa"/>
            <w:vAlign w:val="bottom"/>
          </w:tcPr>
          <w:p>
            <w:pPr>
              <w:jc w:val="center"/>
              <w:ind w:right="1132"/>
              <w:spacing w:after="0" w:line="149" w:lineRule="exact"/>
              <w:rPr>
                <w:sz w:val="20"/>
                <w:szCs w:val="20"/>
                <w:color w:val="auto"/>
              </w:rPr>
            </w:pPr>
            <w:r>
              <w:rPr>
                <w:rFonts w:ascii="Arial" w:cs="Arial" w:eastAsia="Arial" w:hAnsi="Arial"/>
                <w:sz w:val="14"/>
                <w:szCs w:val="14"/>
                <w:b w:val="1"/>
                <w:bCs w:val="1"/>
                <w:color w:val="auto"/>
                <w:w w:val="84"/>
              </w:rPr>
              <w:t>Boston, Massachusetts 02109</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(617) 651-8851</w:t>
            </w:r>
          </w:p>
        </w:tc>
        <w:tc>
          <w:tcPr>
            <w:tcW w:w="2840" w:type="dxa"/>
            <w:vAlign w:val="bottom"/>
          </w:tcPr>
          <w:p>
            <w:pPr>
              <w:jc w:val="center"/>
              <w:ind w:left="1512"/>
              <w:spacing w:after="0" w:line="149" w:lineRule="exact"/>
              <w:rPr>
                <w:sz w:val="20"/>
                <w:szCs w:val="20"/>
                <w:color w:val="auto"/>
              </w:rPr>
            </w:pPr>
            <w:r>
              <w:rPr>
                <w:rFonts w:ascii="Arial" w:cs="Arial" w:eastAsia="Arial" w:hAnsi="Arial"/>
                <w:sz w:val="14"/>
                <w:szCs w:val="14"/>
                <w:b w:val="1"/>
                <w:bCs w:val="1"/>
                <w:color w:val="auto"/>
                <w:w w:val="87"/>
              </w:rPr>
              <w:t>Boston, MA 02199</w:t>
            </w:r>
          </w:p>
        </w:tc>
      </w:tr>
      <w:tr>
        <w:trPr>
          <w:trHeight w:val="174"/>
        </w:trPr>
        <w:tc>
          <w:tcPr>
            <w:tcW w:w="3200" w:type="dxa"/>
            <w:vAlign w:val="bottom"/>
          </w:tcPr>
          <w:p>
            <w:pPr>
              <w:jc w:val="center"/>
              <w:ind w:right="1132"/>
              <w:spacing w:after="0"/>
              <w:rPr>
                <w:sz w:val="20"/>
                <w:szCs w:val="20"/>
                <w:color w:val="auto"/>
              </w:rPr>
            </w:pPr>
            <w:r>
              <w:rPr>
                <w:rFonts w:ascii="Arial" w:cs="Arial" w:eastAsia="Arial" w:hAnsi="Arial"/>
                <w:sz w:val="14"/>
                <w:szCs w:val="14"/>
                <w:b w:val="1"/>
                <w:bCs w:val="1"/>
                <w:color w:val="auto"/>
                <w:w w:val="87"/>
              </w:rPr>
              <w:t>(617) 526-6000</w:t>
            </w:r>
          </w:p>
        </w:tc>
        <w:tc>
          <w:tcPr>
            <w:tcW w:w="2300" w:type="dxa"/>
            <w:vAlign w:val="bottom"/>
          </w:tcPr>
          <w:p>
            <w:pPr>
              <w:spacing w:after="0"/>
              <w:rPr>
                <w:sz w:val="15"/>
                <w:szCs w:val="15"/>
                <w:color w:val="auto"/>
              </w:rPr>
            </w:pPr>
          </w:p>
        </w:tc>
        <w:tc>
          <w:tcPr>
            <w:tcW w:w="2840" w:type="dxa"/>
            <w:vAlign w:val="bottom"/>
          </w:tcPr>
          <w:p>
            <w:pPr>
              <w:jc w:val="center"/>
              <w:ind w:left="1512"/>
              <w:spacing w:after="0"/>
              <w:rPr>
                <w:sz w:val="20"/>
                <w:szCs w:val="20"/>
                <w:color w:val="auto"/>
              </w:rPr>
            </w:pPr>
            <w:r>
              <w:rPr>
                <w:rFonts w:ascii="Arial" w:cs="Arial" w:eastAsia="Arial" w:hAnsi="Arial"/>
                <w:sz w:val="14"/>
                <w:szCs w:val="14"/>
                <w:b w:val="1"/>
                <w:bCs w:val="1"/>
                <w:color w:val="auto"/>
                <w:w w:val="89"/>
              </w:rPr>
              <w:t>(617) 951-7000</w:t>
            </w:r>
          </w:p>
        </w:tc>
      </w:tr>
      <w:tr>
        <w:trPr>
          <w:trHeight w:val="203"/>
        </w:trPr>
        <w:tc>
          <w:tcPr>
            <w:tcW w:w="3200" w:type="dxa"/>
            <w:vAlign w:val="bottom"/>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2840" w:type="dxa"/>
            <w:vAlign w:val="bottom"/>
          </w:tcPr>
          <w:p>
            <w:pPr>
              <w:spacing w:after="0"/>
              <w:rPr>
                <w:sz w:val="17"/>
                <w:szCs w:val="17"/>
                <w:color w:val="auto"/>
              </w:rPr>
            </w:pPr>
          </w:p>
        </w:tc>
      </w:tr>
    </w:tbl>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Approximate date of commencement of proposed sale to public: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As soon as practicable after this Registration Statement is declared effective.</w:t>
      </w:r>
    </w:p>
    <w:p>
      <w:pPr>
        <w:spacing w:after="0" w:line="192" w:lineRule="exact"/>
        <w:rPr>
          <w:sz w:val="24"/>
          <w:szCs w:val="24"/>
          <w:color w:val="auto"/>
        </w:rPr>
      </w:pPr>
    </w:p>
    <w:p>
      <w:pPr>
        <w:ind w:left="340"/>
        <w:spacing w:after="0"/>
        <w:tabs>
          <w:tab w:leader="none" w:pos="1032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Arial" w:cs="Arial" w:eastAsia="Arial" w:hAnsi="Arial"/>
          <w:sz w:val="14"/>
          <w:szCs w:val="14"/>
          <w:color w:val="auto"/>
        </w:rPr>
        <w:t>o</w:t>
      </w:r>
    </w:p>
    <w:p>
      <w:pPr>
        <w:spacing w:after="0" w:line="204" w:lineRule="exact"/>
        <w:rPr>
          <w:sz w:val="24"/>
          <w:szCs w:val="24"/>
          <w:color w:val="auto"/>
        </w:rPr>
      </w:pPr>
    </w:p>
    <w:p>
      <w:pPr>
        <w:ind w:right="20" w:firstLine="344"/>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0" w:firstLine="377"/>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377"/>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388"/>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5" w:right="239" w:bottom="63" w:gutter="0" w:footer="0" w:header="0"/>
        </w:sectPr>
      </w:pPr>
    </w:p>
    <w:p>
      <w:pPr>
        <w:spacing w:after="0" w:line="193" w:lineRule="exact"/>
        <w:rPr>
          <w:sz w:val="24"/>
          <w:szCs w:val="24"/>
          <w:color w:val="auto"/>
        </w:rPr>
      </w:pPr>
    </w:p>
    <w:p>
      <w:pPr>
        <w:ind w:left="42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ind w:right="100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jc w:val="center"/>
        <w:ind w:right="1120"/>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ind w:left="20"/>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00" w:lineRule="exact"/>
        <w:rPr>
          <w:sz w:val="24"/>
          <w:szCs w:val="24"/>
          <w:color w:val="auto"/>
        </w:rPr>
      </w:pPr>
    </w:p>
    <w:p>
      <w:pPr>
        <w:sectPr>
          <w:pgSz w:w="11900" w:h="16838" w:orient="portrait"/>
          <w:cols w:equalWidth="0" w:num="4">
            <w:col w:w="2760" w:space="720"/>
            <w:col w:w="2000" w:space="720"/>
            <w:col w:w="2420" w:space="720"/>
            <w:col w:w="2080"/>
          </w:cols>
          <w:pgMar w:left="240" w:top="685" w:right="239" w:bottom="63" w:gutter="0" w:footer="0" w:header="0"/>
          <w:type w:val="continuous"/>
        </w:sectPr>
      </w:pPr>
    </w:p>
    <w:p>
      <w:pPr>
        <w:spacing w:after="0" w:line="15" w:lineRule="exact"/>
        <w:rPr>
          <w:sz w:val="24"/>
          <w:szCs w:val="24"/>
          <w:color w:val="auto"/>
        </w:rPr>
      </w:pPr>
    </w:p>
    <w:p>
      <w:pPr>
        <w:ind w:firstLine="338"/>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420"/>
          </w:cols>
          <w:pgMar w:left="240" w:top="685" w:right="239" w:bottom="6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40" w:lineRule="exact"/>
        <w:rPr>
          <w:sz w:val="20"/>
          <w:szCs w:val="20"/>
          <w:color w:val="auto"/>
        </w:rPr>
      </w:pPr>
    </w:p>
    <w:tbl>
      <w:tblPr>
        <w:tblLayout w:type="fixed"/>
        <w:tblInd w:w="15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620" w:type="dxa"/>
            <w:vAlign w:val="bottom"/>
            <w:tcBorders>
              <w:top w:val="single" w:sz="8" w:color="auto"/>
              <w:bottom w:val="single" w:sz="8" w:color="auto"/>
            </w:tcBorders>
          </w:tcPr>
          <w:p>
            <w:pPr>
              <w:spacing w:after="0"/>
              <w:rPr>
                <w:sz w:val="3"/>
                <w:szCs w:val="3"/>
                <w:color w:val="auto"/>
              </w:rPr>
            </w:pPr>
          </w:p>
        </w:tc>
        <w:tc>
          <w:tcPr>
            <w:tcW w:w="234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340" w:type="dxa"/>
            <w:vAlign w:val="bottom"/>
          </w:tcPr>
          <w:p>
            <w:pPr>
              <w:jc w:val="center"/>
              <w:ind w:left="774"/>
              <w:spacing w:after="0" w:line="117" w:lineRule="exact"/>
              <w:rPr>
                <w:sz w:val="20"/>
                <w:szCs w:val="20"/>
                <w:color w:val="auto"/>
              </w:rPr>
            </w:pPr>
            <w:r>
              <w:rPr>
                <w:rFonts w:ascii="Arial" w:cs="Arial" w:eastAsia="Arial" w:hAnsi="Arial"/>
                <w:sz w:val="12"/>
                <w:szCs w:val="12"/>
                <w:b w:val="1"/>
                <w:bCs w:val="1"/>
                <w:color w:val="auto"/>
              </w:rPr>
              <w:t>Proposed Maximum</w:t>
            </w:r>
          </w:p>
        </w:tc>
        <w:tc>
          <w:tcPr>
            <w:tcW w:w="1360" w:type="dxa"/>
            <w:vAlign w:val="bottom"/>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4620" w:type="dxa"/>
            <w:vAlign w:val="bottom"/>
          </w:tcPr>
          <w:p>
            <w:pPr>
              <w:jc w:val="center"/>
              <w:ind w:left="692"/>
              <w:spacing w:after="0"/>
              <w:rPr>
                <w:sz w:val="20"/>
                <w:szCs w:val="20"/>
                <w:color w:val="auto"/>
              </w:rPr>
            </w:pPr>
            <w:r>
              <w:rPr>
                <w:rFonts w:ascii="Arial" w:cs="Arial" w:eastAsia="Arial" w:hAnsi="Arial"/>
                <w:sz w:val="14"/>
                <w:szCs w:val="14"/>
                <w:b w:val="1"/>
                <w:bCs w:val="1"/>
                <w:color w:val="auto"/>
                <w:w w:val="85"/>
              </w:rPr>
              <w:t>Title of Each Class of Securities</w:t>
            </w:r>
          </w:p>
        </w:tc>
        <w:tc>
          <w:tcPr>
            <w:tcW w:w="2340" w:type="dxa"/>
            <w:vAlign w:val="bottom"/>
          </w:tcPr>
          <w:p>
            <w:pPr>
              <w:jc w:val="center"/>
              <w:ind w:left="794"/>
              <w:spacing w:after="0"/>
              <w:rPr>
                <w:sz w:val="20"/>
                <w:szCs w:val="20"/>
                <w:color w:val="auto"/>
              </w:rPr>
            </w:pPr>
            <w:r>
              <w:rPr>
                <w:rFonts w:ascii="Arial" w:cs="Arial" w:eastAsia="Arial" w:hAnsi="Arial"/>
                <w:sz w:val="14"/>
                <w:szCs w:val="14"/>
                <w:b w:val="1"/>
                <w:bCs w:val="1"/>
                <w:color w:val="auto"/>
                <w:w w:val="87"/>
              </w:rPr>
              <w:t>Aggregate Offering</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r>
      <w:tr>
        <w:trPr>
          <w:trHeight w:val="203"/>
        </w:trPr>
        <w:tc>
          <w:tcPr>
            <w:tcW w:w="20" w:type="dxa"/>
            <w:vAlign w:val="bottom"/>
          </w:tcPr>
          <w:p>
            <w:pPr>
              <w:spacing w:after="0"/>
              <w:rPr>
                <w:sz w:val="17"/>
                <w:szCs w:val="17"/>
                <w:color w:val="auto"/>
              </w:rPr>
            </w:pPr>
          </w:p>
        </w:tc>
        <w:tc>
          <w:tcPr>
            <w:tcW w:w="4620" w:type="dxa"/>
            <w:vAlign w:val="bottom"/>
            <w:tcBorders>
              <w:bottom w:val="single" w:sz="8" w:color="auto"/>
            </w:tcBorders>
          </w:tcPr>
          <w:p>
            <w:pPr>
              <w:jc w:val="center"/>
              <w:ind w:left="692"/>
              <w:spacing w:after="0"/>
              <w:rPr>
                <w:sz w:val="20"/>
                <w:szCs w:val="20"/>
                <w:color w:val="auto"/>
              </w:rPr>
            </w:pPr>
            <w:r>
              <w:rPr>
                <w:rFonts w:ascii="Arial" w:cs="Arial" w:eastAsia="Arial" w:hAnsi="Arial"/>
                <w:sz w:val="14"/>
                <w:szCs w:val="14"/>
                <w:b w:val="1"/>
                <w:bCs w:val="1"/>
                <w:color w:val="auto"/>
                <w:w w:val="84"/>
              </w:rPr>
              <w:t>to Be Registered</w:t>
            </w:r>
          </w:p>
        </w:tc>
        <w:tc>
          <w:tcPr>
            <w:tcW w:w="2340" w:type="dxa"/>
            <w:vAlign w:val="bottom"/>
            <w:tcBorders>
              <w:bottom w:val="single" w:sz="8" w:color="auto"/>
            </w:tcBorders>
          </w:tcPr>
          <w:p>
            <w:pPr>
              <w:jc w:val="center"/>
              <w:ind w:left="774"/>
              <w:spacing w:after="0" w:line="203" w:lineRule="exact"/>
              <w:rPr>
                <w:sz w:val="20"/>
                <w:szCs w:val="20"/>
                <w:color w:val="auto"/>
              </w:rPr>
            </w:pPr>
            <w:r>
              <w:rPr>
                <w:rFonts w:ascii="Arial" w:cs="Arial" w:eastAsia="Arial" w:hAnsi="Arial"/>
                <w:sz w:val="14"/>
                <w:szCs w:val="14"/>
                <w:b w:val="1"/>
                <w:bCs w:val="1"/>
                <w:color w:val="auto"/>
                <w:w w:val="80"/>
              </w:rPr>
              <w:t>Price</w:t>
            </w:r>
            <w:r>
              <w:rPr>
                <w:rFonts w:ascii="Arial" w:cs="Arial" w:eastAsia="Arial" w:hAnsi="Arial"/>
                <w:sz w:val="22"/>
                <w:szCs w:val="22"/>
                <w:b w:val="1"/>
                <w:bCs w:val="1"/>
                <w:color w:val="auto"/>
                <w:w w:val="80"/>
                <w:vertAlign w:val="superscript"/>
              </w:rPr>
              <w:t>(1)</w:t>
            </w:r>
          </w:p>
        </w:tc>
        <w:tc>
          <w:tcPr>
            <w:tcW w:w="1360" w:type="dxa"/>
            <w:vAlign w:val="bottom"/>
            <w:tcBorders>
              <w:bottom w:val="single" w:sz="8" w:color="auto"/>
            </w:tcBorders>
          </w:tcPr>
          <w:p>
            <w:pPr>
              <w:jc w:val="center"/>
              <w:ind w:left="12"/>
              <w:spacing w:after="0" w:line="203" w:lineRule="exact"/>
              <w:rPr>
                <w:sz w:val="20"/>
                <w:szCs w:val="20"/>
                <w:color w:val="auto"/>
              </w:rPr>
            </w:pPr>
            <w:r>
              <w:rPr>
                <w:rFonts w:ascii="Arial" w:cs="Arial" w:eastAsia="Arial" w:hAnsi="Arial"/>
                <w:sz w:val="14"/>
                <w:szCs w:val="14"/>
                <w:b w:val="1"/>
                <w:bCs w:val="1"/>
                <w:color w:val="auto"/>
                <w:w w:val="84"/>
              </w:rPr>
              <w:t>Registration Fee</w:t>
            </w:r>
            <w:r>
              <w:rPr>
                <w:rFonts w:ascii="Arial" w:cs="Arial" w:eastAsia="Arial" w:hAnsi="Arial"/>
                <w:sz w:val="22"/>
                <w:szCs w:val="22"/>
                <w:b w:val="1"/>
                <w:bCs w:val="1"/>
                <w:color w:val="auto"/>
                <w:w w:val="84"/>
                <w:vertAlign w:val="superscript"/>
              </w:rPr>
              <w:t>(2)</w:t>
            </w:r>
          </w:p>
        </w:tc>
      </w:tr>
      <w:tr>
        <w:trPr>
          <w:trHeight w:val="167"/>
        </w:trPr>
        <w:tc>
          <w:tcPr>
            <w:tcW w:w="2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 par value $0.001 per share</w:t>
            </w:r>
          </w:p>
        </w:tc>
        <w:tc>
          <w:tcPr>
            <w:tcW w:w="234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135890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446"/>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478790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F1665F"/>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state or other jurisdiction where the offer or sale is not permitted.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220" w:type="dxa"/>
            <w:vAlign w:val="bottom"/>
          </w:tcPr>
          <w:p>
            <w:pPr>
              <w:spacing w:after="0"/>
              <w:rPr>
                <w:sz w:val="20"/>
                <w:szCs w:val="20"/>
                <w:color w:val="auto"/>
              </w:rPr>
            </w:pPr>
            <w:r>
              <w:rPr>
                <w:rFonts w:ascii="Arial" w:cs="Arial" w:eastAsia="Arial" w:hAnsi="Arial"/>
                <w:sz w:val="22"/>
                <w:szCs w:val="22"/>
                <w:i w:val="1"/>
                <w:iCs w:val="1"/>
                <w:color w:val="F1665F"/>
              </w:rPr>
              <w:t>SUBJECT TO COMPLETION, DATED</w:t>
            </w:r>
          </w:p>
        </w:tc>
        <w:tc>
          <w:tcPr>
            <w:tcW w:w="1320" w:type="dxa"/>
            <w:vAlign w:val="bottom"/>
          </w:tcPr>
          <w:p>
            <w:pPr>
              <w:jc w:val="right"/>
              <w:spacing w:after="0"/>
              <w:rPr>
                <w:sz w:val="20"/>
                <w:szCs w:val="20"/>
                <w:color w:val="auto"/>
              </w:rPr>
            </w:pPr>
            <w:r>
              <w:rPr>
                <w:rFonts w:ascii="Arial" w:cs="Arial" w:eastAsia="Arial" w:hAnsi="Arial"/>
                <w:sz w:val="22"/>
                <w:szCs w:val="22"/>
                <w:i w:val="1"/>
                <w:iCs w:val="1"/>
                <w:color w:val="F1665F"/>
              </w:rPr>
              <w:t>, 2019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1665F"/>
        </w:rPr>
        <w:t>PRELIMINARY PROSPECTUS</w:t>
      </w:r>
    </w:p>
    <w:p>
      <w:pPr>
        <w:spacing w:after="0" w:line="200" w:lineRule="exact"/>
        <w:rPr>
          <w:sz w:val="20"/>
          <w:szCs w:val="20"/>
          <w:color w:val="auto"/>
        </w:rPr>
      </w:pPr>
    </w:p>
    <w:p>
      <w:pPr>
        <w:ind w:left="604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156210</wp:posOffset>
            </wp:positionV>
            <wp:extent cx="2838450" cy="694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3845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144780</wp:posOffset>
            </wp:positionV>
            <wp:extent cx="1534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This is an initial public offering of common stock by Fulcrum Therapeutics, Inc. We are selling offering price is between $ and $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shares of common stock. The estimated initial public</w:t>
      </w:r>
    </w:p>
    <w:p>
      <w:pPr>
        <w:spacing w:after="0" w:line="475" w:lineRule="exact"/>
        <w:rPr>
          <w:sz w:val="20"/>
          <w:szCs w:val="20"/>
          <w:color w:val="auto"/>
        </w:rPr>
      </w:pPr>
    </w:p>
    <w:p>
      <w:pPr>
        <w:sectPr>
          <w:pgSz w:w="11900" w:h="16838" w:orient="portrait"/>
          <w:cols w:equalWidth="0" w:num="2">
            <w:col w:w="6920" w:space="680"/>
            <w:col w:w="3820"/>
          </w:cols>
          <w:pgMar w:left="240" w:top="131" w:right="239" w:bottom="1440" w:gutter="0" w:footer="0" w:header="0"/>
          <w:type w:val="continuous"/>
        </w:sectPr>
      </w:pPr>
    </w:p>
    <w:p>
      <w:pPr>
        <w:ind w:right="20"/>
        <w:spacing w:after="0" w:line="268" w:lineRule="auto"/>
        <w:rPr>
          <w:sz w:val="20"/>
          <w:szCs w:val="20"/>
          <w:color w:val="auto"/>
        </w:rPr>
      </w:pPr>
      <w:r>
        <w:rPr>
          <w:rFonts w:ascii="Arial" w:cs="Arial" w:eastAsia="Arial" w:hAnsi="Arial"/>
          <w:sz w:val="18"/>
          <w:szCs w:val="18"/>
          <w:b w:val="1"/>
          <w:bCs w:val="1"/>
          <w:i w:val="1"/>
          <w:iCs w:val="1"/>
          <w:color w:val="auto"/>
        </w:rPr>
        <w:t>Prior to this offering, there has been no public market for our common stock. We intend to apply to list our common stock on the Nasdaq Global Market under the symbol "FULC."</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0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Initial public offering price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82"/>
              </w:rPr>
              <w:t>Per Share</w:t>
            </w:r>
          </w:p>
        </w:tc>
        <w:tc>
          <w:tcPr>
            <w:tcW w:w="660" w:type="dxa"/>
            <w:vAlign w:val="bottom"/>
          </w:tcPr>
          <w:p>
            <w:pPr>
              <w:spacing w:after="0"/>
              <w:rPr>
                <w:sz w:val="14"/>
                <w:szCs w:val="14"/>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02"/>
        </w:trPr>
        <w:tc>
          <w:tcPr>
            <w:tcW w:w="7060" w:type="dxa"/>
            <w:vAlign w:val="bottom"/>
            <w:gridSpan w:val="2"/>
            <w:vMerge w:val="continue"/>
          </w:tcPr>
          <w:p>
            <w:pPr>
              <w:spacing w:after="0"/>
              <w:rPr>
                <w:sz w:val="17"/>
                <w:szCs w:val="17"/>
                <w:color w:val="auto"/>
              </w:rPr>
            </w:pPr>
          </w:p>
        </w:tc>
        <w:tc>
          <w:tcPr>
            <w:tcW w:w="560" w:type="dxa"/>
            <w:vAlign w:val="bottom"/>
          </w:tcPr>
          <w:p>
            <w:pPr>
              <w:jc w:val="right"/>
              <w:ind w:right="357"/>
              <w:spacing w:after="0" w:line="202" w:lineRule="exact"/>
              <w:rPr>
                <w:sz w:val="20"/>
                <w:szCs w:val="20"/>
                <w:color w:val="auto"/>
              </w:rPr>
            </w:pPr>
            <w:r>
              <w:rPr>
                <w:rFonts w:ascii="Arial" w:cs="Arial" w:eastAsia="Arial" w:hAnsi="Arial"/>
                <w:sz w:val="18"/>
                <w:szCs w:val="18"/>
                <w:i w:val="1"/>
                <w:iCs w:val="1"/>
                <w:color w:val="auto"/>
                <w:w w:val="99"/>
              </w:rPr>
              <w:t>$</w:t>
            </w:r>
          </w:p>
        </w:tc>
        <w:tc>
          <w:tcPr>
            <w:tcW w:w="660" w:type="dxa"/>
            <w:vAlign w:val="bottom"/>
          </w:tcPr>
          <w:p>
            <w:pPr>
              <w:spacing w:after="0"/>
              <w:rPr>
                <w:sz w:val="17"/>
                <w:szCs w:val="17"/>
                <w:color w:val="auto"/>
              </w:rPr>
            </w:pPr>
          </w:p>
        </w:tc>
        <w:tc>
          <w:tcPr>
            <w:tcW w:w="620" w:type="dxa"/>
            <w:vAlign w:val="bottom"/>
          </w:tcPr>
          <w:p>
            <w:pPr>
              <w:jc w:val="right"/>
              <w:ind w:right="382"/>
              <w:spacing w:after="0" w:line="202"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55"/>
        </w:trPr>
        <w:tc>
          <w:tcPr>
            <w:tcW w:w="7060" w:type="dxa"/>
            <w:vAlign w:val="bottom"/>
            <w:gridSpan w:val="2"/>
          </w:tcPr>
          <w:p>
            <w:pPr>
              <w:spacing w:after="0" w:line="255" w:lineRule="exact"/>
              <w:rPr>
                <w:sz w:val="20"/>
                <w:szCs w:val="20"/>
                <w:color w:val="auto"/>
              </w:rPr>
            </w:pPr>
            <w:r>
              <w:rPr>
                <w:rFonts w:ascii="Arial" w:cs="Arial" w:eastAsia="Arial" w:hAnsi="Arial"/>
                <w:sz w:val="18"/>
                <w:szCs w:val="18"/>
                <w:i w:val="1"/>
                <w:iCs w:val="1"/>
                <w:color w:val="auto"/>
              </w:rPr>
              <w:t>Underwriting discounts and commissions</w:t>
            </w:r>
            <w:r>
              <w:rPr>
                <w:rFonts w:ascii="Arial" w:cs="Arial" w:eastAsia="Arial" w:hAnsi="Arial"/>
                <w:sz w:val="29"/>
                <w:szCs w:val="29"/>
                <w:i w:val="1"/>
                <w:iCs w:val="1"/>
                <w:color w:val="auto"/>
                <w:vertAlign w:val="superscript"/>
              </w:rPr>
              <w:t>(1)</w:t>
            </w:r>
          </w:p>
        </w:tc>
        <w:tc>
          <w:tcPr>
            <w:tcW w:w="560" w:type="dxa"/>
            <w:vAlign w:val="bottom"/>
          </w:tcPr>
          <w:p>
            <w:pPr>
              <w:jc w:val="right"/>
              <w:ind w:right="357"/>
              <w:spacing w:after="0"/>
              <w:rPr>
                <w:sz w:val="20"/>
                <w:szCs w:val="20"/>
                <w:color w:val="auto"/>
              </w:rPr>
            </w:pPr>
            <w:r>
              <w:rPr>
                <w:rFonts w:ascii="Arial" w:cs="Arial" w:eastAsia="Arial" w:hAnsi="Arial"/>
                <w:sz w:val="18"/>
                <w:szCs w:val="18"/>
                <w:i w:val="1"/>
                <w:iCs w:val="1"/>
                <w:color w:val="auto"/>
                <w:w w:val="99"/>
              </w:rPr>
              <w:t>$</w:t>
            </w:r>
          </w:p>
        </w:tc>
        <w:tc>
          <w:tcPr>
            <w:tcW w:w="1280" w:type="dxa"/>
            <w:vAlign w:val="bottom"/>
            <w:gridSpan w:val="2"/>
          </w:tcPr>
          <w:p>
            <w:pPr>
              <w:jc w:val="right"/>
              <w:ind w:right="38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2"/>
        </w:trPr>
        <w:tc>
          <w:tcPr>
            <w:tcW w:w="7060" w:type="dxa"/>
            <w:vAlign w:val="bottom"/>
            <w:gridSpan w:val="2"/>
          </w:tcPr>
          <w:p>
            <w:pPr>
              <w:spacing w:after="0"/>
              <w:rPr>
                <w:sz w:val="20"/>
                <w:szCs w:val="20"/>
                <w:color w:val="auto"/>
              </w:rPr>
            </w:pPr>
            <w:r>
              <w:rPr>
                <w:rFonts w:ascii="Arial" w:cs="Arial" w:eastAsia="Arial" w:hAnsi="Arial"/>
                <w:sz w:val="18"/>
                <w:szCs w:val="18"/>
                <w:i w:val="1"/>
                <w:iCs w:val="1"/>
                <w:color w:val="auto"/>
              </w:rPr>
              <w:t>Proceeds to Fulcrum, before expenses</w:t>
            </w:r>
          </w:p>
        </w:tc>
        <w:tc>
          <w:tcPr>
            <w:tcW w:w="560" w:type="dxa"/>
            <w:vAlign w:val="bottom"/>
          </w:tcPr>
          <w:p>
            <w:pPr>
              <w:jc w:val="right"/>
              <w:ind w:right="357"/>
              <w:spacing w:after="0"/>
              <w:rPr>
                <w:sz w:val="20"/>
                <w:szCs w:val="20"/>
                <w:color w:val="auto"/>
              </w:rPr>
            </w:pPr>
            <w:r>
              <w:rPr>
                <w:rFonts w:ascii="Arial" w:cs="Arial" w:eastAsia="Arial" w:hAnsi="Arial"/>
                <w:sz w:val="18"/>
                <w:szCs w:val="18"/>
                <w:i w:val="1"/>
                <w:iCs w:val="1"/>
                <w:color w:val="auto"/>
                <w:w w:val="99"/>
              </w:rPr>
              <w:t>$</w:t>
            </w:r>
          </w:p>
        </w:tc>
        <w:tc>
          <w:tcPr>
            <w:tcW w:w="1280" w:type="dxa"/>
            <w:vAlign w:val="bottom"/>
            <w:gridSpan w:val="2"/>
          </w:tcPr>
          <w:p>
            <w:pPr>
              <w:jc w:val="right"/>
              <w:ind w:right="38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110"/>
        </w:trPr>
        <w:tc>
          <w:tcPr>
            <w:tcW w:w="940" w:type="dxa"/>
            <w:vAlign w:val="bottom"/>
            <w:tcBorders>
              <w:bottom w:val="single" w:sz="8" w:color="auto"/>
            </w:tcBorders>
          </w:tcPr>
          <w:p>
            <w:pPr>
              <w:spacing w:after="0"/>
              <w:rPr>
                <w:sz w:val="9"/>
                <w:szCs w:val="9"/>
                <w:color w:val="auto"/>
              </w:rPr>
            </w:pPr>
          </w:p>
        </w:tc>
        <w:tc>
          <w:tcPr>
            <w:tcW w:w="6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have agreed to reimburse the underwriters for certain FINRA-related expenses. See "Underwriters" on page 189.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We have granted the underwriters the right to purchase up to an additional</w:t>
            </w:r>
          </w:p>
        </w:tc>
        <w:tc>
          <w:tcPr>
            <w:tcW w:w="448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84"/>
              </w:rPr>
              <w:t>shares of common stock. The underwriters may exercise this</w:t>
            </w: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right at any time within 30 days after the date of this prospectus.</w:t>
            </w:r>
          </w:p>
        </w:tc>
        <w:tc>
          <w:tcPr>
            <w:tcW w:w="4480" w:type="dxa"/>
            <w:vAlign w:val="bottom"/>
          </w:tcPr>
          <w:p>
            <w:pPr>
              <w:spacing w:after="0"/>
              <w:rPr>
                <w:sz w:val="19"/>
                <w:szCs w:val="19"/>
                <w:color w:val="auto"/>
              </w:rPr>
            </w:pPr>
          </w:p>
        </w:tc>
      </w:tr>
      <w:tr>
        <w:trPr>
          <w:trHeight w:val="218"/>
        </w:trPr>
        <w:tc>
          <w:tcPr>
            <w:tcW w:w="4500" w:type="dxa"/>
            <w:vAlign w:val="bottom"/>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4480" w:type="dxa"/>
            <w:vAlign w:val="bottom"/>
          </w:tcPr>
          <w:p>
            <w:pPr>
              <w:spacing w:after="0"/>
              <w:rPr>
                <w:sz w:val="18"/>
                <w:szCs w:val="18"/>
                <w:color w:val="auto"/>
              </w:rPr>
            </w:pP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in our common stock involves risks. See "Risk Factors" beginning on page 10 of this prospectus.</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20" w:type="dxa"/>
            <w:vAlign w:val="bottom"/>
            <w:gridSpan w:val="2"/>
          </w:tcPr>
          <w:p>
            <w:pPr>
              <w:spacing w:after="0"/>
              <w:rPr>
                <w:sz w:val="20"/>
                <w:szCs w:val="20"/>
                <w:color w:val="auto"/>
              </w:rPr>
            </w:pPr>
            <w:r>
              <w:rPr>
                <w:rFonts w:ascii="Arial" w:cs="Arial" w:eastAsia="Arial" w:hAnsi="Arial"/>
                <w:sz w:val="18"/>
                <w:szCs w:val="18"/>
                <w:i w:val="1"/>
                <w:iCs w:val="1"/>
                <w:color w:val="auto"/>
                <w:w w:val="96"/>
              </w:rPr>
              <w:t>The underwriters expect to deliver the shares of common stock to purchasers on or about</w:t>
            </w: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 2019.</w:t>
            </w:r>
          </w:p>
        </w:tc>
      </w:tr>
      <w:tr>
        <w:trPr>
          <w:trHeight w:val="218"/>
        </w:trPr>
        <w:tc>
          <w:tcPr>
            <w:tcW w:w="4500" w:type="dxa"/>
            <w:vAlign w:val="bottom"/>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1020" w:type="dxa"/>
            <w:vAlign w:val="bottom"/>
          </w:tcPr>
          <w:p>
            <w:pPr>
              <w:spacing w:after="0"/>
              <w:rPr>
                <w:sz w:val="18"/>
                <w:szCs w:val="18"/>
                <w:color w:val="auto"/>
              </w:rPr>
            </w:pPr>
          </w:p>
        </w:tc>
      </w:tr>
    </w:tbl>
    <w:p>
      <w:pPr>
        <w:spacing w:after="0" w:line="200" w:lineRule="exact"/>
        <w:rPr>
          <w:sz w:val="20"/>
          <w:szCs w:val="20"/>
          <w:color w:val="auto"/>
        </w:rPr>
      </w:pPr>
    </w:p>
    <w:p>
      <w:pPr>
        <w:spacing w:after="0" w:line="319" w:lineRule="exact"/>
        <w:rPr>
          <w:sz w:val="20"/>
          <w:szCs w:val="20"/>
          <w:color w:val="auto"/>
        </w:rPr>
      </w:pPr>
    </w:p>
    <w:p>
      <w:pPr>
        <w:ind w:left="1140"/>
        <w:spacing w:after="0"/>
        <w:tabs>
          <w:tab w:leader="none" w:pos="4800" w:val="left"/>
          <w:tab w:leader="none" w:pos="8960" w:val="left"/>
        </w:tabs>
        <w:rPr>
          <w:sz w:val="20"/>
          <w:szCs w:val="20"/>
          <w:color w:val="auto"/>
        </w:rPr>
      </w:pPr>
      <w:r>
        <w:rPr>
          <w:rFonts w:ascii="Arial" w:cs="Arial" w:eastAsia="Arial" w:hAnsi="Arial"/>
          <w:sz w:val="22"/>
          <w:szCs w:val="22"/>
          <w:i w:val="1"/>
          <w:iCs w:val="1"/>
          <w:color w:val="auto"/>
        </w:rPr>
        <w:t>MORGAN STANLEY</w:t>
      </w:r>
      <w:r>
        <w:rPr>
          <w:sz w:val="20"/>
          <w:szCs w:val="20"/>
          <w:color w:val="auto"/>
        </w:rPr>
        <w:tab/>
      </w:r>
      <w:r>
        <w:rPr>
          <w:rFonts w:ascii="Arial" w:cs="Arial" w:eastAsia="Arial" w:hAnsi="Arial"/>
          <w:sz w:val="22"/>
          <w:szCs w:val="22"/>
          <w:i w:val="1"/>
          <w:iCs w:val="1"/>
          <w:color w:val="auto"/>
        </w:rPr>
        <w:t>BofA MERRILL LYNCH</w:t>
      </w:r>
      <w:r>
        <w:rPr>
          <w:sz w:val="20"/>
          <w:szCs w:val="20"/>
          <w:color w:val="auto"/>
        </w:rPr>
        <w:tab/>
      </w:r>
      <w:r>
        <w:rPr>
          <w:rFonts w:ascii="Arial" w:cs="Arial" w:eastAsia="Arial" w:hAnsi="Arial"/>
          <w:sz w:val="19"/>
          <w:szCs w:val="19"/>
          <w:i w:val="1"/>
          <w:iCs w:val="1"/>
          <w:color w:val="auto"/>
        </w:rPr>
        <w:t>SVB LEERINK</w:t>
      </w:r>
    </w:p>
    <w:p>
      <w:pPr>
        <w:spacing w:after="0" w:line="200" w:lineRule="exact"/>
        <w:rPr>
          <w:sz w:val="20"/>
          <w:szCs w:val="20"/>
          <w:color w:val="auto"/>
        </w:rPr>
      </w:pPr>
    </w:p>
    <w:p>
      <w:pPr>
        <w:spacing w:after="0" w:line="303"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167005</wp:posOffset>
            </wp:positionV>
            <wp:extent cx="1534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92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38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2040" w:type="dxa"/>
            <w:vAlign w:val="bottom"/>
            <w:gridSpan w:val="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1880" w:type="dxa"/>
            <w:vAlign w:val="bottom"/>
            <w:gridSpan w:val="7"/>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10</w:t>
              </w:r>
            </w:hyperlink>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3920" w:type="dxa"/>
            <w:vAlign w:val="bottom"/>
            <w:gridSpan w:val="15"/>
          </w:tcPr>
          <w:p>
            <w:pPr>
              <w:spacing w:after="0" w:line="196"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CAUTIONARY NOTE REGARDING FORWARD-</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LOOKING STATEMENTS AND INDUSTRY</w:t>
              </w:r>
            </w:hyperlink>
          </w:p>
        </w:tc>
        <w:tc>
          <w:tcPr>
            <w:tcW w:w="2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3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DATA</w:t>
              </w:r>
            </w:hyperlink>
          </w:p>
        </w:tc>
        <w:tc>
          <w:tcPr>
            <w:tcW w:w="440" w:type="dxa"/>
            <w:vAlign w:val="bottom"/>
            <w:gridSpan w:val="5"/>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66</w:t>
              </w:r>
            </w:hyperlink>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540" w:type="dxa"/>
            <w:vAlign w:val="bottom"/>
            <w:gridSpan w:val="7"/>
          </w:tcPr>
          <w:p>
            <w:pPr>
              <w:spacing w:after="0" w:line="196" w:lineRule="exact"/>
              <w:rPr>
                <w:rFonts w:ascii="Arial" w:cs="Arial" w:eastAsia="Arial" w:hAnsi="Arial"/>
                <w:sz w:val="18"/>
                <w:szCs w:val="18"/>
                <w:color w:val="0000EE"/>
                <w:w w:val="86"/>
              </w:rPr>
            </w:pPr>
            <w:hyperlink w:anchor="page72">
              <w:r>
                <w:rPr>
                  <w:rFonts w:ascii="Arial" w:cs="Arial" w:eastAsia="Arial" w:hAnsi="Arial"/>
                  <w:sz w:val="18"/>
                  <w:szCs w:val="18"/>
                  <w:color w:val="0000EE"/>
                  <w:w w:val="86"/>
                </w:rPr>
                <w:t>USE OF PROCEEDS</w:t>
              </w:r>
            </w:hyperlink>
          </w:p>
        </w:tc>
        <w:tc>
          <w:tcPr>
            <w:tcW w:w="238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68</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540" w:type="dxa"/>
            <w:vAlign w:val="bottom"/>
            <w:gridSpan w:val="7"/>
          </w:tcPr>
          <w:p>
            <w:pPr>
              <w:spacing w:after="0" w:line="196" w:lineRule="exact"/>
              <w:rPr>
                <w:rFonts w:ascii="Arial" w:cs="Arial" w:eastAsia="Arial" w:hAnsi="Arial"/>
                <w:sz w:val="18"/>
                <w:szCs w:val="18"/>
                <w:color w:val="0000EE"/>
                <w:w w:val="95"/>
              </w:rPr>
            </w:pPr>
            <w:hyperlink w:anchor="page74">
              <w:r>
                <w:rPr>
                  <w:rFonts w:ascii="Arial" w:cs="Arial" w:eastAsia="Arial" w:hAnsi="Arial"/>
                  <w:sz w:val="18"/>
                  <w:szCs w:val="18"/>
                  <w:color w:val="0000EE"/>
                  <w:w w:val="95"/>
                </w:rPr>
                <w:t>DIVIDEND POLICY</w:t>
              </w:r>
            </w:hyperlink>
          </w:p>
        </w:tc>
        <w:tc>
          <w:tcPr>
            <w:tcW w:w="238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70</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540" w:type="dxa"/>
            <w:vAlign w:val="bottom"/>
            <w:gridSpan w:val="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CAPITALIZATION</w:t>
              </w:r>
            </w:hyperlink>
          </w:p>
        </w:tc>
        <w:tc>
          <w:tcPr>
            <w:tcW w:w="238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w w:val="95"/>
              </w:rPr>
            </w:pPr>
            <w:hyperlink w:anchor="page77">
              <w:r>
                <w:rPr>
                  <w:rFonts w:ascii="Arial" w:cs="Arial" w:eastAsia="Arial" w:hAnsi="Arial"/>
                  <w:sz w:val="18"/>
                  <w:szCs w:val="18"/>
                  <w:color w:val="0000EE"/>
                  <w:w w:val="95"/>
                </w:rPr>
                <w:t>DILUTION</w:t>
              </w:r>
            </w:hyperlink>
          </w:p>
        </w:tc>
        <w:tc>
          <w:tcPr>
            <w:tcW w:w="580" w:type="dxa"/>
            <w:vAlign w:val="bottom"/>
            <w:gridSpan w:val="3"/>
          </w:tcPr>
          <w:p>
            <w:pPr>
              <w:spacing w:after="0"/>
              <w:rPr>
                <w:sz w:val="17"/>
                <w:szCs w:val="17"/>
                <w:color w:val="auto"/>
              </w:rPr>
            </w:pPr>
          </w:p>
        </w:tc>
        <w:tc>
          <w:tcPr>
            <w:tcW w:w="2500" w:type="dxa"/>
            <w:vAlign w:val="bottom"/>
            <w:gridSpan w:val="9"/>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73</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3760" w:type="dxa"/>
            <w:vAlign w:val="bottom"/>
            <w:gridSpan w:val="13"/>
          </w:tcPr>
          <w:p>
            <w:pPr>
              <w:spacing w:after="0" w:line="196" w:lineRule="exact"/>
              <w:rPr>
                <w:rFonts w:ascii="Arial" w:cs="Arial" w:eastAsia="Arial" w:hAnsi="Arial"/>
                <w:sz w:val="18"/>
                <w:szCs w:val="18"/>
                <w:color w:val="0000EE"/>
                <w:w w:val="94"/>
              </w:rPr>
            </w:pPr>
            <w:hyperlink w:anchor="page80">
              <w:r>
                <w:rPr>
                  <w:rFonts w:ascii="Arial" w:cs="Arial" w:eastAsia="Arial" w:hAnsi="Arial"/>
                  <w:sz w:val="18"/>
                  <w:szCs w:val="18"/>
                  <w:color w:val="0000EE"/>
                  <w:w w:val="94"/>
                </w:rPr>
                <w:t>SELECTED CONSOLIDATED FINANCIAL DATA</w:t>
              </w:r>
            </w:hyperlink>
          </w:p>
        </w:tc>
        <w:tc>
          <w:tcPr>
            <w:tcW w:w="160" w:type="dxa"/>
            <w:vAlign w:val="bottom"/>
            <w:gridSpan w:val="2"/>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76</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3920" w:type="dxa"/>
            <w:vAlign w:val="bottom"/>
            <w:gridSpan w:val="15"/>
          </w:tcPr>
          <w:p>
            <w:pPr>
              <w:spacing w:after="0" w:line="196" w:lineRule="exact"/>
              <w:rPr>
                <w:rFonts w:ascii="Arial" w:cs="Arial" w:eastAsia="Arial" w:hAnsi="Arial"/>
                <w:sz w:val="18"/>
                <w:szCs w:val="18"/>
                <w:color w:val="0000EE"/>
                <w:w w:val="98"/>
              </w:rPr>
            </w:pPr>
            <w:hyperlink w:anchor="page81">
              <w:r>
                <w:rPr>
                  <w:rFonts w:ascii="Arial" w:cs="Arial" w:eastAsia="Arial" w:hAnsi="Arial"/>
                  <w:sz w:val="18"/>
                  <w:szCs w:val="18"/>
                  <w:color w:val="0000EE"/>
                  <w:w w:val="98"/>
                </w:rPr>
                <w:t>MANAGEMENT'S DISCUSSION AND ANALYSIS</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4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OF FINANCIAL CONDITION AND RESULTS</w:t>
              </w:r>
            </w:hyperlink>
          </w:p>
        </w:tc>
        <w:tc>
          <w:tcPr>
            <w:tcW w:w="160" w:type="dxa"/>
            <w:vAlign w:val="bottom"/>
            <w:tcBorders>
              <w:top w:val="single" w:sz="8" w:color="0000EE"/>
            </w:tcBorders>
            <w:gridSpan w:val="3"/>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360" w:type="dxa"/>
            <w:vAlign w:val="bottom"/>
            <w:gridSpan w:val="6"/>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OF OPERATIONS</w:t>
              </w:r>
            </w:hyperlink>
          </w:p>
        </w:tc>
        <w:tc>
          <w:tcPr>
            <w:tcW w:w="238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77</w:t>
              </w:r>
            </w:hyperlink>
          </w:p>
        </w:tc>
      </w:tr>
      <w:tr>
        <w:trPr>
          <w:trHeight w:val="20"/>
        </w:trPr>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w w:val="87"/>
              </w:rPr>
            </w:pPr>
            <w:hyperlink w:anchor="page95">
              <w:r>
                <w:rPr>
                  <w:rFonts w:ascii="Arial" w:cs="Arial" w:eastAsia="Arial" w:hAnsi="Arial"/>
                  <w:sz w:val="18"/>
                  <w:szCs w:val="18"/>
                  <w:color w:val="0000EE"/>
                  <w:w w:val="87"/>
                </w:rPr>
                <w:t>BUSINESS</w:t>
              </w:r>
            </w:hyperlink>
          </w:p>
        </w:tc>
        <w:tc>
          <w:tcPr>
            <w:tcW w:w="3080" w:type="dxa"/>
            <w:vAlign w:val="bottom"/>
            <w:gridSpan w:val="12"/>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91</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155">
              <w:r>
                <w:rPr>
                  <w:rFonts w:ascii="Arial" w:cs="Arial" w:eastAsia="Arial" w:hAnsi="Arial"/>
                  <w:sz w:val="18"/>
                  <w:szCs w:val="18"/>
                  <w:color w:val="0000EE"/>
                  <w:w w:val="97"/>
                </w:rPr>
                <w:t>MANAGEMENT</w:t>
              </w:r>
            </w:hyperlink>
          </w:p>
        </w:tc>
        <w:tc>
          <w:tcPr>
            <w:tcW w:w="264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155">
              <w:r>
                <w:rPr>
                  <w:rFonts w:ascii="Arial" w:cs="Arial" w:eastAsia="Arial" w:hAnsi="Arial"/>
                  <w:sz w:val="18"/>
                  <w:szCs w:val="18"/>
                  <w:color w:val="0000EE"/>
                  <w:w w:val="86"/>
                </w:rPr>
                <w:t>151</w:t>
              </w:r>
            </w:hyperlink>
          </w:p>
        </w:tc>
      </w:tr>
      <w:tr>
        <w:trPr>
          <w:trHeight w:val="196"/>
        </w:trPr>
        <w:tc>
          <w:tcPr>
            <w:tcW w:w="240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161">
              <w:r>
                <w:rPr>
                  <w:rFonts w:ascii="Arial" w:cs="Arial" w:eastAsia="Arial" w:hAnsi="Arial"/>
                  <w:sz w:val="18"/>
                  <w:szCs w:val="18"/>
                  <w:color w:val="0000EE"/>
                  <w:w w:val="94"/>
                </w:rPr>
                <w:t>EXECUTIVE COMPENSATION</w:t>
              </w:r>
            </w:hyperlink>
          </w:p>
        </w:tc>
        <w:tc>
          <w:tcPr>
            <w:tcW w:w="15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161">
              <w:r>
                <w:rPr>
                  <w:rFonts w:ascii="Arial" w:cs="Arial" w:eastAsia="Arial" w:hAnsi="Arial"/>
                  <w:sz w:val="18"/>
                  <w:szCs w:val="18"/>
                  <w:color w:val="0000EE"/>
                  <w:w w:val="86"/>
                </w:rPr>
                <w:t>157</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154305</wp:posOffset>
            </wp:positionV>
            <wp:extent cx="1534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176">
              <w:r>
                <w:rPr>
                  <w:rFonts w:ascii="Arial" w:cs="Arial" w:eastAsia="Arial" w:hAnsi="Arial"/>
                  <w:sz w:val="18"/>
                  <w:szCs w:val="18"/>
                  <w:color w:val="0000EE"/>
                  <w:w w:val="92"/>
                </w:rPr>
                <w:t>TRANSACTIONS WITH RELATED PERSONS</w:t>
              </w:r>
            </w:hyperlink>
          </w:p>
        </w:tc>
        <w:tc>
          <w:tcPr>
            <w:tcW w:w="560" w:type="dxa"/>
            <w:vAlign w:val="bottom"/>
            <w:gridSpan w:val="3"/>
          </w:tcPr>
          <w:p>
            <w:pPr>
              <w:spacing w:after="0"/>
              <w:rPr>
                <w:sz w:val="17"/>
                <w:szCs w:val="17"/>
                <w:color w:val="auto"/>
              </w:rPr>
            </w:pPr>
          </w:p>
        </w:tc>
        <w:tc>
          <w:tcPr>
            <w:tcW w:w="240" w:type="dxa"/>
            <w:vAlign w:val="bottom"/>
            <w:tcBorders>
              <w:bottom w:val="single" w:sz="8" w:color="0000EE"/>
            </w:tcBorders>
          </w:tcPr>
          <w:p>
            <w:pPr>
              <w:jc w:val="right"/>
              <w:spacing w:after="0"/>
              <w:rPr>
                <w:rFonts w:ascii="Arial" w:cs="Arial" w:eastAsia="Arial" w:hAnsi="Arial"/>
                <w:sz w:val="18"/>
                <w:szCs w:val="18"/>
                <w:color w:val="0000EE"/>
                <w:w w:val="73"/>
              </w:rPr>
            </w:pPr>
            <w:hyperlink w:anchor="page176">
              <w:r>
                <w:rPr>
                  <w:rFonts w:ascii="Arial" w:cs="Arial" w:eastAsia="Arial" w:hAnsi="Arial"/>
                  <w:sz w:val="18"/>
                  <w:szCs w:val="18"/>
                  <w:color w:val="0000EE"/>
                  <w:w w:val="73"/>
                </w:rPr>
                <w:t>172</w:t>
              </w:r>
            </w:hyperlink>
          </w:p>
        </w:tc>
      </w:tr>
      <w:tr>
        <w:trPr>
          <w:trHeight w:val="196"/>
        </w:trPr>
        <w:tc>
          <w:tcPr>
            <w:tcW w:w="23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80">
              <w:r>
                <w:rPr>
                  <w:rFonts w:ascii="Arial" w:cs="Arial" w:eastAsia="Arial" w:hAnsi="Arial"/>
                  <w:sz w:val="18"/>
                  <w:szCs w:val="18"/>
                  <w:color w:val="0000EE"/>
                  <w:w w:val="92"/>
                </w:rPr>
                <w:t>PRINCIPAL STOCKHOLDERS</w:t>
              </w:r>
            </w:hyperlink>
          </w:p>
        </w:tc>
        <w:tc>
          <w:tcPr>
            <w:tcW w:w="1720" w:type="dxa"/>
            <w:vAlign w:val="bottom"/>
            <w:gridSpan w:val="9"/>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3"/>
              </w:rPr>
            </w:pPr>
            <w:hyperlink w:anchor="page180">
              <w:r>
                <w:rPr>
                  <w:rFonts w:ascii="Arial" w:cs="Arial" w:eastAsia="Arial" w:hAnsi="Arial"/>
                  <w:sz w:val="18"/>
                  <w:szCs w:val="18"/>
                  <w:color w:val="0000EE"/>
                  <w:w w:val="73"/>
                </w:rPr>
                <w:t>176</w:t>
              </w:r>
            </w:hyperlink>
          </w:p>
        </w:tc>
      </w:tr>
      <w:tr>
        <w:trPr>
          <w:trHeight w:val="196"/>
        </w:trPr>
        <w:tc>
          <w:tcPr>
            <w:tcW w:w="28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83">
              <w:r>
                <w:rPr>
                  <w:rFonts w:ascii="Arial" w:cs="Arial" w:eastAsia="Arial" w:hAnsi="Arial"/>
                  <w:sz w:val="18"/>
                  <w:szCs w:val="18"/>
                  <w:color w:val="0000EE"/>
                  <w:w w:val="92"/>
                </w:rPr>
                <w:t>DESCRIPTION OF CAPITAL STOCK</w:t>
              </w:r>
            </w:hyperlink>
          </w:p>
        </w:tc>
        <w:tc>
          <w:tcPr>
            <w:tcW w:w="1240" w:type="dxa"/>
            <w:vAlign w:val="bottom"/>
            <w:gridSpan w:val="8"/>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3"/>
              </w:rPr>
            </w:pPr>
            <w:hyperlink w:anchor="page183">
              <w:r>
                <w:rPr>
                  <w:rFonts w:ascii="Arial" w:cs="Arial" w:eastAsia="Arial" w:hAnsi="Arial"/>
                  <w:sz w:val="18"/>
                  <w:szCs w:val="18"/>
                  <w:color w:val="0000EE"/>
                  <w:w w:val="73"/>
                </w:rPr>
                <w:t>179</w:t>
              </w:r>
            </w:hyperlink>
          </w:p>
        </w:tc>
      </w:tr>
      <w:tr>
        <w:trPr>
          <w:trHeight w:val="196"/>
        </w:trPr>
        <w:tc>
          <w:tcPr>
            <w:tcW w:w="31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187">
              <w:r>
                <w:rPr>
                  <w:rFonts w:ascii="Arial" w:cs="Arial" w:eastAsia="Arial" w:hAnsi="Arial"/>
                  <w:sz w:val="18"/>
                  <w:szCs w:val="18"/>
                  <w:color w:val="0000EE"/>
                  <w:w w:val="93"/>
                </w:rPr>
                <w:t>SHARES ELIGIBLE FOR FUTURE SALE</w:t>
              </w:r>
            </w:hyperlink>
          </w:p>
        </w:tc>
        <w:tc>
          <w:tcPr>
            <w:tcW w:w="940" w:type="dxa"/>
            <w:vAlign w:val="bottom"/>
            <w:gridSpan w:val="6"/>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3"/>
              </w:rPr>
            </w:pPr>
            <w:hyperlink w:anchor="page187">
              <w:r>
                <w:rPr>
                  <w:rFonts w:ascii="Arial" w:cs="Arial" w:eastAsia="Arial" w:hAnsi="Arial"/>
                  <w:sz w:val="18"/>
                  <w:szCs w:val="18"/>
                  <w:color w:val="0000EE"/>
                  <w:w w:val="73"/>
                </w:rPr>
                <w:t>183</w:t>
              </w:r>
            </w:hyperlink>
          </w:p>
        </w:tc>
      </w:tr>
      <w:tr>
        <w:trPr>
          <w:trHeight w:val="196"/>
        </w:trPr>
        <w:tc>
          <w:tcPr>
            <w:tcW w:w="324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89">
              <w:r>
                <w:rPr>
                  <w:rFonts w:ascii="Arial" w:cs="Arial" w:eastAsia="Arial" w:hAnsi="Arial"/>
                  <w:sz w:val="18"/>
                  <w:szCs w:val="18"/>
                  <w:color w:val="0000EE"/>
                  <w:w w:val="95"/>
                </w:rPr>
                <w:t>MATERIAL U.S. FEDERAL INCOME AND</w:t>
              </w:r>
            </w:hyperlink>
          </w:p>
        </w:tc>
        <w:tc>
          <w:tcPr>
            <w:tcW w:w="8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860" w:type="dxa"/>
            <w:vAlign w:val="bottom"/>
            <w:gridSpan w:val="14"/>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ESTATE TAX CONSIDERATIONS FOR NON-</w:t>
              </w:r>
            </w:hyperlink>
          </w:p>
        </w:tc>
        <w:tc>
          <w:tcPr>
            <w:tcW w:w="2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4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U.S. HOLDERS OF COMMON STOCK</w:t>
              </w:r>
            </w:hyperlink>
          </w:p>
        </w:tc>
        <w:tc>
          <w:tcPr>
            <w:tcW w:w="440" w:type="dxa"/>
            <w:vAlign w:val="bottom"/>
            <w:gridSpan w:val="2"/>
          </w:tcPr>
          <w:p>
            <w:pPr>
              <w:spacing w:after="0"/>
              <w:rPr>
                <w:sz w:val="17"/>
                <w:szCs w:val="17"/>
                <w:color w:val="auto"/>
              </w:rPr>
            </w:pPr>
          </w:p>
        </w:tc>
        <w:tc>
          <w:tcPr>
            <w:tcW w:w="240" w:type="dxa"/>
            <w:vAlign w:val="bottom"/>
          </w:tcPr>
          <w:p>
            <w:pPr>
              <w:jc w:val="right"/>
              <w:spacing w:after="0" w:line="196" w:lineRule="exact"/>
              <w:rPr>
                <w:rFonts w:ascii="Arial" w:cs="Arial" w:eastAsia="Arial" w:hAnsi="Arial"/>
                <w:sz w:val="18"/>
                <w:szCs w:val="18"/>
                <w:color w:val="0000EE"/>
                <w:w w:val="73"/>
              </w:rPr>
            </w:pPr>
            <w:hyperlink w:anchor="page189">
              <w:r>
                <w:rPr>
                  <w:rFonts w:ascii="Arial" w:cs="Arial" w:eastAsia="Arial" w:hAnsi="Arial"/>
                  <w:sz w:val="18"/>
                  <w:szCs w:val="18"/>
                  <w:color w:val="0000EE"/>
                  <w:w w:val="73"/>
                </w:rPr>
                <w:t>185</w:t>
              </w:r>
            </w:hyperlink>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4040" w:type="dxa"/>
            <w:vAlign w:val="bottom"/>
            <w:gridSpan w:val="15"/>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UNDERWRITERS</w:t>
              </w:r>
            </w:hyperlink>
          </w:p>
        </w:tc>
        <w:tc>
          <w:tcPr>
            <w:tcW w:w="240" w:type="dxa"/>
            <w:vAlign w:val="bottom"/>
          </w:tcPr>
          <w:p>
            <w:pPr>
              <w:jc w:val="right"/>
              <w:spacing w:after="0" w:line="196" w:lineRule="exact"/>
              <w:rPr>
                <w:rFonts w:ascii="Arial" w:cs="Arial" w:eastAsia="Arial" w:hAnsi="Arial"/>
                <w:sz w:val="18"/>
                <w:szCs w:val="18"/>
                <w:color w:val="0000EE"/>
                <w:w w:val="73"/>
              </w:rPr>
            </w:pPr>
            <w:hyperlink w:anchor="page193">
              <w:r>
                <w:rPr>
                  <w:rFonts w:ascii="Arial" w:cs="Arial" w:eastAsia="Arial" w:hAnsi="Arial"/>
                  <w:sz w:val="18"/>
                  <w:szCs w:val="18"/>
                  <w:color w:val="0000EE"/>
                  <w:w w:val="73"/>
                </w:rPr>
                <w:t>189</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142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203">
              <w:r>
                <w:rPr>
                  <w:rFonts w:ascii="Arial" w:cs="Arial" w:eastAsia="Arial" w:hAnsi="Arial"/>
                  <w:sz w:val="18"/>
                  <w:szCs w:val="18"/>
                  <w:color w:val="0000EE"/>
                  <w:w w:val="93"/>
                </w:rPr>
                <w:t>LEGAL MATTERS</w:t>
              </w:r>
            </w:hyperlink>
          </w:p>
        </w:tc>
        <w:tc>
          <w:tcPr>
            <w:tcW w:w="2620" w:type="dxa"/>
            <w:vAlign w:val="bottom"/>
            <w:gridSpan w:val="10"/>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3"/>
              </w:rPr>
            </w:pPr>
            <w:hyperlink w:anchor="page203">
              <w:r>
                <w:rPr>
                  <w:rFonts w:ascii="Arial" w:cs="Arial" w:eastAsia="Arial" w:hAnsi="Arial"/>
                  <w:sz w:val="18"/>
                  <w:szCs w:val="18"/>
                  <w:color w:val="0000EE"/>
                  <w:w w:val="73"/>
                </w:rPr>
                <w:t>199</w:t>
              </w:r>
            </w:hyperlink>
          </w:p>
        </w:tc>
      </w:tr>
      <w:tr>
        <w:trPr>
          <w:trHeight w:val="196"/>
        </w:trPr>
        <w:tc>
          <w:tcPr>
            <w:tcW w:w="4040" w:type="dxa"/>
            <w:vAlign w:val="bottom"/>
            <w:gridSpan w:val="15"/>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EXPERTS</w:t>
              </w:r>
            </w:hyperlink>
          </w:p>
        </w:tc>
        <w:tc>
          <w:tcPr>
            <w:tcW w:w="240" w:type="dxa"/>
            <w:vAlign w:val="bottom"/>
          </w:tcPr>
          <w:p>
            <w:pPr>
              <w:jc w:val="right"/>
              <w:spacing w:after="0" w:line="196" w:lineRule="exact"/>
              <w:rPr>
                <w:rFonts w:ascii="Arial" w:cs="Arial" w:eastAsia="Arial" w:hAnsi="Arial"/>
                <w:sz w:val="18"/>
                <w:szCs w:val="18"/>
                <w:color w:val="0000EE"/>
                <w:w w:val="73"/>
              </w:rPr>
            </w:pPr>
            <w:hyperlink w:anchor="page203">
              <w:r>
                <w:rPr>
                  <w:rFonts w:ascii="Arial" w:cs="Arial" w:eastAsia="Arial" w:hAnsi="Arial"/>
                  <w:sz w:val="18"/>
                  <w:szCs w:val="18"/>
                  <w:color w:val="0000EE"/>
                  <w:w w:val="73"/>
                </w:rPr>
                <w:t>199</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372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203">
              <w:r>
                <w:rPr>
                  <w:rFonts w:ascii="Arial" w:cs="Arial" w:eastAsia="Arial" w:hAnsi="Arial"/>
                  <w:sz w:val="18"/>
                  <w:szCs w:val="18"/>
                  <w:color w:val="0000EE"/>
                  <w:w w:val="94"/>
                </w:rPr>
                <w:t>WHERE YOU CAN FIND MORE INFORMATION</w:t>
              </w:r>
            </w:hyperlink>
          </w:p>
        </w:tc>
        <w:tc>
          <w:tcPr>
            <w:tcW w:w="32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3"/>
              </w:rPr>
            </w:pPr>
            <w:hyperlink w:anchor="page203">
              <w:r>
                <w:rPr>
                  <w:rFonts w:ascii="Arial" w:cs="Arial" w:eastAsia="Arial" w:hAnsi="Arial"/>
                  <w:sz w:val="18"/>
                  <w:szCs w:val="18"/>
                  <w:color w:val="0000EE"/>
                  <w:w w:val="73"/>
                </w:rPr>
                <w:t>199</w:t>
              </w:r>
            </w:hyperlink>
          </w:p>
        </w:tc>
      </w:tr>
      <w:tr>
        <w:trPr>
          <w:trHeight w:val="196"/>
        </w:trPr>
        <w:tc>
          <w:tcPr>
            <w:tcW w:w="4040" w:type="dxa"/>
            <w:vAlign w:val="bottom"/>
            <w:gridSpan w:val="15"/>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INDEX TO CONSOLIDATED FINANCIAL</w:t>
              </w:r>
            </w:hyperlink>
          </w:p>
        </w:tc>
        <w:tc>
          <w:tcPr>
            <w:tcW w:w="24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STATEMENTS</w:t>
              </w:r>
            </w:hyperlink>
          </w:p>
        </w:tc>
        <w:tc>
          <w:tcPr>
            <w:tcW w:w="860" w:type="dxa"/>
            <w:vAlign w:val="bottom"/>
            <w:gridSpan w:val="5"/>
          </w:tcPr>
          <w:p>
            <w:pPr>
              <w:spacing w:after="0"/>
              <w:rPr>
                <w:sz w:val="17"/>
                <w:szCs w:val="17"/>
                <w:color w:val="auto"/>
              </w:rPr>
            </w:pPr>
          </w:p>
        </w:tc>
        <w:tc>
          <w:tcPr>
            <w:tcW w:w="240" w:type="dxa"/>
            <w:vAlign w:val="bottom"/>
          </w:tcPr>
          <w:p>
            <w:pPr>
              <w:jc w:val="right"/>
              <w:spacing w:after="0" w:line="196" w:lineRule="exact"/>
              <w:rPr>
                <w:rFonts w:ascii="Arial" w:cs="Arial" w:eastAsia="Arial" w:hAnsi="Arial"/>
                <w:sz w:val="18"/>
                <w:szCs w:val="18"/>
                <w:color w:val="0000EE"/>
                <w:w w:val="81"/>
              </w:rPr>
            </w:pPr>
            <w:hyperlink w:anchor="page204">
              <w:r>
                <w:rPr>
                  <w:rFonts w:ascii="Arial" w:cs="Arial" w:eastAsia="Arial" w:hAnsi="Arial"/>
                  <w:sz w:val="18"/>
                  <w:szCs w:val="18"/>
                  <w:color w:val="0000EE"/>
                  <w:w w:val="81"/>
                </w:rPr>
                <w:t>F-1</w:t>
              </w:r>
            </w:hyperlink>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bl>
    <w:p>
      <w:pPr>
        <w:spacing w:after="0" w:line="848" w:lineRule="exact"/>
        <w:rPr>
          <w:sz w:val="20"/>
          <w:szCs w:val="20"/>
          <w:color w:val="auto"/>
        </w:rPr>
      </w:pPr>
    </w:p>
    <w:p>
      <w:pPr>
        <w:sectPr>
          <w:pgSz w:w="11900" w:h="16838" w:orient="portrait"/>
          <w:cols w:equalWidth="0" w:num="2">
            <w:col w:w="5880" w:space="720"/>
            <w:col w:w="4820"/>
          </w:cols>
          <w:pgMar w:left="240" w:top="131" w:right="23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jc w:val="both"/>
        <w:ind w:firstLine="365"/>
        <w:spacing w:after="0" w:line="291" w:lineRule="auto"/>
        <w:rPr>
          <w:sz w:val="20"/>
          <w:szCs w:val="20"/>
          <w:color w:val="auto"/>
        </w:rPr>
      </w:pPr>
      <w:r>
        <w:rPr>
          <w:rFonts w:ascii="Arial" w:cs="Arial" w:eastAsia="Arial" w:hAnsi="Arial"/>
          <w:sz w:val="16"/>
          <w:szCs w:val="16"/>
          <w:color w:val="auto"/>
        </w:rPr>
        <w:t>Neither we nor the underwriters have authorized anyone to provide you with any information other than that contained in this prospectus, any amendment or supplement to this prospectus or in any free writing prospectus we may authorize to be delivered or made available to you. We and the underwriters take no responsibility for, and can provide no assurance as to the reliability of, any other information that others may give you.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any sale of shares of our common stock. Our business, financial condition, results of operations and prospects may have changed since that date.</w:t>
      </w:r>
    </w:p>
    <w:p>
      <w:pPr>
        <w:spacing w:after="0" w:line="174" w:lineRule="exact"/>
        <w:rPr>
          <w:sz w:val="20"/>
          <w:szCs w:val="20"/>
          <w:color w:val="auto"/>
        </w:rPr>
      </w:pPr>
    </w:p>
    <w:p>
      <w:pPr>
        <w:jc w:val="both"/>
        <w:ind w:firstLine="550"/>
        <w:spacing w:after="0" w:line="256"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97" w:lineRule="exact"/>
        <w:rPr>
          <w:sz w:val="20"/>
          <w:szCs w:val="20"/>
          <w:color w:val="auto"/>
        </w:rPr>
      </w:pPr>
    </w:p>
    <w:p>
      <w:pPr>
        <w:jc w:val="both"/>
        <w:ind w:right="20" w:firstLine="438"/>
        <w:spacing w:after="0" w:line="268" w:lineRule="auto"/>
        <w:rPr>
          <w:sz w:val="20"/>
          <w:szCs w:val="20"/>
          <w:color w:val="auto"/>
        </w:rPr>
      </w:pPr>
      <w:r>
        <w:rPr>
          <w:rFonts w:ascii="Arial" w:cs="Arial" w:eastAsia="Arial" w:hAnsi="Arial"/>
          <w:sz w:val="18"/>
          <w:szCs w:val="18"/>
          <w:color w:val="auto"/>
        </w:rPr>
        <w:t>Trademarks, service marks and trade names appearing in this prospectus are the property of their respective owners. Solely for convenience, some of the trademarks, service marks and trade names referred to in this prospectus are listed without the ® and ™ symbols.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6753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753225"/>
                    </a:xfrm>
                    <a:prstGeom prst="rect">
                      <a:avLst/>
                    </a:prstGeom>
                    <a:noFill/>
                  </pic:spPr>
                </pic:pic>
              </a:graphicData>
            </a:graphic>
          </wp:anchor>
        </w:drawing>
      </w: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in the sections titled "Risk Factors" and "Management's Discussion and Analysis of Financial Condition and Results of Operations." Unless the context otherwise requires, we use the terms "company," "we," "us" and "our" in this prospectus to refer to Fulcrum Therapeutics,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452"/>
        <w:spacing w:after="0" w:line="290" w:lineRule="auto"/>
        <w:rPr>
          <w:sz w:val="20"/>
          <w:szCs w:val="20"/>
          <w:color w:val="auto"/>
        </w:rPr>
      </w:pPr>
      <w:r>
        <w:rPr>
          <w:rFonts w:ascii="Arial" w:cs="Arial" w:eastAsia="Arial" w:hAnsi="Arial"/>
          <w:sz w:val="16"/>
          <w:szCs w:val="16"/>
          <w:color w:val="auto"/>
        </w:rPr>
        <w:t>We are a biopharmaceutical company focused on improving the lives of patients with genetically defined diseases in areas of high unmet medical need, with an initial focus on rare diseases. We have developed a proprietary product engine that we employ to systematically identify and validate cellular drug targets that can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b-thalassemia. We expect to initiate a Phase 2b clinical trial of losmapimod, our product candidate for FSHD, in mid-2019. We plan to submit an investigational new drug application, or IND, for FTX-HbF, our product candidate for certain hemoglobinopathies, in mid-2020.</w:t>
      </w:r>
    </w:p>
    <w:p>
      <w:pPr>
        <w:spacing w:after="0" w:line="172" w:lineRule="exact"/>
        <w:rPr>
          <w:sz w:val="20"/>
          <w:szCs w:val="20"/>
          <w:color w:val="auto"/>
        </w:rPr>
      </w:pPr>
    </w:p>
    <w:p>
      <w:pPr>
        <w:jc w:val="both"/>
        <w:ind w:firstLine="431"/>
        <w:spacing w:after="0" w:line="255" w:lineRule="auto"/>
        <w:rPr>
          <w:sz w:val="20"/>
          <w:szCs w:val="20"/>
          <w:color w:val="auto"/>
        </w:rPr>
      </w:pPr>
      <w:r>
        <w:rPr>
          <w:rFonts w:ascii="Arial" w:cs="Arial" w:eastAsia="Arial" w:hAnsi="Arial"/>
          <w:sz w:val="18"/>
          <w:szCs w:val="18"/>
          <w:color w:val="auto"/>
        </w:rPr>
        <w:t>We are using our proprietary product engine to identify and validate drug targets and develop product candidates to address diseases caused by the mis-expression of certain genes. Our product engine integrates patient-derived tissue-relevant cell models and drug target screens with our pharmacologically-diverse small molecule compound library and customized CRISPR libraries. We also employ computational biology and FulcrumSeek, our proprietary relational database, to guide target selection and to generate hypotheses on other targets that might be relevant along a gene regulatory pathway.</w:t>
      </w:r>
    </w:p>
    <w:p>
      <w:pPr>
        <w:spacing w:after="0" w:line="19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Our first product candidate, losmapimod, is a small molecule that we are developing for the treatment of FSHD, a rare, progressive and disabling muscle wasting disorder that leads to significant physical impairments and disability. Losmapimod selectively targets p38a/b mitogen activated protein kinase, or p38a/b. We utilized our product engine to discover that inhibition of p38a/b reduced 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in muscle cells derived from patients with FSHD. The mis-expression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is the known root cause of FSHD. There are no approved therapies for FSHD, one of the most common forms of muscular dystrophy, with an estimated patient population of 16,000 to 38,000 in the United States.</w:t>
      </w:r>
    </w:p>
    <w:p>
      <w:pPr>
        <w:spacing w:after="0" w:line="170"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6"/>
          <w:szCs w:val="16"/>
          <w:color w:val="auto"/>
        </w:rPr>
        <w:t xml:space="preserve">Following our discovery of the role of p38a/b inhibitors in the reduction of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we performed an extensive review of known compounds. As a result of our evaluation, we identified losmapimod as the preferred developmental candidate based on the substantial and attractive preclinical and clinical data. We in-licensed losmapimod from affiliates of GlaxoSmithKline, or GSK, in February 2019. GSK had previously treated over 3,500 subjects with losmapimod across multiple clinical trials, including one Phase 3 clinical trial. GSK did not conduct a clinical trial of losmapimod in patients with FSHD or any other muscle disorder. We have conducted extensive preclinical testing of losmapimod in patient-derived tissue-relevant cell models and have observed that losmapimod selectively reduced DUX4-driven gene expression and restored a healthy gene expression signature with minimal impact on healthy human muscle cells or other cell types.</w:t>
      </w:r>
    </w:p>
    <w:p>
      <w:pPr>
        <w:spacing w:after="0" w:line="172" w:lineRule="exact"/>
        <w:rPr>
          <w:sz w:val="20"/>
          <w:szCs w:val="20"/>
          <w:color w:val="auto"/>
        </w:rPr>
      </w:pPr>
    </w:p>
    <w:p>
      <w:pPr>
        <w:jc w:val="both"/>
        <w:ind w:firstLine="406"/>
        <w:spacing w:after="0" w:line="256" w:lineRule="auto"/>
        <w:rPr>
          <w:sz w:val="20"/>
          <w:szCs w:val="20"/>
          <w:color w:val="auto"/>
        </w:rPr>
      </w:pPr>
      <w:r>
        <w:rPr>
          <w:rFonts w:ascii="Arial" w:cs="Arial" w:eastAsia="Arial" w:hAnsi="Arial"/>
          <w:sz w:val="18"/>
          <w:szCs w:val="18"/>
          <w:color w:val="auto"/>
        </w:rPr>
        <w:t>We plan to conduct a randomized, double-blind placebo-controlled Phase 2b clinical trial to investigate whether treatment with losmapimod reduces DUX4-driven gene expression in affected skeletal muscle. In this Phase 2b clinical trial, we will also evaluate the safety and tolerability of losmapimod. We plan to concurrently conduct an open label Phase 2 clinical trial to investigate the safety and tolerability of chronic treatment with losmapimod in patients with FSHD. In this open label trial, we will also evaluate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480" w:top="1009" w:right="4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5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695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color w:val="auto"/>
        </w:rPr>
        <w:t>the ability of losmapimod to reduce DUX4-driven gene expression in affected skeletal muscle over varying treatment durations. We expect to initiate the Phase 2b clinical trial at multiple sites in the United States and Europe and the open label Phase 2 clinical trial in Europe in mid-2019. We are completing a Phase 1 clinical trial in healthy volunteers and patients with FSHD.</w:t>
      </w:r>
    </w:p>
    <w:p>
      <w:pPr>
        <w:spacing w:after="0" w:line="194" w:lineRule="exact"/>
        <w:rPr>
          <w:sz w:val="20"/>
          <w:szCs w:val="20"/>
          <w:color w:val="auto"/>
        </w:rPr>
      </w:pPr>
    </w:p>
    <w:p>
      <w:pPr>
        <w:jc w:val="both"/>
        <w:ind w:left="240" w:firstLine="388"/>
        <w:spacing w:after="0" w:line="253" w:lineRule="auto"/>
        <w:rPr>
          <w:sz w:val="20"/>
          <w:szCs w:val="20"/>
          <w:color w:val="auto"/>
        </w:rPr>
      </w:pPr>
      <w:r>
        <w:rPr>
          <w:rFonts w:ascii="Arial" w:cs="Arial" w:eastAsia="Arial" w:hAnsi="Arial"/>
          <w:sz w:val="18"/>
          <w:szCs w:val="18"/>
          <w:color w:val="auto"/>
        </w:rPr>
        <w:t>We are additionally conducting several preparatory studies to assess biomarker endpoints and clinical outcome assessments and are participating in a natural history study following 150 subjects with FSHD in the United States and 70 subjects in Europe over 18 months. We expect to utilize the data generated from our preparatory studies and the natural history study to inform future clinical trial designs and discussions with regulatory agencies. We believe that the safety data from GSK's prior losmapimod clinical trials, together with safety and efficacy data generated from our Phase 1 and Phase 2 clinical trials, may enable us to apply for accelerated approval of losmapimod for the treatment of FSHD. We plan to discuss accelerated approval with regulatory agencies if we observe positive results in our Phase 2b clinical trial based on biomarker endpoints that we believe are likely to predict clinical benefit.</w:t>
      </w:r>
    </w:p>
    <w:p>
      <w:pPr>
        <w:spacing w:after="0" w:line="201" w:lineRule="exact"/>
        <w:rPr>
          <w:sz w:val="20"/>
          <w:szCs w:val="20"/>
          <w:color w:val="auto"/>
        </w:rPr>
      </w:pPr>
    </w:p>
    <w:p>
      <w:pPr>
        <w:jc w:val="both"/>
        <w:ind w:left="240" w:firstLine="395"/>
        <w:spacing w:after="0" w:line="298" w:lineRule="auto"/>
        <w:rPr>
          <w:sz w:val="20"/>
          <w:szCs w:val="20"/>
          <w:color w:val="auto"/>
        </w:rPr>
      </w:pPr>
      <w:r>
        <w:rPr>
          <w:rFonts w:ascii="Arial" w:cs="Arial" w:eastAsia="Arial" w:hAnsi="Arial"/>
          <w:sz w:val="16"/>
          <w:szCs w:val="16"/>
          <w:color w:val="auto"/>
        </w:rPr>
        <w:t xml:space="preserve">Our second product candidate, FTX-HbF, is a small molecule designed to upregulate fetal hemoglobin in patients with SCD and b-thalassemia. SCD is a genetic blood disorder caused by a mutation in the b-subunit gene, or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This mutation results in the formation of abnormal hemoglobin, which causes red blood cells, or RBCs, to change from a round shape into a sickle shape that significantly impairs their function. b-thalassemia is a rare blood disorder caused by various genetic mutations in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that can significantly impair the production of RBCs.</w:t>
      </w:r>
    </w:p>
    <w:p>
      <w:pPr>
        <w:spacing w:after="0" w:line="167" w:lineRule="exact"/>
        <w:rPr>
          <w:sz w:val="20"/>
          <w:szCs w:val="20"/>
          <w:color w:val="auto"/>
        </w:rPr>
      </w:pPr>
    </w:p>
    <w:p>
      <w:pPr>
        <w:jc w:val="both"/>
        <w:ind w:left="240" w:firstLine="368"/>
        <w:spacing w:after="0" w:line="294" w:lineRule="auto"/>
        <w:rPr>
          <w:sz w:val="20"/>
          <w:szCs w:val="20"/>
          <w:color w:val="auto"/>
        </w:rPr>
      </w:pPr>
      <w:r>
        <w:rPr>
          <w:rFonts w:ascii="Arial" w:cs="Arial" w:eastAsia="Arial" w:hAnsi="Arial"/>
          <w:sz w:val="16"/>
          <w:szCs w:val="16"/>
          <w:color w:val="auto"/>
        </w:rPr>
        <w:t xml:space="preserve">We designed FTX-HbF to compensate for the root cause of these hemoglobinopathies by inducing the expression of the two g-globin genes, </w:t>
      </w:r>
      <w:r>
        <w:rPr>
          <w:rFonts w:ascii="Arial" w:cs="Arial" w:eastAsia="Arial" w:hAnsi="Arial"/>
          <w:sz w:val="16"/>
          <w:szCs w:val="16"/>
          <w:i w:val="1"/>
          <w:iCs w:val="1"/>
          <w:color w:val="auto"/>
        </w:rPr>
        <w:t>HBG1/2</w:t>
      </w:r>
      <w:r>
        <w:rPr>
          <w:rFonts w:ascii="Arial" w:cs="Arial" w:eastAsia="Arial" w:hAnsi="Arial"/>
          <w:sz w:val="16"/>
          <w:szCs w:val="16"/>
          <w:color w:val="auto"/>
        </w:rPr>
        <w:t xml:space="preserve">, whose expression is normally silenced shortly after birth.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encode for g-globin, a component of fetal hemoglobin, which is known to compensate for the presence of abnormal hemoglobin in SCD and b-thalassemia. We have observed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activation of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in preclinical studies with FTX-HbF. We have also observed that FTX-HbF demonstrated robust levels of fetal hemoglobin elevation with no adverse effect on important cellular health markers. We have initiated IND-enabling studies and plan to submit an IND for FTX-HbF in mid-2020.</w:t>
      </w:r>
    </w:p>
    <w:p>
      <w:pPr>
        <w:spacing w:after="0" w:line="170" w:lineRule="exact"/>
        <w:rPr>
          <w:sz w:val="20"/>
          <w:szCs w:val="20"/>
          <w:color w:val="auto"/>
        </w:rPr>
      </w:pPr>
    </w:p>
    <w:p>
      <w:pPr>
        <w:jc w:val="both"/>
        <w:ind w:left="240" w:firstLine="394"/>
        <w:spacing w:after="0" w:line="253" w:lineRule="auto"/>
        <w:rPr>
          <w:sz w:val="20"/>
          <w:szCs w:val="20"/>
          <w:color w:val="auto"/>
        </w:rPr>
      </w:pPr>
      <w:r>
        <w:rPr>
          <w:rFonts w:ascii="Arial" w:cs="Arial" w:eastAsia="Arial" w:hAnsi="Arial"/>
          <w:sz w:val="18"/>
          <w:szCs w:val="18"/>
          <w:color w:val="auto"/>
        </w:rPr>
        <w:t>According to the National Institutes of Health, or NIH, there are approximately 7,000 rare, genetically defined human diseases, many of which have inadequate or no approved treatments. We plan to utilize our product engine to complete four new drug target identification screens in 2019 in Duchenne muscular dystrophy, Friedreich ataxia, myotonic dystrophy 1 and a-synucleinopathies. We also expect to complete an additional six screens in 2020. Our current drug target identification and development efforts are focused on rare neuromuscular disorders, hemoglobinopathies and central nervous system, or CNS, diseases. We also anticipate utilizing our product engine to discover drug targets for genetically defined diseases in other therapeutic areas. In addition to drug targets that we prioritize for internal development, we may identify other drug targets that we would consider for development through partnerships.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482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748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designed our proprietary product engine with potential application across a broad array of genetically defined diseases with a known root cause.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chart summarizes key information about our lead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chart summarizes key information about our discovery stage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ind w:left="240" w:firstLine="468"/>
        <w:spacing w:after="0" w:line="298" w:lineRule="auto"/>
        <w:rPr>
          <w:sz w:val="20"/>
          <w:szCs w:val="20"/>
          <w:color w:val="auto"/>
        </w:rPr>
      </w:pPr>
      <w:r>
        <w:rPr>
          <w:rFonts w:ascii="Arial" w:cs="Arial" w:eastAsia="Arial" w:hAnsi="Arial"/>
          <w:sz w:val="16"/>
          <w:szCs w:val="16"/>
          <w:color w:val="auto"/>
        </w:rPr>
        <w:t>We are leveraging the broad applicability of our proprietary product engine to discover and develop small molecule therapies that modulate gene expression to address the known root cause of genetically defined diseases in areas of high unmet medical need, with an initial focus on rare diseases. We believe that our initial product candidates for the treatment of FSHD, SCD and b-thalassemia may have the potential to treat patients with these debilitating and, in some cases, life-threatening illnesses. The key components of our strategy include:</w:t>
      </w:r>
    </w:p>
    <w:p>
      <w:pPr>
        <w:spacing w:after="0" w:line="194" w:lineRule="exact"/>
        <w:rPr>
          <w:sz w:val="20"/>
          <w:szCs w:val="20"/>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Rapidly develop losmapimod for the treatment of FSHD.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FTX-HbF into clinical development.</w:t>
      </w:r>
    </w:p>
    <w:p>
      <w:pPr>
        <w:spacing w:after="0" w:line="238"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apply our proprietary product engine to grow our portfolio of product candidates for the treatment of genetically defined diseases.</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Further expand our product engine capabilities.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Maximize the commercial potential of our product candidates.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Selectively enter into strategic partnerships to maximize the value of our product engine and pipeline.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Associated with Our Business</w:t>
      </w:r>
    </w:p>
    <w:p>
      <w:pPr>
        <w:spacing w:after="0" w:line="231" w:lineRule="exact"/>
        <w:rPr>
          <w:sz w:val="20"/>
          <w:szCs w:val="20"/>
          <w:color w:val="auto"/>
        </w:rPr>
      </w:pPr>
    </w:p>
    <w:p>
      <w:pPr>
        <w:ind w:left="240" w:firstLine="354"/>
        <w:spacing w:after="0" w:line="268"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These risks are discussed more fully in the "Risk Factors" section of this prospectus. These risks include, but are not limited to, the following:</w:t>
      </w:r>
    </w:p>
    <w:p>
      <w:pPr>
        <w:spacing w:after="0" w:line="213" w:lineRule="exact"/>
        <w:rPr>
          <w:sz w:val="20"/>
          <w:szCs w:val="20"/>
          <w:color w:val="auto"/>
        </w:rPr>
      </w:pPr>
    </w:p>
    <w:p>
      <w:pPr>
        <w:ind w:left="1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the next several years and may never achieve or maintain profitability. As of December 31, 2018, we had an accumulated deficit of $68.1 million.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48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648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capital when needed, we could be forced to delay, reduce or eliminate our product development programs or commercialization efforts.</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limited operating history may make it difficult for you to evaluate the success of our business to date and to assess our future viability.</w:t>
      </w:r>
    </w:p>
    <w:p>
      <w:pPr>
        <w:spacing w:after="0" w:line="261" w:lineRule="exact"/>
        <w:rPr>
          <w:rFonts w:ascii="Arial" w:cs="Arial" w:eastAsia="Arial" w:hAnsi="Arial"/>
          <w:sz w:val="16"/>
          <w:szCs w:val="16"/>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identified conditions and events that raise substantial doubt about our ability to continue as a going concern.</w:t>
      </w:r>
    </w:p>
    <w:p>
      <w:pPr>
        <w:spacing w:after="0" w:line="252" w:lineRule="exact"/>
        <w:rPr>
          <w:rFonts w:ascii="Arial" w:cs="Arial" w:eastAsia="Arial" w:hAnsi="Arial"/>
          <w:sz w:val="18"/>
          <w:szCs w:val="18"/>
          <w:color w:val="auto"/>
        </w:rPr>
      </w:pPr>
    </w:p>
    <w:p>
      <w:pPr>
        <w:jc w:val="both"/>
        <w:ind w:left="132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early in our development efforts, and we only have one product candidate in a clinical trial. Our other product candidate is in IND-enabling studies. If we are unable to commercialize our product candidates or experience significant delays in doing so, our business will be materially harmed.</w:t>
      </w:r>
    </w:p>
    <w:p>
      <w:pPr>
        <w:spacing w:after="0" w:line="207"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successful in our efforts to use our product engine to build a pipeline of product candidates.</w:t>
      </w:r>
    </w:p>
    <w:p>
      <w:pPr>
        <w:spacing w:after="0" w:line="238" w:lineRule="exact"/>
        <w:rPr>
          <w:rFonts w:ascii="Arial" w:cs="Arial" w:eastAsia="Arial" w:hAnsi="Arial"/>
          <w:sz w:val="18"/>
          <w:szCs w:val="18"/>
          <w:color w:val="auto"/>
        </w:rPr>
      </w:pPr>
    </w:p>
    <w:p>
      <w:pPr>
        <w:jc w:val="both"/>
        <w:ind w:left="132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221" w:lineRule="exact"/>
        <w:rPr>
          <w:rFonts w:ascii="Arial" w:cs="Arial" w:eastAsia="Arial" w:hAnsi="Arial"/>
          <w:sz w:val="18"/>
          <w:szCs w:val="18"/>
          <w:color w:val="auto"/>
        </w:rPr>
      </w:pPr>
    </w:p>
    <w:p>
      <w:pPr>
        <w:jc w:val="both"/>
        <w:ind w:left="132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207"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199"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212" w:lineRule="exact"/>
        <w:rPr>
          <w:rFonts w:ascii="Arial" w:cs="Arial" w:eastAsia="Arial" w:hAnsi="Arial"/>
          <w:sz w:val="18"/>
          <w:szCs w:val="18"/>
          <w:color w:val="auto"/>
        </w:rPr>
      </w:pPr>
    </w:p>
    <w:p>
      <w:pPr>
        <w:jc w:val="both"/>
        <w:ind w:left="132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expect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207"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99" w:lineRule="exact"/>
        <w:rPr>
          <w:rFonts w:ascii="Arial" w:cs="Arial" w:eastAsia="Arial" w:hAnsi="Arial"/>
          <w:sz w:val="18"/>
          <w:szCs w:val="18"/>
          <w:color w:val="auto"/>
        </w:rPr>
      </w:pPr>
    </w:p>
    <w:p>
      <w:pPr>
        <w:jc w:val="both"/>
        <w:ind w:left="1320" w:hanging="538"/>
        <w:spacing w:after="0" w:line="298"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 We do not own or in-license any patented intellectual property related to our product engine.</w:t>
      </w:r>
    </w:p>
    <w:p>
      <w:pPr>
        <w:spacing w:after="0" w:line="193" w:lineRule="exact"/>
        <w:rPr>
          <w:rFonts w:ascii="Arial" w:cs="Arial" w:eastAsia="Arial" w:hAnsi="Arial"/>
          <w:sz w:val="16"/>
          <w:szCs w:val="16"/>
          <w:color w:val="auto"/>
        </w:rPr>
      </w:pPr>
    </w:p>
    <w:p>
      <w:pPr>
        <w:jc w:val="both"/>
        <w:ind w:left="132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114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11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Corporate Information</w:t>
      </w:r>
    </w:p>
    <w:p>
      <w:pPr>
        <w:spacing w:after="0" w:line="231" w:lineRule="exact"/>
        <w:rPr>
          <w:sz w:val="20"/>
          <w:szCs w:val="20"/>
          <w:color w:val="auto"/>
        </w:rPr>
      </w:pPr>
    </w:p>
    <w:p>
      <w:pPr>
        <w:jc w:val="both"/>
        <w:ind w:left="240" w:firstLine="362"/>
        <w:spacing w:after="0" w:line="256" w:lineRule="auto"/>
        <w:rPr>
          <w:sz w:val="20"/>
          <w:szCs w:val="20"/>
          <w:color w:val="auto"/>
        </w:rPr>
      </w:pPr>
      <w:r>
        <w:rPr>
          <w:rFonts w:ascii="Arial" w:cs="Arial" w:eastAsia="Arial" w:hAnsi="Arial"/>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jc w:val="both"/>
        <w:ind w:left="240" w:firstLine="469"/>
        <w:spacing w:after="0" w:line="289" w:lineRule="auto"/>
        <w:rPr>
          <w:sz w:val="20"/>
          <w:szCs w:val="20"/>
          <w:color w:val="auto"/>
        </w:rPr>
      </w:pPr>
      <w:r>
        <w:rPr>
          <w:rFonts w:ascii="Arial" w:cs="Arial" w:eastAsia="Arial" w:hAnsi="Arial"/>
          <w:sz w:val="16"/>
          <w:szCs w:val="16"/>
          <w:color w:val="auto"/>
        </w:rPr>
        <w:t>As a company with less than $1.07 billion in revenue during our last fiscal year, we qualify as an "emerging growth company" as defined in the Jumpstart Our Business Startups Act of 2012, or the JOBS Act, and we may remain an emerging growth company for up to five years or until such earlier time as we have more than $1.07 billion in annual revenue, the market value of our stock held by non-affiliates is more than $700 million or we issue more than $1 billion of non-convertible debt over a three-year period. For so long as we remain an emerging growth company, we are permitted and intend to rely on exemptions from certain disclosure and other requirements that are applicable to public companies that are not emerging growth companies.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8022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802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120" w:type="dxa"/>
            <w:vAlign w:val="bottom"/>
          </w:tcPr>
          <w:p>
            <w:pPr>
              <w:ind w:left="860"/>
              <w:spacing w:after="0"/>
              <w:rPr>
                <w:sz w:val="20"/>
                <w:szCs w:val="20"/>
                <w:color w:val="auto"/>
              </w:rPr>
            </w:pPr>
            <w:r>
              <w:rPr>
                <w:rFonts w:ascii="Arial" w:cs="Arial" w:eastAsia="Arial" w:hAnsi="Arial"/>
                <w:sz w:val="18"/>
                <w:szCs w:val="18"/>
                <w:b w:val="1"/>
                <w:bCs w:val="1"/>
                <w:color w:val="auto"/>
              </w:rPr>
              <w:t>THE OFFERING</w:t>
            </w: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w w:val="94"/>
              </w:rPr>
              <w:t>Common stock</w:t>
            </w:r>
          </w:p>
        </w:tc>
        <w:tc>
          <w:tcPr>
            <w:tcW w:w="1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2"/>
        </w:trPr>
        <w:tc>
          <w:tcPr>
            <w:tcW w:w="1160" w:type="dxa"/>
            <w:vAlign w:val="bottom"/>
          </w:tcPr>
          <w:p>
            <w:pPr>
              <w:ind w:left="180"/>
              <w:spacing w:after="0"/>
              <w:rPr>
                <w:sz w:val="20"/>
                <w:szCs w:val="20"/>
                <w:color w:val="auto"/>
              </w:rPr>
            </w:pPr>
            <w:r>
              <w:rPr>
                <w:rFonts w:ascii="Arial" w:cs="Arial" w:eastAsia="Arial" w:hAnsi="Arial"/>
                <w:sz w:val="18"/>
                <w:szCs w:val="18"/>
                <w:color w:val="auto"/>
              </w:rPr>
              <w:t>offered</w:t>
            </w:r>
          </w:p>
        </w:tc>
        <w:tc>
          <w:tcPr>
            <w:tcW w:w="1660" w:type="dxa"/>
            <w:vAlign w:val="bottom"/>
          </w:tcPr>
          <w:p>
            <w:pPr>
              <w:ind w:left="600"/>
              <w:spacing w:after="0"/>
              <w:rPr>
                <w:sz w:val="20"/>
                <w:szCs w:val="20"/>
                <w:color w:val="auto"/>
              </w:rPr>
            </w:pPr>
            <w:r>
              <w:rPr>
                <w:rFonts w:ascii="Arial" w:cs="Arial" w:eastAsia="Arial" w:hAnsi="Arial"/>
                <w:sz w:val="18"/>
                <w:szCs w:val="18"/>
                <w:color w:val="auto"/>
              </w:rPr>
              <w:t>shares</w:t>
            </w:r>
          </w:p>
        </w:tc>
        <w:tc>
          <w:tcPr>
            <w:tcW w:w="3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w w:val="94"/>
              </w:rPr>
              <w:t>Common stock</w:t>
            </w:r>
          </w:p>
        </w:tc>
        <w:tc>
          <w:tcPr>
            <w:tcW w:w="1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to be</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w w:val="99"/>
              </w:rPr>
              <w:t>immediately</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following</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1160" w:type="dxa"/>
            <w:vAlign w:val="bottom"/>
          </w:tcPr>
          <w:p>
            <w:pPr>
              <w:ind w:left="180"/>
              <w:spacing w:after="0"/>
              <w:rPr>
                <w:sz w:val="20"/>
                <w:szCs w:val="20"/>
                <w:color w:val="auto"/>
              </w:rPr>
            </w:pPr>
            <w:r>
              <w:rPr>
                <w:rFonts w:ascii="Arial" w:cs="Arial" w:eastAsia="Arial" w:hAnsi="Arial"/>
                <w:sz w:val="18"/>
                <w:szCs w:val="18"/>
                <w:color w:val="auto"/>
              </w:rPr>
              <w:t>this offering</w:t>
            </w:r>
          </w:p>
        </w:tc>
        <w:tc>
          <w:tcPr>
            <w:tcW w:w="1660" w:type="dxa"/>
            <w:vAlign w:val="bottom"/>
          </w:tcPr>
          <w:p>
            <w:pPr>
              <w:ind w:left="600"/>
              <w:spacing w:after="0"/>
              <w:rPr>
                <w:sz w:val="20"/>
                <w:szCs w:val="20"/>
                <w:color w:val="auto"/>
              </w:rPr>
            </w:pPr>
            <w:r>
              <w:rPr>
                <w:rFonts w:ascii="Arial" w:cs="Arial" w:eastAsia="Arial" w:hAnsi="Arial"/>
                <w:sz w:val="18"/>
                <w:szCs w:val="18"/>
                <w:color w:val="auto"/>
              </w:rPr>
              <w:t>shares</w:t>
            </w:r>
          </w:p>
        </w:tc>
        <w:tc>
          <w:tcPr>
            <w:tcW w:w="3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Option to</w:t>
            </w:r>
          </w:p>
        </w:tc>
        <w:tc>
          <w:tcPr>
            <w:tcW w:w="1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purchase</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additional</w:t>
            </w:r>
          </w:p>
        </w:tc>
        <w:tc>
          <w:tcPr>
            <w:tcW w:w="6500" w:type="dxa"/>
            <w:vAlign w:val="bottom"/>
            <w:gridSpan w:val="3"/>
          </w:tcPr>
          <w:p>
            <w:pPr>
              <w:ind w:left="80"/>
              <w:spacing w:after="0"/>
              <w:rPr>
                <w:sz w:val="20"/>
                <w:szCs w:val="20"/>
                <w:color w:val="auto"/>
              </w:rPr>
            </w:pPr>
            <w:r>
              <w:rPr>
                <w:rFonts w:ascii="Arial" w:cs="Arial" w:eastAsia="Arial" w:hAnsi="Arial"/>
                <w:sz w:val="18"/>
                <w:szCs w:val="18"/>
                <w:color w:val="auto"/>
                <w:w w:val="94"/>
              </w:rPr>
              <w:t>We have granted the underwriters an option for a period of 30 days to purchase up to</w:t>
            </w:r>
          </w:p>
        </w:tc>
        <w:tc>
          <w:tcPr>
            <w:tcW w:w="1080" w:type="dxa"/>
            <w:vAlign w:val="bottom"/>
          </w:tcPr>
          <w:p>
            <w:pPr>
              <w:jc w:val="right"/>
              <w:spacing w:after="0"/>
              <w:rPr>
                <w:sz w:val="20"/>
                <w:szCs w:val="20"/>
                <w:color w:val="auto"/>
              </w:rPr>
            </w:pPr>
            <w:r>
              <w:rPr>
                <w:rFonts w:ascii="Arial" w:cs="Arial" w:eastAsia="Arial" w:hAnsi="Arial"/>
                <w:sz w:val="18"/>
                <w:szCs w:val="18"/>
                <w:color w:val="auto"/>
              </w:rPr>
              <w:t>additional</w:t>
            </w:r>
          </w:p>
        </w:tc>
      </w:tr>
      <w:tr>
        <w:trPr>
          <w:trHeight w:val="222"/>
        </w:trPr>
        <w:tc>
          <w:tcPr>
            <w:tcW w:w="1160" w:type="dxa"/>
            <w:vAlign w:val="bottom"/>
          </w:tcPr>
          <w:p>
            <w:pPr>
              <w:ind w:left="180"/>
              <w:spacing w:after="0"/>
              <w:rPr>
                <w:sz w:val="20"/>
                <w:szCs w:val="20"/>
                <w:color w:val="auto"/>
              </w:rPr>
            </w:pPr>
            <w:r>
              <w:rPr>
                <w:rFonts w:ascii="Arial" w:cs="Arial" w:eastAsia="Arial" w:hAnsi="Arial"/>
                <w:sz w:val="18"/>
                <w:szCs w:val="18"/>
                <w:color w:val="auto"/>
              </w:rPr>
              <w:t>shares</w:t>
            </w:r>
          </w:p>
        </w:tc>
        <w:tc>
          <w:tcPr>
            <w:tcW w:w="4780" w:type="dxa"/>
            <w:vAlign w:val="bottom"/>
            <w:gridSpan w:val="2"/>
          </w:tcPr>
          <w:p>
            <w:pPr>
              <w:ind w:left="80"/>
              <w:spacing w:after="0"/>
              <w:rPr>
                <w:sz w:val="20"/>
                <w:szCs w:val="20"/>
                <w:color w:val="auto"/>
              </w:rPr>
            </w:pPr>
            <w:r>
              <w:rPr>
                <w:rFonts w:ascii="Arial" w:cs="Arial" w:eastAsia="Arial" w:hAnsi="Arial"/>
                <w:sz w:val="18"/>
                <w:szCs w:val="18"/>
                <w:color w:val="auto"/>
              </w:rPr>
              <w:t>shares of our common stock.</w:t>
            </w: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Use of</w:t>
            </w:r>
          </w:p>
        </w:tc>
        <w:tc>
          <w:tcPr>
            <w:tcW w:w="6500" w:type="dxa"/>
            <w:vAlign w:val="bottom"/>
            <w:gridSpan w:val="3"/>
          </w:tcPr>
          <w:p>
            <w:pPr>
              <w:ind w:left="80"/>
              <w:spacing w:after="0"/>
              <w:rPr>
                <w:sz w:val="20"/>
                <w:szCs w:val="20"/>
                <w:color w:val="auto"/>
              </w:rPr>
            </w:pPr>
            <w:r>
              <w:rPr>
                <w:rFonts w:ascii="Arial" w:cs="Arial" w:eastAsia="Arial" w:hAnsi="Arial"/>
                <w:sz w:val="18"/>
                <w:szCs w:val="18"/>
                <w:color w:val="auto"/>
              </w:rPr>
              <w:t>We estimate that the net proceeds from this offering will be approximately $</w:t>
            </w:r>
          </w:p>
        </w:tc>
        <w:tc>
          <w:tcPr>
            <w:tcW w:w="1080" w:type="dxa"/>
            <w:vAlign w:val="bottom"/>
          </w:tcPr>
          <w:p>
            <w:pPr>
              <w:jc w:val="right"/>
              <w:spacing w:after="0"/>
              <w:rPr>
                <w:sz w:val="20"/>
                <w:szCs w:val="20"/>
                <w:color w:val="auto"/>
              </w:rPr>
            </w:pPr>
            <w:r>
              <w:rPr>
                <w:rFonts w:ascii="Arial" w:cs="Arial" w:eastAsia="Arial" w:hAnsi="Arial"/>
                <w:sz w:val="18"/>
                <w:szCs w:val="18"/>
                <w:color w:val="auto"/>
              </w:rPr>
              <w:t>million (or</w:t>
            </w: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proceeds</w:t>
            </w:r>
          </w:p>
        </w:tc>
        <w:tc>
          <w:tcPr>
            <w:tcW w:w="166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5920" w:type="dxa"/>
            <w:vAlign w:val="bottom"/>
            <w:gridSpan w:val="3"/>
          </w:tcPr>
          <w:p>
            <w:pPr>
              <w:jc w:val="right"/>
              <w:spacing w:after="0"/>
              <w:rPr>
                <w:sz w:val="20"/>
                <w:szCs w:val="20"/>
                <w:color w:val="auto"/>
              </w:rPr>
            </w:pPr>
            <w:r>
              <w:rPr>
                <w:rFonts w:ascii="Arial" w:cs="Arial" w:eastAsia="Arial" w:hAnsi="Arial"/>
                <w:sz w:val="18"/>
                <w:szCs w:val="18"/>
                <w:color w:val="auto"/>
                <w:w w:val="94"/>
              </w:rPr>
              <w:t>million if the underwriters exercise their option to purchase additional shares in</w:t>
            </w:r>
          </w:p>
        </w:tc>
      </w:tr>
      <w:tr>
        <w:trPr>
          <w:trHeight w:val="216"/>
        </w:trPr>
        <w:tc>
          <w:tcPr>
            <w:tcW w:w="1160" w:type="dxa"/>
            <w:vAlign w:val="bottom"/>
          </w:tcPr>
          <w:p>
            <w:pPr>
              <w:spacing w:after="0"/>
              <w:rPr>
                <w:sz w:val="18"/>
                <w:szCs w:val="18"/>
                <w:color w:val="auto"/>
              </w:rPr>
            </w:pPr>
          </w:p>
        </w:tc>
        <w:tc>
          <w:tcPr>
            <w:tcW w:w="4780" w:type="dxa"/>
            <w:vAlign w:val="bottom"/>
            <w:gridSpan w:val="2"/>
          </w:tcPr>
          <w:p>
            <w:pPr>
              <w:ind w:left="80"/>
              <w:spacing w:after="0"/>
              <w:rPr>
                <w:sz w:val="20"/>
                <w:szCs w:val="20"/>
                <w:color w:val="auto"/>
              </w:rPr>
            </w:pPr>
            <w:r>
              <w:rPr>
                <w:rFonts w:ascii="Arial" w:cs="Arial" w:eastAsia="Arial" w:hAnsi="Arial"/>
                <w:sz w:val="18"/>
                <w:szCs w:val="18"/>
                <w:color w:val="auto"/>
              </w:rPr>
              <w:t>full), based on an assumed initial public offering price of $</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w w:val="91"/>
              </w:rPr>
              <w:t>per share, which is the midpoint of the</w:t>
            </w:r>
          </w:p>
        </w:tc>
      </w:tr>
      <w:tr>
        <w:trPr>
          <w:trHeight w:val="216"/>
        </w:trPr>
        <w:tc>
          <w:tcPr>
            <w:tcW w:w="1160" w:type="dxa"/>
            <w:vAlign w:val="bottom"/>
          </w:tcPr>
          <w:p>
            <w:pPr>
              <w:spacing w:after="0"/>
              <w:rPr>
                <w:sz w:val="18"/>
                <w:szCs w:val="18"/>
                <w:color w:val="auto"/>
              </w:rPr>
            </w:pPr>
          </w:p>
        </w:tc>
        <w:tc>
          <w:tcPr>
            <w:tcW w:w="7580" w:type="dxa"/>
            <w:vAlign w:val="bottom"/>
            <w:gridSpan w:val="4"/>
          </w:tcPr>
          <w:p>
            <w:pPr>
              <w:ind w:left="80"/>
              <w:spacing w:after="0"/>
              <w:rPr>
                <w:sz w:val="20"/>
                <w:szCs w:val="20"/>
                <w:color w:val="auto"/>
              </w:rPr>
            </w:pPr>
            <w:r>
              <w:rPr>
                <w:rFonts w:ascii="Arial" w:cs="Arial" w:eastAsia="Arial" w:hAnsi="Arial"/>
                <w:sz w:val="18"/>
                <w:szCs w:val="18"/>
                <w:color w:val="auto"/>
                <w:w w:val="87"/>
              </w:rPr>
              <w:t>price range set forth on the cover page of this prospectus, after deducting estimated underwriting discounts</w:t>
            </w:r>
          </w:p>
        </w:tc>
      </w:tr>
      <w:tr>
        <w:trPr>
          <w:trHeight w:val="222"/>
        </w:trPr>
        <w:tc>
          <w:tcPr>
            <w:tcW w:w="1160" w:type="dxa"/>
            <w:vAlign w:val="bottom"/>
          </w:tcPr>
          <w:p>
            <w:pPr>
              <w:spacing w:after="0"/>
              <w:rPr>
                <w:sz w:val="19"/>
                <w:szCs w:val="19"/>
                <w:color w:val="auto"/>
              </w:rPr>
            </w:pPr>
          </w:p>
        </w:tc>
        <w:tc>
          <w:tcPr>
            <w:tcW w:w="4780" w:type="dxa"/>
            <w:vAlign w:val="bottom"/>
            <w:gridSpan w:val="2"/>
          </w:tcPr>
          <w:p>
            <w:pPr>
              <w:ind w:left="80"/>
              <w:spacing w:after="0"/>
              <w:rPr>
                <w:sz w:val="20"/>
                <w:szCs w:val="20"/>
                <w:color w:val="auto"/>
              </w:rPr>
            </w:pPr>
            <w:r>
              <w:rPr>
                <w:rFonts w:ascii="Arial" w:cs="Arial" w:eastAsia="Arial" w:hAnsi="Arial"/>
                <w:sz w:val="18"/>
                <w:szCs w:val="18"/>
                <w:color w:val="auto"/>
                <w:w w:val="89"/>
              </w:rPr>
              <w:t>and commissions and estimated offering expenses payable by us.</w:t>
            </w: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4"/>
                <w:szCs w:val="24"/>
                <w:color w:val="auto"/>
              </w:rPr>
            </w:pPr>
          </w:p>
        </w:tc>
        <w:tc>
          <w:tcPr>
            <w:tcW w:w="7580" w:type="dxa"/>
            <w:vAlign w:val="bottom"/>
            <w:gridSpan w:val="4"/>
          </w:tcPr>
          <w:p>
            <w:pPr>
              <w:ind w:left="80"/>
              <w:spacing w:after="0"/>
              <w:rPr>
                <w:sz w:val="20"/>
                <w:szCs w:val="20"/>
                <w:color w:val="auto"/>
              </w:rPr>
            </w:pPr>
            <w:r>
              <w:rPr>
                <w:rFonts w:ascii="Arial" w:cs="Arial" w:eastAsia="Arial" w:hAnsi="Arial"/>
                <w:sz w:val="18"/>
                <w:szCs w:val="18"/>
                <w:color w:val="auto"/>
                <w:w w:val="88"/>
              </w:rPr>
              <w:t>We intend to use the net proceeds from this offering, together with our existing cash and cash equivalents,</w:t>
            </w:r>
          </w:p>
        </w:tc>
      </w:tr>
      <w:tr>
        <w:trPr>
          <w:trHeight w:val="216"/>
        </w:trPr>
        <w:tc>
          <w:tcPr>
            <w:tcW w:w="1160" w:type="dxa"/>
            <w:vAlign w:val="bottom"/>
          </w:tcPr>
          <w:p>
            <w:pPr>
              <w:spacing w:after="0"/>
              <w:rPr>
                <w:sz w:val="18"/>
                <w:szCs w:val="18"/>
                <w:color w:val="auto"/>
              </w:rPr>
            </w:pPr>
          </w:p>
        </w:tc>
        <w:tc>
          <w:tcPr>
            <w:tcW w:w="7580" w:type="dxa"/>
            <w:vAlign w:val="bottom"/>
            <w:gridSpan w:val="4"/>
          </w:tcPr>
          <w:p>
            <w:pPr>
              <w:ind w:left="80"/>
              <w:spacing w:after="0"/>
              <w:rPr>
                <w:sz w:val="20"/>
                <w:szCs w:val="20"/>
                <w:color w:val="auto"/>
              </w:rPr>
            </w:pPr>
            <w:r>
              <w:rPr>
                <w:rFonts w:ascii="Arial" w:cs="Arial" w:eastAsia="Arial" w:hAnsi="Arial"/>
                <w:sz w:val="18"/>
                <w:szCs w:val="18"/>
                <w:color w:val="auto"/>
                <w:w w:val="93"/>
              </w:rPr>
              <w:t>to advance losmapimod for FSHD, to advance our hemoglobinopathies program, to fund our ongoing</w:t>
            </w:r>
          </w:p>
        </w:tc>
      </w:tr>
      <w:tr>
        <w:trPr>
          <w:trHeight w:val="216"/>
        </w:trPr>
        <w:tc>
          <w:tcPr>
            <w:tcW w:w="1160" w:type="dxa"/>
            <w:vAlign w:val="bottom"/>
          </w:tcPr>
          <w:p>
            <w:pPr>
              <w:spacing w:after="0"/>
              <w:rPr>
                <w:sz w:val="18"/>
                <w:szCs w:val="18"/>
                <w:color w:val="auto"/>
              </w:rPr>
            </w:pPr>
          </w:p>
        </w:tc>
        <w:tc>
          <w:tcPr>
            <w:tcW w:w="7580" w:type="dxa"/>
            <w:vAlign w:val="bottom"/>
            <w:gridSpan w:val="4"/>
          </w:tcPr>
          <w:p>
            <w:pPr>
              <w:ind w:left="80"/>
              <w:spacing w:after="0"/>
              <w:rPr>
                <w:sz w:val="20"/>
                <w:szCs w:val="20"/>
                <w:color w:val="auto"/>
              </w:rPr>
            </w:pPr>
            <w:r>
              <w:rPr>
                <w:rFonts w:ascii="Arial" w:cs="Arial" w:eastAsia="Arial" w:hAnsi="Arial"/>
                <w:sz w:val="18"/>
                <w:szCs w:val="18"/>
                <w:color w:val="auto"/>
                <w:w w:val="90"/>
              </w:rPr>
              <w:t>product engine and discovery efforts and for working capital and other general corporate purposes. See</w:t>
            </w:r>
          </w:p>
        </w:tc>
      </w:tr>
      <w:tr>
        <w:trPr>
          <w:trHeight w:val="222"/>
        </w:trPr>
        <w:tc>
          <w:tcPr>
            <w:tcW w:w="1160" w:type="dxa"/>
            <w:vAlign w:val="bottom"/>
          </w:tcPr>
          <w:p>
            <w:pPr>
              <w:spacing w:after="0"/>
              <w:rPr>
                <w:sz w:val="19"/>
                <w:szCs w:val="19"/>
                <w:color w:val="auto"/>
              </w:rPr>
            </w:pPr>
          </w:p>
        </w:tc>
        <w:tc>
          <w:tcPr>
            <w:tcW w:w="1660" w:type="dxa"/>
            <w:vAlign w:val="bottom"/>
          </w:tcPr>
          <w:p>
            <w:pPr>
              <w:ind w:left="80"/>
              <w:spacing w:after="0"/>
              <w:rPr>
                <w:sz w:val="20"/>
                <w:szCs w:val="20"/>
                <w:color w:val="auto"/>
              </w:rPr>
            </w:pPr>
            <w:r>
              <w:rPr>
                <w:rFonts w:ascii="Arial" w:cs="Arial" w:eastAsia="Arial" w:hAnsi="Arial"/>
                <w:sz w:val="18"/>
                <w:szCs w:val="18"/>
                <w:color w:val="auto"/>
              </w:rPr>
              <w:t>"Use of Proceeds."</w:t>
            </w:r>
          </w:p>
        </w:tc>
        <w:tc>
          <w:tcPr>
            <w:tcW w:w="3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Risk factors</w:t>
            </w:r>
          </w:p>
        </w:tc>
        <w:tc>
          <w:tcPr>
            <w:tcW w:w="7580" w:type="dxa"/>
            <w:vAlign w:val="bottom"/>
            <w:gridSpan w:val="4"/>
          </w:tcPr>
          <w:p>
            <w:pPr>
              <w:ind w:left="80"/>
              <w:spacing w:after="0"/>
              <w:rPr>
                <w:sz w:val="20"/>
                <w:szCs w:val="20"/>
                <w:color w:val="auto"/>
              </w:rPr>
            </w:pPr>
            <w:r>
              <w:rPr>
                <w:rFonts w:ascii="Arial" w:cs="Arial" w:eastAsia="Arial" w:hAnsi="Arial"/>
                <w:sz w:val="18"/>
                <w:szCs w:val="18"/>
                <w:color w:val="auto"/>
                <w:w w:val="94"/>
              </w:rPr>
              <w:t>You should read the "Risk Factors" section of this prospectus for a discussion of factors to consider</w:t>
            </w:r>
          </w:p>
        </w:tc>
      </w:tr>
      <w:tr>
        <w:trPr>
          <w:trHeight w:val="222"/>
        </w:trPr>
        <w:tc>
          <w:tcPr>
            <w:tcW w:w="1160" w:type="dxa"/>
            <w:vAlign w:val="bottom"/>
          </w:tcPr>
          <w:p>
            <w:pPr>
              <w:spacing w:after="0"/>
              <w:rPr>
                <w:sz w:val="19"/>
                <w:szCs w:val="19"/>
                <w:color w:val="auto"/>
              </w:rPr>
            </w:pPr>
          </w:p>
        </w:tc>
        <w:tc>
          <w:tcPr>
            <w:tcW w:w="4780" w:type="dxa"/>
            <w:vAlign w:val="bottom"/>
            <w:gridSpan w:val="2"/>
          </w:tcPr>
          <w:p>
            <w:pPr>
              <w:ind w:left="80"/>
              <w:spacing w:after="0"/>
              <w:rPr>
                <w:sz w:val="20"/>
                <w:szCs w:val="20"/>
                <w:color w:val="auto"/>
              </w:rPr>
            </w:pPr>
            <w:r>
              <w:rPr>
                <w:rFonts w:ascii="Arial" w:cs="Arial" w:eastAsia="Arial" w:hAnsi="Arial"/>
                <w:sz w:val="18"/>
                <w:szCs w:val="18"/>
                <w:color w:val="auto"/>
                <w:w w:val="89"/>
              </w:rPr>
              <w:t>carefully before deciding to invest in shares of our common stock.</w:t>
            </w: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Proposed</w:t>
            </w:r>
          </w:p>
        </w:tc>
        <w:tc>
          <w:tcPr>
            <w:tcW w:w="1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Nasdaq</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Global</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Market</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1160" w:type="dxa"/>
            <w:vAlign w:val="bottom"/>
          </w:tcPr>
          <w:p>
            <w:pPr>
              <w:ind w:left="180"/>
              <w:spacing w:after="0"/>
              <w:rPr>
                <w:sz w:val="20"/>
                <w:szCs w:val="20"/>
                <w:color w:val="auto"/>
              </w:rPr>
            </w:pPr>
            <w:r>
              <w:rPr>
                <w:rFonts w:ascii="Arial" w:cs="Arial" w:eastAsia="Arial" w:hAnsi="Arial"/>
                <w:sz w:val="18"/>
                <w:szCs w:val="18"/>
                <w:color w:val="auto"/>
              </w:rPr>
              <w:t>symbol</w:t>
            </w:r>
          </w:p>
        </w:tc>
        <w:tc>
          <w:tcPr>
            <w:tcW w:w="1660" w:type="dxa"/>
            <w:vAlign w:val="bottom"/>
          </w:tcPr>
          <w:p>
            <w:pPr>
              <w:ind w:left="80"/>
              <w:spacing w:after="0"/>
              <w:rPr>
                <w:sz w:val="20"/>
                <w:szCs w:val="20"/>
                <w:color w:val="auto"/>
              </w:rPr>
            </w:pPr>
            <w:r>
              <w:rPr>
                <w:rFonts w:ascii="Arial" w:cs="Arial" w:eastAsia="Arial" w:hAnsi="Arial"/>
                <w:sz w:val="18"/>
                <w:szCs w:val="18"/>
                <w:color w:val="auto"/>
              </w:rPr>
              <w:t>"FULC"</w:t>
            </w:r>
          </w:p>
        </w:tc>
        <w:tc>
          <w:tcPr>
            <w:tcW w:w="3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10" w:lineRule="exact"/>
        <w:rPr>
          <w:sz w:val="20"/>
          <w:szCs w:val="20"/>
          <w:color w:val="auto"/>
        </w:rPr>
      </w:pPr>
    </w:p>
    <w:p>
      <w:pPr>
        <w:jc w:val="both"/>
        <w:ind w:left="240" w:firstLine="368"/>
        <w:spacing w:after="0" w:line="306" w:lineRule="auto"/>
        <w:rPr>
          <w:sz w:val="20"/>
          <w:szCs w:val="20"/>
          <w:color w:val="auto"/>
        </w:rPr>
      </w:pPr>
      <w:r>
        <w:rPr>
          <w:rFonts w:ascii="Arial" w:cs="Arial" w:eastAsia="Arial" w:hAnsi="Arial"/>
          <w:sz w:val="16"/>
          <w:szCs w:val="16"/>
          <w:color w:val="auto"/>
        </w:rPr>
        <w:t>The number of shares of our common stock to be outstanding after this offering is based on 19,235,125 shares of our common stock outstanding as of March 31, 2019, including 7,180,890 shares of unvested restricted stock subject to repurchase by us, and 112,500,000 shares of our common stock issuable upon the automatic conversion of all outstanding shares of our preferred stock upon the closing of this offering.</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252" w:lineRule="exact"/>
        <w:rPr>
          <w:sz w:val="20"/>
          <w:szCs w:val="20"/>
          <w:color w:val="auto"/>
        </w:rPr>
      </w:pPr>
    </w:p>
    <w:p>
      <w:pPr>
        <w:ind w:left="132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10,698,963 shares of common stock issuable upon exercise of stock options outstanding as of March 31, 2019 at a weighted average exercise price of $1.09 per share;</w:t>
      </w:r>
    </w:p>
    <w:p>
      <w:pPr>
        <w:spacing w:after="0" w:line="199"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2,565,912 shares of common stock reserved for future issuance under our 2016 Stock Incentive Plan, as amended, or the 2016 Plan, as of March 31, 2019; and</w:t>
      </w:r>
    </w:p>
    <w:p>
      <w:pPr>
        <w:spacing w:after="0" w:line="186" w:lineRule="exact"/>
        <w:rPr>
          <w:sz w:val="20"/>
          <w:szCs w:val="20"/>
          <w:color w:val="auto"/>
        </w:rPr>
      </w:pPr>
    </w:p>
    <w:p>
      <w:pPr>
        <w:jc w:val="both"/>
        <w:ind w:left="1320" w:hanging="539"/>
        <w:spacing w:after="0" w:line="256" w:lineRule="auto"/>
        <w:tabs>
          <w:tab w:leader="none" w:pos="1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 additional shares of our common stock that will become available for future issuance under our 2019 Stock Incentive Plan and our 2019 Employee Stock Purchase Plan, respectively, each of which will become effective immediately prior to the effectiveness of the registration statement of which this prospectus is a part, as well as any automatic increases in the number of shares of common stock reserved for future issuance under these plans.</w:t>
      </w:r>
    </w:p>
    <w:p>
      <w:pPr>
        <w:sectPr>
          <w:pgSz w:w="11900" w:h="16838" w:orient="portrait"/>
          <w:cols w:equalWidth="0" w:num="1">
            <w:col w:w="11180"/>
          </w:cols>
          <w:pgMar w:left="240" w:top="13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310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31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252" w:lineRule="exact"/>
        <w:rPr>
          <w:sz w:val="20"/>
          <w:szCs w:val="20"/>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w:t>
      </w:r>
    </w:p>
    <w:p>
      <w:pPr>
        <w:spacing w:after="0" w:line="238"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preferred stock into an aggregate of 112,500,000 shares of our common stock upon the closing of this offering; and</w:t>
      </w:r>
    </w:p>
    <w:p>
      <w:pPr>
        <w:spacing w:after="0" w:line="212"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filing and effectiveness of our restated certificate of incorporation and the adoption of our amended and restated bylaws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499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749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1" w:lineRule="exact"/>
        <w:rPr>
          <w:sz w:val="20"/>
          <w:szCs w:val="20"/>
          <w:color w:val="auto"/>
        </w:rPr>
      </w:pPr>
    </w:p>
    <w:p>
      <w:pPr>
        <w:jc w:val="both"/>
        <w:ind w:left="240" w:firstLine="569"/>
        <w:spacing w:after="0" w:line="294" w:lineRule="auto"/>
        <w:rPr>
          <w:sz w:val="20"/>
          <w:szCs w:val="20"/>
          <w:color w:val="auto"/>
        </w:rPr>
      </w:pPr>
      <w:r>
        <w:rPr>
          <w:rFonts w:ascii="Arial" w:cs="Arial" w:eastAsia="Arial" w:hAnsi="Arial"/>
          <w:sz w:val="16"/>
          <w:szCs w:val="16"/>
          <w:color w:val="auto"/>
        </w:rPr>
        <w:t>You should read the following summary consolidated financial data together with our consolidated financial statements and the related notes appearing at the end of this prospectus and the "Selected Consolidated Financial Data" and "Management's Discussion and Analysis of Financial Condition and Results of Operations" sections of this prospectus. We have derived the consolidated statement of operations data for the years ended December 31, 2017 and 2018 and the balance sheet data as of December 31, 2018 from our consolidated financial statements appearing at the end of this prospectus. Our historical results are not necessarily indicative of the results that may be expected in the future.</w:t>
      </w:r>
    </w:p>
    <w:p>
      <w:pPr>
        <w:spacing w:after="0" w:line="153"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6"/>
          </w:tcPr>
          <w:p>
            <w:pPr>
              <w:ind w:left="100"/>
              <w:spacing w:after="0" w:line="129" w:lineRule="exact"/>
              <w:rPr>
                <w:sz w:val="20"/>
                <w:szCs w:val="20"/>
                <w:color w:val="auto"/>
              </w:rPr>
            </w:pPr>
            <w:r>
              <w:rPr>
                <w:rFonts w:ascii="Arial" w:cs="Arial" w:eastAsia="Arial" w:hAnsi="Arial"/>
                <w:sz w:val="14"/>
                <w:szCs w:val="14"/>
                <w:b w:val="1"/>
                <w:bCs w:val="1"/>
                <w:color w:val="auto"/>
              </w:rPr>
              <w:t>(in thousands, except</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per share data)</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18,494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8"/>
                <w:szCs w:val="18"/>
                <w:color w:val="auto"/>
              </w:rPr>
              <w:t>4,499</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8,314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22,993</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(22,993)</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(33,498)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180"/>
              <w:spacing w:after="0"/>
              <w:rPr>
                <w:sz w:val="20"/>
                <w:szCs w:val="20"/>
                <w:color w:val="auto"/>
              </w:rPr>
            </w:pPr>
            <w:r>
              <w:rPr>
                <w:rFonts w:ascii="Arial" w:cs="Arial" w:eastAsia="Arial" w:hAnsi="Arial"/>
                <w:sz w:val="18"/>
                <w:szCs w:val="18"/>
                <w:color w:val="auto"/>
              </w:rPr>
              <w:t>Interest income, net</w:t>
            </w:r>
          </w:p>
        </w:tc>
        <w:tc>
          <w:tcPr>
            <w:tcW w:w="160" w:type="dxa"/>
            <w:vAlign w:val="bottom"/>
          </w:tcPr>
          <w:p>
            <w:pPr>
              <w:spacing w:after="0"/>
              <w:rPr>
                <w:sz w:val="18"/>
                <w:szCs w:val="18"/>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1"/>
              </w:rPr>
              <w:t>(22,964</w:t>
            </w:r>
          </w:p>
        </w:tc>
        <w:tc>
          <w:tcPr>
            <w:tcW w:w="18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(32,588</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Cumulative convertible preferred stock dividends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(2,407)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(6,559)</w:t>
            </w:r>
          </w:p>
        </w:tc>
        <w:tc>
          <w:tcPr>
            <w:tcW w:w="0" w:type="dxa"/>
            <w:vAlign w:val="bottom"/>
          </w:tcPr>
          <w:p>
            <w:pPr>
              <w:spacing w:after="0"/>
              <w:rPr>
                <w:sz w:val="1"/>
                <w:szCs w:val="1"/>
                <w:color w:val="auto"/>
              </w:rPr>
            </w:pPr>
          </w:p>
        </w:tc>
      </w:tr>
      <w:tr>
        <w:trPr>
          <w:trHeight w:val="210"/>
        </w:trPr>
        <w:tc>
          <w:tcPr>
            <w:tcW w:w="688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1"/>
              </w:rPr>
              <w:t>(25,371</w:t>
            </w:r>
          </w:p>
        </w:tc>
        <w:tc>
          <w:tcPr>
            <w:tcW w:w="18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(39,147</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80" w:type="dxa"/>
            <w:vAlign w:val="bottom"/>
            <w:gridSpan w:val="2"/>
            <w:shd w:val="clear" w:color="auto" w:fill="CCEEFF"/>
          </w:tcPr>
          <w:p>
            <w:pPr>
              <w:spacing w:after="0" w:line="237" w:lineRule="exact"/>
              <w:rPr>
                <w:sz w:val="20"/>
                <w:szCs w:val="20"/>
                <w:color w:val="auto"/>
              </w:rPr>
            </w:pPr>
            <w:r>
              <w:rPr>
                <w:rFonts w:ascii="Arial" w:cs="Arial" w:eastAsia="Arial" w:hAnsi="Arial"/>
                <w:sz w:val="17"/>
                <w:szCs w:val="17"/>
                <w:color w:val="auto"/>
              </w:rPr>
              <w:t>Net loss per share attributable to common stockholders, basic and diluted</w:t>
            </w:r>
            <w:r>
              <w:rPr>
                <w:rFonts w:ascii="Arial" w:cs="Arial" w:eastAsia="Arial" w:hAnsi="Arial"/>
                <w:sz w:val="27"/>
                <w:szCs w:val="27"/>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(5.09)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w w:val="89"/>
              </w:rPr>
              <w:t>Weighted average number of common shares used in net loss per share attributable to common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80" w:type="dxa"/>
            <w:vAlign w:val="bottom"/>
            <w:gridSpan w:val="2"/>
          </w:tcPr>
          <w:p>
            <w:pPr>
              <w:ind w:left="180"/>
              <w:spacing w:after="0" w:line="263" w:lineRule="exact"/>
              <w:rPr>
                <w:sz w:val="20"/>
                <w:szCs w:val="20"/>
                <w:color w:val="auto"/>
              </w:rPr>
            </w:pPr>
            <w:r>
              <w:rPr>
                <w:rFonts w:ascii="Arial" w:cs="Arial" w:eastAsia="Arial" w:hAnsi="Arial"/>
                <w:sz w:val="18"/>
                <w:szCs w:val="18"/>
                <w:color w:val="auto"/>
              </w:rPr>
              <w:t>stockholders, basic and diluted</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8"/>
                <w:szCs w:val="18"/>
                <w:color w:val="auto"/>
              </w:rPr>
              <w:t>4,980</w:t>
            </w:r>
          </w:p>
        </w:tc>
        <w:tc>
          <w:tcPr>
            <w:tcW w:w="16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8,799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80" w:type="dxa"/>
            <w:vAlign w:val="bottom"/>
            <w:gridSpan w:val="2"/>
            <w:shd w:val="clear" w:color="auto" w:fill="CCEEFF"/>
          </w:tcPr>
          <w:p>
            <w:pPr>
              <w:spacing w:after="0" w:line="237" w:lineRule="exact"/>
              <w:rPr>
                <w:sz w:val="20"/>
                <w:szCs w:val="20"/>
                <w:color w:val="auto"/>
              </w:rPr>
            </w:pPr>
            <w:r>
              <w:rPr>
                <w:rFonts w:ascii="Arial" w:cs="Arial" w:eastAsia="Arial" w:hAnsi="Arial"/>
                <w:sz w:val="17"/>
                <w:szCs w:val="17"/>
                <w:color w:val="auto"/>
              </w:rPr>
              <w:t>Pro forma net loss per share attributable to common stockholders, basic and diluted</w:t>
            </w:r>
            <w:r>
              <w:rPr>
                <w:rFonts w:ascii="Arial" w:cs="Arial" w:eastAsia="Arial" w:hAnsi="Arial"/>
                <w:sz w:val="27"/>
                <w:szCs w:val="27"/>
                <w:color w:val="auto"/>
                <w:vertAlign w:val="superscript"/>
              </w:rPr>
              <w:t>(1)</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w w:val="89"/>
              </w:rPr>
              <w:t>Pro forma weighted average number of common shares used in net loss per share attributable to</w:t>
            </w: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80" w:type="dxa"/>
            <w:vAlign w:val="bottom"/>
            <w:gridSpan w:val="2"/>
          </w:tcPr>
          <w:p>
            <w:pPr>
              <w:ind w:left="180"/>
              <w:spacing w:after="0" w:line="263" w:lineRule="exact"/>
              <w:rPr>
                <w:sz w:val="20"/>
                <w:szCs w:val="20"/>
                <w:color w:val="auto"/>
              </w:rPr>
            </w:pPr>
            <w:r>
              <w:rPr>
                <w:rFonts w:ascii="Arial" w:cs="Arial" w:eastAsia="Arial" w:hAnsi="Arial"/>
                <w:sz w:val="18"/>
                <w:szCs w:val="18"/>
                <w:color w:val="auto"/>
              </w:rPr>
              <w:t>common stockholders, basic and diluted</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76,655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900" w:type="dxa"/>
            <w:vAlign w:val="bottom"/>
            <w:tcBorders>
              <w:bottom w:val="single" w:sz="8" w:color="auto"/>
            </w:tcBorders>
          </w:tcPr>
          <w:p>
            <w:pPr>
              <w:spacing w:after="0"/>
              <w:rPr>
                <w:sz w:val="7"/>
                <w:szCs w:val="7"/>
                <w:color w:val="auto"/>
              </w:rPr>
            </w:pPr>
          </w:p>
        </w:tc>
        <w:tc>
          <w:tcPr>
            <w:tcW w:w="5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left="1880" w:hanging="544"/>
        <w:spacing w:after="0" w:line="259" w:lineRule="auto"/>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Note 12 to our consolidated financial statements appearing at the end of this prospectus for details on the calculation of basic and diluted net loss per share attributable to common stockholders and unaudited basic and diluted pro forma net loss per share attributable to common stockholders.</w:t>
      </w:r>
    </w:p>
    <w:p>
      <w:pPr>
        <w:spacing w:after="0" w:line="24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spacing w:after="0"/>
              <w:rPr>
                <w:sz w:val="20"/>
                <w:szCs w:val="20"/>
                <w:color w:val="auto"/>
              </w:rPr>
            </w:pPr>
            <w:r>
              <w:rPr>
                <w:rFonts w:ascii="Arial" w:cs="Arial" w:eastAsia="Arial" w:hAnsi="Arial"/>
                <w:sz w:val="14"/>
                <w:szCs w:val="14"/>
                <w:b w:val="1"/>
                <w:bCs w:val="1"/>
                <w:color w:val="auto"/>
              </w:rPr>
              <w:t>As of December 31, 2018</w:t>
            </w:r>
          </w:p>
        </w:tc>
      </w:tr>
      <w:tr>
        <w:trPr>
          <w:trHeight w:val="124"/>
        </w:trPr>
        <w:tc>
          <w:tcPr>
            <w:tcW w:w="90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8"/>
              </w:rPr>
              <w:t>Pro Forma</w:t>
            </w:r>
          </w:p>
        </w:tc>
        <w:tc>
          <w:tcPr>
            <w:tcW w:w="160" w:type="dxa"/>
            <w:vAlign w:val="bottom"/>
          </w:tcPr>
          <w:p>
            <w:pPr>
              <w:spacing w:after="0"/>
              <w:rPr>
                <w:sz w:val="10"/>
                <w:szCs w:val="10"/>
                <w:color w:val="auto"/>
              </w:rPr>
            </w:pPr>
          </w:p>
        </w:tc>
      </w:tr>
      <w:tr>
        <w:trPr>
          <w:trHeight w:val="193"/>
        </w:trPr>
        <w:tc>
          <w:tcPr>
            <w:tcW w:w="9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Actual</w:t>
            </w:r>
          </w:p>
        </w:tc>
        <w:tc>
          <w:tcPr>
            <w:tcW w:w="80" w:type="dxa"/>
            <w:vAlign w:val="bottom"/>
          </w:tcPr>
          <w:p>
            <w:pPr>
              <w:spacing w:after="0"/>
              <w:rPr>
                <w:sz w:val="16"/>
                <w:szCs w:val="16"/>
                <w:color w:val="auto"/>
              </w:rPr>
            </w:pPr>
          </w:p>
        </w:tc>
        <w:tc>
          <w:tcPr>
            <w:tcW w:w="1140" w:type="dxa"/>
            <w:vAlign w:val="bottom"/>
            <w:gridSpan w:val="2"/>
          </w:tcPr>
          <w:p>
            <w:pPr>
              <w:ind w:left="120"/>
              <w:spacing w:after="0" w:line="193" w:lineRule="exact"/>
              <w:rPr>
                <w:sz w:val="20"/>
                <w:szCs w:val="20"/>
                <w:color w:val="auto"/>
              </w:rPr>
            </w:pPr>
            <w:r>
              <w:rPr>
                <w:rFonts w:ascii="Arial" w:cs="Arial" w:eastAsia="Arial" w:hAnsi="Arial"/>
                <w:sz w:val="14"/>
                <w:szCs w:val="14"/>
                <w:b w:val="1"/>
                <w:bCs w:val="1"/>
                <w:color w:val="auto"/>
              </w:rPr>
              <w:t>Pro Forma</w:t>
            </w:r>
            <w:r>
              <w:rPr>
                <w:rFonts w:ascii="Arial" w:cs="Arial" w:eastAsia="Arial" w:hAnsi="Arial"/>
                <w:sz w:val="22"/>
                <w:szCs w:val="22"/>
                <w:b w:val="1"/>
                <w:bCs w:val="1"/>
                <w:color w:val="auto"/>
                <w:vertAlign w:val="superscript"/>
              </w:rPr>
              <w:t>(2)</w:t>
            </w:r>
          </w:p>
        </w:tc>
        <w:tc>
          <w:tcPr>
            <w:tcW w:w="1200" w:type="dxa"/>
            <w:vAlign w:val="bottom"/>
            <w:gridSpan w:val="2"/>
          </w:tcPr>
          <w:p>
            <w:pPr>
              <w:jc w:val="center"/>
              <w:ind w:right="160"/>
              <w:spacing w:after="0" w:line="193" w:lineRule="exact"/>
              <w:rPr>
                <w:sz w:val="20"/>
                <w:szCs w:val="20"/>
                <w:color w:val="auto"/>
              </w:rPr>
            </w:pPr>
            <w:r>
              <w:rPr>
                <w:rFonts w:ascii="Arial" w:cs="Arial" w:eastAsia="Arial" w:hAnsi="Arial"/>
                <w:sz w:val="14"/>
                <w:szCs w:val="14"/>
                <w:b w:val="1"/>
                <w:bCs w:val="1"/>
                <w:color w:val="auto"/>
                <w:w w:val="84"/>
              </w:rPr>
              <w:t>As Adjusted</w:t>
            </w:r>
            <w:r>
              <w:rPr>
                <w:rFonts w:ascii="Arial" w:cs="Arial" w:eastAsia="Arial" w:hAnsi="Arial"/>
                <w:sz w:val="22"/>
                <w:szCs w:val="22"/>
                <w:b w:val="1"/>
                <w:bCs w:val="1"/>
                <w:color w:val="auto"/>
                <w:w w:val="84"/>
                <w:vertAlign w:val="superscript"/>
              </w:rPr>
              <w:t>(3)</w:t>
            </w:r>
          </w:p>
        </w:tc>
      </w:tr>
      <w:tr>
        <w:trPr>
          <w:trHeight w:val="142"/>
        </w:trPr>
        <w:tc>
          <w:tcPr>
            <w:tcW w:w="9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   72,797</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5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69,866</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85,771</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139,670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(63,670)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02"/>
        </w:trPr>
        <w:tc>
          <w:tcPr>
            <w:tcW w:w="90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880" w:hanging="544"/>
        <w:spacing w:after="0"/>
        <w:tabs>
          <w:tab w:leader="none" w:pos="1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680"/>
        <w:spacing w:after="0"/>
        <w:rPr>
          <w:rFonts w:ascii="Arial" w:cs="Arial" w:eastAsia="Arial" w:hAnsi="Arial"/>
          <w:sz w:val="18"/>
          <w:szCs w:val="18"/>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28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2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80" w:hanging="544"/>
        <w:spacing w:after="0"/>
        <w:tabs>
          <w:tab w:leader="none" w:pos="1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pro forma balance sheet data give effect to the automatic conversion of all outstanding shares of our preferred stock into an</w:t>
      </w:r>
    </w:p>
    <w:p>
      <w:pPr>
        <w:spacing w:after="0" w:line="38" w:lineRule="exact"/>
        <w:rPr>
          <w:sz w:val="20"/>
          <w:szCs w:val="20"/>
          <w:color w:val="auto"/>
        </w:rPr>
      </w:pPr>
    </w:p>
    <w:tbl>
      <w:tblPr>
        <w:tblLayout w:type="fixed"/>
        <w:tblInd w:w="1340" w:type="dxa"/>
        <w:tblCellMar>
          <w:top w:w="0" w:type="dxa"/>
          <w:left w:w="0" w:type="dxa"/>
          <w:bottom w:w="0" w:type="dxa"/>
          <w:right w:w="0" w:type="dxa"/>
        </w:tblCellMar>
      </w:tblPr>
      <w:tr>
        <w:trPr>
          <w:trHeight w:val="222"/>
        </w:trPr>
        <w:tc>
          <w:tcPr>
            <w:tcW w:w="360" w:type="dxa"/>
            <w:vAlign w:val="bottom"/>
          </w:tcPr>
          <w:p>
            <w:pPr>
              <w:spacing w:after="0"/>
              <w:rPr>
                <w:sz w:val="19"/>
                <w:szCs w:val="19"/>
                <w:color w:val="auto"/>
              </w:rPr>
            </w:pPr>
          </w:p>
        </w:tc>
        <w:tc>
          <w:tcPr>
            <w:tcW w:w="1520" w:type="dxa"/>
            <w:vAlign w:val="bottom"/>
          </w:tcPr>
          <w:p>
            <w:pPr>
              <w:ind w:left="180"/>
              <w:spacing w:after="0"/>
              <w:rPr>
                <w:sz w:val="20"/>
                <w:szCs w:val="20"/>
                <w:color w:val="auto"/>
              </w:rPr>
            </w:pPr>
            <w:r>
              <w:rPr>
                <w:rFonts w:ascii="Arial" w:cs="Arial" w:eastAsia="Arial" w:hAnsi="Arial"/>
                <w:sz w:val="18"/>
                <w:szCs w:val="18"/>
                <w:color w:val="auto"/>
              </w:rPr>
              <w:t>aggregate of</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shares of common stock upon the closing of this offering.</w:t>
            </w:r>
          </w:p>
        </w:tc>
        <w:tc>
          <w:tcPr>
            <w:tcW w:w="2500" w:type="dxa"/>
            <w:vAlign w:val="bottom"/>
          </w:tcPr>
          <w:p>
            <w:pPr>
              <w:spacing w:after="0"/>
              <w:rPr>
                <w:sz w:val="19"/>
                <w:szCs w:val="19"/>
                <w:color w:val="auto"/>
              </w:rPr>
            </w:pPr>
          </w:p>
        </w:tc>
      </w:tr>
      <w:tr>
        <w:trPr>
          <w:trHeight w:val="433"/>
        </w:trPr>
        <w:tc>
          <w:tcPr>
            <w:tcW w:w="360" w:type="dxa"/>
            <w:vAlign w:val="bottom"/>
          </w:tcPr>
          <w:p>
            <w:pPr>
              <w:jc w:val="right"/>
              <w:ind w:right="72"/>
              <w:spacing w:after="0"/>
              <w:rPr>
                <w:sz w:val="20"/>
                <w:szCs w:val="20"/>
                <w:color w:val="auto"/>
              </w:rPr>
            </w:pPr>
            <w:r>
              <w:rPr>
                <w:rFonts w:ascii="Arial" w:cs="Arial" w:eastAsia="Arial" w:hAnsi="Arial"/>
                <w:sz w:val="18"/>
                <w:szCs w:val="18"/>
                <w:color w:val="auto"/>
                <w:w w:val="81"/>
              </w:rPr>
              <w:t>(3)</w:t>
            </w:r>
          </w:p>
        </w:tc>
        <w:tc>
          <w:tcPr>
            <w:tcW w:w="6980" w:type="dxa"/>
            <w:vAlign w:val="bottom"/>
            <w:gridSpan w:val="3"/>
          </w:tcPr>
          <w:p>
            <w:pPr>
              <w:ind w:left="180"/>
              <w:spacing w:after="0"/>
              <w:rPr>
                <w:sz w:val="20"/>
                <w:szCs w:val="20"/>
                <w:color w:val="auto"/>
              </w:rPr>
            </w:pPr>
            <w:r>
              <w:rPr>
                <w:rFonts w:ascii="Arial" w:cs="Arial" w:eastAsia="Arial" w:hAnsi="Arial"/>
                <w:sz w:val="18"/>
                <w:szCs w:val="18"/>
                <w:color w:val="auto"/>
                <w:w w:val="92"/>
              </w:rPr>
              <w:t>The pro forma as adjusted balance sheet data give further effect to our issuance and sale of</w:t>
            </w:r>
          </w:p>
        </w:tc>
        <w:tc>
          <w:tcPr>
            <w:tcW w:w="2500" w:type="dxa"/>
            <w:vAlign w:val="bottom"/>
          </w:tcPr>
          <w:p>
            <w:pPr>
              <w:jc w:val="right"/>
              <w:spacing w:after="0"/>
              <w:rPr>
                <w:sz w:val="20"/>
                <w:szCs w:val="20"/>
                <w:color w:val="auto"/>
              </w:rPr>
            </w:pPr>
            <w:r>
              <w:rPr>
                <w:rFonts w:ascii="Arial" w:cs="Arial" w:eastAsia="Arial" w:hAnsi="Arial"/>
                <w:sz w:val="18"/>
                <w:szCs w:val="18"/>
                <w:color w:val="auto"/>
              </w:rPr>
              <w:t>shares of our common stock in</w:t>
            </w:r>
          </w:p>
        </w:tc>
      </w:tr>
      <w:tr>
        <w:trPr>
          <w:trHeight w:val="216"/>
        </w:trPr>
        <w:tc>
          <w:tcPr>
            <w:tcW w:w="360" w:type="dxa"/>
            <w:vAlign w:val="bottom"/>
          </w:tcPr>
          <w:p>
            <w:pPr>
              <w:spacing w:after="0"/>
              <w:rPr>
                <w:sz w:val="18"/>
                <w:szCs w:val="18"/>
                <w:color w:val="auto"/>
              </w:rPr>
            </w:pPr>
          </w:p>
        </w:tc>
        <w:tc>
          <w:tcPr>
            <w:tcW w:w="4580" w:type="dxa"/>
            <w:vAlign w:val="bottom"/>
            <w:gridSpan w:val="2"/>
          </w:tcPr>
          <w:p>
            <w:pPr>
              <w:ind w:left="180"/>
              <w:spacing w:after="0"/>
              <w:rPr>
                <w:sz w:val="20"/>
                <w:szCs w:val="20"/>
                <w:color w:val="auto"/>
              </w:rPr>
            </w:pPr>
            <w:r>
              <w:rPr>
                <w:rFonts w:ascii="Arial" w:cs="Arial" w:eastAsia="Arial" w:hAnsi="Arial"/>
                <w:sz w:val="18"/>
                <w:szCs w:val="18"/>
                <w:color w:val="auto"/>
                <w:w w:val="95"/>
              </w:rPr>
              <w:t>this offering at an assumed initial public offering price of $</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w w:val="93"/>
              </w:rPr>
              <w:t>per share, which is the midpoint of the price range set forth on the</w:t>
            </w:r>
          </w:p>
        </w:tc>
      </w:tr>
      <w:tr>
        <w:trPr>
          <w:trHeight w:val="216"/>
        </w:trPr>
        <w:tc>
          <w:tcPr>
            <w:tcW w:w="360" w:type="dxa"/>
            <w:vAlign w:val="bottom"/>
          </w:tcPr>
          <w:p>
            <w:pPr>
              <w:spacing w:after="0"/>
              <w:rPr>
                <w:sz w:val="18"/>
                <w:szCs w:val="18"/>
                <w:color w:val="auto"/>
              </w:rPr>
            </w:pPr>
          </w:p>
        </w:tc>
        <w:tc>
          <w:tcPr>
            <w:tcW w:w="9480" w:type="dxa"/>
            <w:vAlign w:val="bottom"/>
            <w:gridSpan w:val="4"/>
          </w:tcPr>
          <w:p>
            <w:pPr>
              <w:ind w:left="180"/>
              <w:spacing w:after="0"/>
              <w:rPr>
                <w:sz w:val="20"/>
                <w:szCs w:val="20"/>
                <w:color w:val="auto"/>
              </w:rPr>
            </w:pPr>
            <w:r>
              <w:rPr>
                <w:rFonts w:ascii="Arial" w:cs="Arial" w:eastAsia="Arial" w:hAnsi="Arial"/>
                <w:sz w:val="18"/>
                <w:szCs w:val="18"/>
                <w:color w:val="auto"/>
                <w:w w:val="89"/>
              </w:rPr>
              <w:t>cover page of this prospectus, after deducting estimated underwriting discounts and commissions and estimated offering expenses</w:t>
            </w:r>
          </w:p>
        </w:tc>
      </w:tr>
      <w:tr>
        <w:trPr>
          <w:trHeight w:val="222"/>
        </w:trPr>
        <w:tc>
          <w:tcPr>
            <w:tcW w:w="360" w:type="dxa"/>
            <w:vAlign w:val="bottom"/>
          </w:tcPr>
          <w:p>
            <w:pPr>
              <w:spacing w:after="0"/>
              <w:rPr>
                <w:sz w:val="19"/>
                <w:szCs w:val="19"/>
                <w:color w:val="auto"/>
              </w:rPr>
            </w:pPr>
          </w:p>
        </w:tc>
        <w:tc>
          <w:tcPr>
            <w:tcW w:w="1520" w:type="dxa"/>
            <w:vAlign w:val="bottom"/>
          </w:tcPr>
          <w:p>
            <w:pPr>
              <w:ind w:left="180"/>
              <w:spacing w:after="0"/>
              <w:rPr>
                <w:sz w:val="20"/>
                <w:szCs w:val="20"/>
                <w:color w:val="auto"/>
              </w:rPr>
            </w:pPr>
            <w:r>
              <w:rPr>
                <w:rFonts w:ascii="Arial" w:cs="Arial" w:eastAsia="Arial" w:hAnsi="Arial"/>
                <w:sz w:val="18"/>
                <w:szCs w:val="18"/>
                <w:color w:val="auto"/>
              </w:rPr>
              <w:t>payable by us.</w:t>
            </w:r>
          </w:p>
        </w:tc>
        <w:tc>
          <w:tcPr>
            <w:tcW w:w="30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500" w:type="dxa"/>
            <w:vAlign w:val="bottom"/>
          </w:tcPr>
          <w:p>
            <w:pPr>
              <w:spacing w:after="0"/>
              <w:rPr>
                <w:sz w:val="19"/>
                <w:szCs w:val="19"/>
                <w:color w:val="auto"/>
              </w:rPr>
            </w:pPr>
          </w:p>
        </w:tc>
      </w:tr>
    </w:tbl>
    <w:p>
      <w:pPr>
        <w:spacing w:after="0" w:line="2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pro forma as adjusted information discussed above is illustrative only and will change based on the actual initial public offering price and other</w:t>
      </w:r>
    </w:p>
    <w:p>
      <w:pPr>
        <w:spacing w:after="0" w:line="38" w:lineRule="exact"/>
        <w:rPr>
          <w:sz w:val="20"/>
          <w:szCs w:val="20"/>
          <w:color w:val="auto"/>
        </w:rPr>
      </w:pPr>
    </w:p>
    <w:p>
      <w:pPr>
        <w:jc w:val="both"/>
        <w:ind w:left="240"/>
        <w:spacing w:after="0" w:line="281" w:lineRule="auto"/>
        <w:rPr>
          <w:sz w:val="20"/>
          <w:szCs w:val="20"/>
          <w:color w:val="auto"/>
        </w:rPr>
      </w:pPr>
      <w:r>
        <w:rPr>
          <w:rFonts w:ascii="Arial" w:cs="Arial" w:eastAsia="Arial" w:hAnsi="Arial"/>
          <w:sz w:val="16"/>
          <w:szCs w:val="16"/>
          <w:color w:val="auto"/>
        </w:rPr>
        <w:t>terms of this offering determined at pricing. A $1.00 increase (decrease) in the assumed initial public offering price of $ per share, which is the midpoint of the price range set forth on the cover page of this prospectus, would increase (decrease) the pro forma as adjusted amount of each of cash and</w:t>
      </w:r>
    </w:p>
    <w:p>
      <w:pPr>
        <w:spacing w:after="0" w:line="1" w:lineRule="exact"/>
        <w:rPr>
          <w:sz w:val="20"/>
          <w:szCs w:val="20"/>
          <w:color w:val="auto"/>
        </w:rPr>
      </w:pPr>
    </w:p>
    <w:p>
      <w:pPr>
        <w:jc w:val="both"/>
        <w:ind w:left="240"/>
        <w:spacing w:after="0" w:line="300" w:lineRule="auto"/>
        <w:rPr>
          <w:sz w:val="20"/>
          <w:szCs w:val="20"/>
          <w:color w:val="auto"/>
        </w:rPr>
      </w:pPr>
      <w:r>
        <w:rPr>
          <w:rFonts w:ascii="Arial" w:cs="Arial" w:eastAsia="Arial" w:hAnsi="Arial"/>
          <w:sz w:val="15"/>
          <w:szCs w:val="15"/>
          <w:color w:val="auto"/>
        </w:rPr>
        <w:t>cash equivalents, working capital, total assets and total stockholders' equity by $ million, assuming that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pro forma as adjusted amount of each of cash and cash equivalents, working capital, total assets and total stockholders'</w:t>
      </w:r>
    </w:p>
    <w:p>
      <w:pPr>
        <w:spacing w:after="0" w:line="2" w:lineRule="exact"/>
        <w:rPr>
          <w:sz w:val="20"/>
          <w:szCs w:val="20"/>
          <w:color w:val="auto"/>
        </w:rPr>
      </w:pPr>
    </w:p>
    <w:p>
      <w:pPr>
        <w:jc w:val="both"/>
        <w:ind w:left="240"/>
        <w:spacing w:after="0" w:line="261" w:lineRule="auto"/>
        <w:rPr>
          <w:sz w:val="20"/>
          <w:szCs w:val="20"/>
          <w:color w:val="auto"/>
        </w:rPr>
      </w:pPr>
      <w:r>
        <w:rPr>
          <w:rFonts w:ascii="Arial" w:cs="Arial" w:eastAsia="Arial" w:hAnsi="Arial"/>
          <w:sz w:val="18"/>
          <w:szCs w:val="18"/>
          <w:color w:val="auto"/>
        </w:rPr>
        <w:t>equity by $ million, assuming no change in the assumed initial public offering price per share and after deducting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and uncertainties described below together with all of the other information contained in this prospectus, including our consolidated financial statements and the related notes appearing at the end of this prospectus, before deciding to invest in our common stock. If any of the following risks actually occur, our business, prospects, operating results and financial condition could suffer materially. In such event, the trading price of our common stock could decline and you might lose all or part of your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significant losses since our inception. We expect to incur losses over the next several years and may never achieve or maintain profitability.</w:t>
      </w:r>
    </w:p>
    <w:p>
      <w:pPr>
        <w:spacing w:after="0" w:line="260" w:lineRule="exact"/>
        <w:rPr>
          <w:sz w:val="20"/>
          <w:szCs w:val="20"/>
          <w:color w:val="auto"/>
        </w:rPr>
      </w:pPr>
    </w:p>
    <w:p>
      <w:pPr>
        <w:jc w:val="both"/>
        <w:ind w:firstLine="402"/>
        <w:spacing w:after="0" w:line="291" w:lineRule="auto"/>
        <w:rPr>
          <w:sz w:val="20"/>
          <w:szCs w:val="20"/>
          <w:color w:val="auto"/>
        </w:rPr>
      </w:pPr>
      <w:r>
        <w:rPr>
          <w:rFonts w:ascii="Arial" w:cs="Arial" w:eastAsia="Arial" w:hAnsi="Arial"/>
          <w:sz w:val="16"/>
          <w:szCs w:val="16"/>
          <w:color w:val="auto"/>
        </w:rPr>
        <w:t>Since inception, we have incurred significant operating losses. Our net loss was $23.0 million for the year ended December 31, 2017 and $32.6 million for the year ended December 31, 2018. As of December 31, 2018, we had an accumulated deficit of $68.1 million. To date, we have financed our operations primarily through the issuance of convertible notes and convertible preferred stock.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188" w:lineRule="exact"/>
        <w:rPr>
          <w:sz w:val="20"/>
          <w:szCs w:val="20"/>
          <w:color w:val="auto"/>
        </w:rPr>
      </w:pPr>
    </w:p>
    <w:p>
      <w:pPr>
        <w:ind w:left="1080" w:right="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1 clinical trial and planned Phase 2b clinical trial and Phase 2 open label clinical trial;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continue investigational new drug application, or IND, enabling studies and prepare for a planned Phase 1 clinical trial of FTX-HbF;</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regulatory approval;</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0"/>
        <w:spacing w:after="0" w:line="290" w:lineRule="auto"/>
        <w:rPr>
          <w:sz w:val="20"/>
          <w:szCs w:val="20"/>
          <w:color w:val="auto"/>
        </w:rPr>
      </w:pPr>
      <w:r>
        <w:rPr>
          <w:rFonts w:ascii="Arial" w:cs="Arial" w:eastAsia="Arial" w:hAnsi="Arial"/>
          <w:sz w:val="16"/>
          <w:szCs w:val="16"/>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186" w:lineRule="exact"/>
        <w:rPr>
          <w:sz w:val="20"/>
          <w:szCs w:val="20"/>
          <w:color w:val="auto"/>
        </w:rPr>
      </w:pPr>
    </w:p>
    <w:p>
      <w:pPr>
        <w:ind w:left="10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required by the U.S. Food and Drug Administration, or the FDA, the European Medicines Agency, or the EMA, or other regulatory authorities to perform trials or studies in addition to, or different than, those expected;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any delays in completing our clinical trials or the development of any of our product candidates;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there are any third-party challenges to our intellectual property or we need to defend against any intellectual property-related claim.</w:t>
      </w:r>
    </w:p>
    <w:p>
      <w:pPr>
        <w:spacing w:after="0" w:line="248" w:lineRule="exact"/>
        <w:rPr>
          <w:sz w:val="20"/>
          <w:szCs w:val="20"/>
          <w:color w:val="auto"/>
        </w:rPr>
      </w:pPr>
    </w:p>
    <w:p>
      <w:pPr>
        <w:jc w:val="both"/>
        <w:ind w:firstLine="394"/>
        <w:spacing w:after="0" w:line="256"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you to lose all or part of your investment.</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86" w:lineRule="exact"/>
        <w:rPr>
          <w:sz w:val="20"/>
          <w:szCs w:val="20"/>
          <w:color w:val="auto"/>
        </w:rPr>
      </w:pPr>
    </w:p>
    <w:p>
      <w:pPr>
        <w:jc w:val="both"/>
        <w:ind w:firstLine="586"/>
        <w:spacing w:after="0" w:line="288" w:lineRule="auto"/>
        <w:rPr>
          <w:sz w:val="20"/>
          <w:szCs w:val="20"/>
          <w:color w:val="auto"/>
        </w:rPr>
      </w:pPr>
      <w:r>
        <w:rPr>
          <w:rFonts w:ascii="Arial" w:cs="Arial" w:eastAsia="Arial" w:hAnsi="Arial"/>
          <w:sz w:val="16"/>
          <w:szCs w:val="16"/>
          <w:color w:val="auto"/>
        </w:rPr>
        <w:t>We expect to devote substantial financial resources to our ongoing and planned activities, particularly as we continue our Phase 1 clinical trial of losmapimod and prepare for a planned Phase 2b clinical trial and Phase 2 open label clinical trial of losmapimod and planned Phase 1 clinical trial of FTX-HbF; and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acceptable terms, we could be forced to delay, reduce or eliminate our research and development programs or any future commercialization efforts.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costs and results of our ongoing Phase 1 clinical trial of losmapimod;</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product candidates, including our planned Phase 2b clinical trial and planned Phase 2 open label clinical trial of losmapimod and our planned Phase 1 clinical trial of FTX-HbF;</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active pharmaceutical ingredient, or API, and manufacture of our product candidates and the terms of such arrangements;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establish and maintain strategic collaborations, licensing or other arrangements and the financial terms of such arrangements;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payment or receipt of milestones and receipt of other collaboration-based revenues, if any;</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jc w:val="both"/>
        <w:ind w:firstLine="406"/>
        <w:spacing w:after="0" w:line="286" w:lineRule="auto"/>
        <w:rPr>
          <w:sz w:val="20"/>
          <w:szCs w:val="20"/>
          <w:color w:val="auto"/>
        </w:rPr>
      </w:pPr>
      <w:r>
        <w:rPr>
          <w:rFonts w:ascii="Arial" w:cs="Arial" w:eastAsia="Arial" w:hAnsi="Arial"/>
          <w:sz w:val="16"/>
          <w:szCs w:val="16"/>
          <w:color w:val="auto"/>
        </w:rPr>
        <w:t>As of December 31, 2018, we had cash and cash equivalents of approximately $72.8 million. We believe that the net proceeds from this offering, together with our existing cash and cash equivalents as of December 31, 2018, will enable us to fund our operating expenses and capital expenditure requirements</w:t>
      </w:r>
    </w:p>
    <w:p>
      <w:pPr>
        <w:jc w:val="both"/>
        <w:ind w:right="20"/>
        <w:spacing w:after="0" w:line="261" w:lineRule="auto"/>
        <w:rPr>
          <w:sz w:val="20"/>
          <w:szCs w:val="20"/>
          <w:color w:val="auto"/>
        </w:rPr>
      </w:pPr>
      <w:r>
        <w:rPr>
          <w:rFonts w:ascii="Arial" w:cs="Arial" w:eastAsia="Arial" w:hAnsi="Arial"/>
          <w:sz w:val="18"/>
          <w:szCs w:val="18"/>
          <w:color w:val="auto"/>
        </w:rPr>
        <w:t>through .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92" w:lineRule="exact"/>
        <w:rPr>
          <w:sz w:val="20"/>
          <w:szCs w:val="20"/>
          <w:color w:val="auto"/>
        </w:rPr>
      </w:pPr>
    </w:p>
    <w:p>
      <w:pPr>
        <w:jc w:val="both"/>
        <w:ind w:firstLine="363"/>
        <w:spacing w:after="0" w:line="288"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our common stock in this offering, restrict our operations or require us to relinquish rights to our technologies or product candidates.</w:t>
      </w:r>
    </w:p>
    <w:p>
      <w:pPr>
        <w:spacing w:after="0" w:line="186"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48" w:lineRule="exact"/>
        <w:rPr>
          <w:sz w:val="20"/>
          <w:szCs w:val="20"/>
          <w:color w:val="auto"/>
        </w:rPr>
      </w:pPr>
    </w:p>
    <w:p>
      <w:pPr>
        <w:jc w:val="both"/>
        <w:ind w:firstLine="348"/>
        <w:spacing w:after="0" w:line="291" w:lineRule="auto"/>
        <w:rPr>
          <w:sz w:val="20"/>
          <w:szCs w:val="20"/>
          <w:color w:val="auto"/>
        </w:rPr>
      </w:pPr>
      <w:r>
        <w:rPr>
          <w:rFonts w:ascii="Arial" w:cs="Arial" w:eastAsia="Arial" w:hAnsi="Arial"/>
          <w:sz w:val="16"/>
          <w:szCs w:val="16"/>
          <w:color w:val="auto"/>
        </w:rPr>
        <w:t>We commenced activities in 2015 and are an early-stage company. Our operations to date have been limited to organizing and staffing our company, business planning, raising capital, developing our technology, identifying drug targets and potential product candidates, undertaking preclinical studies and conducting one early-stage clinical trial.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17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94" w:lineRule="exact"/>
        <w:rPr>
          <w:sz w:val="20"/>
          <w:szCs w:val="20"/>
          <w:color w:val="auto"/>
        </w:rPr>
      </w:pPr>
    </w:p>
    <w:p>
      <w:pPr>
        <w:jc w:val="both"/>
        <w:ind w:firstLine="359"/>
        <w:spacing w:after="0" w:line="332" w:lineRule="auto"/>
        <w:rPr>
          <w:sz w:val="20"/>
          <w:szCs w:val="20"/>
          <w:color w:val="auto"/>
        </w:rPr>
      </w:pPr>
      <w:r>
        <w:rPr>
          <w:rFonts w:ascii="Arial" w:cs="Arial" w:eastAsia="Arial" w:hAnsi="Arial"/>
          <w:sz w:val="16"/>
          <w:szCs w:val="16"/>
          <w:color w:val="auto"/>
        </w:rPr>
        <w:t>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identified conditions and events that raise substantial doubt about our ability to continue as a going concern.</w:t>
      </w:r>
    </w:p>
    <w:p>
      <w:pPr>
        <w:spacing w:after="0" w:line="225" w:lineRule="exact"/>
        <w:rPr>
          <w:sz w:val="20"/>
          <w:szCs w:val="20"/>
          <w:color w:val="auto"/>
        </w:rPr>
      </w:pPr>
    </w:p>
    <w:p>
      <w:pPr>
        <w:jc w:val="both"/>
        <w:ind w:firstLine="472"/>
        <w:spacing w:after="0" w:line="288" w:lineRule="auto"/>
        <w:rPr>
          <w:sz w:val="20"/>
          <w:szCs w:val="20"/>
          <w:color w:val="auto"/>
        </w:rPr>
      </w:pPr>
      <w:r>
        <w:rPr>
          <w:rFonts w:ascii="Arial" w:cs="Arial" w:eastAsia="Arial" w:hAnsi="Arial"/>
          <w:sz w:val="16"/>
          <w:szCs w:val="16"/>
          <w:color w:val="auto"/>
        </w:rPr>
        <w:t>We may be forced to delay or reduce the scope of our development programs and/or limit or cease our operations if we are unable to obtain additional funding to support our current operating plan. We have identified conditions and events that raise substantial doubt about our ability to continue as a going concern. As of December 31, 2018, we had approximately $72.8 million in cash and cash equivalents. Based on our available cash resources, we believe we do not have sufficient cash on hand to support current operations for at least one year from the date of issuance of the financial statements appearing at the end of this prospectus. This condition raises substantial doubt about our ability to continue as a going concern for at least one year from the date of issuance of the financial statements appearing at the end of this prospectus. We will need to raise additional capital in this offering and/or otherwise to fund our future operations and remain as a going concern. However, we cannot guarantee that we will be able to obtain sufficient additional funding in this offering or otherwise or that such funding, if available, will be obtainable on terms satisfactory to us. In the event that we are unable to obtain sufficient additional funding, there can be no assurance that we will be able to continue as a going concern.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passed in 2017 could adversely affect our business and financial condition.</w:t>
      </w:r>
    </w:p>
    <w:p>
      <w:pPr>
        <w:spacing w:after="0" w:line="225" w:lineRule="exact"/>
        <w:rPr>
          <w:sz w:val="20"/>
          <w:szCs w:val="20"/>
          <w:color w:val="auto"/>
        </w:rPr>
      </w:pPr>
    </w:p>
    <w:p>
      <w:pPr>
        <w:jc w:val="both"/>
        <w:ind w:firstLine="477"/>
        <w:spacing w:after="0" w:line="306" w:lineRule="auto"/>
        <w:rPr>
          <w:sz w:val="20"/>
          <w:szCs w:val="20"/>
          <w:color w:val="auto"/>
        </w:rPr>
      </w:pPr>
      <w:r>
        <w:rPr>
          <w:rFonts w:ascii="Arial" w:cs="Arial" w:eastAsia="Arial" w:hAnsi="Arial"/>
          <w:sz w:val="16"/>
          <w:szCs w:val="16"/>
          <w:color w:val="auto"/>
        </w:rPr>
        <w:t>On December 22, 2017, the U.S. government enacted legislation commonly referred to as the Tax Cuts and Jobs Act, or the TCJA, which significantly reformed the Internal Revenue Code of 1986, as amended, or the Code. The TCJA, among other things, contains significant changes to corporate taxation, including reduction of the corporate tax rate from a top marginal rate of 35% to a flat rate of 21%, limitation of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tax deduction for net interest expense to 30% of adjusted earnings (except for certain small businesses), limitation of the deduction for net operating losses, or NOLs, to 80% of current year taxable income and elimination of NOL carrybacks, in each case, for losses arising in taxable years beginning after December 31, 2017 (though any such NOLs may be carried forward indefinitely),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TCJA remains uncertain and our business and financial condition could be adversely affected. In addition, how various states will respond to the TCJA continues to be uncertain. The impact of this tax reform on holders of our common stock is also uncertain and could be adverse. We urge prospective investors in our common stock to consult with their legal and tax advisors with respect to TCJA and the potential tax consequences of investing in or holding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use our NOLs and research and development tax credit carryforwards to offset future taxable income may be subject to certain limitations.</w:t>
      </w:r>
    </w:p>
    <w:p>
      <w:pPr>
        <w:spacing w:after="0" w:line="260" w:lineRule="exact"/>
        <w:rPr>
          <w:sz w:val="20"/>
          <w:szCs w:val="20"/>
          <w:color w:val="auto"/>
        </w:rPr>
      </w:pPr>
    </w:p>
    <w:p>
      <w:pPr>
        <w:jc w:val="both"/>
        <w:ind w:right="20" w:firstLine="492"/>
        <w:spacing w:after="0" w:line="332" w:lineRule="auto"/>
        <w:rPr>
          <w:sz w:val="20"/>
          <w:szCs w:val="20"/>
          <w:color w:val="auto"/>
        </w:rPr>
      </w:pPr>
      <w:r>
        <w:rPr>
          <w:rFonts w:ascii="Arial" w:cs="Arial" w:eastAsia="Arial" w:hAnsi="Arial"/>
          <w:sz w:val="16"/>
          <w:szCs w:val="16"/>
          <w:color w:val="auto"/>
        </w:rPr>
        <w:t>We have a history of cumulative losses and anticipate that we will continue to incur significant losses in the foreseeable future; thus, we do not know whether or when we will generate taxable income necessary to utilize our NOLs or research and development tax credit carryforwards.</w:t>
      </w:r>
    </w:p>
    <w:p>
      <w:pPr>
        <w:spacing w:after="0" w:line="139" w:lineRule="exact"/>
        <w:rPr>
          <w:sz w:val="20"/>
          <w:szCs w:val="20"/>
          <w:color w:val="auto"/>
        </w:rPr>
      </w:pPr>
    </w:p>
    <w:p>
      <w:pPr>
        <w:jc w:val="both"/>
        <w:ind w:firstLine="484"/>
        <w:spacing w:after="0" w:line="291" w:lineRule="auto"/>
        <w:rPr>
          <w:sz w:val="20"/>
          <w:szCs w:val="20"/>
          <w:color w:val="auto"/>
        </w:rPr>
      </w:pPr>
      <w:r>
        <w:rPr>
          <w:rFonts w:ascii="Arial" w:cs="Arial" w:eastAsia="Arial" w:hAnsi="Arial"/>
          <w:sz w:val="16"/>
          <w:szCs w:val="16"/>
          <w:color w:val="auto"/>
        </w:rPr>
        <w:t>In general, under Section 382 of the Code and corresponding provisions of state law, a corporation that undergoes an "ownership change" is subject to limitations on its ability to utilize its pre-change NOLs and research and development tax credit carryforwards to offset future taxable income. We have not conducted a study to assess whether any such ownership changes have occurred. We may have experienced such ownership changes in the past and may experience such ownership changes in the future as a result of this offering and/or subsequent changes in our stock ownership (which may be outside our control). As a result, if, and to the extent that, we earn net taxable income, our ability to use our pre-change NOLs and research and development tax credit carryforwards to offset such taxable income may be subject to limitations.</w:t>
      </w:r>
    </w:p>
    <w:p>
      <w:pPr>
        <w:spacing w:after="0" w:line="174" w:lineRule="exact"/>
        <w:rPr>
          <w:sz w:val="20"/>
          <w:szCs w:val="20"/>
          <w:color w:val="auto"/>
        </w:rPr>
      </w:pPr>
    </w:p>
    <w:p>
      <w:pPr>
        <w:jc w:val="both"/>
        <w:ind w:firstLine="429"/>
        <w:spacing w:after="0" w:line="259" w:lineRule="auto"/>
        <w:rPr>
          <w:sz w:val="20"/>
          <w:szCs w:val="20"/>
          <w:color w:val="auto"/>
        </w:rPr>
      </w:pPr>
      <w:r>
        <w:rPr>
          <w:rFonts w:ascii="Arial" w:cs="Arial" w:eastAsia="Arial" w:hAnsi="Arial"/>
          <w:sz w:val="18"/>
          <w:szCs w:val="18"/>
          <w:color w:val="auto"/>
        </w:rPr>
        <w:t>In addition, as described above in "Comprehensive tax reform legislation passed in 2017 could adversely affect our business and financial condition," the TCJA includes changes to U.S. federal tax rates and the rules governing NOL carryforwards that may significantly impact our ability to utilize our NOLs to offset taxable income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23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are early in our development efforts, and we only have one product candidate in a clinical trial. Our other product candidate is in IND-enabling studies. If we are unable to commercialize our product candidates or experience significant delays in doing so, our business will be materially harmed.</w:t>
      </w:r>
    </w:p>
    <w:p>
      <w:pPr>
        <w:spacing w:after="0" w:line="116" w:lineRule="exact"/>
        <w:rPr>
          <w:sz w:val="20"/>
          <w:szCs w:val="20"/>
          <w:color w:val="auto"/>
        </w:rPr>
      </w:pPr>
    </w:p>
    <w:p>
      <w:pPr>
        <w:jc w:val="both"/>
        <w:ind w:firstLine="370"/>
        <w:spacing w:after="0" w:line="254" w:lineRule="auto"/>
        <w:rPr>
          <w:sz w:val="20"/>
          <w:szCs w:val="20"/>
          <w:color w:val="auto"/>
        </w:rPr>
      </w:pPr>
      <w:r>
        <w:rPr>
          <w:rFonts w:ascii="Arial" w:cs="Arial" w:eastAsia="Arial" w:hAnsi="Arial"/>
          <w:sz w:val="18"/>
          <w:szCs w:val="18"/>
          <w:color w:val="auto"/>
        </w:rPr>
        <w:t>We are early in our development efforts, and we have advanced only one candidate into clinical trials, losmapimod for the treatment of facioscapulohumeral muscular dystrophy, or FSHD. FTX-HbF, our other product candidate, is in IND-enabling studies. We have invested substantially all of our efforts and financial resources in our proprietary product engine to identify and validate cellular drug targets that can modulate gene expression to address the root cause of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212"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by the FDA or other regulatory agencies of the INDs, clinical trial applications, or CTAs, or other regulatory filings for losmapimod, FTX-HbF and future product candidates;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expanding and maintaining a workforce of experienced scientists and others to continue to develop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applying for and receiving marketing approvals from applicable regulatory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successfully launching commercial sales of the products, if and when approved, whether alone or in collaboration with others;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obtaining and maintaining coverage, adequate pricing and adequate reimbursement from third-party payors, including government payors;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enforcing, defending and protecting our rights in our intellectual property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others' intellectual property or proprietary rights;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our product engine to build a pipeline of product candidates.</w:t>
      </w:r>
    </w:p>
    <w:p>
      <w:pPr>
        <w:spacing w:after="0" w:line="225"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6"/>
          <w:szCs w:val="16"/>
          <w:color w:val="auto"/>
        </w:rPr>
        <w:t>A key element of our strategy is to use our proprietary product engine to identify and validate cellular drug targets that can modulate gene expression to address the root cause of rare diseases, with an initial focus on identifying small molecules specific to the identified cellular target.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you any assurance that we will be able to successfully identify additional product candidates with our product engine, advance any of these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proprietary product engine or any of our research or development 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194" w:lineRule="exact"/>
        <w:rPr>
          <w:sz w:val="20"/>
          <w:szCs w:val="20"/>
          <w:color w:val="auto"/>
        </w:rPr>
      </w:pPr>
    </w:p>
    <w:p>
      <w:pPr>
        <w:jc w:val="both"/>
        <w:ind w:firstLine="484"/>
        <w:spacing w:after="0" w:line="253" w:lineRule="auto"/>
        <w:rPr>
          <w:sz w:val="20"/>
          <w:szCs w:val="20"/>
          <w:color w:val="auto"/>
        </w:rPr>
      </w:pPr>
      <w:r>
        <w:rPr>
          <w:rFonts w:ascii="Arial" w:cs="Arial" w:eastAsia="Arial" w:hAnsi="Arial"/>
          <w:sz w:val="18"/>
          <w:szCs w:val="18"/>
          <w:color w:val="auto"/>
        </w:rPr>
        <w:t>We have one product candidate in clinical development and one product candidate in IND-enabling studies.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begun or completed a pivotal clinical trial of any product candidate. 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99"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6"/>
          <w:szCs w:val="16"/>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172" w:lineRule="exact"/>
        <w:rPr>
          <w:sz w:val="20"/>
          <w:szCs w:val="20"/>
          <w:color w:val="auto"/>
        </w:rPr>
      </w:pPr>
    </w:p>
    <w:p>
      <w:pPr>
        <w:jc w:val="both"/>
        <w:ind w:firstLine="409"/>
        <w:spacing w:after="0" w:line="285" w:lineRule="auto"/>
        <w:rPr>
          <w:sz w:val="20"/>
          <w:szCs w:val="20"/>
          <w:color w:val="auto"/>
        </w:rPr>
      </w:pPr>
      <w:r>
        <w:rPr>
          <w:rFonts w:ascii="Arial" w:cs="Arial" w:eastAsia="Arial" w:hAnsi="Arial"/>
          <w:sz w:val="16"/>
          <w:szCs w:val="16"/>
          <w:color w:val="auto"/>
        </w:rPr>
        <w:t>Clinical testing is expensive,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Losmapimod may not be effective at reducing DUX4-driven gene expression or, even if losmapimod successfully reduces expression of DUX4-driven genes, such reduction may not result in overall clinical benefit.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4"/>
        <w:spacing w:after="0" w:line="289" w:lineRule="auto"/>
        <w:rPr>
          <w:sz w:val="20"/>
          <w:szCs w:val="20"/>
          <w:color w:val="auto"/>
        </w:rPr>
      </w:pPr>
      <w:r>
        <w:rPr>
          <w:rFonts w:ascii="Arial" w:cs="Arial" w:eastAsia="Arial" w:hAnsi="Arial"/>
          <w:sz w:val="16"/>
          <w:szCs w:val="16"/>
          <w:color w:val="auto"/>
        </w:rPr>
        <w:t>In February 2019, we entered into a right of reference and license agreement, or the GSK Agreement, with affiliates of GSK pursuant to which, among other things, GSK granted us a right of reference to certain INDs filed with the FDA and controlled by GSK or its affiliates relating to losmapimod and an exclusive worldwide license to certain of GSK's preclinical and clinical data with respect to losmapimod. Although losmapimod was originally evaluated by GSK in over 3,500 subjects, GSK did not evaluate losmapimod in FSHD or in any other muscular dystrophy, so the safety data generated from GSK's clinical trials of losmapimod may not be predictive or indicative of the results of our clinical trials. Similarly, while we believe the safety data from GSK's clinical trials may, in part, enable us to apply for accelerated approval, there can be no assurance that this will happen. Regulatory authorities may also raise questions regarding the transition in the future from GSK-manufactured tablets to tablets manufactured by us or another party, and we may be required to conduct comparability assessments, which could result in delays in development and additional costs.</w:t>
      </w:r>
    </w:p>
    <w:p>
      <w:pPr>
        <w:spacing w:after="0" w:line="172"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199" w:lineRule="exact"/>
        <w:rPr>
          <w:sz w:val="20"/>
          <w:szCs w:val="20"/>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regulators may decide the design of our clinical trials is flawed, for example if our trial protocol does not evaluate treatment effects in trial subjects for a sufficient length of time;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21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152"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207"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261" w:lineRule="exact"/>
        <w:rPr>
          <w:rFonts w:ascii="Arial" w:cs="Arial" w:eastAsia="Arial" w:hAnsi="Arial"/>
          <w:sz w:val="16"/>
          <w:szCs w:val="16"/>
          <w:color w:val="auto"/>
        </w:rPr>
      </w:pPr>
    </w:p>
    <w:p>
      <w:pPr>
        <w:ind w:left="1080" w:right="2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may withdraw their approval of a product or impose restrictions on its distribution, such as in the form of a risk evaluation and mitigation strategy, or REMS.</w:t>
      </w:r>
    </w:p>
    <w:p>
      <w:pPr>
        <w:spacing w:after="0" w:line="186"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208"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194" w:lineRule="exact"/>
        <w:rPr>
          <w:sz w:val="20"/>
          <w:szCs w:val="20"/>
          <w:color w:val="auto"/>
        </w:rPr>
      </w:pPr>
    </w:p>
    <w:p>
      <w:pPr>
        <w:jc w:val="both"/>
        <w:ind w:firstLine="387"/>
        <w:spacing w:after="0" w:line="287" w:lineRule="auto"/>
        <w:rPr>
          <w:sz w:val="20"/>
          <w:szCs w:val="20"/>
          <w:color w:val="auto"/>
        </w:rPr>
      </w:pPr>
      <w:r>
        <w:rPr>
          <w:rFonts w:ascii="Arial" w:cs="Arial" w:eastAsia="Arial" w:hAnsi="Arial"/>
          <w:sz w:val="16"/>
          <w:szCs w:val="16"/>
          <w:color w:val="auto"/>
        </w:rPr>
        <w:t>There are currently no therapies approved to treat FSHD, and there may be no therapies approved to treat the underlying causes of diseases that we attempt to address or may address in the future.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such as the optimized time up and go test we intend to use in our losmapimod clinical trials, which we refer to as the FSHD-TUG test, and the FDA or other regulatory authorities may not consider the endpoints of our clinical trials to provide clinically meaningful results. Even if applicable regulatory authorities do not object to our proposed endpoints in an earlier stage clinical trial, such regulatory authorities may require evaluation of additional or different clinical endpoints in later-stage clinical trials. Additionally, if we pursue accelerated approval for certain product candidates, the FDA or another regulatory authority may determine that the biomarker efficacy endpoint we select for evaluation is not sufficiently predictive of clinical benefit to support accelerated approval. For example, if we pursue accelerated approval with the FDA for losmapimod for the treatment of FSHD, the FDA may determine that our proposed biomarker efficacy endpoint of measuring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DUX4-driven gene expression as a biomarker in muscle biopsies is inadequate to accurately capture treatment effects in muscle over time or is not sufficiently predictive of clinical benefit to support approval. The FDA may also determine that the measurement interval for our Phase 2b clinical trial is too short to evaluate the potential clinical benefit of losmapimod for FSHD where the progression of symptoms is relatively slow and chronic dosing is required.</w:t>
      </w:r>
    </w:p>
    <w:p>
      <w:pPr>
        <w:spacing w:after="0" w:line="161" w:lineRule="exact"/>
        <w:rPr>
          <w:sz w:val="20"/>
          <w:szCs w:val="20"/>
          <w:color w:val="auto"/>
        </w:rPr>
      </w:pPr>
    </w:p>
    <w:p>
      <w:pPr>
        <w:jc w:val="both"/>
        <w:ind w:firstLine="470"/>
        <w:spacing w:after="0" w:line="253" w:lineRule="auto"/>
        <w:rPr>
          <w:sz w:val="20"/>
          <w:szCs w:val="20"/>
          <w:color w:val="auto"/>
        </w:rPr>
      </w:pPr>
      <w:r>
        <w:rPr>
          <w:rFonts w:ascii="Arial" w:cs="Arial" w:eastAsia="Arial" w:hAnsi="Arial"/>
          <w:sz w:val="18"/>
          <w:szCs w:val="18"/>
          <w:color w:val="auto"/>
        </w:rPr>
        <w:t>Even if the FDA does find our clinical trial success criteria to be sufficiently validated and clinically meaningful,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primary endpoint, if we do not do so on our secondary efficacy endpoints.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20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86" w:lineRule="exact"/>
        <w:rPr>
          <w:sz w:val="20"/>
          <w:szCs w:val="20"/>
          <w:color w:val="auto"/>
        </w:rPr>
      </w:pPr>
    </w:p>
    <w:p>
      <w:pPr>
        <w:jc w:val="both"/>
        <w:ind w:firstLine="420"/>
        <w:spacing w:after="0" w:line="255" w:lineRule="auto"/>
        <w:rPr>
          <w:sz w:val="20"/>
          <w:szCs w:val="20"/>
          <w:color w:val="auto"/>
        </w:rPr>
      </w:pPr>
      <w:r>
        <w:rPr>
          <w:rFonts w:ascii="Arial" w:cs="Arial" w:eastAsia="Arial" w:hAnsi="Arial"/>
          <w:sz w:val="18"/>
          <w:szCs w:val="18"/>
          <w:color w:val="auto"/>
        </w:rPr>
        <w:t>Identifying and qualifying patients to participate in clinical trials for our product candidates is critical to our success. Successful and timely completion of clinical trials will require that we enroll a sufficient number of patients who remain in the trial until its conclusion.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rare diseases, we may have difficulty enrolling a sufficient number of eligible patients.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Patient enrollment is affected by a variety of other factors, including:</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the disease under investigation;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trial;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requirements of the trial protocols, including invasive procedures such as muscle biopsies;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existing treatments for the indications for which we are conducting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conduct of clinical trials by competitors for product candidates that treat the same indications as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identify specific patient populations for biomarker-defined trial cohort(s);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to, or lack of adequate compensation for, prospective patients.</w:t>
      </w:r>
    </w:p>
    <w:p>
      <w:pPr>
        <w:spacing w:after="0" w:line="225" w:lineRule="exact"/>
        <w:rPr>
          <w:sz w:val="20"/>
          <w:szCs w:val="20"/>
          <w:color w:val="auto"/>
        </w:rPr>
      </w:pPr>
    </w:p>
    <w:p>
      <w:pPr>
        <w:jc w:val="both"/>
        <w:ind w:firstLine="396"/>
        <w:spacing w:after="0" w:line="256" w:lineRule="auto"/>
        <w:rPr>
          <w:sz w:val="20"/>
          <w:szCs w:val="20"/>
          <w:color w:val="auto"/>
        </w:rPr>
      </w:pPr>
      <w:r>
        <w:rPr>
          <w:rFonts w:ascii="Arial" w:cs="Arial" w:eastAsia="Arial" w:hAnsi="Arial"/>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limit our ability to obtain additional financing.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186" w:lineRule="exact"/>
        <w:rPr>
          <w:sz w:val="20"/>
          <w:szCs w:val="20"/>
          <w:color w:val="auto"/>
        </w:rPr>
      </w:pPr>
    </w:p>
    <w:p>
      <w:pPr>
        <w:jc w:val="both"/>
        <w:ind w:firstLine="372"/>
        <w:spacing w:after="0" w:line="255" w:lineRule="auto"/>
        <w:rPr>
          <w:sz w:val="20"/>
          <w:szCs w:val="20"/>
          <w:color w:val="auto"/>
        </w:rPr>
      </w:pPr>
      <w:r>
        <w:rPr>
          <w:rFonts w:ascii="Arial" w:cs="Arial" w:eastAsia="Arial" w:hAnsi="Arial"/>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compounds that initially show promise in early-stage or clinical testing are later found to cause side effects that delay or prevent further development of the compound.</w:t>
      </w:r>
    </w:p>
    <w:p>
      <w:pPr>
        <w:spacing w:after="0" w:line="197" w:lineRule="exact"/>
        <w:rPr>
          <w:sz w:val="20"/>
          <w:szCs w:val="20"/>
          <w:color w:val="auto"/>
        </w:rPr>
      </w:pPr>
    </w:p>
    <w:p>
      <w:pPr>
        <w:jc w:val="both"/>
        <w:ind w:firstLine="394"/>
        <w:spacing w:after="0" w:line="254" w:lineRule="auto"/>
        <w:rPr>
          <w:sz w:val="20"/>
          <w:szCs w:val="20"/>
          <w:color w:val="auto"/>
        </w:rPr>
      </w:pPr>
      <w:r>
        <w:rPr>
          <w:rFonts w:ascii="Arial" w:cs="Arial" w:eastAsia="Arial" w:hAnsi="Arial"/>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19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39" w:lineRule="exact"/>
        <w:rPr>
          <w:sz w:val="20"/>
          <w:szCs w:val="20"/>
          <w:color w:val="auto"/>
        </w:rPr>
      </w:pPr>
    </w:p>
    <w:p>
      <w:pPr>
        <w:jc w:val="both"/>
        <w:ind w:firstLine="358"/>
        <w:spacing w:after="0" w:line="298" w:lineRule="auto"/>
        <w:rPr>
          <w:sz w:val="20"/>
          <w:szCs w:val="20"/>
          <w:color w:val="auto"/>
        </w:rPr>
      </w:pPr>
      <w:r>
        <w:rPr>
          <w:rFonts w:ascii="Arial" w:cs="Arial" w:eastAsia="Arial" w:hAnsi="Arial"/>
          <w:sz w:val="16"/>
          <w:szCs w:val="16"/>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180"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or limitation by regulatory authorities of approvals of such product;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seizure of the product by regulatory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marketing of the product or the manufacturing process for any component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requirement by regulatory authorities of additional warnings on the label, such as a "black box" warning or contraindication;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requirement that we implement a REMS or create a medication guide outlining the risks of such side effects for distribution to patients;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commitment to expensive post-marketing studies as a prerequisite of approval by regulatory authorities of such product;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initiation of regulatory investigations and government enforcement 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initiation of legal action against us to hold us liable for harm caused to patients;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harm to our reputation and resulting harm to physician or patient acceptance of our products.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49"/>
        <w:spacing w:after="0" w:line="268"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86" w:lineRule="exact"/>
        <w:rPr>
          <w:sz w:val="20"/>
          <w:szCs w:val="20"/>
          <w:color w:val="auto"/>
        </w:rPr>
      </w:pPr>
    </w:p>
    <w:p>
      <w:pPr>
        <w:jc w:val="both"/>
        <w:ind w:firstLine="531"/>
        <w:spacing w:after="0" w:line="289" w:lineRule="auto"/>
        <w:rPr>
          <w:sz w:val="20"/>
          <w:szCs w:val="20"/>
          <w:color w:val="auto"/>
        </w:rPr>
      </w:pPr>
      <w:r>
        <w:rPr>
          <w:rFonts w:ascii="Arial" w:cs="Arial" w:eastAsia="Arial" w:hAnsi="Arial"/>
          <w:sz w:val="16"/>
          <w:szCs w:val="16"/>
          <w:color w:val="auto"/>
        </w:rPr>
        <w:t>Because we have limited financial and managerial resources, we are focusing our research and development efforts on rare neuromuscular disorders, hemoglobinopathies and central nervous system diseases.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172"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We are conducting a Phase 1 clinical trial of losmapimod in patients with FSHD in Europe and currently plan to conduct additional clinical trials for our product candidates at sites outside the United States, and the FDA may not accept data from trials conducted in such locations.</w:t>
      </w:r>
    </w:p>
    <w:p>
      <w:pPr>
        <w:spacing w:after="0" w:line="139" w:lineRule="exact"/>
        <w:rPr>
          <w:sz w:val="20"/>
          <w:szCs w:val="20"/>
          <w:color w:val="auto"/>
        </w:rPr>
      </w:pPr>
    </w:p>
    <w:p>
      <w:pPr>
        <w:jc w:val="both"/>
        <w:ind w:firstLine="361"/>
        <w:spacing w:after="0" w:line="289" w:lineRule="auto"/>
        <w:rPr>
          <w:sz w:val="20"/>
          <w:szCs w:val="20"/>
          <w:color w:val="auto"/>
        </w:rPr>
      </w:pPr>
      <w:r>
        <w:rPr>
          <w:rFonts w:ascii="Arial" w:cs="Arial" w:eastAsia="Arial" w:hAnsi="Arial"/>
          <w:sz w:val="16"/>
          <w:szCs w:val="16"/>
          <w:color w:val="auto"/>
        </w:rPr>
        <w:t>We are currently conducting a Phase 1 clinical trial of losmapimod in patients with FSHD in Europe, and we plan to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194" w:lineRule="exact"/>
        <w:rPr>
          <w:sz w:val="20"/>
          <w:szCs w:val="20"/>
          <w:color w:val="auto"/>
        </w:rPr>
      </w:pPr>
    </w:p>
    <w:p>
      <w:pPr>
        <w:jc w:val="both"/>
        <w:ind w:firstLine="366"/>
        <w:spacing w:after="0" w:line="255"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210"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efficacy and potential advantages of our product candidates compared to the advantages and relative risks of alternative treatments;</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offer our products, if approved, for sale at competitive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25" w:lineRule="exact"/>
        <w:rPr>
          <w:sz w:val="20"/>
          <w:szCs w:val="20"/>
          <w:color w:val="auto"/>
        </w:rPr>
      </w:pPr>
    </w:p>
    <w:p>
      <w:pPr>
        <w:jc w:val="both"/>
        <w:ind w:firstLine="549"/>
        <w:spacing w:after="0" w:line="286" w:lineRule="auto"/>
        <w:rPr>
          <w:sz w:val="20"/>
          <w:szCs w:val="20"/>
          <w:color w:val="auto"/>
        </w:rPr>
      </w:pPr>
      <w:r>
        <w:rPr>
          <w:rFonts w:ascii="Arial" w:cs="Arial" w:eastAsia="Arial" w:hAnsi="Arial"/>
          <w:sz w:val="16"/>
          <w:szCs w:val="16"/>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We commissioned Clarion Healthcare, LLC to conduct market research with physicians and payors to better understand the commercial landscape and to assist in our commercial planning. A total of 14 physicians in the United States, the European Union and Asia and nine payors and payor experts in the United States and the European Union were surveyed. As the survey involved a limited number of physicians and payors, the results from such survey may be less reflective of market opportunity than a survey conducted with a larger sample size.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1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94" w:lineRule="exact"/>
        <w:rPr>
          <w:sz w:val="20"/>
          <w:szCs w:val="20"/>
          <w:color w:val="auto"/>
        </w:rPr>
      </w:pPr>
    </w:p>
    <w:p>
      <w:pPr>
        <w:jc w:val="both"/>
        <w:ind w:firstLine="370"/>
        <w:spacing w:after="0" w:line="298" w:lineRule="auto"/>
        <w:rPr>
          <w:sz w:val="20"/>
          <w:szCs w:val="20"/>
          <w:color w:val="auto"/>
        </w:rPr>
      </w:pPr>
      <w:r>
        <w:rPr>
          <w:rFonts w:ascii="Arial" w:cs="Arial" w:eastAsia="Arial" w:hAnsi="Arial"/>
          <w:sz w:val="16"/>
          <w:szCs w:val="16"/>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incurred these commercialization expenses. These efforts may be costly, and our investment would be lost if we cannot retain or reposition our sales and marketing personnel.</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39" w:lineRule="exact"/>
        <w:rPr>
          <w:sz w:val="20"/>
          <w:szCs w:val="20"/>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firstLine="505"/>
        <w:spacing w:after="0" w:line="291" w:lineRule="auto"/>
        <w:rPr>
          <w:sz w:val="20"/>
          <w:szCs w:val="20"/>
          <w:color w:val="auto"/>
        </w:rPr>
      </w:pPr>
      <w:r>
        <w:rPr>
          <w:rFonts w:ascii="Arial" w:cs="Arial" w:eastAsia="Arial" w:hAnsi="Arial"/>
          <w:sz w:val="16"/>
          <w:szCs w:val="16"/>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260" w:lineRule="exact"/>
        <w:rPr>
          <w:sz w:val="20"/>
          <w:szCs w:val="20"/>
          <w:color w:val="auto"/>
        </w:rPr>
      </w:pPr>
    </w:p>
    <w:p>
      <w:pPr>
        <w:jc w:val="both"/>
        <w:ind w:firstLine="429"/>
        <w:spacing w:after="0" w:line="289"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2" w:lineRule="exact"/>
        <w:rPr>
          <w:sz w:val="20"/>
          <w:szCs w:val="20"/>
          <w:color w:val="auto"/>
        </w:rPr>
      </w:pPr>
    </w:p>
    <w:p>
      <w:pPr>
        <w:jc w:val="both"/>
        <w:ind w:firstLine="358"/>
        <w:spacing w:after="0" w:line="298" w:lineRule="auto"/>
        <w:rPr>
          <w:sz w:val="20"/>
          <w:szCs w:val="20"/>
          <w:color w:val="auto"/>
        </w:rPr>
      </w:pPr>
      <w:r>
        <w:rPr>
          <w:rFonts w:ascii="Arial" w:cs="Arial" w:eastAsia="Arial" w:hAnsi="Arial"/>
          <w:sz w:val="16"/>
          <w:szCs w:val="16"/>
          <w:color w:val="auto"/>
        </w:rPr>
        <w:t>For example, we are aware of several product candidates in clinical development that could be competitive with product candidates that we may successfully develop and commercialize. Acceleron Pharma, Inc., or Acceleron, has a product candidate currently in Phase 2a clinical development for FSHD. Novartis AG, Global Blood Therapeutics, Inc., GlycoMimetics Inc., Pfizer, Inc., bluebird bio, Inc., Aruvant Sciences, Inc., EpiDestiny, Inc., or EpiDestiny (in collaboration with Novo Nordisk A/S), Imara, Inc. and Sangamo Therapeutics Inc., or Sangamo (in collaboration with Bioverativ Inc.), are developing therapeutic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approaches for patients with sickle cell disease, or SCD. Acceleron (in collaboration with Celgene Corp.), Bellicum Pharmaceuticals, Inc., Kiadis Pharma, EpiDestiny (in collaboration with Novo Nordisk A/S), Orchard Therapeutics plc, Sangamo (in collaboration with Bioverativ, Inc.) and CRISPR Therapeutics AG (in collaboration with Vertex Pharmaceuticals, Inc.) are developing therapeutic approaches for patients with b-thalassemia.</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"Business—Competition" for additional information regarding competing products and product candidates.</w:t>
      </w:r>
    </w:p>
    <w:p>
      <w:pPr>
        <w:spacing w:after="0" w:line="225"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98" w:lineRule="exact"/>
        <w:rPr>
          <w:sz w:val="20"/>
          <w:szCs w:val="20"/>
          <w:color w:val="auto"/>
        </w:rPr>
      </w:pPr>
    </w:p>
    <w:p>
      <w:pPr>
        <w:jc w:val="both"/>
        <w:ind w:firstLine="421"/>
        <w:spacing w:after="0" w:line="259"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194" w:lineRule="exact"/>
        <w:rPr>
          <w:sz w:val="20"/>
          <w:szCs w:val="20"/>
          <w:color w:val="auto"/>
        </w:rPr>
      </w:pPr>
    </w:p>
    <w:p>
      <w:pPr>
        <w:jc w:val="both"/>
        <w:ind w:firstLine="367"/>
        <w:spacing w:after="0" w:line="323" w:lineRule="auto"/>
        <w:rPr>
          <w:sz w:val="20"/>
          <w:szCs w:val="20"/>
          <w:color w:val="auto"/>
        </w:rPr>
      </w:pPr>
      <w:r>
        <w:rPr>
          <w:rFonts w:ascii="Arial" w:cs="Arial" w:eastAsia="Arial" w:hAnsi="Arial"/>
          <w:sz w:val="15"/>
          <w:szCs w:val="15"/>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5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our revenue may be adversely affected, and our business may suffer. Because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161" w:lineRule="exact"/>
        <w:rPr>
          <w:sz w:val="20"/>
          <w:szCs w:val="20"/>
          <w:color w:val="auto"/>
        </w:rPr>
      </w:pPr>
    </w:p>
    <w:p>
      <w:pPr>
        <w:jc w:val="both"/>
        <w:ind w:firstLine="476"/>
        <w:spacing w:after="0" w:line="286" w:lineRule="auto"/>
        <w:rPr>
          <w:sz w:val="20"/>
          <w:szCs w:val="20"/>
          <w:color w:val="auto"/>
        </w:rPr>
      </w:pPr>
      <w:r>
        <w:rPr>
          <w:rFonts w:ascii="Arial" w:cs="Arial" w:eastAsia="Arial" w:hAnsi="Arial"/>
          <w:sz w:val="16"/>
          <w:szCs w:val="16"/>
          <w:color w:val="auto"/>
        </w:rPr>
        <w:t>We focus our research and product development on treatments for rare diseases. Given the small number of patients who have the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81" w:lineRule="exact"/>
        <w:rPr>
          <w:sz w:val="20"/>
          <w:szCs w:val="20"/>
          <w:color w:val="auto"/>
        </w:rPr>
      </w:pPr>
    </w:p>
    <w:p>
      <w:pPr>
        <w:jc w:val="both"/>
        <w:ind w:right="20" w:firstLine="446"/>
        <w:spacing w:after="0" w:line="332" w:lineRule="auto"/>
        <w:rPr>
          <w:sz w:val="20"/>
          <w:szCs w:val="20"/>
          <w:color w:val="auto"/>
        </w:rPr>
      </w:pPr>
      <w:r>
        <w:rPr>
          <w:rFonts w:ascii="Arial" w:cs="Arial" w:eastAsia="Arial" w:hAnsi="Arial"/>
          <w:sz w:val="16"/>
          <w:szCs w:val="16"/>
          <w:color w:val="auto"/>
        </w:rPr>
        <w:t>Our target patient populations are relatively small, and there is currently no standard of care treatment directed at some of our target indications, such as FSHD. As a result, the pricing and reimbursement of our product candidates, if approved, is uncertain, but must be adequate to support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commercial infrastructure. If we are unable to obtain adequate levels of reimbursement, our ability to successfully market and sell our product candidates will be adversely affected.</w:t>
      </w:r>
    </w:p>
    <w:p>
      <w:pPr>
        <w:spacing w:after="0" w:line="186"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b w:val="1"/>
          <w:bCs w:val="1"/>
          <w:i w:val="1"/>
          <w:iCs w:val="1"/>
          <w:color w:val="auto"/>
        </w:rPr>
        <w:t>We expect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116" w:lineRule="exact"/>
        <w:rPr>
          <w:sz w:val="20"/>
          <w:szCs w:val="20"/>
          <w:color w:val="auto"/>
        </w:rPr>
      </w:pPr>
    </w:p>
    <w:p>
      <w:pPr>
        <w:jc w:val="both"/>
        <w:ind w:firstLine="368"/>
        <w:spacing w:after="0" w:line="287" w:lineRule="auto"/>
        <w:rPr>
          <w:sz w:val="20"/>
          <w:szCs w:val="20"/>
          <w:color w:val="auto"/>
        </w:rPr>
      </w:pPr>
      <w:r>
        <w:rPr>
          <w:rFonts w:ascii="Arial" w:cs="Arial" w:eastAsia="Arial" w:hAnsi="Arial"/>
          <w:sz w:val="16"/>
          <w:szCs w:val="16"/>
          <w:color w:val="auto"/>
        </w:rPr>
        <w:t>We expect to rely on third parties to manufacture clinical supplies of our product candidates and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 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These facilities may also be affected by natural disasters, such as floods or fire, or such facilities could face manufacturing issues, such as contamination or regulatory concerns following a regulatory inspection of such facility. In such instances, we may need to locate an appropriate replacement third-party facility and establish a contractual relationship, which may not be readily available or on acceptable terms, which would cause additional delay and increased expense, including as a result of additional required FDA approvals, and may have a material adverse effect on our business.</w:t>
      </w:r>
    </w:p>
    <w:p>
      <w:pPr>
        <w:spacing w:after="0" w:line="177" w:lineRule="exact"/>
        <w:rPr>
          <w:sz w:val="20"/>
          <w:szCs w:val="20"/>
          <w:color w:val="auto"/>
        </w:rPr>
      </w:pPr>
    </w:p>
    <w:p>
      <w:pPr>
        <w:jc w:val="both"/>
        <w:ind w:firstLine="402"/>
        <w:spacing w:after="0" w:line="256" w:lineRule="auto"/>
        <w:rPr>
          <w:sz w:val="20"/>
          <w:szCs w:val="20"/>
          <w:color w:val="auto"/>
        </w:rPr>
      </w:pPr>
      <w:r>
        <w:rPr>
          <w:rFonts w:ascii="Arial" w:cs="Arial" w:eastAsia="Arial" w:hAnsi="Arial"/>
          <w:sz w:val="18"/>
          <w:szCs w:val="18"/>
          <w:color w:val="auto"/>
        </w:rPr>
        <w:t>Our third-party manufacturers are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197"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6"/>
          <w:szCs w:val="16"/>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186" w:lineRule="exact"/>
        <w:rPr>
          <w:sz w:val="20"/>
          <w:szCs w:val="20"/>
          <w:color w:val="auto"/>
        </w:rPr>
      </w:pPr>
    </w:p>
    <w:p>
      <w:pPr>
        <w:jc w:val="both"/>
        <w:ind w:firstLine="383"/>
        <w:spacing w:after="0" w:line="290" w:lineRule="auto"/>
        <w:rPr>
          <w:sz w:val="20"/>
          <w:szCs w:val="20"/>
          <w:color w:val="auto"/>
        </w:rPr>
      </w:pPr>
      <w:r>
        <w:rPr>
          <w:rFonts w:ascii="Arial" w:cs="Arial" w:eastAsia="Arial" w:hAnsi="Arial"/>
          <w:sz w:val="16"/>
          <w:szCs w:val="16"/>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investment in one or more product candidates, even if our product candidates obtain marketing approval.</w:t>
      </w:r>
    </w:p>
    <w:p>
      <w:pPr>
        <w:spacing w:after="0" w:line="225" w:lineRule="exact"/>
        <w:rPr>
          <w:sz w:val="20"/>
          <w:szCs w:val="20"/>
          <w:color w:val="auto"/>
        </w:rPr>
      </w:pPr>
    </w:p>
    <w:p>
      <w:pPr>
        <w:jc w:val="both"/>
        <w:ind w:firstLine="402"/>
        <w:spacing w:after="0" w:line="286" w:lineRule="auto"/>
        <w:rPr>
          <w:sz w:val="20"/>
          <w:szCs w:val="20"/>
          <w:color w:val="auto"/>
        </w:rPr>
      </w:pPr>
      <w:r>
        <w:rPr>
          <w:rFonts w:ascii="Arial" w:cs="Arial" w:eastAsia="Arial" w:hAnsi="Arial"/>
          <w:sz w:val="16"/>
          <w:szCs w:val="16"/>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81" w:lineRule="exact"/>
        <w:rPr>
          <w:sz w:val="20"/>
          <w:szCs w:val="20"/>
          <w:color w:val="auto"/>
        </w:rPr>
      </w:pPr>
    </w:p>
    <w:p>
      <w:pPr>
        <w:jc w:val="both"/>
        <w:ind w:firstLine="406"/>
        <w:spacing w:after="0" w:line="286"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1" w:lineRule="exact"/>
        <w:rPr>
          <w:sz w:val="20"/>
          <w:szCs w:val="20"/>
          <w:color w:val="auto"/>
        </w:rPr>
      </w:pPr>
    </w:p>
    <w:p>
      <w:pPr>
        <w:jc w:val="both"/>
        <w:ind w:firstLine="478"/>
        <w:spacing w:after="0" w:line="306" w:lineRule="auto"/>
        <w:rPr>
          <w:sz w:val="20"/>
          <w:szCs w:val="20"/>
          <w:color w:val="auto"/>
        </w:rPr>
      </w:pPr>
      <w:r>
        <w:rPr>
          <w:rFonts w:ascii="Arial" w:cs="Arial" w:eastAsia="Arial" w:hAnsi="Arial"/>
          <w:sz w:val="16"/>
          <w:szCs w:val="16"/>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186" w:lineRule="exact"/>
        <w:rPr>
          <w:sz w:val="20"/>
          <w:szCs w:val="20"/>
          <w:color w:val="auto"/>
        </w:rPr>
      </w:pPr>
    </w:p>
    <w:p>
      <w:pPr>
        <w:jc w:val="both"/>
        <w:ind w:firstLine="365"/>
        <w:spacing w:after="0" w:line="332" w:lineRule="auto"/>
        <w:rPr>
          <w:sz w:val="20"/>
          <w:szCs w:val="20"/>
          <w:color w:val="auto"/>
        </w:rPr>
      </w:pPr>
      <w:r>
        <w:rPr>
          <w:rFonts w:ascii="Arial" w:cs="Arial" w:eastAsia="Arial" w:hAnsi="Arial"/>
          <w:sz w:val="16"/>
          <w:szCs w:val="16"/>
          <w:color w:val="auto"/>
        </w:rPr>
        <w:t>Our future profitability will depend, in part, on our ability to commercialize our product candidates in markets outside of the United States and the European Union. If we commercialize our product candidates in foreign markets, we will be subject to additional risks and uncertainties, including:</w:t>
      </w:r>
    </w:p>
    <w:p>
      <w:pPr>
        <w:spacing w:after="0" w:line="153"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many of which vary between countries;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tariffs and trade barriers, as well as other governmental controls and trade restrictions;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trade protection measures, import or export licensing requirements or other restrictive actions by U.S. or foreign governments;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reduced protection of intellectual property rights in some foreign countries, and related prevalence of generic alternatives to therapeutics;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foreign reimbursement landscapes;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uncertain and potentially inadequate reimbursement of our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risks related to any of these uncertainties materializes, it could have a material adverse effect on our business.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186" w:lineRule="exact"/>
        <w:rPr>
          <w:sz w:val="20"/>
          <w:szCs w:val="20"/>
          <w:color w:val="auto"/>
        </w:rPr>
      </w:pPr>
    </w:p>
    <w:p>
      <w:pPr>
        <w:jc w:val="both"/>
        <w:ind w:firstLine="408"/>
        <w:spacing w:after="0" w:line="291" w:lineRule="auto"/>
        <w:rPr>
          <w:sz w:val="20"/>
          <w:szCs w:val="20"/>
          <w:color w:val="auto"/>
        </w:rPr>
      </w:pPr>
      <w:r>
        <w:rPr>
          <w:rFonts w:ascii="Arial" w:cs="Arial" w:eastAsia="Arial" w:hAnsi="Arial"/>
          <w:sz w:val="16"/>
          <w:szCs w:val="16"/>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201"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costs to defend any related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82"/>
        <w:spacing w:after="0" w:line="294" w:lineRule="auto"/>
        <w:rPr>
          <w:sz w:val="20"/>
          <w:szCs w:val="20"/>
          <w:color w:val="auto"/>
        </w:rPr>
      </w:pPr>
      <w:r>
        <w:rPr>
          <w:rFonts w:ascii="Arial" w:cs="Arial" w:eastAsia="Arial" w:hAnsi="Arial"/>
          <w:sz w:val="16"/>
          <w:szCs w:val="16"/>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86" w:lineRule="exact"/>
        <w:rPr>
          <w:sz w:val="20"/>
          <w:szCs w:val="20"/>
          <w:color w:val="auto"/>
        </w:rPr>
      </w:pPr>
    </w:p>
    <w:p>
      <w:pPr>
        <w:jc w:val="both"/>
        <w:ind w:firstLine="411"/>
        <w:spacing w:after="0" w:line="294" w:lineRule="auto"/>
        <w:rPr>
          <w:sz w:val="20"/>
          <w:szCs w:val="20"/>
          <w:color w:val="auto"/>
        </w:rPr>
      </w:pPr>
      <w:r>
        <w:rPr>
          <w:rFonts w:ascii="Arial" w:cs="Arial" w:eastAsia="Arial" w:hAnsi="Arial"/>
          <w:sz w:val="16"/>
          <w:szCs w:val="16"/>
          <w:color w:val="auto"/>
        </w:rPr>
        <w:t>We currently rely on third-party clinical research organizations to conduct our ongoing Phase 1 clinical trial of losmapimod and plan to rely on third-party clinical research organizations or third-party research collaboratives to conduct our planned clinical trials. We do not plan to independently conduct clinical trials of our other product candidates. We expect to continue to rely on third parties, such as clinical research organizations,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170" w:lineRule="exact"/>
        <w:rPr>
          <w:sz w:val="20"/>
          <w:szCs w:val="20"/>
          <w:color w:val="auto"/>
        </w:rPr>
      </w:pPr>
    </w:p>
    <w:p>
      <w:pPr>
        <w:jc w:val="both"/>
        <w:ind w:firstLine="537"/>
        <w:spacing w:after="0" w:line="253"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20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197"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plan to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61" w:lineRule="exact"/>
        <w:rPr>
          <w:sz w:val="20"/>
          <w:szCs w:val="20"/>
          <w:color w:val="auto"/>
        </w:rPr>
      </w:pPr>
    </w:p>
    <w:p>
      <w:pPr>
        <w:jc w:val="both"/>
        <w:ind w:firstLine="482"/>
        <w:spacing w:after="0" w:line="268" w:lineRule="auto"/>
        <w:rPr>
          <w:sz w:val="20"/>
          <w:szCs w:val="20"/>
          <w:color w:val="auto"/>
        </w:rPr>
      </w:pPr>
      <w:r>
        <w:rPr>
          <w:rFonts w:ascii="Arial" w:cs="Arial" w:eastAsia="Arial" w:hAnsi="Arial"/>
          <w:sz w:val="18"/>
          <w:szCs w:val="18"/>
          <w:color w:val="auto"/>
        </w:rPr>
        <w:t>We do not have any manufacturing facilities. Although we believe we have obtained sufficient losmapimod tablets from GSK to complete our planned Phase 2 clinical trials and that we have received 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sufficient quantity of losmapimod API to complete further clinical trials in FSHD, we cannot be sure we have correctly estimated our drug product and API requirements or that such drug product or API will not expire before we want to use it. We intend to identify and engage a contract manufacturing organization to prepare our own API and to manufacture losmapimod tablets, but we may not be successful in entering into such arrangement or may be unable to do so on terms that are acceptable to us. Even if we have sufficient API to complete further clinical trials in FSHD, we would need to contract with a third-party manufacturer to convert the API into losmapimod tablets. While we believe that we have all the necessary information from GSK to enable any required technology transfer to a contract manufacturing organization, there can be no assurances that we will be able to effect such transfer in a timely manner.</w:t>
      </w:r>
    </w:p>
    <w:p>
      <w:pPr>
        <w:spacing w:after="0" w:line="174"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We expect to rely on third parties for the manufacture of FTX-HbF and any future product candidates for preclinical and clinical testing, as well as for commercial manufacture if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97" w:lineRule="exact"/>
        <w:rPr>
          <w:sz w:val="20"/>
          <w:szCs w:val="20"/>
          <w:color w:val="auto"/>
        </w:rPr>
      </w:pPr>
    </w:p>
    <w:p>
      <w:pPr>
        <w:jc w:val="both"/>
        <w:ind w:firstLine="411"/>
        <w:spacing w:after="0" w:line="256" w:lineRule="auto"/>
        <w:rPr>
          <w:sz w:val="20"/>
          <w:szCs w:val="20"/>
          <w:color w:val="auto"/>
        </w:rPr>
      </w:pPr>
      <w:r>
        <w:rPr>
          <w:rFonts w:ascii="Arial" w:cs="Arial" w:eastAsia="Arial" w:hAnsi="Arial"/>
          <w:sz w:val="18"/>
          <w:szCs w:val="18"/>
          <w:color w:val="auto"/>
        </w:rPr>
        <w:t>We also expect to rely on third-party manufacturers or third-party collaborators for the manufacture of commercial supply of any other product candidates for which we or our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211"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jc w:val="both"/>
        <w:ind w:firstLine="416"/>
        <w:spacing w:after="0" w:line="298" w:lineRule="auto"/>
        <w:rPr>
          <w:sz w:val="20"/>
          <w:szCs w:val="20"/>
          <w:color w:val="auto"/>
        </w:rPr>
      </w:pPr>
      <w:r>
        <w:rPr>
          <w:rFonts w:ascii="Arial" w:cs="Arial" w:eastAsia="Arial" w:hAnsi="Arial"/>
          <w:sz w:val="16"/>
          <w:szCs w:val="16"/>
          <w:color w:val="auto"/>
        </w:rPr>
        <w:t>Third-party manufacturers may not be able to comply with current good manufacturing practices, or cGMP, regulations or similar regulatory requirements outside of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67" w:lineRule="exact"/>
        <w:rPr>
          <w:sz w:val="20"/>
          <w:szCs w:val="20"/>
          <w:color w:val="auto"/>
        </w:rPr>
      </w:pPr>
    </w:p>
    <w:p>
      <w:pPr>
        <w:jc w:val="both"/>
        <w:ind w:right="20" w:firstLine="523"/>
        <w:spacing w:after="0" w:line="33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39" w:lineRule="exact"/>
        <w:rPr>
          <w:sz w:val="20"/>
          <w:szCs w:val="20"/>
          <w:color w:val="auto"/>
        </w:rPr>
      </w:pPr>
    </w:p>
    <w:p>
      <w:pPr>
        <w:jc w:val="both"/>
        <w:ind w:firstLine="424"/>
        <w:spacing w:after="0" w:line="298"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167"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We may enter into collaborations with third parties for the development or commercialization of our product candidates. If our collaborations are not successful, we may not be able to capitalize on the market potential of these product candidates and our business could be adversely affected.</w:t>
      </w:r>
    </w:p>
    <w:p>
      <w:pPr>
        <w:spacing w:after="0" w:line="139"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While we have retained all rights to and are developing on our own our current product candidates, we may in the future enter into development, distribution or marketing arrangements with third parties with respect to our existing or future product candidates. Our likely collaborators for any sales, marketing, distribution, development, licensing or broader collaboration arrangements include large and mid-size pharmaceutical companies, regional and national pharmaceutical companies and biotechnology companies. We are not currently party to any such arrangement. However, if we do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Collaborations that we enter into may not be successful, and any success will depend heavily on the efforts and activities of such collaborators.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pose a number of risks, including the following:</w:t>
      </w:r>
    </w:p>
    <w:p>
      <w:pPr>
        <w:spacing w:after="0" w:line="232"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amount and timing of efforts and resources that they will apply to these collaborations;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207"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18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221"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52"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212"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1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86" w:lineRule="exact"/>
        <w:rPr>
          <w:sz w:val="20"/>
          <w:szCs w:val="20"/>
          <w:color w:val="auto"/>
        </w:rPr>
      </w:pPr>
    </w:p>
    <w:p>
      <w:pPr>
        <w:jc w:val="both"/>
        <w:ind w:firstLine="608"/>
        <w:spacing w:after="0" w:line="254"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prospectus also apply to the activities of our collaborators.</w:t>
      </w:r>
    </w:p>
    <w:p>
      <w:pPr>
        <w:spacing w:after="0" w:line="198" w:lineRule="exact"/>
        <w:rPr>
          <w:sz w:val="20"/>
          <w:szCs w:val="20"/>
          <w:color w:val="auto"/>
        </w:rPr>
      </w:pPr>
    </w:p>
    <w:p>
      <w:pPr>
        <w:jc w:val="both"/>
        <w:ind w:firstLine="385"/>
        <w:spacing w:after="0" w:line="306" w:lineRule="auto"/>
        <w:rPr>
          <w:sz w:val="20"/>
          <w:szCs w:val="20"/>
          <w:color w:val="auto"/>
        </w:rPr>
      </w:pPr>
      <w:r>
        <w:rPr>
          <w:rFonts w:ascii="Arial" w:cs="Arial" w:eastAsia="Arial" w:hAnsi="Arial"/>
          <w:sz w:val="16"/>
          <w:szCs w:val="16"/>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adversely affected.</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186" w:lineRule="exact"/>
        <w:rPr>
          <w:sz w:val="20"/>
          <w:szCs w:val="20"/>
          <w:color w:val="auto"/>
        </w:rPr>
      </w:pPr>
    </w:p>
    <w:p>
      <w:pPr>
        <w:jc w:val="both"/>
        <w:ind w:firstLine="494"/>
        <w:spacing w:after="0" w:line="289" w:lineRule="auto"/>
        <w:rPr>
          <w:sz w:val="20"/>
          <w:szCs w:val="20"/>
          <w:color w:val="auto"/>
        </w:rPr>
      </w:pPr>
      <w:r>
        <w:rPr>
          <w:rFonts w:ascii="Arial" w:cs="Arial" w:eastAsia="Arial" w:hAnsi="Arial"/>
          <w:sz w:val="16"/>
          <w:szCs w:val="16"/>
          <w:color w:val="auto"/>
        </w:rPr>
        <w:t>For some of our product candidates, we may decide to collaborate with pharmaceutical or biotechnology companies for the development and potential commercialization of those product candidates.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are also restricted by GSK's right of first negotiation under our current license agreement with them and may in the future be restricted under other license agreements from entering into agreements on certain terms with potential collaborators. 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172" w:lineRule="exact"/>
        <w:rPr>
          <w:sz w:val="20"/>
          <w:szCs w:val="20"/>
          <w:color w:val="auto"/>
        </w:rPr>
      </w:pPr>
    </w:p>
    <w:p>
      <w:pPr>
        <w:jc w:val="both"/>
        <w:ind w:firstLine="366"/>
        <w:spacing w:after="0" w:line="253" w:lineRule="auto"/>
        <w:rPr>
          <w:sz w:val="20"/>
          <w:szCs w:val="20"/>
          <w:color w:val="auto"/>
        </w:rPr>
      </w:pPr>
      <w:r>
        <w:rPr>
          <w:rFonts w:ascii="Arial" w:cs="Arial" w:eastAsia="Arial" w:hAnsi="Arial"/>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61" w:lineRule="exact"/>
        <w:rPr>
          <w:sz w:val="20"/>
          <w:szCs w:val="20"/>
          <w:color w:val="auto"/>
        </w:rPr>
      </w:pPr>
    </w:p>
    <w:p>
      <w:pPr>
        <w:jc w:val="both"/>
        <w:ind w:firstLine="399"/>
        <w:spacing w:after="0" w:line="254" w:lineRule="auto"/>
        <w:rPr>
          <w:sz w:val="20"/>
          <w:szCs w:val="20"/>
          <w:color w:val="auto"/>
        </w:rPr>
      </w:pPr>
      <w:r>
        <w:rPr>
          <w:rFonts w:ascii="Arial" w:cs="Arial" w:eastAsia="Arial" w:hAnsi="Arial"/>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198" w:lineRule="exact"/>
        <w:rPr>
          <w:sz w:val="20"/>
          <w:szCs w:val="20"/>
          <w:color w:val="auto"/>
        </w:rPr>
      </w:pPr>
    </w:p>
    <w:p>
      <w:pPr>
        <w:jc w:val="both"/>
        <w:ind w:firstLine="514"/>
        <w:spacing w:after="0" w:line="254"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198" w:lineRule="exact"/>
        <w:rPr>
          <w:sz w:val="20"/>
          <w:szCs w:val="20"/>
          <w:color w:val="auto"/>
        </w:rPr>
      </w:pPr>
    </w:p>
    <w:p>
      <w:pPr>
        <w:jc w:val="both"/>
        <w:ind w:firstLine="410"/>
        <w:spacing w:after="0" w:line="259" w:lineRule="auto"/>
        <w:rPr>
          <w:sz w:val="20"/>
          <w:szCs w:val="20"/>
          <w:color w:val="auto"/>
        </w:rPr>
      </w:pPr>
      <w:r>
        <w:rPr>
          <w:rFonts w:ascii="Arial" w:cs="Arial" w:eastAsia="Arial" w:hAnsi="Arial"/>
          <w:sz w:val="18"/>
          <w:szCs w:val="18"/>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w:t>
      </w:r>
    </w:p>
    <w:p>
      <w:pPr>
        <w:spacing w:after="0" w:line="175" w:lineRule="exact"/>
        <w:rPr>
          <w:sz w:val="20"/>
          <w:szCs w:val="20"/>
          <w:color w:val="auto"/>
        </w:rPr>
      </w:pPr>
    </w:p>
    <w:p>
      <w:pPr>
        <w:jc w:val="both"/>
        <w:ind w:firstLine="416"/>
        <w:spacing w:after="0" w:line="290" w:lineRule="auto"/>
        <w:rPr>
          <w:sz w:val="20"/>
          <w:szCs w:val="20"/>
          <w:color w:val="auto"/>
        </w:rPr>
      </w:pPr>
      <w:r>
        <w:rPr>
          <w:rFonts w:ascii="Arial" w:cs="Arial" w:eastAsia="Arial" w:hAnsi="Arial"/>
          <w:sz w:val="16"/>
          <w:szCs w:val="16"/>
          <w:color w:val="auto"/>
        </w:rPr>
        <w:t>Currently, our patent portfolio related to FTX-HbF is in its earliest stages, including only provisional patent applications which do not themselves issue as patents. We have no issued patents related to FTX-HbF or our SCD or b-thalassemia programs. In order to continue to pursue protection based on provisional patent applications, we will need to file Patent Cooperation Treaty applications, foreign applications and/or U.S. non-provisional patent applications prior to applicable deadlines. Even then, as highlighted above, patents may never issue from our patent applications, or the scope of any patent may not be sufficient to provide a competitive advantage. With respect to losmapimod, the patents to losmapimod licensed from GSK as a composition of matter and pharmaceutical composition are expected to expire on February 10, 2023. Our owned patent applications are not to the composition but, rather, are directed to certain methods of treating FSHD. Even if such patent applications issue as patents, they will not prevent third parties from commercializing losmapimod for other indications.</w:t>
      </w:r>
    </w:p>
    <w:p>
      <w:pPr>
        <w:spacing w:after="0" w:line="172" w:lineRule="exact"/>
        <w:rPr>
          <w:sz w:val="20"/>
          <w:szCs w:val="20"/>
          <w:color w:val="auto"/>
        </w:rPr>
      </w:pPr>
    </w:p>
    <w:p>
      <w:pPr>
        <w:jc w:val="both"/>
        <w:ind w:firstLine="479"/>
        <w:spacing w:after="0" w:line="290" w:lineRule="auto"/>
        <w:rPr>
          <w:sz w:val="20"/>
          <w:szCs w:val="20"/>
          <w:color w:val="auto"/>
        </w:rPr>
      </w:pPr>
      <w:r>
        <w:rPr>
          <w:rFonts w:ascii="Arial" w:cs="Arial" w:eastAsia="Arial" w:hAnsi="Arial"/>
          <w:sz w:val="16"/>
          <w:szCs w:val="16"/>
          <w:color w:val="auto"/>
        </w:rPr>
        <w:t xml:space="preserve">Moreover, we or our licensors may be subject to a third-party preissuance submission of prior art to the United States Patent and Trademark Office, or USPTO, or become involved in opposition, derivation, revocation,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72" w:lineRule="exact"/>
        <w:rPr>
          <w:sz w:val="20"/>
          <w:szCs w:val="20"/>
          <w:color w:val="auto"/>
        </w:rPr>
      </w:pPr>
    </w:p>
    <w:p>
      <w:pPr>
        <w:jc w:val="both"/>
        <w:ind w:firstLine="425"/>
        <w:spacing w:after="0" w:line="291" w:lineRule="auto"/>
        <w:rPr>
          <w:sz w:val="20"/>
          <w:szCs w:val="20"/>
          <w:color w:val="auto"/>
        </w:rPr>
      </w:pPr>
      <w:r>
        <w:rPr>
          <w:rFonts w:ascii="Arial" w:cs="Arial" w:eastAsia="Arial" w:hAnsi="Arial"/>
          <w:sz w:val="16"/>
          <w:szCs w:val="16"/>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25" w:lineRule="exact"/>
        <w:rPr>
          <w:sz w:val="20"/>
          <w:szCs w:val="20"/>
          <w:color w:val="auto"/>
        </w:rPr>
      </w:pPr>
    </w:p>
    <w:p>
      <w:pPr>
        <w:jc w:val="both"/>
        <w:ind w:firstLine="397"/>
        <w:spacing w:after="0" w:line="288"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are expected to expire on February 10, 2023. Given the near term expiration date of these patents, and the fact that safe harbor protections in many jurisdictions permit third parties to engage in development, including clinical trials, these patents may not provide us with any meaningful competitive advantage.</w:t>
      </w:r>
    </w:p>
    <w:p>
      <w:pPr>
        <w:spacing w:after="0" w:line="3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186" w:lineRule="exact"/>
        <w:rPr>
          <w:sz w:val="20"/>
          <w:szCs w:val="20"/>
          <w:color w:val="auto"/>
        </w:rPr>
      </w:pPr>
    </w:p>
    <w:p>
      <w:pPr>
        <w:jc w:val="both"/>
        <w:ind w:firstLine="386"/>
        <w:spacing w:after="0" w:line="291" w:lineRule="auto"/>
        <w:rPr>
          <w:sz w:val="20"/>
          <w:szCs w:val="20"/>
          <w:color w:val="auto"/>
        </w:rPr>
      </w:pPr>
      <w:r>
        <w:rPr>
          <w:rFonts w:ascii="Arial" w:cs="Arial" w:eastAsia="Arial" w:hAnsi="Arial"/>
          <w:sz w:val="16"/>
          <w:szCs w:val="16"/>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7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97"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we do not obtain patent term extension in the United States under the Hatch-Waxman Act and in foreign countries under similar legislation, thereby potentially extending the term of our marketing exclusivity for any product candidates we may develop, our business may be materially harmed.</w:t>
      </w:r>
    </w:p>
    <w:p>
      <w:pPr>
        <w:spacing w:after="0" w:line="139" w:lineRule="exact"/>
        <w:rPr>
          <w:sz w:val="20"/>
          <w:szCs w:val="20"/>
          <w:color w:val="auto"/>
        </w:rPr>
      </w:pPr>
    </w:p>
    <w:p>
      <w:pPr>
        <w:jc w:val="both"/>
        <w:ind w:firstLine="404"/>
        <w:spacing w:after="0" w:line="285" w:lineRule="auto"/>
        <w:rPr>
          <w:sz w:val="20"/>
          <w:szCs w:val="20"/>
          <w:color w:val="auto"/>
        </w:rPr>
      </w:pPr>
      <w:r>
        <w:rPr>
          <w:rFonts w:ascii="Arial" w:cs="Arial" w:eastAsia="Arial" w:hAnsi="Arial"/>
          <w:sz w:val="16"/>
          <w:szCs w:val="16"/>
          <w:color w:val="auto"/>
        </w:rPr>
        <w:t>In the United States,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80" w:lineRule="exact"/>
        <w:rPr>
          <w:sz w:val="20"/>
          <w:szCs w:val="20"/>
          <w:color w:val="auto"/>
        </w:rPr>
      </w:pPr>
    </w:p>
    <w:p>
      <w:pPr>
        <w:jc w:val="both"/>
        <w:ind w:firstLine="421"/>
        <w:spacing w:after="0" w:line="294" w:lineRule="auto"/>
        <w:rPr>
          <w:sz w:val="20"/>
          <w:szCs w:val="20"/>
          <w:color w:val="auto"/>
        </w:rPr>
      </w:pPr>
      <w:r>
        <w:rPr>
          <w:rFonts w:ascii="Arial" w:cs="Arial" w:eastAsia="Arial" w:hAnsi="Arial"/>
          <w:sz w:val="16"/>
          <w:szCs w:val="16"/>
          <w:color w:val="auto"/>
        </w:rPr>
        <w:t>It is possible that we will not obtain patent term extension under the Hatch-Waxman Act for a U.S. patent covering any of our product candidates that we may identify even where that patent is eligible for patent term extension, or if we obtain such an extension, it may be for a shorter period than we had sought. Further, for our licensed patents, we may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70" w:lineRule="exact"/>
        <w:rPr>
          <w:sz w:val="20"/>
          <w:szCs w:val="20"/>
          <w:color w:val="auto"/>
        </w:rPr>
      </w:pPr>
    </w:p>
    <w:p>
      <w:pPr>
        <w:jc w:val="both"/>
        <w:ind w:firstLine="470"/>
        <w:spacing w:after="0" w:line="291" w:lineRule="auto"/>
        <w:rPr>
          <w:sz w:val="20"/>
          <w:szCs w:val="20"/>
          <w:color w:val="auto"/>
        </w:rPr>
      </w:pPr>
      <w:r>
        <w:rPr>
          <w:rFonts w:ascii="Arial" w:cs="Arial" w:eastAsia="Arial" w:hAnsi="Arial"/>
          <w:sz w:val="16"/>
          <w:szCs w:val="16"/>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186" w:lineRule="exact"/>
        <w:rPr>
          <w:sz w:val="20"/>
          <w:szCs w:val="20"/>
          <w:color w:val="auto"/>
        </w:rPr>
      </w:pPr>
    </w:p>
    <w:p>
      <w:pPr>
        <w:jc w:val="both"/>
        <w:ind w:firstLine="390"/>
        <w:spacing w:after="0" w:line="286" w:lineRule="auto"/>
        <w:rPr>
          <w:sz w:val="20"/>
          <w:szCs w:val="20"/>
          <w:color w:val="auto"/>
        </w:rPr>
      </w:pPr>
      <w:r>
        <w:rPr>
          <w:rFonts w:ascii="Arial" w:cs="Arial" w:eastAsia="Arial" w:hAnsi="Arial"/>
          <w:sz w:val="16"/>
          <w:szCs w:val="16"/>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5" w:lineRule="exact"/>
        <w:rPr>
          <w:sz w:val="20"/>
          <w:szCs w:val="20"/>
          <w:color w:val="auto"/>
        </w:rPr>
      </w:pPr>
    </w:p>
    <w:p>
      <w:pPr>
        <w:jc w:val="both"/>
        <w:ind w:firstLine="371"/>
        <w:spacing w:after="0" w:line="294"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186" w:lineRule="exact"/>
        <w:rPr>
          <w:sz w:val="20"/>
          <w:szCs w:val="20"/>
          <w:color w:val="auto"/>
        </w:rPr>
      </w:pPr>
    </w:p>
    <w:p>
      <w:pPr>
        <w:jc w:val="both"/>
        <w:ind w:firstLine="391"/>
        <w:spacing w:after="0" w:line="286" w:lineRule="auto"/>
        <w:rPr>
          <w:sz w:val="20"/>
          <w:szCs w:val="20"/>
          <w:color w:val="auto"/>
        </w:rPr>
      </w:pPr>
      <w:r>
        <w:rPr>
          <w:rFonts w:ascii="Arial" w:cs="Arial" w:eastAsia="Arial" w:hAnsi="Arial"/>
          <w:sz w:val="16"/>
          <w:szCs w:val="16"/>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The outcome following legal assertions of invalidity and unenforceability is unpredictable.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70"/>
        <w:spacing w:after="0" w:line="291" w:lineRule="auto"/>
        <w:rPr>
          <w:sz w:val="20"/>
          <w:szCs w:val="20"/>
          <w:color w:val="auto"/>
        </w:rPr>
      </w:pPr>
      <w:r>
        <w:rPr>
          <w:rFonts w:ascii="Arial" w:cs="Arial" w:eastAsia="Arial" w:hAnsi="Arial"/>
          <w:sz w:val="16"/>
          <w:szCs w:val="16"/>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74" w:lineRule="exact"/>
        <w:rPr>
          <w:sz w:val="20"/>
          <w:szCs w:val="20"/>
          <w:color w:val="auto"/>
        </w:rPr>
      </w:pPr>
    </w:p>
    <w:p>
      <w:pPr>
        <w:jc w:val="both"/>
        <w:ind w:firstLine="409"/>
        <w:spacing w:after="0" w:line="290" w:lineRule="auto"/>
        <w:rPr>
          <w:sz w:val="20"/>
          <w:szCs w:val="20"/>
          <w:color w:val="auto"/>
        </w:rPr>
      </w:pPr>
      <w:r>
        <w:rPr>
          <w:rFonts w:ascii="Arial" w:cs="Arial" w:eastAsia="Arial" w:hAnsi="Arial"/>
          <w:sz w:val="16"/>
          <w:szCs w:val="16"/>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72" w:lineRule="exact"/>
        <w:rPr>
          <w:sz w:val="20"/>
          <w:szCs w:val="20"/>
          <w:color w:val="auto"/>
        </w:rPr>
      </w:pPr>
    </w:p>
    <w:p>
      <w:pPr>
        <w:jc w:val="both"/>
        <w:ind w:firstLine="474"/>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86"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6"/>
          <w:szCs w:val="16"/>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72" w:lineRule="exact"/>
        <w:rPr>
          <w:sz w:val="20"/>
          <w:szCs w:val="20"/>
          <w:color w:val="auto"/>
        </w:rPr>
      </w:pPr>
    </w:p>
    <w:p>
      <w:pPr>
        <w:jc w:val="both"/>
        <w:ind w:firstLine="399"/>
        <w:spacing w:after="0" w:line="298" w:lineRule="auto"/>
        <w:rPr>
          <w:sz w:val="20"/>
          <w:szCs w:val="20"/>
          <w:color w:val="auto"/>
        </w:rPr>
      </w:pPr>
      <w:r>
        <w:rPr>
          <w:rFonts w:ascii="Arial" w:cs="Arial" w:eastAsia="Arial" w:hAnsi="Arial"/>
          <w:sz w:val="16"/>
          <w:szCs w:val="16"/>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70" w:lineRule="exact"/>
        <w:rPr>
          <w:sz w:val="20"/>
          <w:szCs w:val="20"/>
          <w:color w:val="auto"/>
        </w:rPr>
      </w:pPr>
    </w:p>
    <w:p>
      <w:pPr>
        <w:jc w:val="both"/>
        <w:ind w:firstLine="417"/>
        <w:spacing w:after="0" w:line="288"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74" w:lineRule="exact"/>
        <w:rPr>
          <w:sz w:val="20"/>
          <w:szCs w:val="20"/>
          <w:color w:val="auto"/>
        </w:rPr>
      </w:pPr>
    </w:p>
    <w:p>
      <w:pPr>
        <w:jc w:val="both"/>
        <w:ind w:firstLine="612"/>
        <w:spacing w:after="0" w:line="294"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0" w:lineRule="exact"/>
        <w:rPr>
          <w:sz w:val="20"/>
          <w:szCs w:val="20"/>
          <w:color w:val="auto"/>
        </w:rPr>
      </w:pPr>
    </w:p>
    <w:p>
      <w:pPr>
        <w:jc w:val="both"/>
        <w:ind w:firstLine="377"/>
        <w:spacing w:after="0" w:line="286" w:lineRule="auto"/>
        <w:rPr>
          <w:sz w:val="20"/>
          <w:szCs w:val="20"/>
          <w:color w:val="auto"/>
        </w:rPr>
      </w:pPr>
      <w:r>
        <w:rPr>
          <w:rFonts w:ascii="Arial" w:cs="Arial" w:eastAsia="Arial" w:hAnsi="Arial"/>
          <w:sz w:val="16"/>
          <w:szCs w:val="16"/>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18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186" w:lineRule="exact"/>
        <w:rPr>
          <w:sz w:val="20"/>
          <w:szCs w:val="20"/>
          <w:color w:val="auto"/>
        </w:rPr>
      </w:pPr>
    </w:p>
    <w:p>
      <w:pPr>
        <w:jc w:val="both"/>
        <w:ind w:firstLine="442"/>
        <w:spacing w:after="0" w:line="268"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172"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jc w:val="both"/>
        <w:ind w:firstLine="396"/>
        <w:spacing w:after="0" w:line="286"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7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39" w:lineRule="exact"/>
        <w:rPr>
          <w:sz w:val="20"/>
          <w:szCs w:val="20"/>
          <w:color w:val="auto"/>
        </w:rPr>
      </w:pPr>
    </w:p>
    <w:p>
      <w:pPr>
        <w:jc w:val="both"/>
        <w:ind w:firstLine="550"/>
        <w:spacing w:after="0" w:line="288" w:lineRule="auto"/>
        <w:rPr>
          <w:sz w:val="20"/>
          <w:szCs w:val="20"/>
          <w:color w:val="auto"/>
        </w:rPr>
      </w:pPr>
      <w:r>
        <w:rPr>
          <w:rFonts w:ascii="Arial" w:cs="Arial" w:eastAsia="Arial" w:hAnsi="Arial"/>
          <w:sz w:val="16"/>
          <w:szCs w:val="16"/>
          <w:color w:val="auto"/>
        </w:rPr>
        <w:t>We are party to license and funding agreements, such as the GSK Agreement, that impose, and we may enter into additional licensing and funding arrangements with third parties that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 related issues;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jc w:val="both"/>
        <w:ind w:firstLine="433"/>
        <w:spacing w:after="0" w:line="290"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72" w:lineRule="exact"/>
        <w:rPr>
          <w:sz w:val="20"/>
          <w:szCs w:val="20"/>
          <w:color w:val="auto"/>
        </w:rPr>
      </w:pPr>
    </w:p>
    <w:p>
      <w:pPr>
        <w:jc w:val="both"/>
        <w:ind w:firstLine="407"/>
        <w:spacing w:after="0" w:line="298" w:lineRule="auto"/>
        <w:rPr>
          <w:sz w:val="20"/>
          <w:szCs w:val="20"/>
          <w:color w:val="auto"/>
        </w:rPr>
      </w:pPr>
      <w:r>
        <w:rPr>
          <w:rFonts w:ascii="Arial" w:cs="Arial" w:eastAsia="Arial" w:hAnsi="Arial"/>
          <w:sz w:val="16"/>
          <w:szCs w:val="16"/>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67" w:lineRule="exact"/>
        <w:rPr>
          <w:sz w:val="20"/>
          <w:szCs w:val="20"/>
          <w:color w:val="auto"/>
        </w:rPr>
      </w:pPr>
    </w:p>
    <w:p>
      <w:pPr>
        <w:jc w:val="both"/>
        <w:ind w:firstLine="396"/>
        <w:spacing w:after="0" w:line="255"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225" w:lineRule="exact"/>
        <w:rPr>
          <w:sz w:val="20"/>
          <w:szCs w:val="20"/>
          <w:color w:val="auto"/>
        </w:rPr>
      </w:pPr>
    </w:p>
    <w:p>
      <w:pPr>
        <w:jc w:val="both"/>
        <w:ind w:firstLine="463"/>
        <w:spacing w:after="0" w:line="268"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the laws of foreign countries may not protect our rights to the same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72"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97" w:lineRule="exact"/>
        <w:rPr>
          <w:sz w:val="20"/>
          <w:szCs w:val="20"/>
          <w:color w:val="auto"/>
        </w:rPr>
      </w:pPr>
    </w:p>
    <w:p>
      <w:pPr>
        <w:jc w:val="both"/>
        <w:ind w:firstLine="470"/>
        <w:spacing w:after="0" w:line="294" w:lineRule="auto"/>
        <w:rPr>
          <w:sz w:val="20"/>
          <w:szCs w:val="20"/>
          <w:color w:val="auto"/>
        </w:rPr>
      </w:pPr>
      <w:r>
        <w:rPr>
          <w:rFonts w:ascii="Arial" w:cs="Arial" w:eastAsia="Arial" w:hAnsi="Arial"/>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70" w:lineRule="exact"/>
        <w:rPr>
          <w:sz w:val="20"/>
          <w:szCs w:val="20"/>
          <w:color w:val="auto"/>
        </w:rPr>
      </w:pPr>
    </w:p>
    <w:p>
      <w:pPr>
        <w:jc w:val="both"/>
        <w:ind w:firstLine="369"/>
        <w:spacing w:after="0" w:line="298"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ind w:firstLine="371"/>
        <w:spacing w:after="0" w:line="289"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161" w:lineRule="exact"/>
        <w:rPr>
          <w:sz w:val="20"/>
          <w:szCs w:val="20"/>
          <w:color w:val="auto"/>
        </w:rPr>
      </w:pPr>
    </w:p>
    <w:p>
      <w:pPr>
        <w:jc w:val="both"/>
        <w:ind w:firstLine="563"/>
        <w:spacing w:after="0" w:line="255" w:lineRule="auto"/>
        <w:rPr>
          <w:sz w:val="20"/>
          <w:szCs w:val="20"/>
          <w:color w:val="auto"/>
        </w:rPr>
      </w:pPr>
      <w:r>
        <w:rPr>
          <w:rFonts w:ascii="Arial" w:cs="Arial" w:eastAsia="Arial" w:hAnsi="Arial"/>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97" w:lineRule="exact"/>
        <w:rPr>
          <w:sz w:val="20"/>
          <w:szCs w:val="20"/>
          <w:color w:val="auto"/>
        </w:rPr>
      </w:pPr>
    </w:p>
    <w:p>
      <w:pPr>
        <w:jc w:val="both"/>
        <w:ind w:firstLine="395"/>
        <w:spacing w:after="0" w:line="294" w:lineRule="auto"/>
        <w:rPr>
          <w:sz w:val="20"/>
          <w:szCs w:val="20"/>
          <w:color w:val="auto"/>
        </w:rPr>
      </w:pPr>
      <w:r>
        <w:rPr>
          <w:rFonts w:ascii="Arial" w:cs="Arial" w:eastAsia="Arial" w:hAnsi="Arial"/>
          <w:sz w:val="16"/>
          <w:szCs w:val="16"/>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70"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6"/>
          <w:szCs w:val="16"/>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jc w:val="both"/>
        <w:ind w:firstLine="402"/>
        <w:spacing w:after="0" w:line="286" w:lineRule="auto"/>
        <w:rPr>
          <w:sz w:val="20"/>
          <w:szCs w:val="20"/>
          <w:color w:val="auto"/>
        </w:rPr>
      </w:pPr>
      <w:r>
        <w:rPr>
          <w:rFonts w:ascii="Arial" w:cs="Arial" w:eastAsia="Arial" w:hAnsi="Arial"/>
          <w:sz w:val="16"/>
          <w:szCs w:val="16"/>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contract research organizations, contract manufacturers,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firstLine="452"/>
        <w:spacing w:after="0" w:line="268"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others may be able to make product candidates that are similar to ours but that are not covered by the claims of the patents that we own;</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our owned and in-licensed pending patent applications or those we may own or in-license in the future will not lead to issued patents;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issued patents that we hold rights to may be held invalid or unenforceable, including as a result of legal challenges by our competitors;</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86"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19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design, testing, manufacture, packaging, recordkeeping, labeling, storage, approval, advertising, promotion, sale and distribution, export, import and adverse event reporting, are subject to comprehensive regulation by the FDA and other regulatory agencies in the United States and by the EMA and similar regulatory authorities outside of the United States. Marketing approval of drugs in the United States requires the submission of a new drug application, or NDA, to the FDA and we are not permitted to market any drug candidate in the United States until we obtain approval from the FDA of the NDA for that product.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172" w:lineRule="exact"/>
        <w:rPr>
          <w:sz w:val="20"/>
          <w:szCs w:val="20"/>
          <w:color w:val="auto"/>
        </w:rPr>
      </w:pPr>
    </w:p>
    <w:p>
      <w:pPr>
        <w:jc w:val="both"/>
        <w:ind w:firstLine="427"/>
        <w:spacing w:after="0" w:line="290" w:lineRule="auto"/>
        <w:rPr>
          <w:sz w:val="20"/>
          <w:szCs w:val="20"/>
          <w:color w:val="auto"/>
        </w:rPr>
      </w:pPr>
      <w:r>
        <w:rPr>
          <w:rFonts w:ascii="Arial" w:cs="Arial" w:eastAsia="Arial" w:hAnsi="Arial"/>
          <w:sz w:val="16"/>
          <w:szCs w:val="16"/>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72" w:lineRule="exact"/>
        <w:rPr>
          <w:sz w:val="20"/>
          <w:szCs w:val="20"/>
          <w:color w:val="auto"/>
        </w:rPr>
      </w:pPr>
    </w:p>
    <w:p>
      <w:pPr>
        <w:jc w:val="both"/>
        <w:ind w:firstLine="413"/>
        <w:spacing w:after="0" w:line="289"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2"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186" w:lineRule="exact"/>
        <w:rPr>
          <w:sz w:val="20"/>
          <w:szCs w:val="20"/>
          <w:color w:val="auto"/>
        </w:rPr>
      </w:pPr>
    </w:p>
    <w:p>
      <w:pPr>
        <w:jc w:val="both"/>
        <w:ind w:firstLine="382"/>
        <w:spacing w:after="0" w:line="332" w:lineRule="auto"/>
        <w:rPr>
          <w:sz w:val="20"/>
          <w:szCs w:val="20"/>
          <w:color w:val="auto"/>
        </w:rPr>
      </w:pPr>
      <w:r>
        <w:rPr>
          <w:rFonts w:ascii="Arial" w:cs="Arial" w:eastAsia="Arial" w:hAnsi="Arial"/>
          <w:sz w:val="16"/>
          <w:szCs w:val="16"/>
          <w:color w:val="auto"/>
        </w:rPr>
        <w:t>We plan to apply for orphan drug designation for FSHD in the United States and Europe, and we may seek orphan drug designation for our other current or future product candidates. Regulatory authorities in some jurisdictions, including the United States and Europe, may designate drugs for relatively small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spacing w:after="0" w:line="186" w:lineRule="exact"/>
        <w:rPr>
          <w:sz w:val="20"/>
          <w:szCs w:val="20"/>
          <w:color w:val="auto"/>
        </w:rPr>
      </w:pPr>
    </w:p>
    <w:p>
      <w:pPr>
        <w:jc w:val="both"/>
        <w:ind w:firstLine="571"/>
        <w:spacing w:after="0" w:line="291"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that time period. The applicable period is seven years in the United States and ten years in Europe. The exclusivity period in Europe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74" w:lineRule="exact"/>
        <w:rPr>
          <w:sz w:val="20"/>
          <w:szCs w:val="20"/>
          <w:color w:val="auto"/>
        </w:rPr>
      </w:pPr>
    </w:p>
    <w:p>
      <w:pPr>
        <w:jc w:val="both"/>
        <w:ind w:firstLine="384"/>
        <w:spacing w:after="0" w:line="256"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97"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color w:val="auto"/>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lead to a faster development or regulatory review or approval process.</w:t>
      </w:r>
    </w:p>
    <w:p>
      <w:pPr>
        <w:spacing w:after="0" w:line="225"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8"/>
          <w:szCs w:val="18"/>
          <w:color w:val="auto"/>
        </w:rPr>
        <w:t>We may seek Fast Track designation for some of our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8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94" w:lineRule="exact"/>
        <w:rPr>
          <w:sz w:val="20"/>
          <w:szCs w:val="20"/>
          <w:color w:val="auto"/>
        </w:rPr>
      </w:pPr>
    </w:p>
    <w:p>
      <w:pPr>
        <w:jc w:val="both"/>
        <w:ind w:firstLine="388"/>
        <w:spacing w:after="0" w:line="254"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Accelerated approval by the FDA, even if granted for our product candidates, may not lead to a faster development or regulatory review or approval process and it does not increase the likelihood that our product candidates will receive marketing approval.</w:t>
      </w:r>
    </w:p>
    <w:p>
      <w:pPr>
        <w:spacing w:after="0" w:line="186" w:lineRule="exact"/>
        <w:rPr>
          <w:sz w:val="20"/>
          <w:szCs w:val="20"/>
          <w:color w:val="auto"/>
        </w:rPr>
      </w:pPr>
    </w:p>
    <w:p>
      <w:pPr>
        <w:jc w:val="both"/>
        <w:ind w:firstLine="446"/>
        <w:spacing w:after="0" w:line="294" w:lineRule="auto"/>
        <w:rPr>
          <w:sz w:val="20"/>
          <w:szCs w:val="20"/>
          <w:color w:val="auto"/>
        </w:rPr>
      </w:pPr>
      <w:r>
        <w:rPr>
          <w:rFonts w:ascii="Arial" w:cs="Arial" w:eastAsia="Arial" w:hAnsi="Arial"/>
          <w:sz w:val="16"/>
          <w:szCs w:val="16"/>
          <w:color w:val="auto"/>
        </w:rPr>
        <w:t>We may seek approval of our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biomarker efficacy endpoint that is reasonably likely to predict clinical benefit or on a clinical endpoint that can be measured earlier than irreversible morbidity or mortality, or IMM, that is reasonably likely to predict an effect on IMM or other clinical benefit. The FDA or other applicable regulatory agency makes the determination regarding whether a biomarker efficacy endpoint is reasonably likely to predict long-term clinical benefit.</w:t>
      </w:r>
    </w:p>
    <w:p>
      <w:pPr>
        <w:spacing w:after="0" w:line="170" w:lineRule="exact"/>
        <w:rPr>
          <w:sz w:val="20"/>
          <w:szCs w:val="20"/>
          <w:color w:val="auto"/>
        </w:rPr>
      </w:pPr>
    </w:p>
    <w:p>
      <w:pPr>
        <w:jc w:val="both"/>
        <w:ind w:firstLine="452"/>
        <w:spacing w:after="0" w:line="294" w:lineRule="auto"/>
        <w:rPr>
          <w:sz w:val="20"/>
          <w:szCs w:val="20"/>
          <w:color w:val="auto"/>
        </w:rPr>
      </w:pPr>
      <w:r>
        <w:rPr>
          <w:rFonts w:ascii="Arial" w:cs="Arial" w:eastAsia="Arial" w:hAnsi="Arial"/>
          <w:sz w:val="16"/>
          <w:szCs w:val="16"/>
          <w:color w:val="auto"/>
        </w:rPr>
        <w:t>Prior to seeking such accelerated approval, we will seek feedback from the FDA and otherwise evaluate our ability to seek and receive such accelerated approval. As a condition of approval, the FDA may require that a sponsor of a drug or biologic product candidate receiving accelerated approval perform adequate and well-controlled post-marketing clinical trials. These confirmatory trials must be completed with due diligence and we may be required to evaluate different or additional endpoints in these post-marketing confirmatory trials. In addition, the FDA currently requires as a condition for accelerated approval pre-approval of promotional materials, which could adversely impact the timing of the commercial launch of the product.</w:t>
      </w:r>
    </w:p>
    <w:p>
      <w:pPr>
        <w:spacing w:after="0" w:line="170"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There can be no assurance that the FDA will agree with our biomarker efficacy endpoints or intermediate clinical endpoints, such as measuring DUX4-driven gene expression in muscle tissue biopsies or measuring the fraction of muscle tissue by replaced by fat, or that we will decide to pursue or submit an NDA for accelerated approval or any other form of expedited development, review or approval.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174" w:lineRule="exact"/>
        <w:rPr>
          <w:sz w:val="20"/>
          <w:szCs w:val="20"/>
          <w:color w:val="auto"/>
        </w:rPr>
      </w:pPr>
    </w:p>
    <w:p>
      <w:pPr>
        <w:jc w:val="both"/>
        <w:ind w:firstLine="391"/>
        <w:spacing w:after="0" w:line="298" w:lineRule="auto"/>
        <w:rPr>
          <w:sz w:val="20"/>
          <w:szCs w:val="20"/>
          <w:color w:val="auto"/>
        </w:rPr>
      </w:pPr>
      <w:r>
        <w:rPr>
          <w:rFonts w:ascii="Arial" w:cs="Arial" w:eastAsia="Arial" w:hAnsi="Arial"/>
          <w:sz w:val="16"/>
          <w:szCs w:val="16"/>
          <w:color w:val="auto"/>
        </w:rPr>
        <w:t>Moreover, as noted above, for drugs granted accelerated approval, the FDA typically requires post-marketing confirmatory trials to evaluate the anticipated effect on IMM or other clinical benefit. These confirmatory trials must be completed with due diligence. We may be required to evaluate additional or different clinical endpoints in these post-marketing confirmatory trials. These confirmatory trials may require enrollment of more patients than we currently anticipate and will result in additional costs, which may be greater than the estimated costs we currently anticipate. The FDA may withdraw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172" w:lineRule="exact"/>
        <w:rPr>
          <w:sz w:val="20"/>
          <w:szCs w:val="20"/>
          <w:color w:val="auto"/>
        </w:rPr>
      </w:pPr>
    </w:p>
    <w:p>
      <w:pPr>
        <w:jc w:val="both"/>
        <w:ind w:firstLine="366"/>
        <w:spacing w:after="0" w:line="268" w:lineRule="auto"/>
        <w:rPr>
          <w:sz w:val="20"/>
          <w:szCs w:val="20"/>
          <w:color w:val="auto"/>
        </w:rPr>
      </w:pPr>
      <w:r>
        <w:rPr>
          <w:rFonts w:ascii="Arial" w:cs="Arial" w:eastAsia="Arial" w:hAnsi="Arial"/>
          <w:sz w:val="18"/>
          <w:szCs w:val="18"/>
          <w:color w:val="auto"/>
        </w:rPr>
        <w:t>Even if we do receive accelerated approval, we may not experience a faster development or regulatory review or approval process, and receiving accelerated approval does not provide assurance of ultimate FDA approval.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abroad.</w:t>
      </w:r>
    </w:p>
    <w:p>
      <w:pPr>
        <w:spacing w:after="0" w:line="225" w:lineRule="exact"/>
        <w:rPr>
          <w:sz w:val="20"/>
          <w:szCs w:val="20"/>
          <w:color w:val="auto"/>
        </w:rPr>
      </w:pPr>
    </w:p>
    <w:p>
      <w:pPr>
        <w:jc w:val="both"/>
        <w:ind w:firstLine="473"/>
        <w:spacing w:after="0" w:line="287" w:lineRule="auto"/>
        <w:rPr>
          <w:sz w:val="20"/>
          <w:szCs w:val="20"/>
          <w:color w:val="auto"/>
        </w:rPr>
      </w:pPr>
      <w:r>
        <w:rPr>
          <w:rFonts w:ascii="Arial" w:cs="Arial" w:eastAsia="Arial" w:hAnsi="Arial"/>
          <w:sz w:val="16"/>
          <w:szCs w:val="16"/>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in any market.</w:t>
      </w:r>
    </w:p>
    <w:p>
      <w:pPr>
        <w:spacing w:after="0" w:line="177" w:lineRule="exact"/>
        <w:rPr>
          <w:sz w:val="20"/>
          <w:szCs w:val="20"/>
          <w:color w:val="auto"/>
        </w:rPr>
      </w:pPr>
    </w:p>
    <w:p>
      <w:pPr>
        <w:jc w:val="both"/>
        <w:ind w:firstLine="436"/>
        <w:spacing w:after="0" w:line="288" w:lineRule="auto"/>
        <w:rPr>
          <w:sz w:val="20"/>
          <w:szCs w:val="20"/>
          <w:color w:val="auto"/>
        </w:rPr>
      </w:pPr>
      <w:r>
        <w:rPr>
          <w:rFonts w:ascii="Arial" w:cs="Arial" w:eastAsia="Arial" w:hAnsi="Arial"/>
          <w:sz w:val="16"/>
          <w:szCs w:val="16"/>
          <w:color w:val="auto"/>
        </w:rPr>
        <w:t>Additionally, on June 23, 2016, the electorate in the United Kingdom voted in favor of leaving the European Union, commonly referred to as Brexit. On March 29, 2017, the United Kingdom formally notified the European Union of its intention to withdraw pursuant to Article 50 of the Lisbon Treaty. The United Kingdom had a period of a maximum of two years from the date of its formal notification to negotiate the terms of its withdrawal from, and future relationship with, the European Union. If no formal withdrawal agreement can be reached between the United Kingdom and the European Union, then it is expected that the United Kingdom's membership of the European Union would automatically terminate on the deadline, which was initially March 29, 2019. That deadline has been extended to October 31, 2019 to allow the parties to negotiate a withdrawal agreement, which has proven to be extremely difficult to date. Discussions between the United Kingdom and the European Union will continue to focus on withdrawal issues and transition agreements. However, limited progress to date in these negotiations and ongoing uncertainty within the government of the United Kingdom sustains the possibility of the United Kingdom leaving the European Union without a withdrawal agreement and associated transition period in place, which is likely to cause significant market and economic disruption.</w:t>
      </w:r>
    </w:p>
    <w:p>
      <w:pPr>
        <w:spacing w:after="0" w:line="174"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Since a significant proportion of the regulatory framework in the United Kingdom is derived from European Union directives and regulations, Brexit could materially impact the regulatory regime with respect to the approval of our product candidates in the United Kingdom or the European Union. Any delay in obtaining, or an inability to obtain, any marketing approvals, as a result of Brexit or otherwise,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194"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172" w:lineRule="exact"/>
        <w:rPr>
          <w:sz w:val="20"/>
          <w:szCs w:val="20"/>
          <w:color w:val="auto"/>
        </w:rPr>
      </w:pPr>
    </w:p>
    <w:p>
      <w:pPr>
        <w:jc w:val="both"/>
        <w:ind w:firstLine="386"/>
        <w:spacing w:after="0" w:line="290"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or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72"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suspension of or restrictions on such products, manufacturers or manufacturing processes;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2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94" w:lineRule="exact"/>
        <w:rPr>
          <w:sz w:val="20"/>
          <w:szCs w:val="20"/>
          <w:color w:val="auto"/>
        </w:rPr>
      </w:pPr>
    </w:p>
    <w:p>
      <w:pPr>
        <w:jc w:val="both"/>
        <w:ind w:firstLine="480"/>
        <w:spacing w:after="0" w:line="290" w:lineRule="auto"/>
        <w:rPr>
          <w:sz w:val="20"/>
          <w:szCs w:val="20"/>
          <w:color w:val="auto"/>
        </w:rPr>
      </w:pPr>
      <w:r>
        <w:rPr>
          <w:rFonts w:ascii="Arial" w:cs="Arial" w:eastAsia="Arial" w:hAnsi="Arial"/>
          <w:sz w:val="16"/>
          <w:szCs w:val="16"/>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186" w:lineRule="exact"/>
        <w:rPr>
          <w:sz w:val="20"/>
          <w:szCs w:val="20"/>
          <w:color w:val="auto"/>
        </w:rPr>
      </w:pPr>
    </w:p>
    <w:p>
      <w:pPr>
        <w:jc w:val="both"/>
        <w:ind w:firstLine="363"/>
        <w:spacing w:after="0" w:line="286" w:lineRule="auto"/>
        <w:rPr>
          <w:sz w:val="20"/>
          <w:szCs w:val="20"/>
          <w:color w:val="auto"/>
        </w:rPr>
      </w:pPr>
      <w:r>
        <w:rPr>
          <w:rFonts w:ascii="Arial" w:cs="Arial" w:eastAsia="Arial" w:hAnsi="Arial"/>
          <w:sz w:val="16"/>
          <w:szCs w:val="16"/>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On January 30, 2017, President Trump issued an executive order, applicable to all executive agencies, including the FDA, requiring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on February 2, 2017, the Trump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142" w:lineRule="exact"/>
        <w:rPr>
          <w:sz w:val="20"/>
          <w:szCs w:val="20"/>
          <w:color w:val="auto"/>
        </w:rPr>
      </w:pPr>
    </w:p>
    <w:p>
      <w:pPr>
        <w:jc w:val="both"/>
        <w:ind w:firstLine="455"/>
        <w:spacing w:after="0" w:line="291" w:lineRule="auto"/>
        <w:rPr>
          <w:sz w:val="20"/>
          <w:szCs w:val="20"/>
          <w:color w:val="auto"/>
        </w:rPr>
      </w:pPr>
      <w:r>
        <w:rPr>
          <w:rFonts w:ascii="Arial" w:cs="Arial" w:eastAsia="Arial" w:hAnsi="Arial"/>
          <w:sz w:val="16"/>
          <w:szCs w:val="16"/>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Restrictions under applicable federal and state healthcare laws and regulations include the following:</w:t>
      </w:r>
    </w:p>
    <w:p>
      <w:pPr>
        <w:spacing w:after="0" w:line="188" w:lineRule="exact"/>
        <w:rPr>
          <w:sz w:val="20"/>
          <w:szCs w:val="20"/>
          <w:color w:val="auto"/>
        </w:rPr>
      </w:pPr>
    </w:p>
    <w:p>
      <w:pPr>
        <w:jc w:val="both"/>
        <w:ind w:left="1080" w:hanging="532"/>
        <w:spacing w:after="0" w:line="256"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224"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21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respective implementing regulations, also imposes obligations, including mandatory contractual terms, with respect to safeguarding the privacy, security and transmission of individually identifiable health information;</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 and</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194"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Additionally,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94" w:lineRule="exact"/>
        <w:rPr>
          <w:sz w:val="20"/>
          <w:szCs w:val="20"/>
          <w:color w:val="auto"/>
        </w:rPr>
      </w:pPr>
    </w:p>
    <w:p>
      <w:pPr>
        <w:jc w:val="both"/>
        <w:ind w:firstLine="366"/>
        <w:spacing w:after="0" w:line="289"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194" w:lineRule="exact"/>
        <w:rPr>
          <w:sz w:val="20"/>
          <w:szCs w:val="20"/>
          <w:color w:val="auto"/>
        </w:rPr>
      </w:pPr>
    </w:p>
    <w:p>
      <w:pPr>
        <w:jc w:val="both"/>
        <w:ind w:firstLine="417"/>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w:t>
      </w:r>
    </w:p>
    <w:p>
      <w:pPr>
        <w:spacing w:after="0" w:line="175" w:lineRule="exact"/>
        <w:rPr>
          <w:sz w:val="20"/>
          <w:szCs w:val="20"/>
          <w:color w:val="auto"/>
        </w:rPr>
      </w:pPr>
    </w:p>
    <w:p>
      <w:pPr>
        <w:jc w:val="both"/>
        <w:ind w:right="20" w:firstLine="466"/>
        <w:spacing w:after="0" w:line="332" w:lineRule="auto"/>
        <w:rPr>
          <w:sz w:val="20"/>
          <w:szCs w:val="20"/>
          <w:color w:val="auto"/>
        </w:rPr>
      </w:pPr>
      <w:r>
        <w:rPr>
          <w:rFonts w:ascii="Arial" w:cs="Arial" w:eastAsia="Arial" w:hAnsi="Arial"/>
          <w:sz w:val="16"/>
          <w:szCs w:val="16"/>
          <w:color w:val="auto"/>
        </w:rPr>
        <w:t>Given the breadth and depth of changes in data protection obligations, preparing for and complying with the GDPR's requirements is rigorous and time intensive and requires significant resources and a review of our technologies, systems and practices, as well as those of any third-party collaborators, service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139" w:lineRule="exact"/>
        <w:rPr>
          <w:sz w:val="20"/>
          <w:szCs w:val="20"/>
          <w:color w:val="auto"/>
        </w:rPr>
      </w:pPr>
    </w:p>
    <w:p>
      <w:pPr>
        <w:jc w:val="both"/>
        <w:ind w:firstLine="459"/>
        <w:spacing w:after="0" w:line="294"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70" w:lineRule="exact"/>
        <w:rPr>
          <w:sz w:val="20"/>
          <w:szCs w:val="20"/>
          <w:color w:val="auto"/>
        </w:rPr>
      </w:pPr>
    </w:p>
    <w:p>
      <w:pPr>
        <w:jc w:val="both"/>
        <w:ind w:firstLine="423"/>
        <w:spacing w:after="0" w:line="253" w:lineRule="auto"/>
        <w:rPr>
          <w:sz w:val="20"/>
          <w:szCs w:val="20"/>
          <w:color w:val="auto"/>
        </w:rPr>
      </w:pPr>
      <w:r>
        <w:rPr>
          <w:rFonts w:ascii="Arial" w:cs="Arial" w:eastAsia="Arial" w:hAnsi="Arial"/>
          <w:sz w:val="18"/>
          <w:szCs w:val="18"/>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201" w:lineRule="exact"/>
        <w:rPr>
          <w:sz w:val="20"/>
          <w:szCs w:val="20"/>
          <w:color w:val="auto"/>
        </w:rPr>
      </w:pPr>
    </w:p>
    <w:p>
      <w:pPr>
        <w:jc w:val="both"/>
        <w:ind w:firstLine="600"/>
        <w:spacing w:after="0" w:line="306" w:lineRule="auto"/>
        <w:rPr>
          <w:sz w:val="20"/>
          <w:szCs w:val="20"/>
          <w:color w:val="auto"/>
        </w:rPr>
      </w:pPr>
      <w:r>
        <w:rPr>
          <w:rFonts w:ascii="Arial" w:cs="Arial" w:eastAsia="Arial" w:hAnsi="Arial"/>
          <w:sz w:val="16"/>
          <w:szCs w:val="16"/>
          <w:color w:val="auto"/>
        </w:rPr>
        <w:t>In March 2010, President Obama signed into law the Patient Protection and Affordable Care Act, as amended by the Health Care and Education Reconciliation Act of 2010, or collectively the ACA. Among the provisions of the ACA of potential importance to our business, including, without limitation, our ability to commercialize and the prices we may obtain for any of our product candidates that are approved for sale, are the following:</w:t>
      </w:r>
    </w:p>
    <w:p>
      <w:pPr>
        <w:spacing w:after="0" w:line="174" w:lineRule="exact"/>
        <w:rPr>
          <w:sz w:val="20"/>
          <w:szCs w:val="20"/>
          <w:color w:val="auto"/>
        </w:rPr>
      </w:pPr>
    </w:p>
    <w:p>
      <w:pPr>
        <w:jc w:val="both"/>
        <w:ind w:left="108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would not apply to sales of certain products approved exclusively for orphan indications;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Medicare Part D coverage gap discount program, in which manufacturers must agree to offer 70% point-of-sale discounts off negotiated prices;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jc w:val="both"/>
        <w:ind w:firstLine="396"/>
        <w:spacing w:after="0" w:line="288"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2027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74"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70" w:lineRule="exact"/>
        <w:rPr>
          <w:sz w:val="20"/>
          <w:szCs w:val="20"/>
          <w:color w:val="auto"/>
        </w:rPr>
      </w:pPr>
    </w:p>
    <w:p>
      <w:pPr>
        <w:jc w:val="both"/>
        <w:ind w:firstLine="449"/>
        <w:spacing w:after="0" w:line="289" w:lineRule="auto"/>
        <w:rPr>
          <w:sz w:val="20"/>
          <w:szCs w:val="20"/>
          <w:color w:val="auto"/>
        </w:rPr>
      </w:pPr>
      <w:r>
        <w:rPr>
          <w:rFonts w:ascii="Arial" w:cs="Arial" w:eastAsia="Arial" w:hAnsi="Arial"/>
          <w:sz w:val="16"/>
          <w:szCs w:val="16"/>
          <w:color w:val="auto"/>
        </w:rPr>
        <w:t>With enactment of the TCJA, which was signed by the President on December 22, 2017, Congress repealed the "individual mandate." The repeal of this provision, which requires most Americans to carry a minimal level of health insurance, is effective as of 2019. According to the Congressional Budget Office, the repeal of the individual mandate will cause an estimated 13 million fewer Americans to be insured in 2027 and premiums in insurance markets may rise.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to 70% the point-of-sale discount that is owed by pharmaceutical manufacturers who participate in Medicare Part D and to close the coverage gap in most Medicare drug plans, commonly referred to as the "donut hole".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w:t>
      </w:r>
    </w:p>
    <w:p>
      <w:pPr>
        <w:spacing w:after="0" w:line="172" w:lineRule="exact"/>
        <w:rPr>
          <w:sz w:val="20"/>
          <w:szCs w:val="20"/>
          <w:color w:val="auto"/>
        </w:rPr>
      </w:pPr>
    </w:p>
    <w:p>
      <w:pPr>
        <w:jc w:val="both"/>
        <w:ind w:firstLine="430"/>
        <w:spacing w:after="0" w:line="286" w:lineRule="auto"/>
        <w:rPr>
          <w:sz w:val="20"/>
          <w:szCs w:val="20"/>
          <w:color w:val="auto"/>
        </w:rPr>
      </w:pPr>
      <w:r>
        <w:rPr>
          <w:rFonts w:ascii="Arial" w:cs="Arial" w:eastAsia="Arial" w:hAnsi="Arial"/>
          <w:sz w:val="16"/>
          <w:szCs w:val="16"/>
          <w:color w:val="auto"/>
        </w:rPr>
        <w:t>In addition, the Centers for Medicare &amp; Medicaid Services, or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 Advantage plans to use pre authorization (PA) and step therapy (ST) for six protected classes of drugs, with certain exceptions; permit plans to implement PA and ST in Medicare Part B drugs; and change the definition of "negotiated prices" as well as add a definition of "price concession" in the regulations. It is unclear whether these proposed changes we be accepted, and if so, what effect such changes will have on our business. Litigation and legislation over the ACA are likely to continue, with unpredictable and uncertain results.</w:t>
      </w:r>
    </w:p>
    <w:p>
      <w:pPr>
        <w:spacing w:after="0" w:line="181" w:lineRule="exact"/>
        <w:rPr>
          <w:sz w:val="20"/>
          <w:szCs w:val="20"/>
          <w:color w:val="auto"/>
        </w:rPr>
      </w:pPr>
    </w:p>
    <w:p>
      <w:pPr>
        <w:jc w:val="both"/>
        <w:ind w:firstLine="447"/>
        <w:spacing w:after="0" w:line="291" w:lineRule="auto"/>
        <w:rPr>
          <w:sz w:val="20"/>
          <w:szCs w:val="20"/>
          <w:color w:val="auto"/>
        </w:rPr>
      </w:pPr>
      <w:r>
        <w:rPr>
          <w:rFonts w:ascii="Arial" w:cs="Arial" w:eastAsia="Arial" w:hAnsi="Arial"/>
          <w:sz w:val="16"/>
          <w:szCs w:val="16"/>
          <w:color w:val="auto"/>
        </w:rPr>
        <w:t>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Trump administration and CMS have both stated that the ruling will have no immediate effect, and on December 30, 2018 the same judge issued an order staying the judgment pending appeal. The Trump administration has recently represented to the Court of Appeals considering this judgment that it does not oppose the lower court's ruling. It is unclear how this decision and any subsequent appeals and other efforts to repeal and replace the ACA will impact the ACA and our business. Litigation and legislation over the ACA are likely to continue, with unpredictable and uncertain results.</w:t>
      </w:r>
    </w:p>
    <w:p>
      <w:pPr>
        <w:spacing w:after="0" w:line="17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The costs of prescription pharmaceuticals have also been the subject of considerable discussion in the United States, and members of Congress and the Trump administration have stated that they will address such costs through new legislative and administrative measures.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7" w:lineRule="exact"/>
        <w:rPr>
          <w:sz w:val="20"/>
          <w:szCs w:val="20"/>
          <w:color w:val="auto"/>
        </w:rPr>
      </w:pPr>
    </w:p>
    <w:p>
      <w:pPr>
        <w:jc w:val="both"/>
        <w:ind w:firstLine="370"/>
        <w:spacing w:after="0" w:line="285" w:lineRule="auto"/>
        <w:rPr>
          <w:sz w:val="20"/>
          <w:szCs w:val="20"/>
          <w:color w:val="auto"/>
        </w:rPr>
      </w:pPr>
      <w:r>
        <w:rPr>
          <w:rFonts w:ascii="Arial" w:cs="Arial" w:eastAsia="Arial" w:hAnsi="Arial"/>
          <w:sz w:val="16"/>
          <w:szCs w:val="16"/>
          <w:color w:val="auto"/>
        </w:rPr>
        <w:t>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For example, on May 11, 2018, the Trump administration issued a plan to lower drug prices. Under this blueprint for action, the Trump administration indicated that the Department of Health and Human Services, or HHS,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More recently,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w:t>
      </w:r>
    </w:p>
    <w:p>
      <w:pPr>
        <w:spacing w:after="0" w:line="178" w:lineRule="exact"/>
        <w:rPr>
          <w:sz w:val="20"/>
          <w:szCs w:val="20"/>
          <w:color w:val="auto"/>
        </w:rPr>
      </w:pPr>
    </w:p>
    <w:p>
      <w:pPr>
        <w:jc w:val="both"/>
        <w:ind w:firstLine="410"/>
        <w:spacing w:after="0" w:line="289"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2"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22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186" w:lineRule="exact"/>
        <w:rPr>
          <w:sz w:val="20"/>
          <w:szCs w:val="20"/>
          <w:color w:val="auto"/>
        </w:rPr>
      </w:pPr>
    </w:p>
    <w:p>
      <w:pPr>
        <w:jc w:val="both"/>
        <w:ind w:firstLine="546"/>
        <w:spacing w:after="0" w:line="289" w:lineRule="auto"/>
        <w:rPr>
          <w:sz w:val="20"/>
          <w:szCs w:val="20"/>
          <w:color w:val="auto"/>
        </w:rPr>
      </w:pPr>
      <w:r>
        <w:rPr>
          <w:rFonts w:ascii="Arial" w:cs="Arial" w:eastAsia="Arial" w:hAnsi="Arial"/>
          <w:sz w:val="16"/>
          <w:szCs w:val="16"/>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172" w:lineRule="exact"/>
        <w:rPr>
          <w:sz w:val="20"/>
          <w:szCs w:val="20"/>
          <w:color w:val="auto"/>
        </w:rPr>
      </w:pPr>
    </w:p>
    <w:p>
      <w:pPr>
        <w:jc w:val="both"/>
        <w:ind w:firstLine="352"/>
        <w:spacing w:after="0" w:line="256"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97" w:lineRule="exact"/>
        <w:rPr>
          <w:sz w:val="20"/>
          <w:szCs w:val="20"/>
          <w:color w:val="auto"/>
        </w:rPr>
      </w:pPr>
    </w:p>
    <w:p>
      <w:pPr>
        <w:jc w:val="both"/>
        <w:ind w:firstLine="375"/>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94"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167" w:lineRule="exact"/>
        <w:rPr>
          <w:sz w:val="20"/>
          <w:szCs w:val="20"/>
          <w:color w:val="auto"/>
        </w:rPr>
      </w:pPr>
    </w:p>
    <w:p>
      <w:pPr>
        <w:jc w:val="both"/>
        <w:ind w:firstLine="410"/>
        <w:spacing w:after="0" w:line="253" w:lineRule="auto"/>
        <w:rPr>
          <w:sz w:val="20"/>
          <w:szCs w:val="20"/>
          <w:color w:val="auto"/>
        </w:rPr>
      </w:pPr>
      <w:r>
        <w:rPr>
          <w:rFonts w:ascii="Arial" w:cs="Arial" w:eastAsia="Arial" w:hAnsi="Arial"/>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99" w:lineRule="exact"/>
        <w:rPr>
          <w:sz w:val="20"/>
          <w:szCs w:val="20"/>
          <w:color w:val="auto"/>
        </w:rPr>
      </w:pPr>
    </w:p>
    <w:p>
      <w:pPr>
        <w:jc w:val="both"/>
        <w:ind w:firstLine="373"/>
        <w:spacing w:after="0" w:line="294" w:lineRule="auto"/>
        <w:rPr>
          <w:sz w:val="20"/>
          <w:szCs w:val="20"/>
          <w:color w:val="auto"/>
        </w:rPr>
      </w:pPr>
      <w:r>
        <w:rPr>
          <w:rFonts w:ascii="Arial" w:cs="Arial" w:eastAsia="Arial" w:hAnsi="Arial"/>
          <w:sz w:val="16"/>
          <w:szCs w:val="16"/>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170" w:lineRule="exact"/>
        <w:rPr>
          <w:sz w:val="20"/>
          <w:szCs w:val="20"/>
          <w:color w:val="auto"/>
        </w:rPr>
      </w:pPr>
    </w:p>
    <w:p>
      <w:pPr>
        <w:jc w:val="both"/>
        <w:ind w:firstLine="487"/>
        <w:spacing w:after="0" w:line="290" w:lineRule="auto"/>
        <w:rPr>
          <w:sz w:val="20"/>
          <w:szCs w:val="20"/>
          <w:color w:val="auto"/>
        </w:rPr>
      </w:pPr>
      <w:r>
        <w:rPr>
          <w:rFonts w:ascii="Arial" w:cs="Arial" w:eastAsia="Arial" w:hAnsi="Arial"/>
          <w:sz w:val="16"/>
          <w:szCs w:val="16"/>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72" w:lineRule="exact"/>
        <w:rPr>
          <w:sz w:val="20"/>
          <w:szCs w:val="20"/>
          <w:color w:val="auto"/>
        </w:rPr>
      </w:pPr>
    </w:p>
    <w:p>
      <w:pPr>
        <w:jc w:val="both"/>
        <w:ind w:firstLine="355"/>
        <w:spacing w:after="0" w:line="290" w:lineRule="auto"/>
        <w:rPr>
          <w:sz w:val="20"/>
          <w:szCs w:val="20"/>
          <w:color w:val="auto"/>
        </w:rPr>
      </w:pPr>
      <w:r>
        <w:rPr>
          <w:rFonts w:ascii="Arial" w:cs="Arial" w:eastAsia="Arial" w:hAnsi="Arial"/>
          <w:sz w:val="16"/>
          <w:szCs w:val="16"/>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139" w:lineRule="exact"/>
        <w:rPr>
          <w:sz w:val="20"/>
          <w:szCs w:val="20"/>
          <w:color w:val="auto"/>
        </w:rPr>
      </w:pPr>
    </w:p>
    <w:p>
      <w:pPr>
        <w:jc w:val="both"/>
        <w:ind w:firstLine="391"/>
        <w:spacing w:after="0" w:line="286" w:lineRule="auto"/>
        <w:rPr>
          <w:sz w:val="20"/>
          <w:szCs w:val="20"/>
          <w:color w:val="auto"/>
        </w:rPr>
      </w:pPr>
      <w:r>
        <w:rPr>
          <w:rFonts w:ascii="Arial" w:cs="Arial" w:eastAsia="Arial" w:hAnsi="Arial"/>
          <w:sz w:val="16"/>
          <w:szCs w:val="16"/>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86" w:lineRule="exact"/>
        <w:rPr>
          <w:sz w:val="20"/>
          <w:szCs w:val="20"/>
          <w:color w:val="auto"/>
        </w:rPr>
      </w:pPr>
    </w:p>
    <w:p>
      <w:pPr>
        <w:jc w:val="both"/>
        <w:ind w:firstLine="467"/>
        <w:spacing w:after="0" w:line="288" w:lineRule="auto"/>
        <w:rPr>
          <w:sz w:val="20"/>
          <w:szCs w:val="20"/>
          <w:color w:val="auto"/>
        </w:rPr>
      </w:pPr>
      <w:r>
        <w:rPr>
          <w:rFonts w:ascii="Arial" w:cs="Arial" w:eastAsia="Arial" w:hAnsi="Arial"/>
          <w:sz w:val="16"/>
          <w:szCs w:val="16"/>
          <w:color w:val="auto"/>
        </w:rPr>
        <w:t>Our internal computer systems and those of any collaborators,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For example, we make extensive use of cloud-based storage systems, and in October 2018, we experienced a breach of one such system. While this breach did not result in the permanent loss or theft of any of our critical information, it could have. Cyber-attacks also could include phishing attempts or e-mail fraud to cause payments or information to be transmitted to an unintended recipient.</w:t>
      </w:r>
    </w:p>
    <w:p>
      <w:pPr>
        <w:spacing w:after="0" w:line="174" w:lineRule="exact"/>
        <w:rPr>
          <w:sz w:val="20"/>
          <w:szCs w:val="20"/>
          <w:color w:val="auto"/>
        </w:rPr>
      </w:pPr>
    </w:p>
    <w:p>
      <w:pPr>
        <w:jc w:val="both"/>
        <w:ind w:firstLine="480"/>
        <w:spacing w:after="0" w:line="291" w:lineRule="auto"/>
        <w:rPr>
          <w:sz w:val="20"/>
          <w:szCs w:val="20"/>
          <w:color w:val="auto"/>
        </w:rPr>
      </w:pPr>
      <w:r>
        <w:rPr>
          <w:rFonts w:ascii="Arial" w:cs="Arial" w:eastAsia="Arial" w:hAnsi="Arial"/>
          <w:sz w:val="16"/>
          <w:szCs w:val="16"/>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jc w:val="both"/>
        <w:ind w:firstLine="409"/>
        <w:spacing w:after="0" w:line="255"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97"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6"/>
          <w:szCs w:val="16"/>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86" w:lineRule="exact"/>
        <w:rPr>
          <w:sz w:val="20"/>
          <w:szCs w:val="20"/>
          <w:color w:val="auto"/>
        </w:rPr>
      </w:pPr>
    </w:p>
    <w:p>
      <w:pPr>
        <w:jc w:val="both"/>
        <w:ind w:firstLine="399"/>
        <w:spacing w:after="0" w:line="290" w:lineRule="auto"/>
        <w:rPr>
          <w:sz w:val="20"/>
          <w:szCs w:val="20"/>
          <w:color w:val="auto"/>
        </w:rPr>
      </w:pPr>
      <w:r>
        <w:rPr>
          <w:rFonts w:ascii="Arial" w:cs="Arial" w:eastAsia="Arial" w:hAnsi="Arial"/>
          <w:sz w:val="16"/>
          <w:szCs w:val="16"/>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After this offering, our executive officers, directors and principal stockholders, if they choose to act together, will continue to have the ability to control all matters submitted to stockholders for approval.</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the closing of this offering, our executive officers and directors and our stockholders who owned more than 5% of our outstanding common stock</w:t>
      </w:r>
    </w:p>
    <w:p>
      <w:pPr>
        <w:spacing w:after="0" w:line="3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before this offering will, in the aggregate, beneficially own shares representing approximately % of our capital stock. As a result, if these stockholders were to choose to act together, they would be able to control all matters submitted to our stockholders for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approval, as well as our management and affairs. For example, these persons, if they choose to act together, would control the election of directors and approval of any merger, consolidation or sale of all or substantially all of our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concentration of ownership control may:</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entrench our management and board of directors;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 or prevent a merger, consolidation, takeover or other business combination involving us that other stockholders may desire.</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39" w:lineRule="exact"/>
        <w:rPr>
          <w:sz w:val="20"/>
          <w:szCs w:val="20"/>
          <w:color w:val="auto"/>
        </w:rPr>
      </w:pPr>
    </w:p>
    <w:p>
      <w:pPr>
        <w:jc w:val="both"/>
        <w:ind w:firstLine="388"/>
        <w:spacing w:after="0" w:line="291" w:lineRule="auto"/>
        <w:rPr>
          <w:sz w:val="20"/>
          <w:szCs w:val="20"/>
          <w:color w:val="auto"/>
        </w:rPr>
      </w:pPr>
      <w:r>
        <w:rPr>
          <w:rFonts w:ascii="Arial" w:cs="Arial" w:eastAsia="Arial" w:hAnsi="Arial"/>
          <w:sz w:val="16"/>
          <w:szCs w:val="16"/>
          <w:color w:val="auto"/>
        </w:rPr>
        <w:t>Provisions in our certificate of incorporation and our bylaws that will become effective upon the closing of this offering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8"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 that will become effective upon the closing of this offering.</w:t>
      </w:r>
    </w:p>
    <w:p>
      <w:pPr>
        <w:spacing w:after="0" w:line="186"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225" w:lineRule="exact"/>
        <w:rPr>
          <w:sz w:val="20"/>
          <w:szCs w:val="20"/>
          <w:color w:val="auto"/>
        </w:rPr>
      </w:pPr>
    </w:p>
    <w:p>
      <w:pPr>
        <w:jc w:val="both"/>
        <w:ind w:firstLine="431"/>
        <w:spacing w:after="0" w:line="303" w:lineRule="auto"/>
        <w:rPr>
          <w:sz w:val="20"/>
          <w:szCs w:val="20"/>
          <w:color w:val="auto"/>
        </w:rPr>
      </w:pPr>
      <w:r>
        <w:rPr>
          <w:rFonts w:ascii="Arial" w:cs="Arial" w:eastAsia="Arial" w:hAnsi="Arial"/>
          <w:sz w:val="15"/>
          <w:szCs w:val="15"/>
          <w:color w:val="auto"/>
        </w:rPr>
        <w:t>The initial public offering price of our common stock will be substantially higher than the pro forma as adjusted net tangible book value per share of our common stock. Therefore, if you purchase shares of our common stock in this offering, you will pay a price per share that substantially exceeds our pro forma as adjusted net tangible book value per share after this offering. To the extent outstanding options are exercised, you will incur further dilution. Based on an assumed</w:t>
      </w:r>
    </w:p>
    <w:p>
      <w:pPr>
        <w:spacing w:after="0" w:line="1"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initial public offering price of $</w:t>
      </w:r>
      <w:r>
        <w:rPr>
          <w:sz w:val="20"/>
          <w:szCs w:val="20"/>
          <w:color w:val="auto"/>
        </w:rPr>
        <w:tab/>
      </w:r>
      <w:r>
        <w:rPr>
          <w:rFonts w:ascii="Arial" w:cs="Arial" w:eastAsia="Arial" w:hAnsi="Arial"/>
          <w:sz w:val="16"/>
          <w:szCs w:val="16"/>
          <w:color w:val="auto"/>
        </w:rPr>
        <w:t>per share, which is the midpoint of the estimated price range set forth on the cover page of this prospectus, you will</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experience immediate dilution of $ per share, representing the difference between our pro forma as adjusted net tangible book value per share, after giving effect to this offering, and the assumed initial public offering price.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develop.</w:t>
      </w:r>
    </w:p>
    <w:p>
      <w:pPr>
        <w:spacing w:after="0" w:line="22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for our common stock will be determined through negotiations with the underwriters. Although we intend to apply to have our common stock approved for listing on the Nasdaq Global Market, an active trading market for our shares may never develop or be sustained following this offering. If an active market for our common stock does not develop, it may be difficult for you to sell shares you purchase in this offering without depressing the market price for the shares or at all.</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13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186" w:lineRule="exact"/>
        <w:rPr>
          <w:sz w:val="20"/>
          <w:szCs w:val="20"/>
          <w:color w:val="auto"/>
        </w:rPr>
      </w:pPr>
    </w:p>
    <w:p>
      <w:pPr>
        <w:jc w:val="both"/>
        <w:ind w:firstLine="393"/>
        <w:spacing w:after="0" w:line="306" w:lineRule="auto"/>
        <w:rPr>
          <w:sz w:val="20"/>
          <w:szCs w:val="20"/>
          <w:color w:val="auto"/>
        </w:rPr>
      </w:pPr>
      <w:r>
        <w:rPr>
          <w:rFonts w:ascii="Arial" w:cs="Arial" w:eastAsia="Arial" w:hAnsi="Arial"/>
          <w:sz w:val="16"/>
          <w:szCs w:val="16"/>
          <w:color w:val="auto"/>
        </w:rPr>
        <w:t>Our stock price is likely to be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74"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results of or developments in preclinical studies and clinical trials of our product candidates or those of our competitors or potential collaborators;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success in commercializing our product candidates, if and when approved;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both"/>
        <w:ind w:firstLine="365"/>
        <w:spacing w:after="0" w:line="25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225" w:lineRule="exact"/>
        <w:rPr>
          <w:sz w:val="20"/>
          <w:szCs w:val="20"/>
          <w:color w:val="auto"/>
        </w:rPr>
      </w:pPr>
    </w:p>
    <w:p>
      <w:pPr>
        <w:jc w:val="both"/>
        <w:ind w:firstLine="485"/>
        <w:spacing w:after="0" w:line="298"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Sales of a substantial number of shares of our common stock in the public market, or the perception in the market that the holders of a large number of shares</w:t>
      </w:r>
    </w:p>
    <w:p>
      <w:pPr>
        <w:spacing w:after="0" w:line="5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intend to sell shares, could reduce the market price of our common stock. After this offering, we will have shares of common stock outstanding based on the number of shares outstanding as of , 2019. This includes the shares that we are selling in this offering, which may be resold in the public</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market immediately without restriction, unless purchased by our affiliates or existing stockholders. The remaining shares are currently restricted as a result of securities laws or lock-up agreements but will become eligible to be sold at various times after the offering. Moreover, beginning 180 days after the completion of</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offering, holders of an aggregate of shares of our common stock will have rights, along with holders of an additional shares of our common stock issuable upon exercise of outstanding options, subject to specified conditions, to require us to file registration statements covering their shares or to include their shares in registration statements that we may file for ourselves or other stockholders. We also intend to register all shares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common stock that we may issue under our equity compensation plans. Once we register these shares, they can be freely sold in the public market upon issuance, subject to volume limitations applicable to affiliates and the lock-up agreements described in the "Underwriters" section of this prospectus.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86" w:lineRule="exact"/>
        <w:rPr>
          <w:sz w:val="20"/>
          <w:szCs w:val="20"/>
          <w:color w:val="auto"/>
        </w:rPr>
      </w:pPr>
    </w:p>
    <w:p>
      <w:pPr>
        <w:jc w:val="both"/>
        <w:ind w:firstLine="385"/>
        <w:spacing w:after="0" w:line="291" w:lineRule="auto"/>
        <w:rPr>
          <w:sz w:val="20"/>
          <w:szCs w:val="20"/>
          <w:color w:val="auto"/>
        </w:rPr>
      </w:pPr>
      <w:r>
        <w:rPr>
          <w:rFonts w:ascii="Arial" w:cs="Arial" w:eastAsia="Arial" w:hAnsi="Arial"/>
          <w:sz w:val="16"/>
          <w:szCs w:val="16"/>
          <w:color w:val="auto"/>
        </w:rPr>
        <w:t>We are an "emerging growth company," or EGC, as defined in the Jumpstart Our Business Startups Act of 2012, or the JOBS Act. We may remain an EGC until the end of the fiscal year in which the fifth anniversary of this offering occurs,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188" w:lineRule="exact"/>
        <w:rPr>
          <w:sz w:val="20"/>
          <w:szCs w:val="20"/>
          <w:color w:val="auto"/>
        </w:rPr>
      </w:pPr>
    </w:p>
    <w:p>
      <w:pPr>
        <w:ind w:left="1080" w:right="20" w:hanging="532"/>
        <w:spacing w:after="0" w:line="33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this prospectus, in addition to any required unaudited interim financial statements, with correspondingly reduced "Management's Discussion and Analysis of Financial Condition and Results of Operations" disclosure;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in the assessment of our internal control over financial reporting;</w:t>
      </w:r>
    </w:p>
    <w:p>
      <w:pPr>
        <w:spacing w:after="0" w:line="261"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86" w:lineRule="exact"/>
        <w:rPr>
          <w:sz w:val="20"/>
          <w:szCs w:val="20"/>
          <w:color w:val="auto"/>
        </w:rPr>
      </w:pPr>
    </w:p>
    <w:p>
      <w:pPr>
        <w:jc w:val="both"/>
        <w:ind w:right="20" w:firstLine="418"/>
        <w:spacing w:after="0" w:line="332" w:lineRule="auto"/>
        <w:rPr>
          <w:sz w:val="20"/>
          <w:szCs w:val="20"/>
          <w:color w:val="auto"/>
        </w:rPr>
      </w:pPr>
      <w:r>
        <w:rPr>
          <w:rFonts w:ascii="Arial" w:cs="Arial" w:eastAsia="Arial" w:hAnsi="Arial"/>
          <w:sz w:val="16"/>
          <w:szCs w:val="16"/>
          <w:color w:val="auto"/>
        </w:rPr>
        <w:t>We have taken advantage of reduced reporting obligations in this prospectus. In particular, in this prospectus, we have provided only two years of audited financial statements and have not included all of the executive compensation related information that would be required if we were not an EGC.</w:t>
      </w:r>
    </w:p>
    <w:p>
      <w:pPr>
        <w:spacing w:after="0" w:line="139" w:lineRule="exact"/>
        <w:rPr>
          <w:sz w:val="20"/>
          <w:szCs w:val="20"/>
          <w:color w:val="auto"/>
        </w:rPr>
      </w:pPr>
    </w:p>
    <w:p>
      <w:pPr>
        <w:jc w:val="both"/>
        <w:ind w:firstLine="355"/>
        <w:spacing w:after="0" w:line="332" w:lineRule="auto"/>
        <w:rPr>
          <w:sz w:val="20"/>
          <w:szCs w:val="20"/>
          <w:color w:val="auto"/>
        </w:rPr>
      </w:pPr>
      <w:r>
        <w:rPr>
          <w:rFonts w:ascii="Arial" w:cs="Arial" w:eastAsia="Arial" w:hAnsi="Arial"/>
          <w:sz w:val="16"/>
          <w:szCs w:val="16"/>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39"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86"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The Sarbanes-Oxley Act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72" w:lineRule="exact"/>
        <w:rPr>
          <w:sz w:val="20"/>
          <w:szCs w:val="20"/>
          <w:color w:val="auto"/>
        </w:rPr>
      </w:pPr>
    </w:p>
    <w:p>
      <w:pPr>
        <w:jc w:val="both"/>
        <w:ind w:firstLine="373"/>
        <w:spacing w:after="0" w:line="298" w:lineRule="auto"/>
        <w:rPr>
          <w:sz w:val="20"/>
          <w:szCs w:val="20"/>
          <w:color w:val="auto"/>
        </w:rPr>
      </w:pPr>
      <w:r>
        <w:rPr>
          <w:rFonts w:ascii="Arial" w:cs="Arial" w:eastAsia="Arial" w:hAnsi="Arial"/>
          <w:sz w:val="16"/>
          <w:szCs w:val="16"/>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7" w:lineRule="exact"/>
        <w:rPr>
          <w:sz w:val="20"/>
          <w:szCs w:val="20"/>
          <w:color w:val="auto"/>
        </w:rPr>
      </w:pPr>
    </w:p>
    <w:p>
      <w:pPr>
        <w:jc w:val="both"/>
        <w:ind w:firstLine="469"/>
        <w:spacing w:after="0" w:line="287" w:lineRule="auto"/>
        <w:rPr>
          <w:sz w:val="20"/>
          <w:szCs w:val="20"/>
          <w:color w:val="auto"/>
        </w:rPr>
      </w:pPr>
      <w:r>
        <w:rPr>
          <w:rFonts w:ascii="Arial" w:cs="Arial" w:eastAsia="Arial" w:hAnsi="Arial"/>
          <w:sz w:val="16"/>
          <w:szCs w:val="16"/>
          <w:color w:val="auto"/>
        </w:rPr>
        <w:t>Pursuant to Section 404 of the Sarbanes-Oxley Act of 2002, or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86" w:lineRule="exact"/>
        <w:rPr>
          <w:sz w:val="20"/>
          <w:szCs w:val="20"/>
          <w:color w:val="auto"/>
        </w:rPr>
      </w:pPr>
    </w:p>
    <w:p>
      <w:pPr>
        <w:jc w:val="both"/>
        <w:ind w:firstLine="366"/>
        <w:spacing w:after="0" w:line="33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certificate of incorporation that will become effective upon the closing of this offering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194" w:lineRule="exact"/>
        <w:rPr>
          <w:sz w:val="20"/>
          <w:szCs w:val="20"/>
          <w:color w:val="auto"/>
        </w:rPr>
      </w:pPr>
    </w:p>
    <w:p>
      <w:pPr>
        <w:jc w:val="both"/>
        <w:ind w:firstLine="384"/>
        <w:spacing w:after="0" w:line="298" w:lineRule="auto"/>
        <w:rPr>
          <w:sz w:val="20"/>
          <w:szCs w:val="20"/>
          <w:color w:val="auto"/>
        </w:rPr>
      </w:pPr>
      <w:r>
        <w:rPr>
          <w:rFonts w:ascii="Arial" w:cs="Arial" w:eastAsia="Arial" w:hAnsi="Arial"/>
          <w:sz w:val="16"/>
          <w:szCs w:val="16"/>
          <w:color w:val="auto"/>
        </w:rPr>
        <w:t>Our certificate of incorporation that will become effective upon the closing of this offering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w:t>
      </w:r>
    </w:p>
    <w:p>
      <w:pPr>
        <w:spacing w:after="0" w:line="194"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31" w:lineRule="exact"/>
        <w:rPr>
          <w:sz w:val="20"/>
          <w:szCs w:val="20"/>
          <w:color w:val="auto"/>
        </w:rPr>
      </w:pPr>
    </w:p>
    <w:p>
      <w:pPr>
        <w:jc w:val="both"/>
        <w:ind w:firstLine="390"/>
        <w:spacing w:after="0" w:line="255" w:lineRule="auto"/>
        <w:rPr>
          <w:sz w:val="20"/>
          <w:szCs w:val="20"/>
          <w:color w:val="auto"/>
        </w:rPr>
      </w:pPr>
      <w:r>
        <w:rPr>
          <w:rFonts w:ascii="Arial" w:cs="Arial" w:eastAsia="Arial" w:hAnsi="Arial"/>
          <w:sz w:val="18"/>
          <w:szCs w:val="18"/>
          <w:color w:val="auto"/>
        </w:rPr>
        <w:t>This prospectus contains forward-looking statements that involve substantial risks and uncertainties. All statements, other than statements of historical fact, contained in this prospectus, including statements regarding our strategy, future operations, future financial position, future revenue,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forward-looking statements in this prospectus include, among other things, statements about:</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ongoing Phase 1 clinical trial and planned Phase 2b clinical trial and Phase 2 open label clinical trial of losmapimod;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IND-enabling studies and planned Phase 1 clinical trial of FTX-HbF;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and any other product candidates, including in combination with other drugs and therapies;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timing of and our ability to submit applications for, obtain and maintain regulatory approvals for losmapimod and other product candidates;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and cash equivalents and proceeds of this offering;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estimates regarding expenses, future revenue, timing of any future revenue, capital requirements and needs for additional financing;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25" w:lineRule="exact"/>
        <w:rPr>
          <w:sz w:val="20"/>
          <w:szCs w:val="20"/>
          <w:color w:val="auto"/>
        </w:rPr>
      </w:pPr>
    </w:p>
    <w:p>
      <w:pPr>
        <w:ind w:firstLine="402"/>
        <w:spacing w:after="0" w:line="268"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events could differ materially from the plans, intentions and expectations disclosed in the forward-looking statements we make. We have included important factors in the cautionary statements included in this prospectus,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67" w:lineRule="exact"/>
        <w:rPr>
          <w:sz w:val="20"/>
          <w:szCs w:val="20"/>
          <w:color w:val="auto"/>
        </w:rPr>
      </w:pPr>
    </w:p>
    <w:p>
      <w:pPr>
        <w:jc w:val="both"/>
        <w:ind w:firstLine="381"/>
        <w:spacing w:after="0" w:line="298"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167" w:lineRule="exact"/>
        <w:rPr>
          <w:sz w:val="20"/>
          <w:szCs w:val="20"/>
          <w:color w:val="auto"/>
        </w:rPr>
      </w:pPr>
    </w:p>
    <w:p>
      <w:pPr>
        <w:jc w:val="both"/>
        <w:ind w:firstLine="529"/>
        <w:spacing w:after="0" w:line="290" w:lineRule="auto"/>
        <w:rPr>
          <w:sz w:val="20"/>
          <w:szCs w:val="20"/>
          <w:color w:val="auto"/>
        </w:rPr>
      </w:pPr>
      <w:r>
        <w:rPr>
          <w:rFonts w:ascii="Arial" w:cs="Arial" w:eastAsia="Arial" w:hAnsi="Arial"/>
          <w:sz w:val="16"/>
          <w:szCs w:val="16"/>
          <w:color w:val="auto"/>
        </w:rPr>
        <w:t>This prospectus includes statistical and other industry and market data that we obtained from industry publications and research, surveys and studies conducted by third parties as well as our own estimates of potential market opportunities. All of the market data used in this prospectus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522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6200" w:type="dxa"/>
            <w:vAlign w:val="bottom"/>
          </w:tcPr>
          <w:p>
            <w:pPr>
              <w:spacing w:after="0"/>
              <w:rPr>
                <w:sz w:val="17"/>
                <w:szCs w:val="17"/>
                <w:color w:val="auto"/>
              </w:rPr>
            </w:pPr>
          </w:p>
        </w:tc>
      </w:tr>
      <w:tr>
        <w:trPr>
          <w:trHeight w:val="667"/>
        </w:trPr>
        <w:tc>
          <w:tcPr>
            <w:tcW w:w="3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0160" w:type="dxa"/>
            <w:vAlign w:val="bottom"/>
            <w:gridSpan w:val="2"/>
          </w:tcPr>
          <w:p>
            <w:pPr>
              <w:jc w:val="right"/>
              <w:ind w:right="4832"/>
              <w:spacing w:after="0"/>
              <w:rPr>
                <w:sz w:val="20"/>
                <w:szCs w:val="20"/>
                <w:color w:val="auto"/>
              </w:rPr>
            </w:pPr>
            <w:r>
              <w:rPr>
                <w:rFonts w:ascii="Arial" w:cs="Arial" w:eastAsia="Arial" w:hAnsi="Arial"/>
                <w:sz w:val="18"/>
                <w:szCs w:val="18"/>
                <w:b w:val="1"/>
                <w:bCs w:val="1"/>
                <w:color w:val="auto"/>
              </w:rPr>
              <w:t>USE OF PROCEEDS</w:t>
            </w:r>
          </w:p>
        </w:tc>
      </w:tr>
      <w:tr>
        <w:trPr>
          <w:trHeight w:val="426"/>
        </w:trPr>
        <w:tc>
          <w:tcPr>
            <w:tcW w:w="300" w:type="dxa"/>
            <w:vAlign w:val="bottom"/>
          </w:tcPr>
          <w:p>
            <w:pPr>
              <w:spacing w:after="0"/>
              <w:rPr>
                <w:sz w:val="24"/>
                <w:szCs w:val="24"/>
                <w:color w:val="auto"/>
              </w:rPr>
            </w:pPr>
          </w:p>
        </w:tc>
        <w:tc>
          <w:tcPr>
            <w:tcW w:w="4920" w:type="dxa"/>
            <w:vAlign w:val="bottom"/>
            <w:gridSpan w:val="2"/>
          </w:tcPr>
          <w:p>
            <w:pPr>
              <w:ind w:left="200"/>
              <w:spacing w:after="0"/>
              <w:rPr>
                <w:sz w:val="20"/>
                <w:szCs w:val="20"/>
                <w:color w:val="auto"/>
              </w:rPr>
            </w:pPr>
            <w:r>
              <w:rPr>
                <w:rFonts w:ascii="Arial" w:cs="Arial" w:eastAsia="Arial" w:hAnsi="Arial"/>
                <w:sz w:val="18"/>
                <w:szCs w:val="18"/>
                <w:color w:val="auto"/>
                <w:w w:val="91"/>
              </w:rPr>
              <w:t>We estimate that the net proceeds from our issuance and sale of</w:t>
            </w:r>
          </w:p>
        </w:tc>
        <w:tc>
          <w:tcPr>
            <w:tcW w:w="6200" w:type="dxa"/>
            <w:vAlign w:val="bottom"/>
          </w:tcPr>
          <w:p>
            <w:pPr>
              <w:jc w:val="right"/>
              <w:spacing w:after="0"/>
              <w:rPr>
                <w:sz w:val="20"/>
                <w:szCs w:val="20"/>
                <w:color w:val="auto"/>
              </w:rPr>
            </w:pPr>
            <w:r>
              <w:rPr>
                <w:rFonts w:ascii="Arial" w:cs="Arial" w:eastAsia="Arial" w:hAnsi="Arial"/>
                <w:sz w:val="18"/>
                <w:szCs w:val="18"/>
                <w:color w:val="auto"/>
              </w:rPr>
              <w:t>shares of our common stock in this offering will be approximately</w:t>
            </w:r>
          </w:p>
        </w:tc>
      </w:t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gridSpan w:val="2"/>
          </w:tcPr>
          <w:p>
            <w:pPr>
              <w:ind w:left="520"/>
              <w:spacing w:after="0"/>
              <w:rPr>
                <w:sz w:val="20"/>
                <w:szCs w:val="20"/>
                <w:color w:val="auto"/>
              </w:rPr>
            </w:pPr>
            <w:r>
              <w:rPr>
                <w:rFonts w:ascii="Arial" w:cs="Arial" w:eastAsia="Arial" w:hAnsi="Arial"/>
                <w:sz w:val="18"/>
                <w:szCs w:val="18"/>
                <w:color w:val="auto"/>
              </w:rPr>
              <w:t>million, assuming an initial public offering price of $</w:t>
            </w:r>
          </w:p>
        </w:tc>
        <w:tc>
          <w:tcPr>
            <w:tcW w:w="6200" w:type="dxa"/>
            <w:vAlign w:val="bottom"/>
          </w:tcPr>
          <w:p>
            <w:pPr>
              <w:jc w:val="right"/>
              <w:spacing w:after="0"/>
              <w:rPr>
                <w:sz w:val="20"/>
                <w:szCs w:val="20"/>
                <w:color w:val="auto"/>
              </w:rPr>
            </w:pPr>
            <w:r>
              <w:rPr>
                <w:rFonts w:ascii="Arial" w:cs="Arial" w:eastAsia="Arial" w:hAnsi="Arial"/>
                <w:sz w:val="18"/>
                <w:szCs w:val="18"/>
                <w:color w:val="auto"/>
                <w:w w:val="92"/>
              </w:rPr>
              <w:t>per share, which is the midpoint of the price range set forth on the cover page of this</w:t>
            </w:r>
          </w:p>
        </w:tc>
      </w:tr>
    </w:tbl>
    <w:p>
      <w:pPr>
        <w:spacing w:after="0"/>
        <w:rPr>
          <w:sz w:val="20"/>
          <w:szCs w:val="20"/>
          <w:color w:val="auto"/>
        </w:rPr>
      </w:pPr>
      <w:r>
        <w:rPr>
          <w:rFonts w:ascii="Arial" w:cs="Arial" w:eastAsia="Arial" w:hAnsi="Arial"/>
          <w:sz w:val="16"/>
          <w:szCs w:val="16"/>
          <w:color w:val="auto"/>
        </w:rPr>
        <w:t>prospectus, after deducting estimated underwriting discounts and commissions and estimated offering expenses payable by us. If the underwriters exercise their</w:t>
      </w:r>
    </w:p>
    <w:p>
      <w:pPr>
        <w:spacing w:after="0" w:line="394" w:lineRule="exact"/>
        <w:rPr>
          <w:sz w:val="20"/>
          <w:szCs w:val="20"/>
          <w:color w:val="auto"/>
        </w:rPr>
      </w:pPr>
    </w:p>
    <w:p>
      <w:pPr>
        <w:spacing w:after="0"/>
        <w:tabs>
          <w:tab w:leader="none" w:pos="10520" w:val="left"/>
        </w:tabs>
        <w:rPr>
          <w:sz w:val="20"/>
          <w:szCs w:val="20"/>
          <w:color w:val="auto"/>
        </w:rPr>
      </w:pPr>
      <w:r>
        <w:rPr>
          <w:rFonts w:ascii="Arial" w:cs="Arial" w:eastAsia="Arial" w:hAnsi="Arial"/>
          <w:sz w:val="16"/>
          <w:szCs w:val="16"/>
          <w:color w:val="auto"/>
        </w:rPr>
        <w:t>option to purchase additional shares of our common stock in full, we estimate that the net proceeds from this offering will be approximately $</w:t>
      </w:r>
      <w:r>
        <w:rPr>
          <w:sz w:val="20"/>
          <w:szCs w:val="20"/>
          <w:color w:val="auto"/>
        </w:rPr>
        <w:tab/>
      </w:r>
      <w:r>
        <w:rPr>
          <w:rFonts w:ascii="Arial" w:cs="Arial" w:eastAsia="Arial" w:hAnsi="Arial"/>
          <w:sz w:val="16"/>
          <w:szCs w:val="16"/>
          <w:color w:val="auto"/>
        </w:rPr>
        <w:t>million.</w:t>
      </w:r>
    </w:p>
    <w:p>
      <w:pPr>
        <w:spacing w:after="0" w:line="248" w:lineRule="exact"/>
        <w:rPr>
          <w:sz w:val="20"/>
          <w:szCs w:val="20"/>
          <w:color w:val="auto"/>
        </w:rPr>
      </w:pPr>
    </w:p>
    <w:p>
      <w:pPr>
        <w:ind w:firstLine="372"/>
        <w:spacing w:after="0" w:line="286" w:lineRule="auto"/>
        <w:rPr>
          <w:sz w:val="20"/>
          <w:szCs w:val="20"/>
          <w:color w:val="auto"/>
        </w:rPr>
      </w:pPr>
      <w:r>
        <w:rPr>
          <w:rFonts w:ascii="Arial" w:cs="Arial" w:eastAsia="Arial" w:hAnsi="Arial"/>
          <w:sz w:val="16"/>
          <w:szCs w:val="16"/>
          <w:color w:val="auto"/>
        </w:rPr>
        <w:t>A $1.00 increase (decrease) in the assumed initial public offering price of $ per share, which is the midpoint of the price range set forth on the cover page of this prospectus, would increase (decrease) the net proceeds to us from this offering by approximately $ million, assuming the number of shares</w:t>
      </w:r>
    </w:p>
    <w:p>
      <w:pPr>
        <w:spacing w:after="0" w:line="300" w:lineRule="auto"/>
        <w:rPr>
          <w:sz w:val="20"/>
          <w:szCs w:val="20"/>
          <w:color w:val="auto"/>
        </w:rPr>
      </w:pPr>
      <w:r>
        <w:rPr>
          <w:rFonts w:ascii="Arial" w:cs="Arial" w:eastAsia="Arial" w:hAnsi="Arial"/>
          <w:sz w:val="15"/>
          <w:szCs w:val="15"/>
          <w:color w:val="auto"/>
        </w:rPr>
        <w:t>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w:t>
      </w:r>
    </w:p>
    <w:p>
      <w:pPr>
        <w:spacing w:after="0" w:line="1"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prospectus, would increase (decrease) the net proceeds to us from this offering by approximately $ million, assuming no change in the assumed initial public offering price per share and after deducting estimated underwriting discounts and commissions and estimated offering expenses payable by us.</w:t>
      </w:r>
    </w:p>
    <w:p>
      <w:pPr>
        <w:spacing w:after="0" w:line="147" w:lineRule="exact"/>
        <w:rPr>
          <w:sz w:val="20"/>
          <w:szCs w:val="20"/>
          <w:color w:val="auto"/>
        </w:rPr>
      </w:pPr>
    </w:p>
    <w:p>
      <w:pPr>
        <w:ind w:firstLine="421"/>
        <w:spacing w:after="0" w:line="268" w:lineRule="auto"/>
        <w:rPr>
          <w:sz w:val="20"/>
          <w:szCs w:val="20"/>
          <w:color w:val="auto"/>
        </w:rPr>
      </w:pPr>
      <w:r>
        <w:rPr>
          <w:rFonts w:ascii="Arial" w:cs="Arial" w:eastAsia="Arial" w:hAnsi="Arial"/>
          <w:sz w:val="18"/>
          <w:szCs w:val="18"/>
          <w:color w:val="auto"/>
        </w:rPr>
        <w:t>As of December 31, 2018, we had cash and cash equivalents of $72.8 million. We currently estimate that we will use the net proceeds from this offering, together with our existing cash and cash equivalents, as follows:</w:t>
      </w:r>
    </w:p>
    <w:p>
      <w:pPr>
        <w:spacing w:after="0" w:line="19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advance losmapimod for FSHD;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advance our hemoglobinopathies program;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our ongoing product engine and discovery efforts;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w:t>
      </w:r>
    </w:p>
    <w:p>
      <w:pPr>
        <w:spacing w:after="0" w:line="225"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This expected use of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programs,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Based on our planned use of the net proceeds from this offering, together with our existing cash and cash equivalents, we estimate that such funds will be</w:t>
      </w:r>
    </w:p>
    <w:p>
      <w:pPr>
        <w:spacing w:after="0" w:line="3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sufficient to fund our operating expenses and capital expenditure requirements into . We anticipate that the net proceeds from this offering together with our existing cash and cash equivalents will be sufficient to allow us to . We will require additional capital to advance losmapimod through</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additional clinical trials, if required, to advance FTX-HbF through necessary clinical trials and to commercialize any of our product candidates, if we receive regulatory approval. We have based these estimates on assumptions that may prove to be wrong, including assumptions regarding the clinical trials necessary for FDA approval of our product candidates, and we could use our capital resources sooner than we currently expect. Due to the numerous risks and uncertainties associated with product development, including the risks and uncertainties with respect to successful enrollment and completion of clinical trials, at this time, we cannot reasonably estimate the amount of additional funding that will be necessary to complete the clinical development of losmapimod or any future product candidates. If we receive regulatory approval for losmapimod or other product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candidates, we expect to incur significant commercialization expenses related to product manufacturing, sales, marketing and distribution.</w:t>
      </w:r>
    </w:p>
    <w:p>
      <w:pPr>
        <w:spacing w:after="0" w:line="225" w:lineRule="exact"/>
        <w:rPr>
          <w:sz w:val="20"/>
          <w:szCs w:val="20"/>
          <w:color w:val="auto"/>
        </w:rPr>
      </w:pPr>
    </w:p>
    <w:p>
      <w:pPr>
        <w:ind w:firstLine="381"/>
        <w:spacing w:after="0" w:line="268"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ind w:firstLine="408"/>
        <w:spacing w:after="0" w:line="298" w:lineRule="auto"/>
        <w:rPr>
          <w:sz w:val="20"/>
          <w:szCs w:val="20"/>
          <w:color w:val="auto"/>
        </w:rPr>
      </w:pPr>
      <w:r>
        <w:rPr>
          <w:rFonts w:ascii="Arial" w:cs="Arial" w:eastAsia="Arial" w:hAnsi="Arial"/>
          <w:sz w:val="16"/>
          <w:szCs w:val="16"/>
          <w:color w:val="auto"/>
        </w:rPr>
        <w:t>We have never declared or paid cash dividends on our common stock. We currently intend to retain all available funds and any future earnings to fund the development and expansion of our business and we do not anticipate paying any cash dividends in the foreseeable future.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2018:</w:t>
      </w:r>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4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ind w:left="240"/>
              <w:spacing w:after="0"/>
              <w:rPr>
                <w:sz w:val="20"/>
                <w:szCs w:val="20"/>
                <w:color w:val="auto"/>
              </w:rPr>
            </w:pPr>
            <w:r>
              <w:rPr>
                <w:rFonts w:ascii="Arial" w:cs="Arial" w:eastAsia="Arial" w:hAnsi="Arial"/>
                <w:sz w:val="18"/>
                <w:szCs w:val="18"/>
                <w:color w:val="auto"/>
              </w:rPr>
              <w:t>on</w:t>
            </w:r>
          </w:p>
        </w:tc>
        <w:tc>
          <w:tcPr>
            <w:tcW w:w="2800" w:type="dxa"/>
            <w:vAlign w:val="bottom"/>
          </w:tcPr>
          <w:p>
            <w:pPr>
              <w:ind w:left="40"/>
              <w:spacing w:after="0"/>
              <w:rPr>
                <w:sz w:val="20"/>
                <w:szCs w:val="20"/>
                <w:color w:val="auto"/>
              </w:rPr>
            </w:pPr>
            <w:r>
              <w:rPr>
                <w:rFonts w:ascii="Arial" w:cs="Arial" w:eastAsia="Arial" w:hAnsi="Arial"/>
                <w:sz w:val="18"/>
                <w:szCs w:val="18"/>
                <w:color w:val="auto"/>
              </w:rPr>
              <w:t>a pro forma basis to give effect to</w:t>
            </w:r>
          </w:p>
        </w:tc>
        <w:tc>
          <w:tcPr>
            <w:tcW w:w="2720" w:type="dxa"/>
            <w:vAlign w:val="bottom"/>
          </w:tcPr>
          <w:p>
            <w:pPr>
              <w:ind w:left="40"/>
              <w:spacing w:after="0"/>
              <w:rPr>
                <w:sz w:val="20"/>
                <w:szCs w:val="20"/>
                <w:color w:val="auto"/>
              </w:rPr>
            </w:pPr>
            <w:r>
              <w:rPr>
                <w:rFonts w:ascii="Arial" w:cs="Arial" w:eastAsia="Arial" w:hAnsi="Arial"/>
                <w:sz w:val="18"/>
                <w:szCs w:val="18"/>
                <w:color w:val="auto"/>
              </w:rPr>
              <w:t>(i) the automatic conversion of all</w:t>
            </w:r>
          </w:p>
        </w:tc>
        <w:tc>
          <w:tcPr>
            <w:tcW w:w="4580" w:type="dxa"/>
            <w:vAlign w:val="bottom"/>
          </w:tcPr>
          <w:p>
            <w:pPr>
              <w:jc w:val="right"/>
              <w:spacing w:after="0"/>
              <w:rPr>
                <w:sz w:val="20"/>
                <w:szCs w:val="20"/>
                <w:color w:val="auto"/>
              </w:rPr>
            </w:pPr>
            <w:r>
              <w:rPr>
                <w:rFonts w:ascii="Arial" w:cs="Arial" w:eastAsia="Arial" w:hAnsi="Arial"/>
                <w:sz w:val="18"/>
                <w:szCs w:val="18"/>
                <w:color w:val="auto"/>
                <w:w w:val="96"/>
              </w:rPr>
              <w:t>outstanding shares of our preferred stock into an aggregate</w:t>
            </w:r>
          </w:p>
        </w:tc>
      </w:tr>
      <w:tr>
        <w:trPr>
          <w:trHeight w:val="222"/>
        </w:trPr>
        <w:tc>
          <w:tcPr>
            <w:tcW w:w="300" w:type="dxa"/>
            <w:vAlign w:val="bottom"/>
          </w:tcPr>
          <w:p>
            <w:pPr>
              <w:spacing w:after="0"/>
              <w:rPr>
                <w:sz w:val="19"/>
                <w:szCs w:val="19"/>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of</w:t>
            </w:r>
          </w:p>
        </w:tc>
        <w:tc>
          <w:tcPr>
            <w:tcW w:w="10100" w:type="dxa"/>
            <w:vAlign w:val="bottom"/>
            <w:gridSpan w:val="3"/>
          </w:tcPr>
          <w:p>
            <w:pPr>
              <w:jc w:val="right"/>
              <w:ind w:right="332"/>
              <w:spacing w:after="0"/>
              <w:rPr>
                <w:sz w:val="20"/>
                <w:szCs w:val="20"/>
                <w:color w:val="auto"/>
              </w:rPr>
            </w:pPr>
            <w:r>
              <w:rPr>
                <w:rFonts w:ascii="Arial" w:cs="Arial" w:eastAsia="Arial" w:hAnsi="Arial"/>
                <w:sz w:val="18"/>
                <w:szCs w:val="18"/>
                <w:color w:val="auto"/>
                <w:w w:val="93"/>
              </w:rPr>
              <w:t>shares of common stock upon the closing of this offering and (ii) the filing and effectiveness of our certificate of incorporation; and</w:t>
            </w:r>
          </w:p>
        </w:tc>
      </w:tr>
      <w:tr>
        <w:trPr>
          <w:trHeight w:val="439"/>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0" w:type="dxa"/>
            <w:vAlign w:val="bottom"/>
            <w:gridSpan w:val="3"/>
          </w:tcPr>
          <w:p>
            <w:pPr>
              <w:ind w:left="240"/>
              <w:spacing w:after="0"/>
              <w:rPr>
                <w:sz w:val="20"/>
                <w:szCs w:val="20"/>
                <w:color w:val="auto"/>
              </w:rPr>
            </w:pPr>
            <w:r>
              <w:rPr>
                <w:rFonts w:ascii="Arial" w:cs="Arial" w:eastAsia="Arial" w:hAnsi="Arial"/>
                <w:sz w:val="18"/>
                <w:szCs w:val="18"/>
                <w:color w:val="auto"/>
                <w:w w:val="88"/>
              </w:rPr>
              <w:t>on a pro forma as adjusted basis to give further effect to our issuance and sale of</w:t>
            </w:r>
          </w:p>
        </w:tc>
        <w:tc>
          <w:tcPr>
            <w:tcW w:w="4580" w:type="dxa"/>
            <w:vAlign w:val="bottom"/>
          </w:tcPr>
          <w:p>
            <w:pPr>
              <w:jc w:val="right"/>
              <w:spacing w:after="0"/>
              <w:rPr>
                <w:sz w:val="20"/>
                <w:szCs w:val="20"/>
                <w:color w:val="auto"/>
              </w:rPr>
            </w:pPr>
            <w:r>
              <w:rPr>
                <w:rFonts w:ascii="Arial" w:cs="Arial" w:eastAsia="Arial" w:hAnsi="Arial"/>
                <w:sz w:val="18"/>
                <w:szCs w:val="18"/>
                <w:color w:val="auto"/>
              </w:rPr>
              <w:t>shares of our common stock in this offering at an</w:t>
            </w:r>
          </w:p>
        </w:tc>
      </w:tr>
      <w:tr>
        <w:trPr>
          <w:trHeight w:val="216"/>
        </w:trPr>
        <w:tc>
          <w:tcPr>
            <w:tcW w:w="300" w:type="dxa"/>
            <w:vAlign w:val="bottom"/>
          </w:tcPr>
          <w:p>
            <w:pPr>
              <w:spacing w:after="0"/>
              <w:rPr>
                <w:sz w:val="18"/>
                <w:szCs w:val="18"/>
                <w:color w:val="auto"/>
              </w:rPr>
            </w:pPr>
          </w:p>
        </w:tc>
        <w:tc>
          <w:tcPr>
            <w:tcW w:w="3280" w:type="dxa"/>
            <w:vAlign w:val="bottom"/>
            <w:gridSpan w:val="2"/>
          </w:tcPr>
          <w:p>
            <w:pPr>
              <w:ind w:left="240"/>
              <w:spacing w:after="0"/>
              <w:rPr>
                <w:sz w:val="20"/>
                <w:szCs w:val="20"/>
                <w:color w:val="auto"/>
              </w:rPr>
            </w:pPr>
            <w:r>
              <w:rPr>
                <w:rFonts w:ascii="Arial" w:cs="Arial" w:eastAsia="Arial" w:hAnsi="Arial"/>
                <w:sz w:val="18"/>
                <w:szCs w:val="18"/>
                <w:color w:val="auto"/>
                <w:w w:val="95"/>
              </w:rPr>
              <w:t>assumed initial public offering price of $</w:t>
            </w:r>
          </w:p>
        </w:tc>
        <w:tc>
          <w:tcPr>
            <w:tcW w:w="7300" w:type="dxa"/>
            <w:vAlign w:val="bottom"/>
            <w:gridSpan w:val="2"/>
          </w:tcPr>
          <w:p>
            <w:pPr>
              <w:jc w:val="right"/>
              <w:spacing w:after="0"/>
              <w:rPr>
                <w:sz w:val="20"/>
                <w:szCs w:val="20"/>
                <w:color w:val="auto"/>
              </w:rPr>
            </w:pPr>
            <w:r>
              <w:rPr>
                <w:rFonts w:ascii="Arial" w:cs="Arial" w:eastAsia="Arial" w:hAnsi="Arial"/>
                <w:sz w:val="18"/>
                <w:szCs w:val="18"/>
                <w:color w:val="auto"/>
                <w:w w:val="94"/>
              </w:rPr>
              <w:t>per share, which is the midpoint of the price range set forth on the cover page of this prospectus,</w:t>
            </w:r>
          </w:p>
        </w:tc>
      </w:tr>
      <w:tr>
        <w:trPr>
          <w:trHeight w:val="222"/>
        </w:trPr>
        <w:tc>
          <w:tcPr>
            <w:tcW w:w="300" w:type="dxa"/>
            <w:vAlign w:val="bottom"/>
          </w:tcPr>
          <w:p>
            <w:pPr>
              <w:spacing w:after="0"/>
              <w:rPr>
                <w:sz w:val="19"/>
                <w:szCs w:val="19"/>
                <w:color w:val="auto"/>
              </w:rPr>
            </w:pPr>
          </w:p>
        </w:tc>
        <w:tc>
          <w:tcPr>
            <w:tcW w:w="10580" w:type="dxa"/>
            <w:vAlign w:val="bottom"/>
            <w:gridSpan w:val="4"/>
          </w:tcPr>
          <w:p>
            <w:pPr>
              <w:ind w:left="240"/>
              <w:spacing w:after="0"/>
              <w:rPr>
                <w:sz w:val="20"/>
                <w:szCs w:val="20"/>
                <w:color w:val="auto"/>
              </w:rPr>
            </w:pPr>
            <w:r>
              <w:rPr>
                <w:rFonts w:ascii="Arial" w:cs="Arial" w:eastAsia="Arial" w:hAnsi="Arial"/>
                <w:sz w:val="18"/>
                <w:szCs w:val="18"/>
                <w:color w:val="auto"/>
              </w:rPr>
              <w:t>after deducting estimated underwriting discounts and commissions and estimated offering expenses payable by us.</w:t>
            </w:r>
          </w:p>
        </w:tc>
      </w:tr>
    </w:tbl>
    <w:p>
      <w:pPr>
        <w:spacing w:after="0" w:line="210" w:lineRule="exact"/>
        <w:rPr>
          <w:sz w:val="20"/>
          <w:szCs w:val="20"/>
          <w:color w:val="auto"/>
        </w:rPr>
      </w:pPr>
    </w:p>
    <w:p>
      <w:pPr>
        <w:jc w:val="both"/>
        <w:ind w:firstLine="473"/>
        <w:spacing w:after="0" w:line="298" w:lineRule="auto"/>
        <w:rPr>
          <w:sz w:val="20"/>
          <w:szCs w:val="20"/>
          <w:color w:val="auto"/>
        </w:rPr>
      </w:pPr>
      <w:r>
        <w:rPr>
          <w:rFonts w:ascii="Arial" w:cs="Arial" w:eastAsia="Arial" w:hAnsi="Arial"/>
          <w:sz w:val="16"/>
          <w:szCs w:val="16"/>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the information in this table together with our consolidated financial statements and the related notes appearing at the end of this prospectus and the "Selected Consolidated Financial Data" and "Management's Discussion and Analysis of Financial Condition and Results of Operations" sections of this prospectus.</w:t>
      </w:r>
    </w:p>
    <w:p>
      <w:pPr>
        <w:spacing w:after="0" w:line="216"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00" w:type="dxa"/>
            <w:vAlign w:val="bottom"/>
            <w:gridSpan w:val="8"/>
          </w:tcPr>
          <w:p>
            <w:pPr>
              <w:ind w:left="520"/>
              <w:spacing w:after="0"/>
              <w:rPr>
                <w:sz w:val="20"/>
                <w:szCs w:val="20"/>
                <w:color w:val="auto"/>
              </w:rPr>
            </w:pPr>
            <w:r>
              <w:rPr>
                <w:rFonts w:ascii="Arial" w:cs="Arial" w:eastAsia="Arial" w:hAnsi="Arial"/>
                <w:sz w:val="14"/>
                <w:szCs w:val="14"/>
                <w:b w:val="1"/>
                <w:bCs w:val="1"/>
                <w:color w:val="auto"/>
              </w:rPr>
              <w:t>As of December 31, 2018</w:t>
            </w:r>
          </w:p>
        </w:tc>
      </w:tr>
      <w:tr>
        <w:trPr>
          <w:trHeight w:val="129"/>
        </w:trPr>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Pro Forma</w:t>
            </w:r>
          </w:p>
        </w:tc>
        <w:tc>
          <w:tcPr>
            <w:tcW w:w="1280" w:type="dxa"/>
            <w:vAlign w:val="bottom"/>
            <w:gridSpan w:val="2"/>
          </w:tcPr>
          <w:p>
            <w:pPr>
              <w:spacing w:after="0"/>
              <w:rPr>
                <w:sz w:val="11"/>
                <w:szCs w:val="11"/>
                <w:color w:val="auto"/>
              </w:rPr>
            </w:pPr>
          </w:p>
        </w:tc>
      </w:tr>
      <w:tr>
        <w:trPr>
          <w:trHeight w:val="161"/>
        </w:trPr>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8"/>
              </w:rPr>
              <w:t>Actual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9"/>
              </w:rPr>
              <w:t>Pro Forma</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5"/>
              </w:rPr>
              <w:t>As Adjusted</w:t>
            </w:r>
          </w:p>
        </w:tc>
        <w:tc>
          <w:tcPr>
            <w:tcW w:w="1280" w:type="dxa"/>
            <w:vAlign w:val="bottom"/>
            <w:gridSpan w:val="2"/>
          </w:tcPr>
          <w:p>
            <w:pPr>
              <w:spacing w:after="0"/>
              <w:rPr>
                <w:sz w:val="14"/>
                <w:szCs w:val="14"/>
                <w:color w:val="auto"/>
              </w:rPr>
            </w:pPr>
          </w:p>
        </w:tc>
      </w:tr>
      <w:tr>
        <w:trPr>
          <w:trHeight w:val="142"/>
        </w:trPr>
        <w:tc>
          <w:tcPr>
            <w:tcW w:w="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77"/>
              </w:rPr>
              <w:t>(in thousands,</w:t>
            </w:r>
          </w:p>
        </w:tc>
        <w:tc>
          <w:tcPr>
            <w:tcW w:w="160" w:type="dxa"/>
            <w:vAlign w:val="bottom"/>
            <w:gridSpan w:val="2"/>
          </w:tcPr>
          <w:p>
            <w:pPr>
              <w:spacing w:after="0"/>
              <w:rPr>
                <w:sz w:val="12"/>
                <w:szCs w:val="12"/>
                <w:color w:val="auto"/>
              </w:rPr>
            </w:pPr>
          </w:p>
        </w:tc>
        <w:tc>
          <w:tcPr>
            <w:tcW w:w="31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except share and per share data)</w:t>
            </w:r>
          </w:p>
        </w:tc>
      </w:tr>
      <w:tr>
        <w:trPr>
          <w:trHeight w:val="216"/>
        </w:trPr>
        <w:tc>
          <w:tcPr>
            <w:tcW w:w="78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6980" w:type="dxa"/>
            <w:vAlign w:val="bottom"/>
            <w:gridSpan w:val="5"/>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8"/>
        </w:trPr>
        <w:tc>
          <w:tcPr>
            <w:tcW w:w="6980" w:type="dxa"/>
            <w:vAlign w:val="bottom"/>
            <w:gridSpan w:val="5"/>
          </w:tcPr>
          <w:p>
            <w:pPr>
              <w:ind w:left="760"/>
              <w:spacing w:after="0" w:line="189" w:lineRule="exact"/>
              <w:rPr>
                <w:sz w:val="20"/>
                <w:szCs w:val="20"/>
                <w:color w:val="auto"/>
              </w:rPr>
            </w:pPr>
            <w:r>
              <w:rPr>
                <w:rFonts w:ascii="Arial" w:cs="Arial" w:eastAsia="Arial" w:hAnsi="Arial"/>
                <w:sz w:val="18"/>
                <w:szCs w:val="18"/>
                <w:color w:val="auto"/>
                <w:w w:val="93"/>
              </w:rPr>
              <w:t>Convertible preferred stock (Series A and B), $0.001 par value; 100,000,000 shares</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6340" w:type="dxa"/>
            <w:vAlign w:val="bottom"/>
            <w:gridSpan w:val="5"/>
          </w:tcPr>
          <w:p>
            <w:pPr>
              <w:ind w:left="160"/>
              <w:spacing w:after="0"/>
              <w:rPr>
                <w:sz w:val="20"/>
                <w:szCs w:val="20"/>
                <w:color w:val="auto"/>
              </w:rPr>
            </w:pPr>
            <w:r>
              <w:rPr>
                <w:rFonts w:ascii="Arial" w:cs="Arial" w:eastAsia="Arial" w:hAnsi="Arial"/>
                <w:sz w:val="18"/>
                <w:szCs w:val="18"/>
                <w:color w:val="auto"/>
              </w:rPr>
              <w:t>authorized, issued and outstanding, actual; no shares authorized, issued or</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4780" w:type="dxa"/>
            <w:vAlign w:val="bottom"/>
            <w:gridSpan w:val="3"/>
          </w:tcPr>
          <w:p>
            <w:pPr>
              <w:ind w:left="160"/>
              <w:spacing w:after="0"/>
              <w:rPr>
                <w:sz w:val="20"/>
                <w:szCs w:val="20"/>
                <w:color w:val="auto"/>
              </w:rPr>
            </w:pPr>
            <w:r>
              <w:rPr>
                <w:rFonts w:ascii="Arial" w:cs="Arial" w:eastAsia="Arial" w:hAnsi="Arial"/>
                <w:sz w:val="18"/>
                <w:szCs w:val="18"/>
                <w:color w:val="auto"/>
              </w:rPr>
              <w:t>outstanding, pro forma and pro forma as adjusted</w:t>
            </w:r>
          </w:p>
        </w:tc>
        <w:tc>
          <w:tcPr>
            <w:tcW w:w="1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139,670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1"/>
        </w:trPr>
        <w:tc>
          <w:tcPr>
            <w:tcW w:w="78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6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08"/>
        </w:trPr>
        <w:tc>
          <w:tcPr>
            <w:tcW w:w="780" w:type="dxa"/>
            <w:vAlign w:val="bottom"/>
          </w:tcPr>
          <w:p>
            <w:pPr>
              <w:spacing w:after="0"/>
              <w:rPr>
                <w:sz w:val="18"/>
                <w:szCs w:val="18"/>
                <w:color w:val="auto"/>
              </w:rPr>
            </w:pPr>
          </w:p>
        </w:tc>
        <w:tc>
          <w:tcPr>
            <w:tcW w:w="6340" w:type="dxa"/>
            <w:vAlign w:val="bottom"/>
            <w:gridSpan w:val="5"/>
          </w:tcPr>
          <w:p>
            <w:pPr>
              <w:ind w:left="160"/>
              <w:spacing w:after="0"/>
              <w:rPr>
                <w:sz w:val="20"/>
                <w:szCs w:val="20"/>
                <w:color w:val="auto"/>
              </w:rPr>
            </w:pPr>
            <w:r>
              <w:rPr>
                <w:rFonts w:ascii="Arial" w:cs="Arial" w:eastAsia="Arial" w:hAnsi="Arial"/>
                <w:sz w:val="18"/>
                <w:szCs w:val="18"/>
                <w:color w:val="auto"/>
                <w:w w:val="97"/>
              </w:rPr>
              <w:t>Preferred stock, $0.001 par value; no shares authorized, issued or outstanding,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340" w:type="dxa"/>
            <w:vAlign w:val="bottom"/>
          </w:tcPr>
          <w:p>
            <w:pPr>
              <w:ind w:left="340"/>
              <w:spacing w:after="0"/>
              <w:rPr>
                <w:sz w:val="20"/>
                <w:szCs w:val="20"/>
                <w:color w:val="auto"/>
              </w:rPr>
            </w:pPr>
            <w:r>
              <w:rPr>
                <w:rFonts w:ascii="Arial" w:cs="Arial" w:eastAsia="Arial" w:hAnsi="Arial"/>
                <w:sz w:val="18"/>
                <w:szCs w:val="18"/>
                <w:color w:val="auto"/>
              </w:rPr>
              <w:t>actual;</w:t>
            </w:r>
          </w:p>
        </w:tc>
        <w:tc>
          <w:tcPr>
            <w:tcW w:w="5000" w:type="dxa"/>
            <w:vAlign w:val="bottom"/>
            <w:gridSpan w:val="4"/>
          </w:tcPr>
          <w:p>
            <w:pPr>
              <w:spacing w:after="0"/>
              <w:rPr>
                <w:sz w:val="20"/>
                <w:szCs w:val="20"/>
                <w:color w:val="auto"/>
              </w:rPr>
            </w:pPr>
            <w:r>
              <w:rPr>
                <w:rFonts w:ascii="Arial" w:cs="Arial" w:eastAsia="Arial" w:hAnsi="Arial"/>
                <w:sz w:val="18"/>
                <w:szCs w:val="18"/>
                <w:color w:val="auto"/>
                <w:w w:val="93"/>
              </w:rPr>
              <w:t>shares authorized, no shares issued or outstanding, pro forma and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3180" w:type="dxa"/>
            <w:vAlign w:val="bottom"/>
            <w:gridSpan w:val="2"/>
          </w:tcPr>
          <w:p>
            <w:pPr>
              <w:ind w:left="340"/>
              <w:spacing w:after="0"/>
              <w:rPr>
                <w:sz w:val="20"/>
                <w:szCs w:val="20"/>
                <w:color w:val="auto"/>
              </w:rPr>
            </w:pPr>
            <w:r>
              <w:rPr>
                <w:rFonts w:ascii="Arial" w:cs="Arial" w:eastAsia="Arial" w:hAnsi="Arial"/>
                <w:sz w:val="18"/>
                <w:szCs w:val="18"/>
                <w:color w:val="auto"/>
              </w:rPr>
              <w:t>pro forma as adjusted</w:t>
            </w:r>
          </w:p>
        </w:tc>
        <w:tc>
          <w:tcPr>
            <w:tcW w:w="16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9"/>
        </w:trPr>
        <w:tc>
          <w:tcPr>
            <w:tcW w:w="780" w:type="dxa"/>
            <w:vAlign w:val="bottom"/>
          </w:tcPr>
          <w:p>
            <w:pPr>
              <w:spacing w:after="0"/>
              <w:rPr>
                <w:sz w:val="18"/>
                <w:szCs w:val="18"/>
                <w:color w:val="auto"/>
              </w:rPr>
            </w:pPr>
          </w:p>
        </w:tc>
        <w:tc>
          <w:tcPr>
            <w:tcW w:w="63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8"/>
              </w:rPr>
              <w:t>Common stock, $0.001 par value; 135,000,000 shares authorized, 19,542,588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4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5"/>
              </w:rPr>
              <w:t>shares issued and 11,116,085 shares outstanding, actual;</w:t>
            </w:r>
          </w:p>
        </w:tc>
        <w:tc>
          <w:tcPr>
            <w:tcW w:w="1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shares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authorized,</w:t>
            </w:r>
          </w:p>
        </w:tc>
        <w:tc>
          <w:tcPr>
            <w:tcW w:w="1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issued and</w:t>
            </w:r>
          </w:p>
        </w:tc>
        <w:tc>
          <w:tcPr>
            <w:tcW w:w="3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shares outstanding, pro</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forma;</w:t>
            </w:r>
          </w:p>
        </w:tc>
        <w:tc>
          <w:tcPr>
            <w:tcW w:w="1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shares authorized,</w:t>
            </w:r>
          </w:p>
        </w:tc>
        <w:tc>
          <w:tcPr>
            <w:tcW w:w="1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3"/>
              </w:rPr>
              <w:t>shares issued and</w:t>
            </w:r>
          </w:p>
        </w:tc>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shares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24"/>
        </w:trPr>
        <w:tc>
          <w:tcPr>
            <w:tcW w:w="780" w:type="dxa"/>
            <w:vAlign w:val="bottom"/>
          </w:tcPr>
          <w:p>
            <w:pPr>
              <w:spacing w:after="0"/>
              <w:rPr>
                <w:sz w:val="19"/>
                <w:szCs w:val="19"/>
                <w:color w:val="auto"/>
              </w:rPr>
            </w:pPr>
          </w:p>
        </w:tc>
        <w:tc>
          <w:tcPr>
            <w:tcW w:w="3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outstanding, pro forma as adjusted</w:t>
            </w:r>
          </w:p>
        </w:tc>
        <w:tc>
          <w:tcPr>
            <w:tcW w:w="16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78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6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(68,124)</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780" w:type="dxa"/>
            <w:vAlign w:val="bottom"/>
          </w:tcPr>
          <w:p>
            <w:pPr>
              <w:spacing w:after="0"/>
              <w:rPr>
                <w:sz w:val="18"/>
                <w:szCs w:val="18"/>
                <w:color w:val="auto"/>
              </w:rPr>
            </w:pPr>
          </w:p>
        </w:tc>
        <w:tc>
          <w:tcPr>
            <w:tcW w:w="3180" w:type="dxa"/>
            <w:vAlign w:val="bottom"/>
            <w:gridSpan w:val="2"/>
          </w:tcPr>
          <w:p>
            <w:pPr>
              <w:ind w:left="340"/>
              <w:spacing w:after="0"/>
              <w:rPr>
                <w:sz w:val="20"/>
                <w:szCs w:val="20"/>
                <w:color w:val="auto"/>
              </w:rPr>
            </w:pPr>
            <w:r>
              <w:rPr>
                <w:rFonts w:ascii="Arial" w:cs="Arial" w:eastAsia="Arial" w:hAnsi="Arial"/>
                <w:sz w:val="18"/>
                <w:szCs w:val="18"/>
                <w:color w:val="auto"/>
              </w:rPr>
              <w:t>Total stockholders' (deficit) equity</w:t>
            </w: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(63,670)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78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88"/>
              </w:rPr>
              <w:t>Total capitalization</w:t>
            </w:r>
          </w:p>
        </w:tc>
        <w:tc>
          <w:tcPr>
            <w:tcW w:w="18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556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411"/>
        </w:trPr>
        <w:tc>
          <w:tcPr>
            <w:tcW w:w="5560" w:type="dxa"/>
            <w:vAlign w:val="bottom"/>
            <w:gridSpan w:val="4"/>
          </w:tcPr>
          <w:p>
            <w:pPr>
              <w:spacing w:after="0"/>
              <w:rPr>
                <w:sz w:val="20"/>
                <w:szCs w:val="20"/>
                <w:color w:val="auto"/>
              </w:rPr>
            </w:pPr>
            <w:r>
              <w:rPr>
                <w:rFonts w:ascii="Arial" w:cs="Arial" w:eastAsia="Arial" w:hAnsi="Arial"/>
                <w:sz w:val="18"/>
                <w:szCs w:val="18"/>
                <w:color w:val="auto"/>
                <w:w w:val="93"/>
              </w:rPr>
              <w:t>A $1.00 increase (decrease) in the assumed initial public offering price of $</w:t>
            </w:r>
          </w:p>
        </w:tc>
        <w:tc>
          <w:tcPr>
            <w:tcW w:w="5460" w:type="dxa"/>
            <w:vAlign w:val="bottom"/>
            <w:gridSpan w:val="10"/>
          </w:tcPr>
          <w:p>
            <w:pPr>
              <w:ind w:left="340"/>
              <w:spacing w:after="0"/>
              <w:rPr>
                <w:sz w:val="20"/>
                <w:szCs w:val="20"/>
                <w:color w:val="auto"/>
              </w:rPr>
            </w:pPr>
            <w:r>
              <w:rPr>
                <w:rFonts w:ascii="Arial" w:cs="Arial" w:eastAsia="Arial" w:hAnsi="Arial"/>
                <w:sz w:val="18"/>
                <w:szCs w:val="18"/>
                <w:color w:val="auto"/>
                <w:w w:val="89"/>
              </w:rPr>
              <w:t>per share, which is the midpoint of the price range set forth on the cover</w:t>
            </w:r>
          </w:p>
        </w:tc>
      </w:tr>
    </w:tbl>
    <w:p>
      <w:pPr>
        <w:spacing w:after="0"/>
        <w:rPr>
          <w:sz w:val="20"/>
          <w:szCs w:val="20"/>
          <w:color w:val="auto"/>
        </w:rPr>
      </w:pPr>
      <w:r>
        <w:rPr>
          <w:rFonts w:ascii="Arial" w:cs="Arial" w:eastAsia="Arial" w:hAnsi="Arial"/>
          <w:sz w:val="16"/>
          <w:szCs w:val="16"/>
          <w:color w:val="auto"/>
        </w:rPr>
        <w:t>page of this prospectus, would increase (decrease) the pro forma as adjusted amount of each of cash and cash equivalents, additional paid-in capital, total</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80" w:type="dxa"/>
            <w:vAlign w:val="bottom"/>
          </w:tcPr>
          <w:p>
            <w:pPr>
              <w:spacing w:after="0"/>
              <w:rPr>
                <w:sz w:val="20"/>
                <w:szCs w:val="20"/>
                <w:color w:val="auto"/>
              </w:rPr>
            </w:pPr>
            <w:r>
              <w:rPr>
                <w:rFonts w:ascii="Arial" w:cs="Arial" w:eastAsia="Arial" w:hAnsi="Arial"/>
                <w:sz w:val="18"/>
                <w:szCs w:val="18"/>
                <w:color w:val="auto"/>
                <w:w w:val="96"/>
              </w:rPr>
              <w:t>stockholders' equity and total capitalization by $</w:t>
            </w:r>
          </w:p>
        </w:tc>
        <w:tc>
          <w:tcPr>
            <w:tcW w:w="7740" w:type="dxa"/>
            <w:vAlign w:val="bottom"/>
          </w:tcPr>
          <w:p>
            <w:pPr>
              <w:jc w:val="right"/>
              <w:ind w:right="4272"/>
              <w:spacing w:after="0"/>
              <w:rPr>
                <w:sz w:val="20"/>
                <w:szCs w:val="20"/>
                <w:color w:val="auto"/>
              </w:rPr>
            </w:pPr>
            <w:r>
              <w:rPr>
                <w:rFonts w:ascii="Arial" w:cs="Arial" w:eastAsia="Arial" w:hAnsi="Arial"/>
                <w:sz w:val="18"/>
                <w:szCs w:val="18"/>
                <w:color w:val="auto"/>
                <w:w w:val="96"/>
              </w:rPr>
              <w:t>million, assuming that the number of shares</w:t>
            </w:r>
          </w:p>
        </w:tc>
      </w:tr>
      <w:tr>
        <w:trPr>
          <w:trHeight w:val="426"/>
        </w:trPr>
        <w:tc>
          <w:tcPr>
            <w:tcW w:w="3680" w:type="dxa"/>
            <w:vAlign w:val="bottom"/>
          </w:tcPr>
          <w:p>
            <w:pPr>
              <w:spacing w:after="0"/>
              <w:rPr>
                <w:sz w:val="24"/>
                <w:szCs w:val="24"/>
                <w:color w:val="auto"/>
              </w:rPr>
            </w:pPr>
          </w:p>
        </w:tc>
        <w:tc>
          <w:tcPr>
            <w:tcW w:w="7740" w:type="dxa"/>
            <w:vAlign w:val="bottom"/>
          </w:tcPr>
          <w:p>
            <w:pPr>
              <w:jc w:val="right"/>
              <w:ind w:right="5532"/>
              <w:spacing w:after="0"/>
              <w:rPr>
                <w:sz w:val="20"/>
                <w:szCs w:val="20"/>
                <w:color w:val="auto"/>
              </w:rPr>
            </w:pPr>
            <w:r>
              <w:rPr>
                <w:rFonts w:ascii="Arial" w:cs="Arial" w:eastAsia="Arial" w:hAnsi="Arial"/>
                <w:sz w:val="18"/>
                <w:szCs w:val="18"/>
                <w:color w:val="auto"/>
              </w:rPr>
              <w:t>71</w:t>
            </w:r>
          </w:p>
        </w:tc>
      </w:tr>
      <w:tr>
        <w:trPr>
          <w:trHeight w:val="228"/>
        </w:trPr>
        <w:tc>
          <w:tcPr>
            <w:tcW w:w="3680" w:type="dxa"/>
            <w:vAlign w:val="bottom"/>
            <w:tcBorders>
              <w:bottom w:val="single" w:sz="8" w:color="808080"/>
            </w:tcBorders>
          </w:tcPr>
          <w:p>
            <w:pPr>
              <w:spacing w:after="0"/>
              <w:rPr>
                <w:sz w:val="19"/>
                <w:szCs w:val="19"/>
                <w:color w:val="auto"/>
              </w:rPr>
            </w:pPr>
          </w:p>
        </w:tc>
        <w:tc>
          <w:tcPr>
            <w:tcW w:w="7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pro forma as adjusted amount of each of cash and cash equivalents, common stock, additional paid-in capital, total</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stockholders' equity and total capitalization by $ million, assuming no change in the assumed initial public offering price per share and after deducting estimated underwriting discounts and commissions and estimated offering expenses payable by us.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above does not include:</w:t>
      </w:r>
    </w:p>
    <w:p>
      <w:pPr>
        <w:spacing w:after="0" w:line="239" w:lineRule="exact"/>
        <w:rPr>
          <w:sz w:val="20"/>
          <w:szCs w:val="20"/>
          <w:color w:val="auto"/>
        </w:rPr>
      </w:pPr>
    </w:p>
    <w:p>
      <w:pPr>
        <w:jc w:val="both"/>
        <w:ind w:left="1080" w:hanging="532"/>
        <w:spacing w:after="0" w:line="306"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3,555,302 shares of common stock issuable upon the exercise of stock options outstanding as of December 31, 2018, at a weighted average exercise price of $1.02 per share, and an additional 7,143,661 shares of common stock issuable upon the exercise of stock options granted in the three months ended March 31, 2019, at a weighted average exercise price of $1.12 per share;</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12,500,000 shares of Series B preferred stock issued in February 2019;</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6,432,941 shares of common stock available for future issuance as of December 31, 2018 under our 2016 Stock Incentive Plan, as amended, or the 2016 Plan, and an additional 2,500,000 shares of common stock available for issuance under our 2016 Plan that were added to the share reserve under such plan in the three months ended March 31, 2019; and</w:t>
      </w:r>
    </w:p>
    <w:p>
      <w:pPr>
        <w:spacing w:after="0" w:line="194" w:lineRule="exact"/>
        <w:rPr>
          <w:sz w:val="20"/>
          <w:szCs w:val="20"/>
          <w:color w:val="auto"/>
        </w:rPr>
      </w:pPr>
    </w:p>
    <w:p>
      <w:pPr>
        <w:jc w:val="both"/>
        <w:ind w:left="1080" w:hanging="539"/>
        <w:spacing w:after="0" w:line="256" w:lineRule="auto"/>
        <w:tabs>
          <w:tab w:leader="none" w:pos="1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 additional shares of our common stock that will become available for future issuance under our 2019 Stock Incentive Plan and our 2019 Employee Stock Purchase Plan, respectively, each of which will become effective immediately prior to the effectiveness of the registration statement of which this prospectus is a part, as well as any automatic increases in the number of shares of common stock reserved for future issuance under these plans.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94" w:lineRule="exact"/>
        <w:rPr>
          <w:sz w:val="20"/>
          <w:szCs w:val="20"/>
          <w:color w:val="auto"/>
        </w:rPr>
      </w:pPr>
    </w:p>
    <w:p>
      <w:pPr>
        <w:jc w:val="both"/>
        <w:ind w:firstLine="479"/>
        <w:spacing w:after="0" w:line="298" w:lineRule="auto"/>
        <w:rPr>
          <w:sz w:val="20"/>
          <w:szCs w:val="20"/>
          <w:color w:val="auto"/>
        </w:rPr>
      </w:pPr>
      <w:r>
        <w:rPr>
          <w:rFonts w:ascii="Arial" w:cs="Arial" w:eastAsia="Arial" w:hAnsi="Arial"/>
          <w:sz w:val="16"/>
          <w:szCs w:val="16"/>
          <w:color w:val="auto"/>
        </w:rPr>
        <w:t>Our historical net tangible book value (deficit) as of December 31, 2018 was $(63.7) million, or $(3.26) per share of common stock. Our historical net tangible book value (deficit) is the amount of our total tangible assets less our total liabilities and the carrying value of our preferred stock, which is not included within stockholders' (deficit) equity. Historical net tangible book value (deficit) per share represents historical net tangible book value (deficit) divided by the 19,542,588 shares of common stock outstanding as of December 31, 2018, including 8,426,503 shares of unvested restricted stock subject to repurchase by us.</w:t>
      </w:r>
    </w:p>
    <w:p>
      <w:pPr>
        <w:spacing w:after="0" w:line="167" w:lineRule="exact"/>
        <w:rPr>
          <w:sz w:val="20"/>
          <w:szCs w:val="20"/>
          <w:color w:val="auto"/>
        </w:rPr>
      </w:pPr>
    </w:p>
    <w:p>
      <w:pPr>
        <w:jc w:val="both"/>
        <w:ind w:firstLine="376"/>
        <w:spacing w:after="0" w:line="286" w:lineRule="auto"/>
        <w:rPr>
          <w:sz w:val="20"/>
          <w:szCs w:val="20"/>
          <w:color w:val="auto"/>
        </w:rPr>
      </w:pPr>
      <w:r>
        <w:rPr>
          <w:rFonts w:ascii="Arial" w:cs="Arial" w:eastAsia="Arial" w:hAnsi="Arial"/>
          <w:sz w:val="16"/>
          <w:szCs w:val="16"/>
          <w:color w:val="auto"/>
        </w:rPr>
        <w:t>Our pro forma net tangible book value as of December 31, 2018 was $ million, or $ per share of common stock. Pro forma net tangible book value represents the amount of our total tangible assets less our total liabilities, after giving effect to the automatic conversion of all outstanding shares of our</w:t>
      </w:r>
    </w:p>
    <w:p>
      <w:pPr>
        <w:jc w:val="both"/>
        <w:spacing w:after="0" w:line="255" w:lineRule="auto"/>
        <w:rPr>
          <w:sz w:val="20"/>
          <w:szCs w:val="20"/>
          <w:color w:val="auto"/>
        </w:rPr>
      </w:pPr>
      <w:r>
        <w:rPr>
          <w:rFonts w:ascii="Arial" w:cs="Arial" w:eastAsia="Arial" w:hAnsi="Arial"/>
          <w:sz w:val="18"/>
          <w:szCs w:val="18"/>
          <w:color w:val="auto"/>
        </w:rPr>
        <w:t>preferred stock into an aggregate of shares of common stock upon the closing of this offering. Pro forma net tangible book value per share represents pro forma net tangible book value divided by the total number of shares outstanding as of December 31, 2018, after giving effect to the pro forma adjustments described above.</w:t>
      </w:r>
    </w:p>
    <w:p>
      <w:pPr>
        <w:spacing w:after="0" w:line="198" w:lineRule="exact"/>
        <w:rPr>
          <w:sz w:val="20"/>
          <w:szCs w:val="20"/>
          <w:color w:val="auto"/>
        </w:rPr>
      </w:pPr>
    </w:p>
    <w:p>
      <w:pPr>
        <w:ind w:left="460"/>
        <w:spacing w:after="0"/>
        <w:tabs>
          <w:tab w:leader="none" w:pos="4980" w:val="left"/>
        </w:tabs>
        <w:rPr>
          <w:sz w:val="20"/>
          <w:szCs w:val="20"/>
          <w:color w:val="auto"/>
        </w:rPr>
      </w:pPr>
      <w:r>
        <w:rPr>
          <w:rFonts w:ascii="Arial" w:cs="Arial" w:eastAsia="Arial" w:hAnsi="Arial"/>
          <w:sz w:val="18"/>
          <w:szCs w:val="18"/>
          <w:color w:val="auto"/>
        </w:rPr>
        <w:t>After giving further effect to our issuance and sale of</w:t>
      </w:r>
      <w:r>
        <w:rPr>
          <w:sz w:val="20"/>
          <w:szCs w:val="20"/>
          <w:color w:val="auto"/>
        </w:rPr>
        <w:tab/>
      </w:r>
      <w:r>
        <w:rPr>
          <w:rFonts w:ascii="Arial" w:cs="Arial" w:eastAsia="Arial" w:hAnsi="Arial"/>
          <w:sz w:val="16"/>
          <w:szCs w:val="16"/>
          <w:color w:val="auto"/>
        </w:rPr>
        <w:t>shares of our common stock in this offering at an assumed initial public offering price of</w:t>
      </w:r>
    </w:p>
    <w:p>
      <w:pPr>
        <w:spacing w:after="0" w:line="15" w:lineRule="exact"/>
        <w:rPr>
          <w:sz w:val="20"/>
          <w:szCs w:val="20"/>
          <w:color w:val="auto"/>
        </w:rPr>
      </w:pPr>
    </w:p>
    <w:p>
      <w:pPr>
        <w:ind w:left="700" w:hanging="692"/>
        <w:spacing w:after="0"/>
        <w:tabs>
          <w:tab w:leader="none" w:pos="7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per share, which is the midpoint of the price range set forth on the cover page of this prospectus, and after deducting estimated underwriting discounts</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and commissions and estimated offering expenses payable by us, our pro forma as adjusted net tangible book value as of December 31, 2018 would have been</w:t>
      </w:r>
    </w:p>
    <w:p>
      <w:pPr>
        <w:spacing w:after="0" w:line="24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million, or $ per share. This represents an immediate increase in pro forma as adjusted net tangible book value per share of $ to existing stockholders and immediate dilution of $ in pro forma as adjusted net tangible book value per share to new investors purchasing shares of common stock in</w:t>
      </w:r>
    </w:p>
    <w:p>
      <w:pPr>
        <w:spacing w:after="0" w:line="323" w:lineRule="auto"/>
        <w:rPr>
          <w:sz w:val="20"/>
          <w:szCs w:val="20"/>
          <w:color w:val="auto"/>
        </w:rPr>
      </w:pPr>
      <w:r>
        <w:rPr>
          <w:rFonts w:ascii="Arial" w:cs="Arial" w:eastAsia="Arial" w:hAnsi="Arial"/>
          <w:sz w:val="16"/>
          <w:szCs w:val="16"/>
          <w:color w:val="auto"/>
        </w:rPr>
        <w:t>this offering. Dilution per share to new 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Assumed initial public offering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320"/>
        <w:spacing w:after="0"/>
        <w:tabs>
          <w:tab w:leader="none" w:pos="8740" w:val="left"/>
          <w:tab w:leader="none" w:pos="8980" w:val="left"/>
        </w:tabs>
        <w:rPr>
          <w:sz w:val="20"/>
          <w:szCs w:val="20"/>
          <w:color w:val="auto"/>
        </w:rPr>
      </w:pPr>
      <w:r>
        <w:rPr>
          <w:rFonts w:ascii="Arial" w:cs="Arial" w:eastAsia="Arial" w:hAnsi="Arial"/>
          <w:sz w:val="18"/>
          <w:szCs w:val="18"/>
          <w:color w:val="auto"/>
        </w:rPr>
        <w:t>Historical net tangible book value (deficit) per share as of December 31, 2018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(3.26)</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Increase per share attributable to the pro forma adjustments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Pro forma net tangible book value per share as of December 31, 2018</w:t>
      </w:r>
    </w:p>
    <w:p>
      <w:pPr>
        <w:spacing w:after="0" w:line="15" w:lineRule="exact"/>
        <w:rPr>
          <w:sz w:val="20"/>
          <w:szCs w:val="20"/>
          <w:color w:val="auto"/>
        </w:rPr>
      </w:pPr>
    </w:p>
    <w:p>
      <w:pPr>
        <w:ind w:left="1500" w:right="3360" w:hanging="179"/>
        <w:spacing w:after="0" w:line="254" w:lineRule="auto"/>
        <w:rPr>
          <w:sz w:val="20"/>
          <w:szCs w:val="20"/>
          <w:color w:val="auto"/>
        </w:rPr>
      </w:pPr>
      <w:r>
        <w:rPr>
          <w:rFonts w:ascii="Arial" w:cs="Arial" w:eastAsia="Arial" w:hAnsi="Arial"/>
          <w:sz w:val="18"/>
          <w:szCs w:val="18"/>
          <w:color w:val="auto"/>
        </w:rPr>
        <w:t>Increase in pro forma as adjusted net tangible book value per share attributable to new investors purchasing shares of common stock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-276225</wp:posOffset>
            </wp:positionV>
            <wp:extent cx="5797550" cy="2832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97550" cy="28321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6050915</wp:posOffset>
            </wp:positionH>
            <wp:positionV relativeFrom="paragraph">
              <wp:posOffset>10795</wp:posOffset>
            </wp:positionV>
            <wp:extent cx="3771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Dilution per share to new investors purchasing shares of common stock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dilution information discussed above is illustrative only and will change based on the actual initial public offering price and other terms of this offering</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determined at pricing. A $1.00 increase (decrease) in the assumed initial public offering price of $ per share, which is the midpoint of the price range set forth on the cover page of this prospectus, would increase (decrease) our pro forma as adjusted net tangible book value per share after this offering by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240" w:type="dxa"/>
            <w:vAlign w:val="bottom"/>
          </w:tcPr>
          <w:p>
            <w:pPr>
              <w:jc w:val="right"/>
              <w:ind w:right="172"/>
              <w:spacing w:after="0"/>
              <w:rPr>
                <w:sz w:val="20"/>
                <w:szCs w:val="20"/>
                <w:color w:val="auto"/>
              </w:rPr>
            </w:pPr>
            <w:r>
              <w:rPr>
                <w:rFonts w:ascii="Arial" w:cs="Arial" w:eastAsia="Arial" w:hAnsi="Arial"/>
                <w:sz w:val="18"/>
                <w:szCs w:val="18"/>
                <w:color w:val="auto"/>
                <w:w w:val="91"/>
              </w:rPr>
              <w:t>and dilution per share to new investors purchasing shares of common stock in this offering by $</w:t>
            </w:r>
          </w:p>
        </w:tc>
        <w:tc>
          <w:tcPr>
            <w:tcW w:w="3820" w:type="dxa"/>
            <w:vAlign w:val="bottom"/>
          </w:tcPr>
          <w:p>
            <w:pPr>
              <w:ind w:left="260"/>
              <w:spacing w:after="0"/>
              <w:rPr>
                <w:sz w:val="20"/>
                <w:szCs w:val="20"/>
                <w:color w:val="auto"/>
              </w:rPr>
            </w:pPr>
            <w:r>
              <w:rPr>
                <w:rFonts w:ascii="Arial" w:cs="Arial" w:eastAsia="Arial" w:hAnsi="Arial"/>
                <w:sz w:val="18"/>
                <w:szCs w:val="18"/>
                <w:color w:val="auto"/>
              </w:rPr>
              <w:t>, assuming that the number of shares</w:t>
            </w:r>
          </w:p>
        </w:tc>
      </w:tr>
      <w:tr>
        <w:trPr>
          <w:trHeight w:val="426"/>
        </w:trPr>
        <w:tc>
          <w:tcPr>
            <w:tcW w:w="360" w:type="dxa"/>
            <w:vAlign w:val="bottom"/>
          </w:tcPr>
          <w:p>
            <w:pPr>
              <w:spacing w:after="0"/>
              <w:rPr>
                <w:sz w:val="24"/>
                <w:szCs w:val="24"/>
                <w:color w:val="auto"/>
              </w:rPr>
            </w:pPr>
          </w:p>
        </w:tc>
        <w:tc>
          <w:tcPr>
            <w:tcW w:w="7240" w:type="dxa"/>
            <w:vAlign w:val="bottom"/>
          </w:tcPr>
          <w:p>
            <w:pPr>
              <w:jc w:val="right"/>
              <w:ind w:right="1712"/>
              <w:spacing w:after="0"/>
              <w:rPr>
                <w:sz w:val="20"/>
                <w:szCs w:val="20"/>
                <w:color w:val="auto"/>
              </w:rPr>
            </w:pPr>
            <w:r>
              <w:rPr>
                <w:rFonts w:ascii="Arial" w:cs="Arial" w:eastAsia="Arial" w:hAnsi="Arial"/>
                <w:sz w:val="18"/>
                <w:szCs w:val="18"/>
                <w:color w:val="auto"/>
              </w:rPr>
              <w:t>73</w:t>
            </w:r>
          </w:p>
        </w:tc>
        <w:tc>
          <w:tcPr>
            <w:tcW w:w="3820" w:type="dxa"/>
            <w:vAlign w:val="bottom"/>
          </w:tcPr>
          <w:p>
            <w:pPr>
              <w:spacing w:after="0"/>
              <w:rPr>
                <w:sz w:val="24"/>
                <w:szCs w:val="24"/>
                <w:color w:val="auto"/>
              </w:rPr>
            </w:pPr>
          </w:p>
        </w:tc>
      </w:tr>
      <w:tr>
        <w:trPr>
          <w:trHeight w:val="228"/>
        </w:trPr>
        <w:tc>
          <w:tcPr>
            <w:tcW w:w="360" w:type="dxa"/>
            <w:vAlign w:val="bottom"/>
            <w:tcBorders>
              <w:bottom w:val="single" w:sz="8" w:color="808080"/>
            </w:tcBorders>
          </w:tcPr>
          <w:p>
            <w:pPr>
              <w:spacing w:after="0"/>
              <w:rPr>
                <w:sz w:val="19"/>
                <w:szCs w:val="19"/>
                <w:color w:val="auto"/>
              </w:rPr>
            </w:pPr>
          </w:p>
        </w:tc>
        <w:tc>
          <w:tcPr>
            <w:tcW w:w="724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offered by us, as set forth on the cover page of this prospectus, remains the same and after deducting estimated underwriting discounts and commissions and estimated offering expenses payable by us. An increase of 1,000,000 shares in the number of shares offered by us, as set forth on the cover page of this</w:t>
      </w:r>
    </w:p>
    <w:p>
      <w:pPr>
        <w:spacing w:after="0" w:line="281" w:lineRule="auto"/>
        <w:rPr>
          <w:sz w:val="20"/>
          <w:szCs w:val="20"/>
          <w:color w:val="auto"/>
        </w:rPr>
      </w:pPr>
      <w:r>
        <w:rPr>
          <w:rFonts w:ascii="Arial" w:cs="Arial" w:eastAsia="Arial" w:hAnsi="Arial"/>
          <w:sz w:val="16"/>
          <w:szCs w:val="16"/>
          <w:color w:val="auto"/>
        </w:rPr>
        <w:t>prospectus, would increase our pro forma as adjusted net tangible book value per share after this offering by $ and decrease the dilution per share to new investors purchasing shares of common stock in this offering by $ , assuming no change in the assumed initial public offering price per share and after</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deducting estimated underwriting discounts and commissions and estimated offering expenses payable by us. A decrease of 1,000,000 shares in the number of shares offered by us, as set forth on the cover page of this prospectus, would decrease our pro forma as adjusted net tangible book value per share after this</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offering by $ and increase the dilution per share to new investors purchasing shares of common stock in this offering by $ , assuming no change in the assumed initial public offering price and after deducting estimated underwriting discounts and commissions and estimated offering expenses payable by us.</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If the underwriters exercise their option to purchase additional shares in full, our pro forma as adjusted net tangible book value per share after this offering</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would be $ , representing an immediate increase in pro forma as adjusted net tangible book value per share of $ to existing stockholders and immediate dilution in pro forma as adjusted net tangible book value per share of $ to new investors purchasing shares of common stock in this offering, assuming an initial public offering price of $ per share, which is the midpoint of the price range set forth on the cover page of this prospectus, and after deducting estimated underwriting discounts and commissions and estimated offering expenses payable by us.</w:t>
      </w:r>
    </w:p>
    <w:p>
      <w:pPr>
        <w:spacing w:after="0" w:line="198" w:lineRule="exact"/>
        <w:rPr>
          <w:sz w:val="20"/>
          <w:szCs w:val="20"/>
          <w:color w:val="auto"/>
        </w:rPr>
      </w:pPr>
    </w:p>
    <w:p>
      <w:pPr>
        <w:jc w:val="both"/>
        <w:ind w:firstLine="374"/>
        <w:spacing w:after="0" w:line="305" w:lineRule="auto"/>
        <w:rPr>
          <w:sz w:val="20"/>
          <w:szCs w:val="20"/>
          <w:color w:val="auto"/>
        </w:rPr>
      </w:pPr>
      <w:r>
        <w:rPr>
          <w:rFonts w:ascii="Arial" w:cs="Arial" w:eastAsia="Arial" w:hAnsi="Arial"/>
          <w:sz w:val="15"/>
          <w:szCs w:val="15"/>
          <w:color w:val="auto"/>
        </w:rPr>
        <w:t>The following table summarizes, as of December 31, 2018, on the pro forma as adjusted basis described above, the total number of shares of common stock purchased from us on an as converted to common stock basis, the total consideration paid or to be paid and the average price per share paid or to be paid by</w:t>
      </w:r>
    </w:p>
    <w:p>
      <w:pPr>
        <w:jc w:val="both"/>
        <w:spacing w:after="0" w:line="254" w:lineRule="auto"/>
        <w:rPr>
          <w:sz w:val="20"/>
          <w:szCs w:val="20"/>
          <w:color w:val="auto"/>
        </w:rPr>
      </w:pPr>
      <w:r>
        <w:rPr>
          <w:rFonts w:ascii="Arial" w:cs="Arial" w:eastAsia="Arial" w:hAnsi="Arial"/>
          <w:sz w:val="18"/>
          <w:szCs w:val="18"/>
          <w:color w:val="auto"/>
        </w:rPr>
        <w:t>existing stockholders and by new investors in this offering at an assumed initial public offering price of $ per share, which is the midpoint of the price range set forth on the cover page of this prospectus, before deducting estimated underwriting discounts and commissions and estimated offering expenses payable by us. As the table shows, new investors purchasing shares of common stock in this offering will pay an average price per share substantially higher than our existing stockholders paid.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6"/>
              </w:rPr>
              <w:t>Shares Purchased</w:t>
            </w:r>
          </w:p>
        </w:tc>
        <w:tc>
          <w:tcPr>
            <w:tcW w:w="1560" w:type="dxa"/>
            <w:vAlign w:val="bottom"/>
            <w:gridSpan w:val="3"/>
          </w:tcPr>
          <w:p>
            <w:pPr>
              <w:ind w:left="200"/>
              <w:spacing w:after="0"/>
              <w:rPr>
                <w:sz w:val="20"/>
                <w:szCs w:val="20"/>
                <w:color w:val="auto"/>
              </w:rPr>
            </w:pPr>
            <w:r>
              <w:rPr>
                <w:rFonts w:ascii="Arial" w:cs="Arial" w:eastAsia="Arial" w:hAnsi="Arial"/>
                <w:sz w:val="14"/>
                <w:szCs w:val="14"/>
                <w:b w:val="1"/>
                <w:bCs w:val="1"/>
                <w:color w:val="auto"/>
              </w:rPr>
              <w:t>Total Consideration</w:t>
            </w:r>
          </w:p>
        </w:tc>
        <w:tc>
          <w:tcPr>
            <w:tcW w:w="160" w:type="dxa"/>
            <w:vAlign w:val="bottom"/>
          </w:tcPr>
          <w:p>
            <w:pPr>
              <w:spacing w:after="0"/>
              <w:rPr>
                <w:sz w:val="14"/>
                <w:szCs w:val="14"/>
                <w:color w:val="auto"/>
              </w:rPr>
            </w:pPr>
          </w:p>
        </w:tc>
        <w:tc>
          <w:tcPr>
            <w:tcW w:w="2260" w:type="dxa"/>
            <w:vAlign w:val="bottom"/>
            <w:gridSpan w:val="3"/>
          </w:tcPr>
          <w:p>
            <w:pPr>
              <w:jc w:val="right"/>
              <w:ind w:right="1380"/>
              <w:spacing w:after="0"/>
              <w:rPr>
                <w:sz w:val="20"/>
                <w:szCs w:val="20"/>
                <w:color w:val="auto"/>
              </w:rPr>
            </w:pPr>
            <w:r>
              <w:rPr>
                <w:rFonts w:ascii="Arial" w:cs="Arial" w:eastAsia="Arial" w:hAnsi="Arial"/>
                <w:sz w:val="14"/>
                <w:szCs w:val="14"/>
                <w:b w:val="1"/>
                <w:bCs w:val="1"/>
                <w:color w:val="auto"/>
                <w:w w:val="92"/>
              </w:rPr>
              <w:t>Average Price</w:t>
            </w: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Number</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Percent</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0"/>
              </w:rPr>
              <w:t>Percentage</w:t>
            </w:r>
          </w:p>
        </w:tc>
        <w:tc>
          <w:tcPr>
            <w:tcW w:w="160" w:type="dxa"/>
            <w:vAlign w:val="bottom"/>
          </w:tcPr>
          <w:p>
            <w:pPr>
              <w:spacing w:after="0"/>
              <w:rPr>
                <w:sz w:val="12"/>
                <w:szCs w:val="12"/>
                <w:color w:val="auto"/>
              </w:rPr>
            </w:pPr>
          </w:p>
        </w:tc>
        <w:tc>
          <w:tcPr>
            <w:tcW w:w="9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Per Share</w:t>
            </w:r>
          </w:p>
        </w:tc>
        <w:tc>
          <w:tcPr>
            <w:tcW w:w="1300" w:type="dxa"/>
            <w:vAlign w:val="bottom"/>
            <w:gridSpan w:val="2"/>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w w:val="97"/>
              </w:rPr>
              <w:t>Investors purchasing shares of common stock in this offering</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gridSpan w:val="2"/>
          </w:tcPr>
          <w:p>
            <w:pPr>
              <w:jc w:val="right"/>
              <w:ind w:right="812"/>
              <w:spacing w:after="0"/>
              <w:rPr>
                <w:sz w:val="20"/>
                <w:szCs w:val="20"/>
                <w:color w:val="auto"/>
              </w:rPr>
            </w:pPr>
            <w:r>
              <w:rPr>
                <w:rFonts w:ascii="Arial" w:cs="Arial" w:eastAsia="Arial" w:hAnsi="Arial"/>
                <w:sz w:val="18"/>
                <w:szCs w:val="18"/>
                <w:color w:val="auto"/>
                <w:w w:val="84"/>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5880" w:type="dxa"/>
            <w:vAlign w:val="bottom"/>
            <w:gridSpan w:val="3"/>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r>
      <w:tr>
        <w:trPr>
          <w:trHeight w:val="404"/>
        </w:trPr>
        <w:tc>
          <w:tcPr>
            <w:tcW w:w="5880" w:type="dxa"/>
            <w:vAlign w:val="bottom"/>
            <w:gridSpan w:val="3"/>
          </w:tcPr>
          <w:p>
            <w:pPr>
              <w:ind w:left="380"/>
              <w:spacing w:after="0"/>
              <w:rPr>
                <w:sz w:val="20"/>
                <w:szCs w:val="20"/>
                <w:color w:val="auto"/>
              </w:rPr>
            </w:pPr>
            <w:r>
              <w:rPr>
                <w:rFonts w:ascii="Arial" w:cs="Arial" w:eastAsia="Arial" w:hAnsi="Arial"/>
                <w:sz w:val="18"/>
                <w:szCs w:val="18"/>
                <w:color w:val="auto"/>
                <w:w w:val="92"/>
              </w:rPr>
              <w:t>A $1.00 increase (decrease) in the assumed initial public offering price of $</w:t>
            </w:r>
          </w:p>
        </w:tc>
        <w:tc>
          <w:tcPr>
            <w:tcW w:w="5540" w:type="dxa"/>
            <w:vAlign w:val="bottom"/>
            <w:gridSpan w:val="11"/>
          </w:tcPr>
          <w:p>
            <w:pPr>
              <w:jc w:val="right"/>
              <w:ind w:right="20"/>
              <w:spacing w:after="0"/>
              <w:rPr>
                <w:sz w:val="20"/>
                <w:szCs w:val="20"/>
                <w:color w:val="auto"/>
              </w:rPr>
            </w:pPr>
            <w:r>
              <w:rPr>
                <w:rFonts w:ascii="Arial" w:cs="Arial" w:eastAsia="Arial" w:hAnsi="Arial"/>
                <w:sz w:val="18"/>
                <w:szCs w:val="18"/>
                <w:color w:val="auto"/>
                <w:w w:val="96"/>
              </w:rPr>
              <w:t>per share, which is the midpoint of the price range set forth on the cover</w:t>
            </w:r>
          </w:p>
        </w:tc>
      </w:tr>
      <w:tr>
        <w:trPr>
          <w:trHeight w:val="216"/>
        </w:trPr>
        <w:tc>
          <w:tcPr>
            <w:tcW w:w="7440" w:type="dxa"/>
            <w:vAlign w:val="bottom"/>
            <w:gridSpan w:val="7"/>
          </w:tcPr>
          <w:p>
            <w:pPr>
              <w:spacing w:after="0"/>
              <w:rPr>
                <w:sz w:val="20"/>
                <w:szCs w:val="20"/>
                <w:color w:val="auto"/>
              </w:rPr>
            </w:pPr>
            <w:r>
              <w:rPr>
                <w:rFonts w:ascii="Arial" w:cs="Arial" w:eastAsia="Arial" w:hAnsi="Arial"/>
                <w:sz w:val="18"/>
                <w:szCs w:val="18"/>
                <w:color w:val="auto"/>
                <w:w w:val="92"/>
              </w:rPr>
              <w:t>page of this prospectus, would increase (decrease) the total consideration paid by new investors by $</w:t>
            </w:r>
          </w:p>
        </w:tc>
        <w:tc>
          <w:tcPr>
            <w:tcW w:w="620" w:type="dxa"/>
            <w:vAlign w:val="bottom"/>
          </w:tcPr>
          <w:p>
            <w:pPr>
              <w:spacing w:after="0"/>
              <w:rPr>
                <w:sz w:val="18"/>
                <w:szCs w:val="18"/>
                <w:color w:val="auto"/>
              </w:rPr>
            </w:pPr>
          </w:p>
        </w:tc>
        <w:tc>
          <w:tcPr>
            <w:tcW w:w="3360" w:type="dxa"/>
            <w:vAlign w:val="bottom"/>
            <w:gridSpan w:val="6"/>
          </w:tcPr>
          <w:p>
            <w:pPr>
              <w:jc w:val="right"/>
              <w:spacing w:after="0"/>
              <w:rPr>
                <w:sz w:val="20"/>
                <w:szCs w:val="20"/>
                <w:color w:val="auto"/>
              </w:rPr>
            </w:pPr>
            <w:r>
              <w:rPr>
                <w:rFonts w:ascii="Arial" w:cs="Arial" w:eastAsia="Arial" w:hAnsi="Arial"/>
                <w:sz w:val="18"/>
                <w:szCs w:val="18"/>
                <w:color w:val="auto"/>
                <w:w w:val="93"/>
              </w:rPr>
              <w:t>million and, in the case of an increase, would</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w w:val="91"/>
              </w:rPr>
              <w:t>increase the percentage of total consideration paid by new investors by</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00" w:type="dxa"/>
            <w:vAlign w:val="bottom"/>
            <w:gridSpan w:val="10"/>
          </w:tcPr>
          <w:p>
            <w:pPr>
              <w:jc w:val="right"/>
              <w:spacing w:after="0"/>
              <w:rPr>
                <w:sz w:val="20"/>
                <w:szCs w:val="20"/>
                <w:color w:val="auto"/>
              </w:rPr>
            </w:pPr>
            <w:r>
              <w:rPr>
                <w:rFonts w:ascii="Arial" w:cs="Arial" w:eastAsia="Arial" w:hAnsi="Arial"/>
                <w:sz w:val="18"/>
                <w:szCs w:val="18"/>
                <w:color w:val="auto"/>
                <w:w w:val="87"/>
              </w:rPr>
              <w:t>percentage points and, in the case of a decrease, would decrease the</w:t>
            </w: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percentage of total consideration paid by new investors by</w:t>
            </w:r>
          </w:p>
        </w:tc>
        <w:tc>
          <w:tcPr>
            <w:tcW w:w="6220" w:type="dxa"/>
            <w:vAlign w:val="bottom"/>
            <w:gridSpan w:val="12"/>
          </w:tcPr>
          <w:p>
            <w:pPr>
              <w:jc w:val="right"/>
              <w:spacing w:after="0"/>
              <w:rPr>
                <w:sz w:val="20"/>
                <w:szCs w:val="20"/>
                <w:color w:val="auto"/>
              </w:rPr>
            </w:pPr>
            <w:r>
              <w:rPr>
                <w:rFonts w:ascii="Arial" w:cs="Arial" w:eastAsia="Arial" w:hAnsi="Arial"/>
                <w:sz w:val="18"/>
                <w:szCs w:val="18"/>
                <w:color w:val="auto"/>
                <w:w w:val="88"/>
              </w:rPr>
              <w:t>percentage points, assuming that the number of shares offered by us, as set forth on the</w:t>
            </w:r>
          </w:p>
        </w:tc>
      </w:tr>
    </w:tbl>
    <w:p>
      <w:pPr>
        <w:spacing w:after="0"/>
        <w:rPr>
          <w:sz w:val="20"/>
          <w:szCs w:val="20"/>
          <w:color w:val="auto"/>
        </w:rPr>
      </w:pPr>
      <w:r>
        <w:rPr>
          <w:rFonts w:ascii="Arial" w:cs="Arial" w:eastAsia="Arial" w:hAnsi="Arial"/>
          <w:sz w:val="15"/>
          <w:szCs w:val="15"/>
          <w:color w:val="auto"/>
        </w:rPr>
        <w:t>cover page of this prospectus, remains the same. An increase (decrease) of 1,000,000 shares in the number of shares offered by us, as set forth on the cover page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gridSpan w:val="3"/>
          </w:tcPr>
          <w:p>
            <w:pPr>
              <w:spacing w:after="0"/>
              <w:rPr>
                <w:sz w:val="20"/>
                <w:szCs w:val="20"/>
                <w:color w:val="auto"/>
              </w:rPr>
            </w:pPr>
            <w:r>
              <w:rPr>
                <w:rFonts w:ascii="Arial" w:cs="Arial" w:eastAsia="Arial" w:hAnsi="Arial"/>
                <w:sz w:val="18"/>
                <w:szCs w:val="18"/>
                <w:color w:val="auto"/>
                <w:w w:val="92"/>
              </w:rPr>
              <w:t>of this prospectus, would increase (decrease) the total consideration paid by new investors by $</w:t>
            </w:r>
          </w:p>
        </w:tc>
        <w:tc>
          <w:tcPr>
            <w:tcW w:w="4400" w:type="dxa"/>
            <w:vAlign w:val="bottom"/>
          </w:tcPr>
          <w:p>
            <w:pPr>
              <w:jc w:val="right"/>
              <w:spacing w:after="0"/>
              <w:rPr>
                <w:sz w:val="20"/>
                <w:szCs w:val="20"/>
                <w:color w:val="auto"/>
              </w:rPr>
            </w:pPr>
            <w:r>
              <w:rPr>
                <w:rFonts w:ascii="Arial" w:cs="Arial" w:eastAsia="Arial" w:hAnsi="Arial"/>
                <w:sz w:val="18"/>
                <w:szCs w:val="18"/>
                <w:color w:val="auto"/>
                <w:w w:val="94"/>
              </w:rPr>
              <w:t>million and, in the case of an increase, would increase the</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percentage of total consideration paid by new investors by</w:t>
            </w:r>
          </w:p>
        </w:tc>
        <w:tc>
          <w:tcPr>
            <w:tcW w:w="6720" w:type="dxa"/>
            <w:vAlign w:val="bottom"/>
            <w:gridSpan w:val="2"/>
          </w:tcPr>
          <w:p>
            <w:pPr>
              <w:jc w:val="right"/>
              <w:spacing w:after="0"/>
              <w:rPr>
                <w:sz w:val="20"/>
                <w:szCs w:val="20"/>
                <w:color w:val="auto"/>
              </w:rPr>
            </w:pPr>
            <w:r>
              <w:rPr>
                <w:rFonts w:ascii="Arial" w:cs="Arial" w:eastAsia="Arial" w:hAnsi="Arial"/>
                <w:sz w:val="18"/>
                <w:szCs w:val="18"/>
                <w:color w:val="auto"/>
                <w:w w:val="94"/>
              </w:rPr>
              <w:t>percentage points and, in the case of a decrease, would decrease the percentage of total</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consideration paid by new investors by</w:t>
            </w:r>
          </w:p>
        </w:tc>
        <w:tc>
          <w:tcPr>
            <w:tcW w:w="8120" w:type="dxa"/>
            <w:vAlign w:val="bottom"/>
            <w:gridSpan w:val="3"/>
          </w:tcPr>
          <w:p>
            <w:pPr>
              <w:jc w:val="right"/>
              <w:ind w:right="1672"/>
              <w:spacing w:after="0"/>
              <w:rPr>
                <w:sz w:val="20"/>
                <w:szCs w:val="20"/>
                <w:color w:val="auto"/>
              </w:rPr>
            </w:pPr>
            <w:r>
              <w:rPr>
                <w:rFonts w:ascii="Arial" w:cs="Arial" w:eastAsia="Arial" w:hAnsi="Arial"/>
                <w:sz w:val="18"/>
                <w:szCs w:val="18"/>
                <w:color w:val="auto"/>
                <w:w w:val="96"/>
              </w:rPr>
              <w:t>percentage points, assuming no change in the assumed initial public offering price.</w:t>
            </w:r>
          </w:p>
        </w:tc>
      </w:tr>
      <w:tr>
        <w:trPr>
          <w:trHeight w:val="432"/>
        </w:trPr>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20" w:type="dxa"/>
            <w:vAlign w:val="bottom"/>
          </w:tcPr>
          <w:p>
            <w:pPr>
              <w:jc w:val="right"/>
              <w:ind w:right="1132"/>
              <w:spacing w:after="0"/>
              <w:rPr>
                <w:sz w:val="20"/>
                <w:szCs w:val="20"/>
                <w:color w:val="auto"/>
              </w:rPr>
            </w:pPr>
            <w:r>
              <w:rPr>
                <w:rFonts w:ascii="Arial" w:cs="Arial" w:eastAsia="Arial" w:hAnsi="Arial"/>
                <w:sz w:val="18"/>
                <w:szCs w:val="18"/>
                <w:color w:val="auto"/>
              </w:rPr>
              <w:t>74</w:t>
            </w:r>
          </w:p>
        </w:tc>
        <w:tc>
          <w:tcPr>
            <w:tcW w:w="4400" w:type="dxa"/>
            <w:vAlign w:val="bottom"/>
          </w:tcPr>
          <w:p>
            <w:pPr>
              <w:spacing w:after="0"/>
              <w:rPr>
                <w:sz w:val="24"/>
                <w:szCs w:val="24"/>
                <w:color w:val="auto"/>
              </w:rPr>
            </w:pPr>
          </w:p>
        </w:tc>
      </w:tr>
      <w:tr>
        <w:trPr>
          <w:trHeight w:val="228"/>
        </w:trPr>
        <w:tc>
          <w:tcPr>
            <w:tcW w:w="33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above assumes no exercise of the underwriters' option to purchase additional shares in this offering. If the underwriters exercise their option to</w:t>
      </w:r>
    </w:p>
    <w:p>
      <w:pPr>
        <w:spacing w:after="0" w:line="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purchase additional shares in full, the number of shares of our common stock held by existing stockholders would be reduced to % of the total number of shares of our common stock outstanding after this offering, and the number of shares of common stock held by new investors purchasing shares of common stock in this offering would be increased to % of the total number of shares of our common stock outstanding after this offering.</w:t>
      </w:r>
    </w:p>
    <w:p>
      <w:pPr>
        <w:spacing w:after="0" w:line="163" w:lineRule="exact"/>
        <w:rPr>
          <w:sz w:val="20"/>
          <w:szCs w:val="20"/>
          <w:color w:val="auto"/>
        </w:rPr>
      </w:pPr>
    </w:p>
    <w:p>
      <w:pPr>
        <w:jc w:val="both"/>
        <w:ind w:right="20" w:firstLine="393"/>
        <w:spacing w:after="0" w:line="268" w:lineRule="auto"/>
        <w:rPr>
          <w:sz w:val="20"/>
          <w:szCs w:val="20"/>
          <w:color w:val="auto"/>
        </w:rPr>
      </w:pPr>
      <w:r>
        <w:rPr>
          <w:rFonts w:ascii="Arial" w:cs="Arial" w:eastAsia="Arial" w:hAnsi="Arial"/>
          <w:sz w:val="18"/>
          <w:szCs w:val="18"/>
          <w:color w:val="auto"/>
        </w:rPr>
        <w:t>The tables and discussion above are based on 19,542,588 shares of our common stock outstanding as of December 31, 2018, including 8,426,503 shares of unvested restricted stock subject to repurchase by us, and exclude:</w:t>
      </w:r>
    </w:p>
    <w:p>
      <w:pPr>
        <w:spacing w:after="0" w:line="199" w:lineRule="exact"/>
        <w:rPr>
          <w:sz w:val="20"/>
          <w:szCs w:val="20"/>
          <w:color w:val="auto"/>
        </w:rPr>
      </w:pPr>
    </w:p>
    <w:p>
      <w:pPr>
        <w:jc w:val="both"/>
        <w:ind w:left="1080" w:hanging="532"/>
        <w:spacing w:after="0" w:line="306"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3,555,302 shares of common stock issuable upon the exercise of stock options outstanding as of December 31, 2018, at a weighted average exercise price of $1.02 per share, and an additional 7,143,661 shares of common stock issuable upon the exercise of stock options granted in the three months ended March 31, 2019, at a weighted average exercise price of $1.12 per share;</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12,500,000 shares of Series B preferred stock issued in February 2019;</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6,432,941 shares of common stock available for future issuance as of December 31, 2018 under our 2016 Plan and an additional 2,500,000 shares of common stock available for issuance under our 2016 Plan that were added to the share reserve under such plan in the three months ended March 31, 2019; and</w:t>
      </w:r>
    </w:p>
    <w:p>
      <w:pPr>
        <w:spacing w:after="0" w:line="194" w:lineRule="exact"/>
        <w:rPr>
          <w:sz w:val="20"/>
          <w:szCs w:val="20"/>
          <w:color w:val="auto"/>
        </w:rPr>
      </w:pPr>
    </w:p>
    <w:p>
      <w:pPr>
        <w:jc w:val="both"/>
        <w:ind w:left="1080" w:hanging="539"/>
        <w:spacing w:after="0" w:line="256" w:lineRule="auto"/>
        <w:tabs>
          <w:tab w:leader="none" w:pos="1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 a dditional shares of our common stock that will become available for future issuance under our 2019 Stock Incentive Plan and our 2019 Employee Stock Purchase Plan, respectively, each of which will become effective immediately prior to the effectiveness of the registration statement of which this prospectus is a part, as well as any automatic increases in the number of shares of common stock reserved for future issuance under these plans.</w:t>
      </w:r>
    </w:p>
    <w:p>
      <w:pPr>
        <w:spacing w:after="0" w:line="211" w:lineRule="exact"/>
        <w:rPr>
          <w:sz w:val="20"/>
          <w:szCs w:val="20"/>
          <w:color w:val="auto"/>
        </w:rPr>
      </w:pPr>
    </w:p>
    <w:p>
      <w:pPr>
        <w:jc w:val="both"/>
        <w:ind w:firstLine="404"/>
        <w:spacing w:after="0" w:line="298" w:lineRule="auto"/>
        <w:rPr>
          <w:sz w:val="20"/>
          <w:szCs w:val="20"/>
          <w:color w:val="auto"/>
        </w:rPr>
      </w:pPr>
      <w:r>
        <w:rPr>
          <w:rFonts w:ascii="Arial" w:cs="Arial" w:eastAsia="Arial" w:hAnsi="Arial"/>
          <w:sz w:val="16"/>
          <w:szCs w:val="16"/>
          <w:color w:val="auto"/>
        </w:rPr>
        <w:t>To the extent that outstanding stock options are exercised, new stock options are issued, or we issue additional shares of common stock in the future, there will be further dilution to investors purchasing shares of common stock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i w:val="1"/>
          <w:iCs w:val="1"/>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consolidated statement of operations data for the years ended December 31, 2017 and 2018 and the consolidated balance sheet data as of December 31, 2017 and 2018 from our consolidated financial statements appearing at the end of this prospectus. Our historical results are not necessarily indicative of the results that may be expected in the future.</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center"/>
              <w:ind w:right="258"/>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center"/>
              <w:ind w:right="238"/>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6"/>
          </w:tcPr>
          <w:p>
            <w:pPr>
              <w:jc w:val="center"/>
              <w:ind w:right="238"/>
              <w:spacing w:after="0" w:line="129" w:lineRule="exact"/>
              <w:rPr>
                <w:sz w:val="20"/>
                <w:szCs w:val="20"/>
                <w:color w:val="auto"/>
              </w:rPr>
            </w:pPr>
            <w:r>
              <w:rPr>
                <w:rFonts w:ascii="Arial" w:cs="Arial" w:eastAsia="Arial" w:hAnsi="Arial"/>
                <w:sz w:val="14"/>
                <w:szCs w:val="14"/>
                <w:b w:val="1"/>
                <w:bCs w:val="1"/>
                <w:color w:val="auto"/>
                <w:w w:val="84"/>
              </w:rPr>
              <w:t>(in thousands, except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center"/>
              <w:ind w:right="258"/>
              <w:spacing w:after="0"/>
              <w:rPr>
                <w:sz w:val="20"/>
                <w:szCs w:val="20"/>
                <w:color w:val="auto"/>
              </w:rPr>
            </w:pPr>
            <w:r>
              <w:rPr>
                <w:rFonts w:ascii="Arial" w:cs="Arial" w:eastAsia="Arial" w:hAnsi="Arial"/>
                <w:sz w:val="14"/>
                <w:szCs w:val="14"/>
                <w:b w:val="1"/>
                <w:bCs w:val="1"/>
                <w:color w:val="auto"/>
                <w:w w:val="87"/>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(22,993)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(33,498)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160"/>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gridSpan w:val="3"/>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(22,964</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(32,588</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Cumulative convertible preferred stock dividends</w:t>
            </w:r>
          </w:p>
        </w:tc>
        <w:tc>
          <w:tcPr>
            <w:tcW w:w="440" w:type="dxa"/>
            <w:vAlign w:val="bottom"/>
            <w:gridSpan w:val="2"/>
            <w:shd w:val="clear" w:color="auto" w:fill="CCEEFF"/>
          </w:tcPr>
          <w:p>
            <w:pPr>
              <w:jc w:val="right"/>
              <w:ind w:right="3"/>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(2,407)</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(6,559)</w:t>
            </w:r>
          </w:p>
        </w:tc>
        <w:tc>
          <w:tcPr>
            <w:tcW w:w="0" w:type="dxa"/>
            <w:vAlign w:val="bottom"/>
          </w:tcPr>
          <w:p>
            <w:pPr>
              <w:spacing w:after="0"/>
              <w:rPr>
                <w:sz w:val="1"/>
                <w:szCs w:val="1"/>
                <w:color w:val="auto"/>
              </w:rPr>
            </w:pPr>
          </w:p>
        </w:tc>
      </w:tr>
      <w:tr>
        <w:trPr>
          <w:trHeight w:val="210"/>
        </w:trPr>
        <w:tc>
          <w:tcPr>
            <w:tcW w:w="7000" w:type="dxa"/>
            <w:vAlign w:val="bottom"/>
            <w:gridSpan w:val="3"/>
          </w:tcPr>
          <w:p>
            <w:pPr>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(25,371</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(39,147</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980" w:type="dxa"/>
            <w:vAlign w:val="bottom"/>
            <w:gridSpan w:val="2"/>
            <w:shd w:val="clear" w:color="auto" w:fill="CCEEFF"/>
          </w:tcPr>
          <w:p>
            <w:pPr>
              <w:spacing w:after="0" w:line="237" w:lineRule="exact"/>
              <w:rPr>
                <w:sz w:val="20"/>
                <w:szCs w:val="20"/>
                <w:color w:val="auto"/>
              </w:rPr>
            </w:pPr>
            <w:r>
              <w:rPr>
                <w:rFonts w:ascii="Arial" w:cs="Arial" w:eastAsia="Arial" w:hAnsi="Arial"/>
                <w:sz w:val="17"/>
                <w:szCs w:val="17"/>
                <w:color w:val="auto"/>
              </w:rPr>
              <w:t>Net loss per share attributable to common stockholders, basic and diluted</w:t>
            </w:r>
            <w:r>
              <w:rPr>
                <w:rFonts w:ascii="Arial" w:cs="Arial" w:eastAsia="Arial" w:hAnsi="Arial"/>
                <w:sz w:val="27"/>
                <w:szCs w:val="27"/>
                <w:color w:val="auto"/>
                <w:vertAlign w:val="superscript"/>
              </w:rPr>
              <w:t>(1)</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Arial" w:cs="Arial" w:eastAsia="Arial" w:hAnsi="Arial"/>
                <w:sz w:val="18"/>
                <w:szCs w:val="18"/>
                <w:color w:val="auto"/>
                <w:w w:val="91"/>
              </w:rPr>
              <w:t>Weighted average number of common shares used in net loss per share attributable to common</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98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stockholders, basic and diluted</w:t>
            </w:r>
            <w:r>
              <w:rPr>
                <w:rFonts w:ascii="Arial" w:cs="Arial" w:eastAsia="Arial" w:hAnsi="Arial"/>
                <w:sz w:val="29"/>
                <w:szCs w:val="29"/>
                <w:color w:val="auto"/>
                <w:vertAlign w:val="superscript"/>
              </w:rPr>
              <w:t>(1)</w:t>
            </w:r>
          </w:p>
        </w:tc>
        <w:tc>
          <w:tcPr>
            <w:tcW w:w="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980" w:type="dxa"/>
            <w:vAlign w:val="bottom"/>
            <w:gridSpan w:val="2"/>
            <w:shd w:val="clear" w:color="auto" w:fill="CCEEFF"/>
          </w:tcPr>
          <w:p>
            <w:pPr>
              <w:spacing w:after="0" w:line="237" w:lineRule="exact"/>
              <w:rPr>
                <w:sz w:val="20"/>
                <w:szCs w:val="20"/>
                <w:color w:val="auto"/>
              </w:rPr>
            </w:pPr>
            <w:r>
              <w:rPr>
                <w:rFonts w:ascii="Arial" w:cs="Arial" w:eastAsia="Arial" w:hAnsi="Arial"/>
                <w:sz w:val="17"/>
                <w:szCs w:val="17"/>
                <w:color w:val="auto"/>
              </w:rPr>
              <w:t>Pro forma net loss per share attributable to common stockholders, basic and diluted</w:t>
            </w:r>
            <w:r>
              <w:rPr>
                <w:rFonts w:ascii="Arial" w:cs="Arial" w:eastAsia="Arial" w:hAnsi="Arial"/>
                <w:sz w:val="27"/>
                <w:szCs w:val="27"/>
                <w:color w:val="auto"/>
                <w:vertAlign w:val="superscript"/>
              </w:rPr>
              <w:t>(1)</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Arial" w:cs="Arial" w:eastAsia="Arial" w:hAnsi="Arial"/>
                <w:sz w:val="18"/>
                <w:szCs w:val="18"/>
                <w:color w:val="auto"/>
                <w:w w:val="90"/>
              </w:rPr>
              <w:t>Pro forma weighted average number of common shares used in net loss per share attributable to</w:t>
            </w: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98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common stockholders, basic and diluted</w:t>
            </w:r>
            <w:r>
              <w:rPr>
                <w:rFonts w:ascii="Arial" w:cs="Arial" w:eastAsia="Arial" w:hAnsi="Arial"/>
                <w:sz w:val="29"/>
                <w:szCs w:val="29"/>
                <w:color w:val="auto"/>
                <w:vertAlign w:val="superscript"/>
              </w:rPr>
              <w:t>(1)</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76,655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9" w:lineRule="auto"/>
        <w:tabs>
          <w:tab w:leader="none" w:pos="1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 Note 12 to our consolidated financial statements appearing at the end of this prospectus for details on the calculation of basic and diluted net loss per share attributable to common stockholders and unaudited basic and diluted pro forma net loss per share attributable to common stockholders.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5"/>
              </w:rPr>
              <w:t>As of December 31,</w:t>
            </w: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00"/>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4"/>
          </w:tcPr>
          <w:p>
            <w:pPr>
              <w:jc w:val="right"/>
              <w:ind w:right="376"/>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72,797</w:t>
            </w:r>
          </w:p>
        </w:tc>
        <w:tc>
          <w:tcPr>
            <w:tcW w:w="1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8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Working (deficit) capital</w:t>
            </w:r>
            <w:r>
              <w:rPr>
                <w:rFonts w:ascii="Arial" w:cs="Arial" w:eastAsia="Arial" w:hAnsi="Arial"/>
                <w:sz w:val="29"/>
                <w:szCs w:val="29"/>
                <w:color w:val="auto"/>
                <w:vertAlign w:val="superscript"/>
              </w:rPr>
              <w:t>(1)</w:t>
            </w:r>
          </w:p>
        </w:tc>
        <w:tc>
          <w:tcPr>
            <w:tcW w:w="2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69,866</w:t>
            </w:r>
          </w:p>
        </w:tc>
        <w:tc>
          <w:tcPr>
            <w:tcW w:w="16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85,771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139,670</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Total stockholders' deficit</w:t>
            </w: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5"/>
              </w:rPr>
              <w:t>(33,265)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(63,670)</w:t>
            </w:r>
          </w:p>
        </w:tc>
      </w:tr>
      <w:tr>
        <w:trPr>
          <w:trHeight w:val="102"/>
        </w:trPr>
        <w:tc>
          <w:tcPr>
            <w:tcW w:w="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35" w:lineRule="exact"/>
        <w:rPr>
          <w:sz w:val="20"/>
          <w:szCs w:val="20"/>
          <w:color w:val="auto"/>
        </w:rPr>
      </w:pPr>
    </w:p>
    <w:p>
      <w:pPr>
        <w:ind w:left="5620" w:right="4500" w:hanging="4471"/>
        <w:spacing w:after="0" w:line="519" w:lineRule="auto"/>
        <w:tabs>
          <w:tab w:leader="none" w:pos="1683"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define working (deficit) capital as current assets less current liabilities.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1" w:lineRule="exact"/>
        <w:rPr>
          <w:sz w:val="20"/>
          <w:szCs w:val="20"/>
          <w:color w:val="auto"/>
        </w:rPr>
      </w:pPr>
    </w:p>
    <w:p>
      <w:pPr>
        <w:jc w:val="both"/>
        <w:ind w:firstLine="554"/>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"Selected Consolidated Financial Data" section of this prospectus and our consolidated financial statements and related notes appearing at the end of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color w:val="auto"/>
        </w:rPr>
        <w:t>We are a biopharmaceutical company focused on improving the lives of patients with genetically defined diseases in areas of high unmet medical need, with an initial focus on rare diseases. We have developed a proprietary product engine that we employ to systematically identify and validate cellular drug targets that can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b-thalassemia. We expect to initiate a Phase 2b clinical trial of losmapimod, our product candidate for FSHD, in mid-2019. We plan to submit an investigational new drug application, or IND, for FTX-HbF, our product candidate for certain hemoglobinopathies, in mid-2020.</w:t>
      </w:r>
    </w:p>
    <w:p>
      <w:pPr>
        <w:spacing w:after="0" w:line="172" w:lineRule="exact"/>
        <w:rPr>
          <w:sz w:val="20"/>
          <w:szCs w:val="20"/>
          <w:color w:val="auto"/>
        </w:rPr>
      </w:pPr>
    </w:p>
    <w:p>
      <w:pPr>
        <w:jc w:val="both"/>
        <w:ind w:firstLine="542"/>
        <w:spacing w:after="0" w:line="294" w:lineRule="auto"/>
        <w:rPr>
          <w:sz w:val="20"/>
          <w:szCs w:val="20"/>
          <w:color w:val="auto"/>
        </w:rPr>
      </w:pPr>
      <w:r>
        <w:rPr>
          <w:rFonts w:ascii="Arial" w:cs="Arial" w:eastAsia="Arial" w:hAnsi="Arial"/>
          <w:sz w:val="16"/>
          <w:szCs w:val="16"/>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in-licensings, producing drug substance and drug product material for use in clinical trials and conducting pre-clinical studies and early clinical trials. To date, we have funded our operations primarily through the issuance of convertible notes and convertible preferred stock. Since inception, we have raised an aggregate of $140.0 million of gross proceeds to fund our operations through the issuance of convertible notes and convertible preferred stock.</w:t>
      </w:r>
    </w:p>
    <w:p>
      <w:pPr>
        <w:spacing w:after="0" w:line="170" w:lineRule="exact"/>
        <w:rPr>
          <w:sz w:val="20"/>
          <w:szCs w:val="20"/>
          <w:color w:val="auto"/>
        </w:rPr>
      </w:pPr>
    </w:p>
    <w:p>
      <w:pPr>
        <w:jc w:val="both"/>
        <w:ind w:firstLine="406"/>
        <w:spacing w:after="0" w:line="294" w:lineRule="auto"/>
        <w:rPr>
          <w:sz w:val="20"/>
          <w:szCs w:val="20"/>
          <w:color w:val="auto"/>
        </w:rPr>
      </w:pPr>
      <w:r>
        <w:rPr>
          <w:rFonts w:ascii="Arial" w:cs="Arial" w:eastAsia="Arial" w:hAnsi="Arial"/>
          <w:sz w:val="16"/>
          <w:szCs w:val="16"/>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$23.0 million and $32.6 million for the years ended December 31, 2017 and 2018, respectively. As of December 31, 2018, we had an accumulated deficit of $68.1 million. We expect our expenses and operating losses will increase substantially over the next several years in connection with our ongoing activities, as we:</w:t>
      </w:r>
    </w:p>
    <w:p>
      <w:pPr>
        <w:spacing w:after="0" w:line="183" w:lineRule="exact"/>
        <w:rPr>
          <w:sz w:val="20"/>
          <w:szCs w:val="20"/>
          <w:color w:val="auto"/>
        </w:rPr>
      </w:pPr>
    </w:p>
    <w:p>
      <w:pPr>
        <w:ind w:left="1080" w:right="2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1 clinical trial and planned Phase 2b clinical trial and Phase 2 open label clinical trial;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 IND-enabling studies and prepare for a planned Phase 1 clinical trial of FTX-HbF;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regulatory approval;</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86"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74" w:lineRule="exact"/>
        <w:rPr>
          <w:sz w:val="20"/>
          <w:szCs w:val="20"/>
          <w:color w:val="auto"/>
        </w:rPr>
      </w:pPr>
    </w:p>
    <w:p>
      <w:pPr>
        <w:jc w:val="both"/>
        <w:ind w:firstLine="396"/>
        <w:spacing w:after="0" w:line="256"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2018, we had $72.8 million in cash and cash equivalents. We believe that the anticipated net proceeds from this offering, together with</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existing cash and cash equivalents, will enable us to fund our operating expenses and capital expenditure requirements through . We have based this estimate on assumptions that may prove to be wrong, and we could exhaust our available capital resources sooner than we expect. See "—Liquidity and Capital Resources."</w:t>
      </w:r>
    </w:p>
    <w:p>
      <w:pPr>
        <w:spacing w:after="0" w:line="198" w:lineRule="exact"/>
        <w:rPr>
          <w:sz w:val="20"/>
          <w:szCs w:val="20"/>
          <w:color w:val="auto"/>
        </w:rPr>
      </w:pPr>
    </w:p>
    <w:p>
      <w:pPr>
        <w:jc w:val="both"/>
        <w:ind w:firstLine="480"/>
        <w:spacing w:after="0" w:line="294" w:lineRule="auto"/>
        <w:rPr>
          <w:sz w:val="20"/>
          <w:szCs w:val="20"/>
          <w:color w:val="auto"/>
        </w:rPr>
      </w:pPr>
      <w:r>
        <w:rPr>
          <w:rFonts w:ascii="Arial" w:cs="Arial" w:eastAsia="Arial" w:hAnsi="Arial"/>
          <w:sz w:val="16"/>
          <w:szCs w:val="16"/>
          <w:color w:val="auto"/>
        </w:rPr>
        <w:t>Without giving effect to the anticipated net proceeds from this offering, based on our current operating plan, we expect that our existing cash and cash equivalents will be sufficient to fund our operating expenses and capital expenditure requirements into the first quarter of 2020. To finance our operations beyond that point we will need to raise additional capital, which cannot be assured. We have concluded that this circumstance raises substantial doubt about our ability to continue as a going concern for at least one year from the May 1, 2019 issuance date of our consolidated financial statements for the year ended December 31, 2018. See Note 1 to our consolidated financial statements appearing at the end of this prospectus for additional information on our assessment.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77"/>
        <w:spacing w:after="0" w:line="298" w:lineRule="auto"/>
        <w:rPr>
          <w:sz w:val="20"/>
          <w:szCs w:val="20"/>
          <w:color w:val="auto"/>
        </w:rPr>
      </w:pPr>
      <w:r>
        <w:rPr>
          <w:rFonts w:ascii="Arial" w:cs="Arial" w:eastAsia="Arial" w:hAnsi="Arial"/>
          <w:sz w:val="16"/>
          <w:szCs w:val="16"/>
          <w:color w:val="auto"/>
        </w:rPr>
        <w:t>We have not generated any revenue from product sales and do not expect to generate any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67"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We may also in the future enter into license or collaboration agreements for our product candidates or intellectual property, and we may generate revenue in the future from payments as a result of such license or collaboration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Research and development expenses represent costs incurred by us for the discovery, development, and manufacture of our product candidates and include:</w:t>
      </w:r>
    </w:p>
    <w:p>
      <w:pPr>
        <w:spacing w:after="0" w:line="273" w:lineRule="exact"/>
        <w:rPr>
          <w:sz w:val="20"/>
          <w:szCs w:val="20"/>
          <w:color w:val="auto"/>
        </w:rPr>
      </w:pPr>
    </w:p>
    <w:p>
      <w:pPr>
        <w:ind w:left="10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contract manufacturing organizations, or CMOs, and consultants;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salaries, payroll taxes, employee benefits and stock-based compensation expenses for individuals involved in research and development efforts;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laboratory supplies;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other operating costs.</w:t>
      </w:r>
    </w:p>
    <w:p>
      <w:pPr>
        <w:spacing w:after="0" w:line="186"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98"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97" w:lineRule="exact"/>
        <w:rPr>
          <w:sz w:val="20"/>
          <w:szCs w:val="20"/>
          <w:color w:val="auto"/>
        </w:rPr>
      </w:pPr>
    </w:p>
    <w:p>
      <w:pPr>
        <w:jc w:val="both"/>
        <w:ind w:right="20" w:firstLine="352"/>
        <w:spacing w:after="0" w:line="332" w:lineRule="auto"/>
        <w:rPr>
          <w:sz w:val="20"/>
          <w:szCs w:val="20"/>
          <w:color w:val="auto"/>
        </w:rPr>
      </w:pPr>
      <w:r>
        <w:rPr>
          <w:rFonts w:ascii="Arial" w:cs="Arial" w:eastAsia="Arial" w:hAnsi="Arial"/>
          <w:sz w:val="16"/>
          <w:szCs w:val="16"/>
          <w:color w:val="auto"/>
        </w:rPr>
        <w:t>The following table summarizes our external research and development expenses by program following nomination as a development candidate for the years ended December 31, 2017 and 2018. Pre-development candidate expenses, unallocated expenses and internal research and development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are classified separately. We nominated losmapimod as a development candidate in December 2017.</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center"/>
              <w:ind w:right="1"/>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Year Ended</w:t>
            </w: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FSHD external expenses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Pre-development candidate expenses and unallocated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13,534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Internal research and development expenses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8,542</w:t>
            </w:r>
          </w:p>
        </w:tc>
        <w:tc>
          <w:tcPr>
            <w:tcW w:w="160" w:type="dxa"/>
            <w:vAlign w:val="bottom"/>
            <w:shd w:val="clear" w:color="auto" w:fill="CCEEFF"/>
          </w:tcPr>
          <w:p>
            <w:pPr>
              <w:spacing w:after="0"/>
              <w:rPr>
                <w:sz w:val="18"/>
                <w:szCs w:val="18"/>
                <w:color w:val="auto"/>
              </w:rPr>
            </w:pPr>
          </w:p>
        </w:tc>
      </w:tr>
      <w:tr>
        <w:trPr>
          <w:trHeight w:val="210"/>
        </w:trPr>
        <w:tc>
          <w:tcPr>
            <w:tcW w:w="690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18,494</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4"/>
        <w:spacing w:after="0" w:line="256"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211"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raise additional funds necessary to complete clinical development of and commercialize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may enter into collaboration arrangements;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successful initiation and completion of clinical trials with safety, tolerability and efficacy profiles that are satisfactory to the U.S. Food and Drug Administration, or FDA, or any comparable foreign regulatory authority;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availability of raw materials and active pharmaceutical ingredient, or API, for use in production of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ability to establish and operate a manufacturing facility, or secure manufacturing supply through relationships with third parties;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in quantities sufficient for use in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protection and regulatory exclusivity, both in the United States and internationally;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maintain, enforce, defend and protect our rights in our intellectual property portfolio;</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and when approved;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obtain and maintain third-party coverage and adequate reimbursement for our product candidates, if approved;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acceptance of our product candidates, if approved, by patients, the medical community and third-party payors;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competition with other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continued acceptable safety profile of our products following receipt of any regulatory approvals.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86" w:lineRule="exact"/>
        <w:rPr>
          <w:sz w:val="20"/>
          <w:szCs w:val="20"/>
          <w:color w:val="auto"/>
        </w:rPr>
      </w:pPr>
    </w:p>
    <w:p>
      <w:pPr>
        <w:jc w:val="both"/>
        <w:ind w:firstLine="494"/>
        <w:spacing w:after="0" w:line="288" w:lineRule="auto"/>
        <w:rPr>
          <w:sz w:val="20"/>
          <w:szCs w:val="20"/>
          <w:color w:val="auto"/>
        </w:rPr>
      </w:pPr>
      <w:r>
        <w:rPr>
          <w:rFonts w:ascii="Arial" w:cs="Arial" w:eastAsia="Arial" w:hAnsi="Arial"/>
          <w:sz w:val="16"/>
          <w:szCs w:val="16"/>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and FTX-HbF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364"/>
        <w:spacing w:after="0" w:line="256"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9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firstLine="390"/>
        <w:spacing w:after="0" w:line="268" w:lineRule="auto"/>
        <w:rPr>
          <w:sz w:val="20"/>
          <w:szCs w:val="20"/>
          <w:color w:val="auto"/>
        </w:rPr>
      </w:pPr>
      <w:r>
        <w:rPr>
          <w:rFonts w:ascii="Arial" w:cs="Arial" w:eastAsia="Arial" w:hAnsi="Arial"/>
          <w:sz w:val="18"/>
          <w:szCs w:val="18"/>
          <w:color w:val="auto"/>
        </w:rPr>
        <w:t>Other income, net consists primarily of interest income related to our investments in cash equivalents and proceeds from the sale of drug material to a third party during February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summarizes our results of operations for the years ended December 31, 2017 and 2018, along with the changes in those items in dollars: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52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720" w:type="dxa"/>
            <w:vAlign w:val="bottom"/>
            <w:gridSpan w:val="2"/>
          </w:tcPr>
          <w:p>
            <w:pPr>
              <w:ind w:left="1720"/>
              <w:spacing w:after="0" w:line="142" w:lineRule="exact"/>
              <w:rPr>
                <w:sz w:val="20"/>
                <w:szCs w:val="20"/>
                <w:color w:val="auto"/>
              </w:rPr>
            </w:pPr>
            <w:r>
              <w:rPr>
                <w:rFonts w:ascii="Arial" w:cs="Arial" w:eastAsia="Arial" w:hAnsi="Arial"/>
                <w:sz w:val="14"/>
                <w:szCs w:val="14"/>
                <w:b w:val="1"/>
                <w:bCs w:val="1"/>
                <w:color w:val="auto"/>
              </w:rPr>
              <w:t>(in thousands)</w:t>
            </w:r>
          </w:p>
        </w:tc>
        <w:tc>
          <w:tcPr>
            <w:tcW w:w="2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18,494</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25,184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6,690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gridSpan w:val="2"/>
          </w:tcPr>
          <w:p>
            <w:pPr>
              <w:ind w:left="1720"/>
              <w:spacing w:after="0"/>
              <w:rPr>
                <w:sz w:val="20"/>
                <w:szCs w:val="20"/>
                <w:color w:val="auto"/>
              </w:rPr>
            </w:pPr>
            <w:r>
              <w:rPr>
                <w:rFonts w:ascii="Arial" w:cs="Arial" w:eastAsia="Arial" w:hAnsi="Arial"/>
                <w:sz w:val="18"/>
                <w:szCs w:val="18"/>
                <w:color w:val="auto"/>
              </w:rPr>
              <w:t>Total operating expenses</w:t>
            </w:r>
          </w:p>
        </w:tc>
        <w:tc>
          <w:tcPr>
            <w:tcW w:w="2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33,498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(22,993)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(33,498)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Other income, net</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881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(22,964)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(32,588)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180" w:type="dxa"/>
            <w:vAlign w:val="bottom"/>
            <w:vMerge w:val="restart"/>
          </w:tcPr>
          <w:p>
            <w:pPr>
              <w:jc w:val="right"/>
              <w:ind w:right="1012"/>
              <w:spacing w:after="0"/>
              <w:rPr>
                <w:sz w:val="20"/>
                <w:szCs w:val="20"/>
                <w:color w:val="auto"/>
              </w:rPr>
            </w:pPr>
            <w:r>
              <w:rPr>
                <w:rFonts w:ascii="Arial" w:cs="Arial" w:eastAsia="Arial" w:hAnsi="Arial"/>
                <w:sz w:val="18"/>
                <w:szCs w:val="18"/>
                <w:color w:val="auto"/>
              </w:rPr>
              <w:t>81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Research and development expense increased by $6.7 million from $18.5 million for the year ended December 31, 2017 to $25.2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increase in research and development expense was primarily attributable to the following:</w:t>
      </w:r>
    </w:p>
    <w:p>
      <w:pPr>
        <w:spacing w:after="0" w:line="232" w:lineRule="exact"/>
        <w:rPr>
          <w:sz w:val="20"/>
          <w:szCs w:val="20"/>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$2.4 million in increased facility-related costs, including rent and other costs related to our new facility lease that commenced in December 2017, depreciation and other utility and maintenance costs;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$1.6 million in increased external manufacturing costs related to losmapimod and increased chemistry efforts for our hemoglobinopathies program;</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$1.3 million in increased personnel-related costs due to increased headcount, including $0.3 million of increased stock-based compensation expense;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$0.9 million in increased costs for preparatory studies in anticipation of initiating losmapimod clinical trials in 2019;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$0.4 million in increased laboratory supplies to support our expanding research efforts.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General and administrative expenses increased by $3.8 million from $4.5 million for the year ended December 31, 2017 to $8.3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increase in general and administrative expenses was primarily attributable to the following:</w:t>
      </w:r>
    </w:p>
    <w:p>
      <w:pPr>
        <w:spacing w:after="0" w:line="232" w:lineRule="exact"/>
        <w:rPr>
          <w:sz w:val="20"/>
          <w:szCs w:val="20"/>
          <w:color w:val="auto"/>
        </w:rPr>
      </w:pPr>
    </w:p>
    <w:p>
      <w:pPr>
        <w:ind w:left="10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$1.9 million in increased personnel-related costs, primarily due to increased general and administrative headcount to support the growth of our research and development organization, including $0.5 million of increased stock-based compensation expense;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$1.1 million in increased consulting and professional fees, including for legal services, market research, recruiting, accounting and tax; and</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$0.4 million in increased facility-related costs, including rent and other costs related to our new facility lease that commenced in December 2017, depreciation and other utility and maintenance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Other income, net increased by $0.9 million from less than $0.1 million for the year ended December 31, 2017 to $0.9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The increase in other income, net was primarily attributable to an increase in investment income of $0.5 million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due to higher cash equivalents in 2018 and the sale of drug material to a third party in February 2018 for $0.4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406"/>
        <w:spacing w:after="0" w:line="255" w:lineRule="auto"/>
        <w:rPr>
          <w:sz w:val="20"/>
          <w:szCs w:val="20"/>
          <w:color w:val="auto"/>
        </w:rPr>
      </w:pPr>
      <w:r>
        <w:rPr>
          <w:rFonts w:ascii="Arial" w:cs="Arial" w:eastAsia="Arial" w:hAnsi="Arial"/>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We have primarily funded our operations through December 31, 2018 with aggregate gross proceeds of $140.0 million from the issuance of convertible notes and convertible preferred stock. As of December 31, 2018, we had cash and cash equivalents of $72.8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regarding our cash flows for the years ended December 31, 2017 and 2018:</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Year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57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(20,074)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(22,562)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(8,981)</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105,025</w:t>
            </w: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73,482</w:t>
            </w:r>
          </w:p>
        </w:tc>
        <w:tc>
          <w:tcPr>
            <w:tcW w:w="1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firstLine="493"/>
        <w:spacing w:after="0" w:line="318" w:lineRule="auto"/>
        <w:rPr>
          <w:sz w:val="20"/>
          <w:szCs w:val="20"/>
          <w:color w:val="auto"/>
        </w:rPr>
      </w:pPr>
      <w:r>
        <w:rPr>
          <w:rFonts w:ascii="Arial" w:cs="Arial" w:eastAsia="Arial" w:hAnsi="Arial"/>
          <w:sz w:val="15"/>
          <w:szCs w:val="15"/>
          <w:color w:val="auto"/>
        </w:rPr>
        <w:t>Net cash used in operating activities was $22.6 million during the year ended December 31, 2018 compared to net cash used in operating activities of $20.1 million during year ended December 31, 2017. The increase in net cash used in operating activities of $2.5 million was due to an increase in net loss of $9.6 million for the year end December 31, 2018 as compared to the year ended December 31, 2017, partially offset by a net increase in cash provided by changes in our operating assets and liabilities of $5.7 million, primarily due to the receipt of $4.6 million during the year ended December 31, 2018 associated with the leasehold improvement allowance related to our new facility lease that commenced in December 2017, and a net increase in non-cash expenses of $1.4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firstLine="523"/>
        <w:spacing w:after="0" w:line="256" w:lineRule="auto"/>
        <w:rPr>
          <w:sz w:val="20"/>
          <w:szCs w:val="20"/>
          <w:color w:val="auto"/>
        </w:rPr>
      </w:pPr>
      <w:r>
        <w:rPr>
          <w:rFonts w:ascii="Arial" w:cs="Arial" w:eastAsia="Arial" w:hAnsi="Arial"/>
          <w:sz w:val="18"/>
          <w:szCs w:val="18"/>
          <w:color w:val="auto"/>
        </w:rPr>
        <w:t>Net cash used in investing activities was $9.0 million during the year ended December 31, 2018 compared to net cash used in investing activities of $1.9 million during the year ended December 31, 2017. Net cash used in investing activities for the years ended December 31, 2018 and 2017 consisted of purchases of property and equipment. The increase in net cash used in investing activities of $7.1 million was primarily due to an increase in purchases of property and equipment associated with our new facility lease that commenced in December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jc w:val="both"/>
        <w:ind w:firstLine="431"/>
        <w:spacing w:after="0" w:line="298" w:lineRule="auto"/>
        <w:rPr>
          <w:sz w:val="20"/>
          <w:szCs w:val="20"/>
          <w:color w:val="auto"/>
        </w:rPr>
      </w:pPr>
      <w:r>
        <w:rPr>
          <w:rFonts w:ascii="Arial" w:cs="Arial" w:eastAsia="Arial" w:hAnsi="Arial"/>
          <w:sz w:val="16"/>
          <w:szCs w:val="16"/>
          <w:color w:val="auto"/>
        </w:rPr>
        <w:t>Net cash provided by financing activities was $105.0 million during the year ended December 31, 2018 compared to $17.7 million during the year ended December 31, 2017. The cash provided by financing activities for the year ended December 31, 2018 was primarily the result of $105.1 million of net proceeds received from private placements of our Series A and Series B preferred stock. The cash provided by financing activities for the year ended December 31, 2017 was primarily the result of $17.6 million of net proceeds received from private placements of our Series A preferred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upon the closing of this offering, we expect to incur additional costs associated with operating as a public company. As a result, we expect to incur substantial operating losses and negative operating cash flows for the foreseeable future.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Based on our current operating plan, we expect that the anticipated net proceeds from this offering, together with our existing cash and cash equivalents, will</w:t>
      </w:r>
    </w:p>
    <w:p>
      <w:pPr>
        <w:spacing w:after="0" w:line="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enable us to fund our operating expenses and capital expenditure requirements through . However, we have based this estimate on assumptions that may prove to be wrong and we could exhaust our capital resources sooner than we expect.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funding requirements and timing and amount of our operating expenditures will depend largely on:</w:t>
      </w:r>
    </w:p>
    <w:p>
      <w:pPr>
        <w:spacing w:after="0" w:line="23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progress, costs and results of our ongoing Phase 1 clinical trial of losmapimod;</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product candidates, including our planned Phase 2b clinical trial and planned Phase 2 open label clinical trial of losmapimod and our planned Phase 1 clinical trial of FTX-HbF;</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API and manufacture of our product candidates and the terms of such arrangements;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ability to establish and maintain strategic collaborations, licensing or other arrangements and the financial terms of such arrangements;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payment or receipt of milestones and receipt of other collaboration-based revenues, if any;</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jc w:val="both"/>
        <w:ind w:firstLine="386"/>
        <w:spacing w:after="0" w:line="259"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94" w:lineRule="exact"/>
        <w:rPr>
          <w:sz w:val="20"/>
          <w:szCs w:val="20"/>
          <w:color w:val="auto"/>
        </w:rPr>
      </w:pPr>
    </w:p>
    <w:p>
      <w:pPr>
        <w:jc w:val="both"/>
        <w:ind w:firstLine="515"/>
        <w:spacing w:after="0" w:line="259" w:lineRule="auto"/>
        <w:rPr>
          <w:sz w:val="20"/>
          <w:szCs w:val="20"/>
          <w:color w:val="auto"/>
        </w:rPr>
      </w:pPr>
      <w:r>
        <w:rPr>
          <w:rFonts w:ascii="Arial" w:cs="Arial" w:eastAsia="Arial" w:hAnsi="Arial"/>
          <w:sz w:val="18"/>
          <w:szCs w:val="18"/>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94" w:lineRule="exact"/>
        <w:rPr>
          <w:sz w:val="20"/>
          <w:szCs w:val="20"/>
          <w:color w:val="auto"/>
        </w:rPr>
      </w:pPr>
    </w:p>
    <w:p>
      <w:pPr>
        <w:jc w:val="both"/>
        <w:ind w:firstLine="495"/>
        <w:spacing w:after="0" w:line="287"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equity or debt financings and collaboration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or other strategic transactions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firstLine="473"/>
        <w:spacing w:after="0" w:line="268" w:lineRule="auto"/>
        <w:rPr>
          <w:sz w:val="20"/>
          <w:szCs w:val="20"/>
          <w:color w:val="auto"/>
        </w:rPr>
      </w:pPr>
      <w:r>
        <w:rPr>
          <w:rFonts w:ascii="Arial" w:cs="Arial" w:eastAsia="Arial" w:hAnsi="Arial"/>
          <w:sz w:val="18"/>
          <w:szCs w:val="18"/>
          <w:color w:val="auto"/>
        </w:rPr>
        <w:t>The following table summarizes our contractual obligations as of December 31, 2018 and the effects that these obligations are expected to have on our liquidity and cash flows in future periods: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14"/>
                <w:szCs w:val="14"/>
                <w:b w:val="1"/>
                <w:bCs w:val="1"/>
                <w:color w:val="auto"/>
                <w:w w:val="83"/>
              </w:rPr>
              <w:t>Less Than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auto"/>
                <w:w w:val="92"/>
              </w:rPr>
              <w:t>1 to 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auto"/>
                <w:w w:val="92"/>
              </w:rPr>
              <w:t>3 to 5</w:t>
            </w:r>
          </w:p>
        </w:tc>
        <w:tc>
          <w:tcPr>
            <w:tcW w:w="16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More Than</w:t>
            </w:r>
          </w:p>
        </w:tc>
      </w:tr>
      <w:tr>
        <w:trPr>
          <w:trHeight w:val="161"/>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2"/>
              </w:rPr>
              <w:t>5 Years</w:t>
            </w:r>
          </w:p>
        </w:tc>
        <w:tc>
          <w:tcPr>
            <w:tcW w:w="160" w:type="dxa"/>
            <w:vAlign w:val="bottom"/>
          </w:tcPr>
          <w:p>
            <w:pPr>
              <w:spacing w:after="0"/>
              <w:rPr>
                <w:sz w:val="14"/>
                <w:szCs w:val="14"/>
                <w:color w:val="auto"/>
              </w:rPr>
            </w:pPr>
          </w:p>
        </w:tc>
      </w:tr>
      <w:tr>
        <w:trPr>
          <w:trHeight w:val="250"/>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Operating lease commitments</w:t>
            </w:r>
            <w:r>
              <w:rPr>
                <w:rFonts w:ascii="Arial" w:cs="Arial" w:eastAsia="Arial" w:hAnsi="Arial"/>
                <w:sz w:val="28"/>
                <w:szCs w:val="28"/>
                <w:color w:val="auto"/>
                <w:vertAlign w:val="superscript"/>
              </w:rPr>
              <w:t>(1)</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12,187</w:t>
            </w:r>
          </w:p>
        </w:tc>
        <w:tc>
          <w:tcPr>
            <w:tcW w:w="16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Capital lease obligation</w:t>
            </w:r>
          </w:p>
        </w:tc>
        <w:tc>
          <w:tcPr>
            <w:tcW w:w="1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12,187</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future minimum lease payments under our non-cancelable operating lease, which expires in June 2028. The minimum lease payments above do not include any related common area maintenance charges or real estate taxes.</w:t>
      </w:r>
    </w:p>
    <w:p>
      <w:pPr>
        <w:spacing w:after="0" w:line="186" w:lineRule="exact"/>
        <w:rPr>
          <w:sz w:val="20"/>
          <w:szCs w:val="20"/>
          <w:color w:val="auto"/>
        </w:rPr>
      </w:pPr>
    </w:p>
    <w:p>
      <w:pPr>
        <w:jc w:val="both"/>
        <w:ind w:firstLine="473"/>
        <w:spacing w:after="0" w:line="289" w:lineRule="auto"/>
        <w:rPr>
          <w:sz w:val="20"/>
          <w:szCs w:val="20"/>
          <w:color w:val="auto"/>
        </w:rPr>
      </w:pPr>
      <w:r>
        <w:rPr>
          <w:rFonts w:ascii="Arial" w:cs="Arial" w:eastAsia="Arial" w:hAnsi="Arial"/>
          <w:sz w:val="16"/>
          <w:szCs w:val="16"/>
          <w:color w:val="auto"/>
        </w:rPr>
        <w:t>Under our right of reference and license agreement that we entered into in February 2019 with affiliates of GSK, we have payment obligations that are contingent upon the occurrence of future events such as our achievement of specified clinical, regulatory and sales milestones and are required to make royalty payments in connection with the sale of products developed under the agreement. Specifically, we may owe GSK up to $37.5 million in certain specified development and regulatory milestones, of which $2.5 million is due upon the initiation of a Phase 2 clinical trial, and up to $60.0 million in certain specified sales milestones and royalties on product sales, if any. We have not included any such contingent milestone or royalty payment obligations in the table above, which is presented as of December 31, 2018. In addition, the amount (in the case of potential royalty payments), timing and likelihood of such payments are not always known. For additional information regarding this license agreement, including our payment obligations thereunder, see "Business—Right of Reference and License Agreement with GlaxoSmithKline" and Note 14 to our consolidated financial statements included elsewhere in this prospectus.</w:t>
      </w:r>
    </w:p>
    <w:p>
      <w:pPr>
        <w:spacing w:after="0" w:line="172"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We enter into contracts in the normal course of business with CROs, CMOs and other third parties for clinical trials, pre-clinical research studies, synthetic chemistry and testing and manufacturing services. These contracts are generally cancelable by us upon up to 30 days' prior written notice. Payments due upon cancellation consist only of payments for services provided or expenses incurred, including noncancelable obligations of our service providers, up to and through the date of cancellation. These payments are not included in the preceding table as the amount and timing of these payments are not known.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firstLine="394"/>
        <w:spacing w:after="0" w:line="268"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jc w:val="both"/>
        <w:ind w:firstLine="351"/>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accounting principles generally accepted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reported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estimates, if any, will be reflected in the consolidated financial statements prospectively from the date of change in estimates.</w:t>
      </w:r>
    </w:p>
    <w:p>
      <w:pPr>
        <w:spacing w:after="0" w:line="225" w:lineRule="exact"/>
        <w:rPr>
          <w:sz w:val="20"/>
          <w:szCs w:val="20"/>
          <w:color w:val="auto"/>
        </w:rPr>
      </w:pPr>
    </w:p>
    <w:p>
      <w:pPr>
        <w:jc w:val="both"/>
        <w:ind w:firstLine="438"/>
        <w:spacing w:after="0" w:line="259" w:lineRule="auto"/>
        <w:rPr>
          <w:sz w:val="20"/>
          <w:szCs w:val="20"/>
          <w:color w:val="auto"/>
        </w:rPr>
      </w:pPr>
      <w:r>
        <w:rPr>
          <w:rFonts w:ascii="Arial" w:cs="Arial" w:eastAsia="Arial" w:hAnsi="Arial"/>
          <w:sz w:val="18"/>
          <w:szCs w:val="18"/>
          <w:color w:val="auto"/>
        </w:rPr>
        <w:t>We believe that the accounting policies discussed below are critical to understanding our historical and future performance, as these policies relate to the most significant areas involving management's judgments and estimates. See Note 2 to our consolidated financial statements included elsewhere in this prospectus for a description of our other significant accounting policies.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jc w:val="both"/>
        <w:ind w:firstLine="423"/>
        <w:spacing w:after="0" w:line="312" w:lineRule="auto"/>
        <w:rPr>
          <w:sz w:val="20"/>
          <w:szCs w:val="20"/>
          <w:color w:val="auto"/>
        </w:rPr>
      </w:pPr>
      <w:r>
        <w:rPr>
          <w:rFonts w:ascii="Arial" w:cs="Arial" w:eastAsia="Arial" w:hAnsi="Arial"/>
          <w:sz w:val="15"/>
          <w:szCs w:val="15"/>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59" w:lineRule="exact"/>
        <w:rPr>
          <w:sz w:val="20"/>
          <w:szCs w:val="20"/>
          <w:color w:val="auto"/>
        </w:rPr>
      </w:pPr>
    </w:p>
    <w:p>
      <w:pPr>
        <w:jc w:val="both"/>
        <w:ind w:firstLine="407"/>
        <w:spacing w:after="0" w:line="290"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2" w:lineRule="exact"/>
        <w:rPr>
          <w:sz w:val="20"/>
          <w:szCs w:val="20"/>
          <w:color w:val="auto"/>
        </w:rPr>
      </w:pPr>
    </w:p>
    <w:p>
      <w:pPr>
        <w:jc w:val="both"/>
        <w:ind w:firstLine="463"/>
        <w:spacing w:after="0" w:line="306"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We measure stock-based compensation expense related to all restricted stock awards and stock options based on the fair value of the award on the date of grant. We recognize compensation expense for these awards over the requisite service period, which is generally the vesting period of the respective award. Generally, we issue awards with only service-based vesting conditions and record the expense for these awards using the straight-line method. We have also granted certain stock-based awards with performance-based vesting conditions. We recognize compensation expense for awards with performance-based vesting conditions over the remaining service period using an accelerated attribution method when management determines that achievement of the performance condition is probable. At each reporting date, we evaluate if the achievement of a performance-based milestone is probable based on the expected satisfaction of the performance conditions.</w:t>
      </w:r>
    </w:p>
    <w:p>
      <w:pPr>
        <w:spacing w:after="0" w:line="172" w:lineRule="exact"/>
        <w:rPr>
          <w:sz w:val="20"/>
          <w:szCs w:val="20"/>
          <w:color w:val="auto"/>
        </w:rPr>
      </w:pPr>
    </w:p>
    <w:p>
      <w:pPr>
        <w:jc w:val="both"/>
        <w:ind w:firstLine="478"/>
        <w:spacing w:after="0" w:line="332" w:lineRule="auto"/>
        <w:rPr>
          <w:sz w:val="20"/>
          <w:szCs w:val="20"/>
          <w:color w:val="auto"/>
        </w:rPr>
      </w:pPr>
      <w:r>
        <w:rPr>
          <w:rFonts w:ascii="Arial" w:cs="Arial" w:eastAsia="Arial" w:hAnsi="Arial"/>
          <w:sz w:val="16"/>
          <w:szCs w:val="16"/>
          <w:color w:val="auto"/>
        </w:rPr>
        <w:t>We determine the fair value of restricted stock awards based on the estimated fair value of our common stock on the date of grant, less any applicable purchase price. We estimate the fair value of stock options granted using the Black-Scholes option-pricing model. The determination of the grant date fair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value of stock options using an option pricing model is affected principally by our estimated fair value of our common stock and requires management to make a number of other assumptions, including the expected term of the option, the estimated volatility of the underlying shares, the risk-free interest rate, and expected dividends. The assumptions used in the determination of the grant date fair value of stock options represent management's best estimates at the time of measurement. As a result of the lack of a public market for the trading of our common stock and a lack of company-specific historical and implied volatility data, we base the estimate of expected volatility on the historical volatility of a representative group of publicly traded companies for which historical information is available. The historical volatility is calculated based on a period of time commensurate with the assumption used for the expected term. We use the simplified method to calculate the expected term for all stock options. We utilize this method as we do not have sufficient historical exercise data to provide a reasonable basis upon which to estimate the expected term. The risk-free interest rate is based on a U.S. treasury instrument whose term is consistent with the expected term of the stock options. The expected dividend yield is assumed to be zero as we have never paid dividends and do not have current plans to pay any dividends on common stock.</w:t>
      </w:r>
    </w:p>
    <w:p>
      <w:pPr>
        <w:spacing w:after="0" w:line="177"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8"/>
          <w:szCs w:val="18"/>
          <w:color w:val="auto"/>
        </w:rPr>
        <w:t>In future periods, we expect stock-based compensation expense to increase, due in part to our existing unrecognized stock-based compensation expense and as we grant additional stock-based awards to continue to attract and retain our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Common Stock and Series B Preferred Stock</w:t>
      </w:r>
    </w:p>
    <w:p>
      <w:pPr>
        <w:spacing w:after="0" w:line="225" w:lineRule="exact"/>
        <w:rPr>
          <w:sz w:val="20"/>
          <w:szCs w:val="20"/>
          <w:color w:val="auto"/>
        </w:rPr>
      </w:pPr>
    </w:p>
    <w:p>
      <w:pPr>
        <w:jc w:val="both"/>
        <w:ind w:firstLine="387"/>
        <w:spacing w:after="0" w:line="284" w:lineRule="auto"/>
        <w:rPr>
          <w:sz w:val="20"/>
          <w:szCs w:val="20"/>
          <w:color w:val="auto"/>
        </w:rPr>
      </w:pPr>
      <w:r>
        <w:rPr>
          <w:rFonts w:ascii="Arial" w:cs="Arial" w:eastAsia="Arial" w:hAnsi="Arial"/>
          <w:sz w:val="16"/>
          <w:szCs w:val="16"/>
          <w:color w:val="auto"/>
        </w:rPr>
        <w:t>As previously described, we are required to estimate the fair value of our common stock underlying our stock-based awards when estimating the grant date fair value of those awards. Additionally, we were required to estimate the fair value of the Series B preferred stock issued pursuant to the right of reference and license agreement that we entered into with GSK in February 2019. As there has been no public market for our common stock or Series B preferred stock to date, the estimated fair value of our common stock and Series B preferred stock has been determined by our board of directors and management, respectively, as of the date of each equity issuance considering our most recently available third-party valuations of common stock or Series B preferred stock, and our assessment of additional objective and subjective factors. These third-party valuations were performed in accordance with the guidance outlined in the American Institute of Certified Public Accountants' Accounting and Valuation Guide, Valuation of Privately-Held-Company Equity Securities Issued as Compensation. Our common stock valuations were prepared using the guideline public company method and/or the precedent transaction method to estimate our equity value, and we utilized the option-pricing method, or OPM, or the hybrid method to allocate equity value to our common stock and preferred stock. The hybrid method is a probability-weighted expected return method, or PWERM, where the equity value in one or more of the scenarios is allocated using an OPM.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or an initial public offering, or IPO. The PWERM is a scenario-based method that estimates the fair value of common stock and preferred stock based upon an analysis of future values for the company, assuming various outcomes. The common stock and preferred stock value is based on the probability-weighted present value of expected future investment returns considering each of the possible outcomes available, as well as the rights of each class of stock. The future value of the common stock and preferred stock under each outcome is discounted back to the valuation date at an appropriate risk-adjusted discount rate and probability weighted to arrive at an indication of value for the common stock. In our application of the hybrid method, we considered an IPO scenario under the PWERM framework, in which the shares of convertible preferred stock are assumed to convert to common stock, and a non-IPO scenario modeled using an OPM. Our Series B preferred stock valuation was prepared using the hybrid method. The relative probability of the IPO scenario was determined based on an analysis of market conditions at the time and our expectations as to the timing and likely prospects of the IPO at each valuation date. In our application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the guideline public company method, we considered recently completed IPOs as indicators of our estimated future value in an IPO.</w:t>
      </w:r>
    </w:p>
    <w:p>
      <w:pPr>
        <w:spacing w:after="0" w:line="225" w:lineRule="exact"/>
        <w:rPr>
          <w:sz w:val="20"/>
          <w:szCs w:val="20"/>
          <w:color w:val="auto"/>
        </w:rPr>
      </w:pPr>
    </w:p>
    <w:p>
      <w:pPr>
        <w:jc w:val="both"/>
        <w:ind w:firstLine="425"/>
        <w:spacing w:after="0" w:line="287" w:lineRule="auto"/>
        <w:rPr>
          <w:sz w:val="20"/>
          <w:szCs w:val="20"/>
          <w:color w:val="auto"/>
        </w:rPr>
      </w:pPr>
      <w:r>
        <w:rPr>
          <w:rFonts w:ascii="Arial" w:cs="Arial" w:eastAsia="Arial" w:hAnsi="Arial"/>
          <w:sz w:val="16"/>
          <w:szCs w:val="16"/>
          <w:color w:val="auto"/>
        </w:rPr>
        <w:t>Based on our early stage of development and other relevant factors, our board of directors determined that the OPM was the most appropriate method for allocating our enterprise value to determine the estimated fair value of our common stock for the valuations performed as of December 31, 2016, December 31, 2017 and June 1, 2018, which resulted in our board of directors determining that the fair value of our common stock was $0.42 per share, $0.47 per share and $0.69 per share, respectively. Following the issuance of the Series B preferred stock in August 2018, our board of directors determined that the hybrid method was the most appropriate method for allocating our enterprise value to determine the estimated fair value of our common stock for valuations performed as of August 24, 2018, November 30, 2018 and March 15, 2019, which resulted in our board of directors determining that the fair value of our common stock was $1.09 per share, $1.12 per share and $1.19 per share, respectively. Our board of directors determined that it was appropriate to change the methodology for determining the fair value of our common stock to the hybrid method beginning with the August 24, 2018 valuation as greater certainty developed regarding a possible IPO upon the issuance of the Series B preferred stock. Management determined that the value of our Series B preferred stock was $2.04 per share as of February 8, 2019.</w:t>
      </w:r>
    </w:p>
    <w:p>
      <w:pPr>
        <w:spacing w:after="0" w:line="177" w:lineRule="exact"/>
        <w:rPr>
          <w:sz w:val="20"/>
          <w:szCs w:val="20"/>
          <w:color w:val="auto"/>
        </w:rPr>
      </w:pPr>
    </w:p>
    <w:p>
      <w:pPr>
        <w:jc w:val="both"/>
        <w:ind w:firstLine="417"/>
        <w:spacing w:after="0" w:line="268" w:lineRule="auto"/>
        <w:rPr>
          <w:sz w:val="20"/>
          <w:szCs w:val="20"/>
          <w:color w:val="auto"/>
        </w:rPr>
      </w:pPr>
      <w:r>
        <w:rPr>
          <w:rFonts w:ascii="Arial" w:cs="Arial" w:eastAsia="Arial" w:hAnsi="Arial"/>
          <w:sz w:val="18"/>
          <w:szCs w:val="18"/>
          <w:color w:val="auto"/>
        </w:rPr>
        <w:t>Our board of directors and management considered various objective and subjective factors to determine the fair value of our common stock and Series B preferred stock, respectively, including:</w:t>
      </w:r>
    </w:p>
    <w:p>
      <w:pPr>
        <w:spacing w:after="0" w:line="19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valuations of our common stock and Series B preferred stock performed by independent third-party valuation specialists;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stage of development and business strategy, including the status of research and development efforts of our product candidates;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analysis of IPOs and the valuation of similar publicly traded companies in the biopharmaceutical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financial position, including our levels of available capital resources;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prices of our convertible preferred stock sold to investors in arm's length transactions and the rights, preferences and privileges of our convertible preferred stock relative to those of our common stock;</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likelihood and potential timing of achieving a liquidity event, such as an IPO, in light of prevailing market conditions;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biopharmaceutical industry.</w:t>
      </w:r>
    </w:p>
    <w:p>
      <w:pPr>
        <w:spacing w:after="0" w:line="225"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The assumptions underlying these valuations represent our best estimates, which involve inherent uncertainties and the application of judgment. As a result, if factors or expected outcomes change and we use significantly different assumptions or estimates, our stock-based compensation expense or in-process research and development expense could be materially different.</w:t>
      </w:r>
    </w:p>
    <w:p>
      <w:pPr>
        <w:spacing w:after="0" w:line="194"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of Stock-Based Awards</w:t>
      </w:r>
    </w:p>
    <w:p>
      <w:pPr>
        <w:spacing w:after="0" w:line="225"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8"/>
          <w:szCs w:val="18"/>
          <w:color w:val="auto"/>
        </w:rPr>
        <w:t>The following table presents the grant dates, numbers of underlying shares of common stock, the per share purchase prices and exercise prices, and the fair values of the underlying common stock as of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 dates for awards granted between January 1, 2018 and March 31, 2019, along with the fair value per award on the date of grant:</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Per Share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Per Share</w:t>
            </w:r>
          </w:p>
        </w:tc>
        <w:tc>
          <w:tcPr>
            <w:tcW w:w="160" w:type="dxa"/>
            <w:vAlign w:val="bottom"/>
          </w:tcPr>
          <w:p>
            <w:pPr>
              <w:spacing w:after="0"/>
              <w:rPr>
                <w:sz w:val="12"/>
                <w:szCs w:val="12"/>
                <w:color w:val="auto"/>
              </w:rPr>
            </w:pPr>
          </w:p>
        </w:tc>
        <w:tc>
          <w:tcPr>
            <w:tcW w:w="12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Estimated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Subject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Common</w:t>
            </w:r>
          </w:p>
        </w:tc>
        <w:tc>
          <w:tcPr>
            <w:tcW w:w="200" w:type="dxa"/>
            <w:vAlign w:val="bottom"/>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Value of Award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 Awards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or Purchase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Stock 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on Grant</w:t>
            </w:r>
          </w:p>
        </w:tc>
        <w:tc>
          <w:tcPr>
            <w:tcW w:w="0" w:type="dxa"/>
            <w:vAlign w:val="bottom"/>
          </w:tcPr>
          <w:p>
            <w:pPr>
              <w:spacing w:after="0"/>
              <w:rPr>
                <w:sz w:val="1"/>
                <w:szCs w:val="1"/>
                <w:color w:val="auto"/>
              </w:rPr>
            </w:pPr>
          </w:p>
        </w:tc>
      </w:tr>
      <w:tr>
        <w:trPr>
          <w:trHeight w:val="176"/>
        </w:trPr>
        <w:tc>
          <w:tcPr>
            <w:tcW w:w="2660" w:type="dxa"/>
            <w:vAlign w:val="bottom"/>
            <w:gridSpan w:val="4"/>
          </w:tcPr>
          <w:p>
            <w:pPr>
              <w:spacing w:after="0"/>
              <w:rPr>
                <w:sz w:val="20"/>
                <w:szCs w:val="20"/>
                <w:color w:val="auto"/>
              </w:rPr>
            </w:pPr>
            <w:r>
              <w:rPr>
                <w:rFonts w:ascii="Arial" w:cs="Arial" w:eastAsia="Arial" w:hAnsi="Arial"/>
                <w:sz w:val="14"/>
                <w:szCs w:val="14"/>
                <w:b w:val="1"/>
                <w:bCs w:val="1"/>
                <w:color w:val="auto"/>
              </w:rPr>
              <w:t>Grant Date</w:t>
            </w:r>
          </w:p>
        </w:tc>
        <w:tc>
          <w:tcPr>
            <w:tcW w:w="1280" w:type="dxa"/>
            <w:vAlign w:val="bottom"/>
          </w:tcPr>
          <w:p>
            <w:pPr>
              <w:jc w:val="right"/>
              <w:ind w:right="134"/>
              <w:spacing w:after="0"/>
              <w:rPr>
                <w:sz w:val="20"/>
                <w:szCs w:val="20"/>
                <w:color w:val="auto"/>
              </w:rPr>
            </w:pPr>
            <w:r>
              <w:rPr>
                <w:rFonts w:ascii="Arial" w:cs="Arial" w:eastAsia="Arial" w:hAnsi="Arial"/>
                <w:sz w:val="14"/>
                <w:szCs w:val="14"/>
                <w:b w:val="1"/>
                <w:bCs w:val="1"/>
                <w:color w:val="auto"/>
              </w:rPr>
              <w:t>Type of Award</w:t>
            </w:r>
          </w:p>
        </w:tc>
        <w:tc>
          <w:tcPr>
            <w:tcW w:w="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Grant Date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94"/>
              </w:rPr>
              <w:t>Date</w:t>
            </w:r>
            <w:r>
              <w:rPr>
                <w:rFonts w:ascii="Arial" w:cs="Arial" w:eastAsia="Arial" w:hAnsi="Arial"/>
                <w:sz w:val="20"/>
                <w:szCs w:val="20"/>
                <w:b w:val="1"/>
                <w:bCs w:val="1"/>
                <w:color w:val="auto"/>
                <w:w w:val="94"/>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1/23/2018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Restricted Stock</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1,580,013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0.47</w:t>
            </w:r>
            <w:r>
              <w:rPr>
                <w:rFonts w:ascii="Arial" w:cs="Arial" w:eastAsia="Arial" w:hAnsi="Arial"/>
                <w:sz w:val="14"/>
                <w:szCs w:val="14"/>
                <w:color w:val="auto"/>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2/23/2018</w:t>
            </w:r>
          </w:p>
        </w:tc>
        <w:tc>
          <w:tcPr>
            <w:tcW w:w="1280" w:type="dxa"/>
            <w:vAlign w:val="bottom"/>
          </w:tcPr>
          <w:p>
            <w:pPr>
              <w:jc w:val="right"/>
              <w:spacing w:after="0"/>
              <w:rPr>
                <w:sz w:val="20"/>
                <w:szCs w:val="20"/>
                <w:color w:val="auto"/>
              </w:rPr>
            </w:pPr>
            <w:r>
              <w:rPr>
                <w:rFonts w:ascii="Arial" w:cs="Arial" w:eastAsia="Arial" w:hAnsi="Arial"/>
                <w:sz w:val="18"/>
                <w:szCs w:val="18"/>
                <w:color w:val="auto"/>
                <w:w w:val="94"/>
              </w:rPr>
              <w:t>Restricted Stock</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0.47</w:t>
            </w:r>
            <w:r>
              <w:rPr>
                <w:rFonts w:ascii="Arial" w:cs="Arial" w:eastAsia="Arial" w:hAnsi="Arial"/>
                <w:sz w:val="14"/>
                <w:szCs w:val="14"/>
                <w:color w:val="auto"/>
              </w:rPr>
              <w:t>(2)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6/20/2018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Restricted Stock</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5"/>
              </w:rPr>
              <w:t>0.69</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6/20/2018</w:t>
            </w:r>
          </w:p>
        </w:tc>
        <w:tc>
          <w:tcPr>
            <w:tcW w:w="1280" w:type="dxa"/>
            <w:vAlign w:val="bottom"/>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578,932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w w:val="85"/>
              </w:rPr>
              <w:t>0.69</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7/11/2018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5"/>
              </w:rPr>
              <w:t>0.69</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10/17/2018</w:t>
            </w:r>
          </w:p>
        </w:tc>
        <w:tc>
          <w:tcPr>
            <w:tcW w:w="1280" w:type="dxa"/>
            <w:vAlign w:val="bottom"/>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502,370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w w:val="85"/>
              </w:rPr>
              <w:t>1.09</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12/13/2018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5"/>
              </w:rPr>
              <w:t>1.12</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12/18/2018</w:t>
            </w:r>
          </w:p>
        </w:tc>
        <w:tc>
          <w:tcPr>
            <w:tcW w:w="1280" w:type="dxa"/>
            <w:vAlign w:val="bottom"/>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2,125,000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w w:val="85"/>
              </w:rPr>
              <w:t>1.12</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1/22/2019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7,043,661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5"/>
              </w:rPr>
              <w:t>1.12</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3/20/2019</w:t>
            </w:r>
          </w:p>
        </w:tc>
        <w:tc>
          <w:tcPr>
            <w:tcW w:w="1280" w:type="dxa"/>
            <w:vAlign w:val="bottom"/>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w w:val="85"/>
              </w:rPr>
              <w:t>1.19</w:t>
            </w:r>
          </w:p>
        </w:tc>
        <w:tc>
          <w:tcPr>
            <w:tcW w:w="3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5" w:lineRule="auto"/>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restricted stock, the Per Share Estimated Fair Value of Award on Grant Date reflects the weighted average fair value of restricted stock at the date of grant, which is equal to the fair value of our common stock as of the date of grant as determined by our board of directors, less the applicable purchase price of the restricted stock. For stock options, the Per Share Estimated Fair Value of Award on Grant Date reflects the weighted average fair value of stock options as estimated at the date of grant using the Black-Scholes option-pricing model.</w:t>
      </w:r>
    </w:p>
    <w:p>
      <w:pPr>
        <w:spacing w:after="0" w:line="223"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undertook a retrospective valuation of the fair value of our common stock as of December 31, 2017 and this value represents our estimated fair value per common share in accordance with such retrospective valuation.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75"/>
        <w:spacing w:after="0" w:line="290"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72"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8"/>
          <w:szCs w:val="18"/>
          <w:color w:val="auto"/>
        </w:rPr>
        <w:t>We account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As of each balance sheet date, we did not have any uncertain tax positions.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jc w:val="both"/>
        <w:ind w:right="20" w:firstLine="539"/>
        <w:spacing w:after="0" w:line="332" w:lineRule="auto"/>
        <w:rPr>
          <w:sz w:val="20"/>
          <w:szCs w:val="20"/>
          <w:color w:val="auto"/>
        </w:rPr>
      </w:pPr>
      <w:r>
        <w:rPr>
          <w:rFonts w:ascii="Arial" w:cs="Arial" w:eastAsia="Arial" w:hAnsi="Arial"/>
          <w:sz w:val="16"/>
          <w:szCs w:val="16"/>
          <w:color w:val="auto"/>
        </w:rPr>
        <w:t>We have reviewed all recently issued standards and have determined that, other than as disclosed in Note 2 to our consolidated financial statements appearing at the end of this prospectus, these standards will not have a material impact on our financial statements or do not otherwise apply to our operations.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jc w:val="both"/>
        <w:ind w:firstLine="409"/>
        <w:spacing w:after="0" w:line="298"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particularly because our cash equivalents are in the form of money market funds that are invested in U.S. Treasury securities. As of December 31, 2018, we had cash and cash equivalents of $72.8 million.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167" w:lineRule="exact"/>
        <w:rPr>
          <w:sz w:val="20"/>
          <w:szCs w:val="20"/>
          <w:color w:val="auto"/>
        </w:rPr>
      </w:pPr>
    </w:p>
    <w:p>
      <w:pPr>
        <w:jc w:val="both"/>
        <w:ind w:firstLine="420"/>
        <w:spacing w:after="0" w:line="306" w:lineRule="auto"/>
        <w:rPr>
          <w:sz w:val="20"/>
          <w:szCs w:val="20"/>
          <w:color w:val="auto"/>
        </w:rPr>
      </w:pPr>
      <w:r>
        <w:rPr>
          <w:rFonts w:ascii="Arial" w:cs="Arial" w:eastAsia="Arial" w:hAnsi="Arial"/>
          <w:sz w:val="16"/>
          <w:szCs w:val="16"/>
          <w:color w:val="auto"/>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December 31, 2018, we had minimal or no liabilities denominated in foreign currencies.</w:t>
      </w:r>
    </w:p>
    <w:p>
      <w:pPr>
        <w:spacing w:after="0" w:line="161" w:lineRule="exact"/>
        <w:rPr>
          <w:sz w:val="20"/>
          <w:szCs w:val="20"/>
          <w:color w:val="auto"/>
        </w:rPr>
      </w:pPr>
    </w:p>
    <w:p>
      <w:pPr>
        <w:jc w:val="both"/>
        <w:ind w:firstLine="427"/>
        <w:spacing w:after="0" w:line="268"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years ended December 31, 2017 and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31"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As an emerging growth company, or EGC, under the Jumpstart Our Business Startups Act of 2012, or JOBS Act, we may delay the adoption of certain accounting standards until such time as those standards apply to private companies. Other exemptions and reduced reporting requirements under the JOBS Act for EGCs include presentation of only two years of audited financial statements in a registration statement for an IPO, an exemption from the requirement to provide an auditor's report on internal controls over financial reporting pursuant to Section 404(b) of the Sarbanes-Oxley Act of 2002, an exemption from any requirement that may be adopted by the Public Company Accounting Oversight Board regarding mandatory audit firm rotation, and less extensive disclosure about our executive compensation arrangements. Additionally,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and, therefore, while we are an EGC, we will not be subject to new or revised accounting standards at the same time that they become applicable to other public companies that are not EGCs. As a result, our consolidated financial statements may not be comparable to companies that comply with new or revised accounting pronouncements as of public company effective dates.</w:t>
      </w:r>
    </w:p>
    <w:p>
      <w:pPr>
        <w:spacing w:after="0" w:line="177"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8"/>
          <w:szCs w:val="18"/>
          <w:color w:val="auto"/>
        </w:rPr>
        <w:t>We may remain classified as an EGC until the end of the fiscal year in which the fifth anniversary of this offering occurs,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color w:val="auto"/>
        </w:rPr>
        <w:t>We are a biopharmaceutical company focused on improving the lives of patients with genetically defined diseases in areas of high unmet medical need, with an initial focus on rare diseases. We have developed a proprietary product engine that we employ to systematically identify and validate cellular drug targets that can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b-thalassemia. We expect to initiate a Phase 2b clinical trial of losmapimod, our product candidate for FSHD, in mid-2019. We plan to submit an investigational new drug application, or IND, for FTX-HbF, our product candidate for certain hemoglobinopathies, in mid-2020.</w:t>
      </w:r>
    </w:p>
    <w:p>
      <w:pPr>
        <w:spacing w:after="0" w:line="17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are using our proprietary product engine to identify and validate drug targets and develop product candidates to address diseases caused by the mis-expression of certain genes. Our product engine integrates patient-derived tissue-relevant cell models and drug target screens with our pharmacologically-diverse small molecule compound library and customized CRISPR libraries. We also employ computational biology and FulcrumSeek, our proprietary relational database, to guide target selection and to generate hypotheses on other targets that might be relevant along a gene regulatory pathway.</w:t>
      </w:r>
    </w:p>
    <w:p>
      <w:pPr>
        <w:spacing w:after="0" w:line="167" w:lineRule="exact"/>
        <w:rPr>
          <w:sz w:val="20"/>
          <w:szCs w:val="20"/>
          <w:color w:val="auto"/>
        </w:rPr>
      </w:pPr>
    </w:p>
    <w:p>
      <w:pPr>
        <w:jc w:val="both"/>
        <w:ind w:firstLine="435"/>
        <w:spacing w:after="0" w:line="294" w:lineRule="auto"/>
        <w:rPr>
          <w:sz w:val="20"/>
          <w:szCs w:val="20"/>
          <w:color w:val="auto"/>
        </w:rPr>
      </w:pPr>
      <w:r>
        <w:rPr>
          <w:rFonts w:ascii="Arial" w:cs="Arial" w:eastAsia="Arial" w:hAnsi="Arial"/>
          <w:sz w:val="16"/>
          <w:szCs w:val="16"/>
          <w:color w:val="auto"/>
        </w:rPr>
        <w:t xml:space="preserve">Our first product candidate, losmapimod, is a small molecule that we are developing for the treatment of FSHD, a rare, progressive and disabling muscle wasting disorder that leads to significant physical impairments and disability. Losmapimod selectively targets p38a/b mitogen activated protein kinase, or p38a/b. We utilized our product engine to discover that inhibition of p38a/b reduced 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in muscle cells derived from patients with FSHD. The mis-expression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is the known root cause of FSHD. There are no approved therapies for FSHD, one of the most common forms of muscular dystrophy, with an estimated patient population of 16,000 to 38,000 in the United States.</w:t>
      </w:r>
    </w:p>
    <w:p>
      <w:pPr>
        <w:spacing w:after="0" w:line="170"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 xml:space="preserve">Following our discovery of the role of p38a/b inhibitors in the reduction of </w:t>
      </w:r>
      <w:r>
        <w:rPr>
          <w:rFonts w:ascii="Arial" w:cs="Arial" w:eastAsia="Arial" w:hAnsi="Arial"/>
          <w:sz w:val="18"/>
          <w:szCs w:val="18"/>
          <w:i w:val="1"/>
          <w:iCs w:val="1"/>
          <w:color w:val="auto"/>
        </w:rPr>
        <w:t>DUX4</w:t>
      </w:r>
      <w:r>
        <w:rPr>
          <w:rFonts w:ascii="Arial" w:cs="Arial" w:eastAsia="Arial" w:hAnsi="Arial"/>
          <w:sz w:val="18"/>
          <w:szCs w:val="18"/>
          <w:color w:val="auto"/>
        </w:rPr>
        <w:t xml:space="preserve"> expression, we performed an extensive review of known compounds. As a result of our evaluation, we identified losmapimod as the preferred developmental candidate based on the substantial and attractive preclinical and clinical data. We in-licensed losmapimod from affiliates of GlaxoSmithKline, or GSK, in February 2019. GSK had previously treated over 3,500 subjects with losmapimod across multiple clinical trials, including one Phase 3 clinical trial. GSK did not conduct a clinical trial of losmapimod in patients with FSHD or any other muscle disorder. We have conducted extensive preclinical testing of losmapimod in patient-derived tissue-relevant cell models and have observed that losmapimod selectively reduced DUX4-driven gene expression and restored a healthy gene expression signature with minimal impact on healthy human muscle cells or other cell types.</w:t>
      </w:r>
    </w:p>
    <w:p>
      <w:pPr>
        <w:spacing w:after="0" w:line="201" w:lineRule="exact"/>
        <w:rPr>
          <w:sz w:val="20"/>
          <w:szCs w:val="20"/>
          <w:color w:val="auto"/>
        </w:rPr>
      </w:pPr>
    </w:p>
    <w:p>
      <w:pPr>
        <w:jc w:val="both"/>
        <w:ind w:firstLine="372"/>
        <w:spacing w:after="0" w:line="291" w:lineRule="auto"/>
        <w:rPr>
          <w:sz w:val="20"/>
          <w:szCs w:val="20"/>
          <w:color w:val="auto"/>
        </w:rPr>
      </w:pPr>
      <w:r>
        <w:rPr>
          <w:rFonts w:ascii="Arial" w:cs="Arial" w:eastAsia="Arial" w:hAnsi="Arial"/>
          <w:sz w:val="16"/>
          <w:szCs w:val="16"/>
          <w:color w:val="auto"/>
        </w:rPr>
        <w:t>We plan to conduct a randomized, double-blind placebo-controlled Phase 2b clinical trial to investigate whether treatment with losmapimod reduces DUX4-driven gene expression in affected skeletal muscle. In this Phase 2b clinical trial, we will also evaluate the safety and tolerability of losmapimod. We plan to concurrently conduct an open label Phase 2 clinical trial to investigate the safety and tolerability of chronic treatment with losmapimod in patients with FSHD. In this open label trial, we will also evaluate the ability of losmapimod to reduce DUX4-driven gene expression in affected skeletal muscle over varying treatment durations. We expect to initiate the Phase 2b clinical trial at multiple sites in the United States and Europe and the open label Phase 2 clinical trial in Europe in mid-2019. We are completing a Phase 1 clinical trial in healthy volunteers and patients with FSHD.</w:t>
      </w:r>
    </w:p>
    <w:p>
      <w:pPr>
        <w:spacing w:after="0" w:line="174" w:lineRule="exact"/>
        <w:rPr>
          <w:sz w:val="20"/>
          <w:szCs w:val="20"/>
          <w:color w:val="auto"/>
        </w:rPr>
      </w:pPr>
    </w:p>
    <w:p>
      <w:pPr>
        <w:jc w:val="both"/>
        <w:ind w:right="20" w:firstLine="367"/>
        <w:spacing w:after="0" w:line="370" w:lineRule="auto"/>
        <w:rPr>
          <w:sz w:val="20"/>
          <w:szCs w:val="20"/>
          <w:color w:val="auto"/>
        </w:rPr>
      </w:pPr>
      <w:r>
        <w:rPr>
          <w:rFonts w:ascii="Arial" w:cs="Arial" w:eastAsia="Arial" w:hAnsi="Arial"/>
          <w:sz w:val="15"/>
          <w:szCs w:val="15"/>
          <w:color w:val="auto"/>
        </w:rPr>
        <w:t>We are additionally conducting several preparatory studies to assess biomarker endpoints and clinical outcome assessments and are participating in a natural history study following 150 subjects with FSHD in the United States and 70 subjects in Europe over 18 months. We expect to utilize the data generated from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preparatory studies and the natural history study to inform future clinical trial designs and discussions with regulatory agencies. We believe that the safety data from GSK's prior losmapimod clinical trials, together with safety and efficacy data generated from our Phase 1 and Phase 2 clinical trials, may enable us to apply for accelerated approval of losmapimod for the treatment of FSHD. We plan to discuss accelerated approval with regulatory agencies if we observe positive results in our Phase 2b clinical trial based on biomarker endpoints that we believe are likely to predict clinical benefit.</w:t>
      </w:r>
    </w:p>
    <w:p>
      <w:pPr>
        <w:spacing w:after="0" w:line="167" w:lineRule="exact"/>
        <w:rPr>
          <w:sz w:val="20"/>
          <w:szCs w:val="20"/>
          <w:color w:val="auto"/>
        </w:rPr>
      </w:pPr>
    </w:p>
    <w:p>
      <w:pPr>
        <w:jc w:val="both"/>
        <w:ind w:firstLine="439"/>
        <w:spacing w:after="0" w:line="298" w:lineRule="auto"/>
        <w:rPr>
          <w:sz w:val="20"/>
          <w:szCs w:val="20"/>
          <w:color w:val="auto"/>
        </w:rPr>
      </w:pPr>
      <w:r>
        <w:rPr>
          <w:rFonts w:ascii="Arial" w:cs="Arial" w:eastAsia="Arial" w:hAnsi="Arial"/>
          <w:sz w:val="16"/>
          <w:szCs w:val="16"/>
          <w:color w:val="auto"/>
        </w:rPr>
        <w:t xml:space="preserve">Our second product candidate, FTX-HbF, is a small molecule designed to upregulate fetal hemoglobin in patients with SCD and b-thalassemia. SCD is a genetic blood disorder caused by a mutation in the b-subunit gene, or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This mutation results in the formation of abnormal hemoglobin, which causes red blood cells, or RBCs, to change from a round shape into a sickle shape that significantly impairs their function. b-thalassemia is a rare blood disorder caused by various genetic mutations in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that can significantly impair the production of RBCs.</w:t>
      </w:r>
    </w:p>
    <w:p>
      <w:pPr>
        <w:spacing w:after="0" w:line="167" w:lineRule="exact"/>
        <w:rPr>
          <w:sz w:val="20"/>
          <w:szCs w:val="20"/>
          <w:color w:val="auto"/>
        </w:rPr>
      </w:pPr>
    </w:p>
    <w:p>
      <w:pPr>
        <w:jc w:val="both"/>
        <w:ind w:firstLine="360"/>
        <w:spacing w:after="0" w:line="294" w:lineRule="auto"/>
        <w:rPr>
          <w:sz w:val="20"/>
          <w:szCs w:val="20"/>
          <w:color w:val="auto"/>
        </w:rPr>
      </w:pPr>
      <w:r>
        <w:rPr>
          <w:rFonts w:ascii="Arial" w:cs="Arial" w:eastAsia="Arial" w:hAnsi="Arial"/>
          <w:sz w:val="16"/>
          <w:szCs w:val="16"/>
          <w:color w:val="auto"/>
        </w:rPr>
        <w:t xml:space="preserve">We designed FTX-HbF to compensate for the root cause of these hemoglobinopathies by inducing the expression of the two g-globin genes, </w:t>
      </w:r>
      <w:r>
        <w:rPr>
          <w:rFonts w:ascii="Arial" w:cs="Arial" w:eastAsia="Arial" w:hAnsi="Arial"/>
          <w:sz w:val="16"/>
          <w:szCs w:val="16"/>
          <w:i w:val="1"/>
          <w:iCs w:val="1"/>
          <w:color w:val="auto"/>
        </w:rPr>
        <w:t>HBG1/2</w:t>
      </w:r>
      <w:r>
        <w:rPr>
          <w:rFonts w:ascii="Arial" w:cs="Arial" w:eastAsia="Arial" w:hAnsi="Arial"/>
          <w:sz w:val="16"/>
          <w:szCs w:val="16"/>
          <w:color w:val="auto"/>
        </w:rPr>
        <w:t xml:space="preserve">, whose expression is normally silenced shortly after birth.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encode for g-globin, a component of fetal hemoglobin, which is known to compensate for the presence of abnormal hemoglobin in SCD and b-thalassemia. We have observed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activation of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in preclinical studies with FTX-HbF. We have also observed that FTX-HbF demonstrated robust levels of fetal hemoglobin elevation with no adverse effect on important cellular health markers. We have initiated IND-enabling studies and plan to submit an IND for FTX-HbF in mid-2020.</w:t>
      </w:r>
    </w:p>
    <w:p>
      <w:pPr>
        <w:spacing w:after="0" w:line="170" w:lineRule="exact"/>
        <w:rPr>
          <w:sz w:val="20"/>
          <w:szCs w:val="20"/>
          <w:color w:val="auto"/>
        </w:rPr>
      </w:pPr>
    </w:p>
    <w:p>
      <w:pPr>
        <w:jc w:val="both"/>
        <w:ind w:firstLine="524"/>
        <w:spacing w:after="0" w:line="291" w:lineRule="auto"/>
        <w:rPr>
          <w:sz w:val="20"/>
          <w:szCs w:val="20"/>
          <w:color w:val="auto"/>
        </w:rPr>
      </w:pPr>
      <w:r>
        <w:rPr>
          <w:rFonts w:ascii="Arial" w:cs="Arial" w:eastAsia="Arial" w:hAnsi="Arial"/>
          <w:sz w:val="16"/>
          <w:szCs w:val="16"/>
          <w:color w:val="auto"/>
        </w:rPr>
        <w:t>According to the National Institutes of Health, or NIH, there are approximately 7,000 rare, genetically defined human diseases, many of which have inadequate or no approved treatments. We plan to utilize our product engine to complete four new drug target identification screens in 2019 in Duchenne muscular dystrophy, Friedreich ataxia, myotonic dystrophy 1 and a-synucleinopathies. We also expect to complete an additional six screens in 2020. Our current drug target identification and development efforts are focused on rare neuromuscular disorders, hemoglobinopathies and central nervous system, or CNS, diseases. We also anticipate utilizing our product engine to discover drug targets for genetically defined diseases in other therapeutic areas. In addition to drug targets that we prioritize for internal development, we may identify other drug targets that we would consider for development through partnerships.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We designed our proprietary product engine with potential application across a broad array of genetically defined diseases with a known root cause. The following chart summarizes key information about our lead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123190</wp:posOffset>
            </wp:positionV>
            <wp:extent cx="5582920" cy="8489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8292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chart summarizes key information about our discovery stage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148590</wp:posOffset>
            </wp:positionV>
            <wp:extent cx="5582920" cy="1037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8292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ind w:firstLine="374"/>
        <w:spacing w:after="0" w:line="256" w:lineRule="auto"/>
        <w:rPr>
          <w:sz w:val="20"/>
          <w:szCs w:val="20"/>
          <w:color w:val="auto"/>
        </w:rPr>
      </w:pPr>
      <w:r>
        <w:rPr>
          <w:rFonts w:ascii="Arial" w:cs="Arial" w:eastAsia="Arial" w:hAnsi="Arial"/>
          <w:sz w:val="18"/>
          <w:szCs w:val="18"/>
          <w:color w:val="auto"/>
        </w:rPr>
        <w:t>We are leveraging the broad applicability of our proprietary product engine to discover and develop small molecule therapies that modulate gene expression to address the known root cause of genetically defined diseases in areas of high unmet medical need, with an initial focus on rare diseases. We believe that our initial product candidates for the treatment of FSHD, SCD and b-thalassemia may have the potential to treat patients with these debilitating and, in some cases, life-threatening illnesses. The key components of our strategy include:</w:t>
      </w:r>
    </w:p>
    <w:p>
      <w:pPr>
        <w:spacing w:after="0" w:line="211" w:lineRule="exact"/>
        <w:rPr>
          <w:sz w:val="20"/>
          <w:szCs w:val="20"/>
          <w:color w:val="auto"/>
        </w:rPr>
      </w:pPr>
    </w:p>
    <w:p>
      <w:pPr>
        <w:jc w:val="both"/>
        <w:ind w:left="1080" w:hanging="532"/>
        <w:spacing w:after="0" w:line="256"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Rapidly develop losmapimod for the treatment of FSHD. </w:t>
      </w:r>
      <w:r>
        <w:rPr>
          <w:rFonts w:ascii="Arial" w:cs="Arial" w:eastAsia="Arial" w:hAnsi="Arial"/>
          <w:sz w:val="18"/>
          <w:szCs w:val="18"/>
          <w:color w:val="auto"/>
        </w:rPr>
        <w:t>We aim to rapidly develop losmapimod for the treatment of FSHD through clinical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regulatory approval. We plan to initiate a Phase 2b clinical trial of losmapimod in mid-2019 and, subject to positive results, plan to meet with regulators to discuss the potential to pursue accelerated approval given the significant unmet medical need in FSHD and the absence of approved therapies for patients.</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FTX-HbF into clinical development. </w:t>
      </w:r>
      <w:r>
        <w:rPr>
          <w:rFonts w:ascii="Arial" w:cs="Arial" w:eastAsia="Arial" w:hAnsi="Arial"/>
          <w:sz w:val="18"/>
          <w:szCs w:val="18"/>
          <w:color w:val="auto"/>
        </w:rPr>
        <w:t>We have initiated IND-enabling studies of FTX-HbF and we aim to submit an IND in mid-2020.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develop FTX-HbF for the treatment of SCD and certain types of b-thalassemia.</w:t>
      </w:r>
    </w:p>
    <w:p>
      <w:pPr>
        <w:spacing w:after="0" w:line="199"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apply our proprietary product engine to grow our portfolio of product candidates for the treatment of genetically defined diseases. </w:t>
      </w:r>
      <w:r>
        <w:rPr>
          <w:rFonts w:ascii="Arial" w:cs="Arial" w:eastAsia="Arial" w:hAnsi="Arial"/>
          <w:sz w:val="16"/>
          <w:szCs w:val="16"/>
          <w:color w:val="auto"/>
        </w:rPr>
        <w:t>We have developed a rigorous assessment and selection process to determine which of the approximately 7,000 rare, genetically defined diseases we intend to evaluate in drug target identification activities. We are applying our product engine to discover drug targets to modulate gene expression and develop product candidates for the potential treatment of the root cause of the disease. We plan to utilize our product engine to complete four new drug target identification screens in 2019 and an additional six screens in 2020, and we expect to advance the most compelling programs identified for development.</w:t>
      </w:r>
    </w:p>
    <w:p>
      <w:pPr>
        <w:spacing w:after="0" w:line="187"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Further expand our product engine capabilities. </w:t>
      </w:r>
      <w:r>
        <w:rPr>
          <w:rFonts w:ascii="Arial" w:cs="Arial" w:eastAsia="Arial" w:hAnsi="Arial"/>
          <w:sz w:val="16"/>
          <w:szCs w:val="16"/>
          <w:color w:val="auto"/>
        </w:rPr>
        <w:t>Our product engine incorporates patient-derived cell lines and/or other relevant human cell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lines, our annotated small molecule compound library and customized CRISPR libraries. We intend to further expand our product engine capabilities, including FulcrumSeek, to enhance the therapeutic reach and productivity of our drug discovery process.</w:t>
      </w:r>
    </w:p>
    <w:p>
      <w:pPr>
        <w:spacing w:after="0" w:line="187"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Maximize the commercial potential of our product candidates. </w:t>
      </w:r>
      <w:r>
        <w:rPr>
          <w:rFonts w:ascii="Arial" w:cs="Arial" w:eastAsia="Arial" w:hAnsi="Arial"/>
          <w:sz w:val="16"/>
          <w:szCs w:val="16"/>
          <w:color w:val="auto"/>
        </w:rPr>
        <w:t>We have retained all rights to our lead product candidates focused on rare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genetically defined diseases, and plan to commercialize any approved product using a targeted sales infrastructure. We may in the future pursue commercialization partnerships for certain product candidates and/or markets outside the United States.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6"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Selectively enter into strategic partnerships to maximize the value of our product engine and pipeline. </w:t>
      </w:r>
      <w:r>
        <w:rPr>
          <w:rFonts w:ascii="Arial" w:cs="Arial" w:eastAsia="Arial" w:hAnsi="Arial"/>
          <w:sz w:val="18"/>
          <w:szCs w:val="18"/>
          <w:color w:val="auto"/>
        </w:rPr>
        <w:t>Given the breadth of opportunities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product engine to discover drug targets and develop product candidates for genetically defined diseases, we may enter into strategic partnerships for certain drug targets, product candidates or disease areas. Partnerships may provide an attractive avenue for expanding the impact of our proprietary product engine.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Regulation</w:t>
      </w:r>
    </w:p>
    <w:p>
      <w:pPr>
        <w:spacing w:after="0" w:line="231" w:lineRule="exact"/>
        <w:rPr>
          <w:sz w:val="20"/>
          <w:szCs w:val="20"/>
          <w:color w:val="auto"/>
        </w:rPr>
      </w:pPr>
    </w:p>
    <w:p>
      <w:pPr>
        <w:jc w:val="both"/>
        <w:ind w:firstLine="631"/>
        <w:spacing w:after="0" w:line="294" w:lineRule="auto"/>
        <w:rPr>
          <w:sz w:val="20"/>
          <w:szCs w:val="20"/>
          <w:color w:val="auto"/>
        </w:rPr>
      </w:pPr>
      <w:r>
        <w:rPr>
          <w:rFonts w:ascii="Arial" w:cs="Arial" w:eastAsia="Arial" w:hAnsi="Arial"/>
          <w:sz w:val="16"/>
          <w:szCs w:val="16"/>
          <w:color w:val="auto"/>
        </w:rPr>
        <w:t>The human genome provides the blueprint, or genetic code, for life. The sequencing of the human genome has enabled significant insights into understanding the genetic underpinnings of many diseases. Genes are the fundamental units of biology, but the gene itself is rather static. The identity and function of each cell is determined by a specific set of factors that activate or repress mechanisms that regulate genes in the desired manner. There are many mechanisms that control the human genome by up or down regulating gene expression, and these regulatory mechanisms are controlled by various pathways and signals. Defects in a gene or any of these regulatory mechanisms can result in aberrant expression or silencing of a gene that may lead to disease.</w:t>
      </w:r>
    </w:p>
    <w:p>
      <w:pPr>
        <w:spacing w:after="0" w:line="170"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8"/>
          <w:szCs w:val="18"/>
          <w:color w:val="auto"/>
        </w:rPr>
        <w:t>The graphic below illustrates the key steps in the gene expression process in cells and how they are under the control of a variety of regulatory signals and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123190</wp:posOffset>
            </wp:positionV>
            <wp:extent cx="5617210" cy="36277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17210"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Opportunity</w:t>
      </w:r>
    </w:p>
    <w:p>
      <w:pPr>
        <w:spacing w:after="0" w:line="225" w:lineRule="exact"/>
        <w:rPr>
          <w:sz w:val="20"/>
          <w:szCs w:val="20"/>
          <w:color w:val="auto"/>
        </w:rPr>
      </w:pPr>
    </w:p>
    <w:p>
      <w:pPr>
        <w:jc w:val="both"/>
        <w:ind w:firstLine="595"/>
        <w:spacing w:after="0" w:line="323" w:lineRule="auto"/>
        <w:rPr>
          <w:sz w:val="20"/>
          <w:szCs w:val="20"/>
          <w:color w:val="auto"/>
        </w:rPr>
      </w:pPr>
      <w:r>
        <w:rPr>
          <w:rFonts w:ascii="Arial" w:cs="Arial" w:eastAsia="Arial" w:hAnsi="Arial"/>
          <w:sz w:val="15"/>
          <w:szCs w:val="15"/>
          <w:color w:val="auto"/>
        </w:rPr>
        <w:t xml:space="preserve">We have demonstrated the ability to accurately model human disorders of gene mis-expression </w:t>
      </w:r>
      <w:r>
        <w:rPr>
          <w:rFonts w:ascii="Arial" w:cs="Arial" w:eastAsia="Arial" w:hAnsi="Arial"/>
          <w:sz w:val="15"/>
          <w:szCs w:val="15"/>
          <w:i w:val="1"/>
          <w:iCs w:val="1"/>
          <w:color w:val="auto"/>
        </w:rPr>
        <w:t>in vitro</w:t>
      </w:r>
      <w:r>
        <w:rPr>
          <w:rFonts w:ascii="Arial" w:cs="Arial" w:eastAsia="Arial" w:hAnsi="Arial"/>
          <w:sz w:val="15"/>
          <w:szCs w:val="15"/>
          <w:color w:val="auto"/>
        </w:rPr>
        <w:t>. Our current drug target identification and development efforts are focused on rare neuromuscular disorders, hemoglobinopathies and CNS diseases. We also anticipate utilizing our product engine to discover drug targets for genetically defined diseases in other therapeutic areas. Our target identification and validation process provides a systematic way to approach the identification of unique drug targets that, when activated or inhibited, may increase or decrease gene expression in genetically defined diseases with</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aim of restoring a healthy or functional phenotype. Our product engine is designed to be agnostic to cell type, pathway and therapeutic modality. While our drug target selection process is guided by our strategy to advance small molecule therapeutics that treat the root cause of disease into clinical development, we also may identify drug targets that might be addressable by other treatment modalities, such as antisense oligonucleotides, or ASOs, small interfering RNAs, or siRNAs, or antibodies.</w:t>
      </w:r>
    </w:p>
    <w:p>
      <w:pPr>
        <w:spacing w:after="0" w:line="197" w:lineRule="exact"/>
        <w:rPr>
          <w:sz w:val="20"/>
          <w:szCs w:val="20"/>
          <w:color w:val="auto"/>
        </w:rPr>
      </w:pPr>
    </w:p>
    <w:p>
      <w:pPr>
        <w:jc w:val="both"/>
        <w:ind w:firstLine="406"/>
        <w:spacing w:after="0" w:line="255" w:lineRule="auto"/>
        <w:rPr>
          <w:sz w:val="20"/>
          <w:szCs w:val="20"/>
          <w:color w:val="auto"/>
        </w:rPr>
      </w:pPr>
      <w:r>
        <w:rPr>
          <w:rFonts w:ascii="Arial" w:cs="Arial" w:eastAsia="Arial" w:hAnsi="Arial"/>
          <w:sz w:val="18"/>
          <w:szCs w:val="18"/>
          <w:color w:val="auto"/>
        </w:rPr>
        <w:t>We are continuing to expand our proprietary relational database, FulcrumSeek, which is designed to facilitate the process by which we assess diseases and generate drug target hypotheses through our computational biology expertise. We screen our proprietary small molecule library and customized CRISPR libraries across healthy and diseased human skeletal muscle cells, cardiac muscle cells, brain cells and blood cells. The data from these screens allow us to develop a broader understanding of biology that may be relevant in disease. With the completion of each additional screening, FulcrumSeek increases in size, and our insights and knowledge are further expanded.</w:t>
      </w:r>
    </w:p>
    <w:p>
      <w:pPr>
        <w:spacing w:after="0" w:line="197"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auto"/>
        </w:rPr>
        <w:t>According to the NIH there are approximately 7,000 rare, genetically defined human diseases, many of which have inadequate or no approved treatments. We believe that our approach to selecting and modeling certain of these human diseases with patient-derived tissue-relevant cells, followed by screening with our proprietary small molecule library and customized CRISPR libraries, could be broadly applied to the identification of drug targets that have the potential to balance the expression of many genes known to drive or ameliorate disease.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231" w:lineRule="exact"/>
        <w:rPr>
          <w:sz w:val="20"/>
          <w:szCs w:val="20"/>
          <w:color w:val="auto"/>
        </w:rPr>
      </w:pPr>
    </w:p>
    <w:p>
      <w:pPr>
        <w:jc w:val="both"/>
        <w:ind w:firstLine="358"/>
        <w:spacing w:after="0" w:line="256" w:lineRule="auto"/>
        <w:rPr>
          <w:sz w:val="20"/>
          <w:szCs w:val="20"/>
          <w:color w:val="auto"/>
        </w:rPr>
      </w:pPr>
      <w:r>
        <w:rPr>
          <w:rFonts w:ascii="Arial" w:cs="Arial" w:eastAsia="Arial" w:hAnsi="Arial"/>
          <w:sz w:val="18"/>
          <w:szCs w:val="18"/>
          <w:color w:val="auto"/>
        </w:rPr>
        <w:t>The ability to intervene in gene regulatory pathways that control gene expression provides the basis of our product engine. Our approach is to broadly search for mechanisms that can change gene expression in the desired manner. These drug targets may be intracellular targets or extracellular targets that affect a signaling pathway. Key considerations we use to determine which genetically defined diseases are suitable to evaluate in drug target identification activities include:</w:t>
      </w:r>
    </w:p>
    <w:p>
      <w:pPr>
        <w:spacing w:after="0" w:line="211" w:lineRule="exact"/>
        <w:rPr>
          <w:sz w:val="20"/>
          <w:szCs w:val="20"/>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Unmet medical need and market opportunity</w:t>
      </w:r>
      <w:r>
        <w:rPr>
          <w:rFonts w:ascii="Arial" w:cs="Arial" w:eastAsia="Arial" w:hAnsi="Arial"/>
          <w:sz w:val="18"/>
          <w:szCs w:val="18"/>
          <w:color w:val="auto"/>
        </w:rPr>
        <w:t>: we consider the severity of disease, the number of patients who could be treated and the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landscape.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Clear mechanistic link between a root cause genetic defect and disease</w:t>
      </w:r>
      <w:r>
        <w:rPr>
          <w:rFonts w:ascii="Arial" w:cs="Arial" w:eastAsia="Arial" w:hAnsi="Arial"/>
          <w:sz w:val="18"/>
          <w:szCs w:val="18"/>
          <w:color w:val="auto"/>
        </w:rPr>
        <w:t>: we evaluate whether there is genetic validation of the gene's role in</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and the effect of gene modulation on disease.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Drug discovery execution</w:t>
      </w:r>
      <w:r>
        <w:rPr>
          <w:rFonts w:ascii="Arial" w:cs="Arial" w:eastAsia="Arial" w:hAnsi="Arial"/>
          <w:sz w:val="18"/>
          <w:szCs w:val="18"/>
          <w:color w:val="auto"/>
        </w:rPr>
        <w:t>: we consider whether relevant patient-derived tissue-specific cell models and assays are available or whether we can</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such models using our expertise.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Clinical feasibility</w:t>
      </w:r>
      <w:r>
        <w:rPr>
          <w:rFonts w:ascii="Arial" w:cs="Arial" w:eastAsia="Arial" w:hAnsi="Arial"/>
          <w:sz w:val="18"/>
          <w:szCs w:val="18"/>
          <w:color w:val="auto"/>
        </w:rPr>
        <w:t>: we evaluate potential biomarker and clinical endpoints, whether there is a meaningful treatment window and whether there is</w:t>
      </w:r>
      <w:r>
        <w:rPr>
          <w:rFonts w:ascii="Arial" w:cs="Arial" w:eastAsia="Arial" w:hAnsi="Arial"/>
          <w:sz w:val="18"/>
          <w:szCs w:val="18"/>
          <w:i w:val="1"/>
          <w:iCs w:val="1"/>
          <w:color w:val="auto"/>
        </w:rPr>
        <w:t xml:space="preserve"> </w:t>
      </w:r>
      <w:r>
        <w:rPr>
          <w:rFonts w:ascii="Arial" w:cs="Arial" w:eastAsia="Arial" w:hAnsi="Arial"/>
          <w:sz w:val="18"/>
          <w:szCs w:val="18"/>
          <w:color w:val="auto"/>
        </w:rPr>
        <w:t>an accessible patient population to undertake clinical trials in a reasonable time frame.</w:t>
      </w:r>
    </w:p>
    <w:p>
      <w:pPr>
        <w:spacing w:after="0" w:line="186" w:lineRule="exact"/>
        <w:rPr>
          <w:sz w:val="20"/>
          <w:szCs w:val="20"/>
          <w:color w:val="auto"/>
        </w:rPr>
      </w:pPr>
    </w:p>
    <w:p>
      <w:pPr>
        <w:jc w:val="both"/>
        <w:ind w:firstLine="374"/>
        <w:spacing w:after="0" w:line="290" w:lineRule="auto"/>
        <w:rPr>
          <w:sz w:val="20"/>
          <w:szCs w:val="20"/>
          <w:color w:val="auto"/>
        </w:rPr>
      </w:pPr>
      <w:r>
        <w:rPr>
          <w:rFonts w:ascii="Arial" w:cs="Arial" w:eastAsia="Arial" w:hAnsi="Arial"/>
          <w:sz w:val="16"/>
          <w:szCs w:val="16"/>
          <w:color w:val="auto"/>
        </w:rPr>
        <w:t>Our product engine is designed to enable us to address diseases in which genes are mis-expressed, silenced or result in mutated gene products, such as RNA or protein, due to an underlying genetic defect. There are varied approaches to treating disease by balancing gene expression including reducing the expression of a gene that causes disease (</w:t>
      </w:r>
      <w:r>
        <w:rPr>
          <w:rFonts w:ascii="Arial" w:cs="Arial" w:eastAsia="Arial" w:hAnsi="Arial"/>
          <w:sz w:val="16"/>
          <w:szCs w:val="16"/>
          <w:i w:val="1"/>
          <w:iCs w:val="1"/>
          <w:color w:val="auto"/>
        </w:rPr>
        <w:t>e.g., DUX4</w:t>
      </w:r>
      <w:r>
        <w:rPr>
          <w:rFonts w:ascii="Arial" w:cs="Arial" w:eastAsia="Arial" w:hAnsi="Arial"/>
          <w:sz w:val="16"/>
          <w:szCs w:val="16"/>
          <w:color w:val="auto"/>
        </w:rPr>
        <w:t xml:space="preserve"> in FSHD), increasing the expression of an under-expressed gene (</w:t>
      </w:r>
      <w:r>
        <w:rPr>
          <w:rFonts w:ascii="Arial" w:cs="Arial" w:eastAsia="Arial" w:hAnsi="Arial"/>
          <w:sz w:val="16"/>
          <w:szCs w:val="16"/>
          <w:i w:val="1"/>
          <w:iCs w:val="1"/>
          <w:color w:val="auto"/>
        </w:rPr>
        <w:t>e.g., FXN</w:t>
      </w:r>
      <w:r>
        <w:rPr>
          <w:rFonts w:ascii="Arial" w:cs="Arial" w:eastAsia="Arial" w:hAnsi="Arial"/>
          <w:sz w:val="16"/>
          <w:szCs w:val="16"/>
          <w:color w:val="auto"/>
        </w:rPr>
        <w:t xml:space="preserve"> in Friedreich ataxia) or expressing a compensatory gene (</w:t>
      </w:r>
      <w:r>
        <w:rPr>
          <w:rFonts w:ascii="Arial" w:cs="Arial" w:eastAsia="Arial" w:hAnsi="Arial"/>
          <w:sz w:val="16"/>
          <w:szCs w:val="16"/>
          <w:i w:val="1"/>
          <w:iCs w:val="1"/>
          <w:color w:val="auto"/>
        </w:rPr>
        <w:t>e.g., HBG1/2</w:t>
      </w:r>
      <w:r>
        <w:rPr>
          <w:rFonts w:ascii="Arial" w:cs="Arial" w:eastAsia="Arial" w:hAnsi="Arial"/>
          <w:sz w:val="16"/>
          <w:szCs w:val="16"/>
          <w:color w:val="auto"/>
        </w:rPr>
        <w:t xml:space="preserve"> in SCD and b-thalassemia). Our preclinical modeling of the relevant tissue is critical for success, and we believe this is best achieved using human cell systems derived from patients with the disease. We primarily seek to identify drug targets that may balance gene expression in these human cell systems and that are amenable to drugging using a small molecule. In addition to drug targets that we prioritize for internal development, we may identify other drug targets that we would consider for development through partnerships.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Our Product Engine</w:t>
      </w:r>
    </w:p>
    <w:p>
      <w:pPr>
        <w:spacing w:after="0" w:line="225" w:lineRule="exact"/>
        <w:rPr>
          <w:sz w:val="20"/>
          <w:szCs w:val="20"/>
          <w:color w:val="auto"/>
        </w:rPr>
      </w:pPr>
    </w:p>
    <w:p>
      <w:pPr>
        <w:jc w:val="both"/>
        <w:ind w:firstLine="414"/>
        <w:spacing w:after="0" w:line="288" w:lineRule="auto"/>
        <w:rPr>
          <w:sz w:val="20"/>
          <w:szCs w:val="20"/>
          <w:color w:val="auto"/>
        </w:rPr>
      </w:pPr>
      <w:r>
        <w:rPr>
          <w:rFonts w:ascii="Arial" w:cs="Arial" w:eastAsia="Arial" w:hAnsi="Arial"/>
          <w:sz w:val="16"/>
          <w:szCs w:val="16"/>
          <w:color w:val="auto"/>
        </w:rPr>
        <w:t>Our product engine is a high-throughput discovery platform that we designed to identify and validate drug targets that balance the expression of the genes known to drive or ameliorate disease. We employ a systematic methodology that starts with selecting genetically defined diseases with a known root cause. We obtain patient-derived tissue-relevant cell lines or other relevant human cell lines. We then differentiate these cell lines into those most relevant for the disease pathology, including skeletal muscle myotubes, cardiomyocytes, neurons and RBCs, which we then scale up, characterize and prepare for screening. We also generate methods to quantify the desired modulation of expression of the gene of interest in these cell lines. We apply our annotated small molecule compound library and customized CRISPR libraries to the cells to assess for the desired modulation. We confirm drug target hits with multiple modalities and undertake further validation in several patient-derived tissue-relevant cell lines. Additional studies in these cell models are conducted to understand how the modulation of the gene of interest affects cellular function. We employ computational biology using our FulcrumSeek database and other databases to guide drug target selection and generate hypotheses on other drug targets that might be related along a gene regulatory pathway.</w:t>
      </w:r>
    </w:p>
    <w:p>
      <w:pPr>
        <w:spacing w:after="0" w:line="174" w:lineRule="exact"/>
        <w:rPr>
          <w:sz w:val="20"/>
          <w:szCs w:val="20"/>
          <w:color w:val="auto"/>
        </w:rPr>
      </w:pPr>
    </w:p>
    <w:p>
      <w:pPr>
        <w:jc w:val="both"/>
        <w:ind w:firstLine="359"/>
        <w:spacing w:after="0" w:line="256" w:lineRule="auto"/>
        <w:rPr>
          <w:sz w:val="20"/>
          <w:szCs w:val="20"/>
          <w:color w:val="auto"/>
        </w:rPr>
      </w:pPr>
      <w:r>
        <w:rPr>
          <w:rFonts w:ascii="Arial" w:cs="Arial" w:eastAsia="Arial" w:hAnsi="Arial"/>
          <w:sz w:val="18"/>
          <w:szCs w:val="18"/>
          <w:color w:val="auto"/>
        </w:rPr>
        <w:t>To further optimize and increase productivity of our product engine, we have continued to invest in customized lab automation and applied technologies. We believe that these investments have increased assay throughput and robustness and have expanded the breadth of biological parameters we can effectively measure in our assay systems. We believe that we have built a robust product engine to conduct drug target screening at scale in physiologically-relevant assay systems.</w:t>
      </w:r>
    </w:p>
    <w:p>
      <w:pPr>
        <w:spacing w:after="0" w:line="19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designed our discovery and development model to recapitulate this systematic approach of applying our product engine to each new disease that we evaluate with the goal of providing disease-modifying therapies to patients. The following graphic presents an overview of our drug target identification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93980</wp:posOffset>
            </wp:positionV>
            <wp:extent cx="5771515" cy="3215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71515"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Patient-Derived Tissue-Relevant Cell Models</w:t>
      </w:r>
    </w:p>
    <w:p>
      <w:pPr>
        <w:spacing w:after="0" w:line="225" w:lineRule="exact"/>
        <w:rPr>
          <w:sz w:val="20"/>
          <w:szCs w:val="20"/>
          <w:color w:val="auto"/>
        </w:rPr>
      </w:pPr>
    </w:p>
    <w:p>
      <w:pPr>
        <w:jc w:val="both"/>
        <w:ind w:firstLine="516"/>
        <w:spacing w:after="0" w:line="253" w:lineRule="auto"/>
        <w:rPr>
          <w:sz w:val="20"/>
          <w:szCs w:val="20"/>
          <w:color w:val="auto"/>
        </w:rPr>
      </w:pPr>
      <w:r>
        <w:rPr>
          <w:rFonts w:ascii="Arial" w:cs="Arial" w:eastAsia="Arial" w:hAnsi="Arial"/>
          <w:sz w:val="18"/>
          <w:szCs w:val="18"/>
          <w:color w:val="auto"/>
        </w:rPr>
        <w:t>Accurate modeling of human disease is critical for drug discovery endeavors, and we have the ability to model disease and identify drug targets that modulate gene expression in patient-derived, differentiated cells. These cells provide the appropriate context in which to understand signaling pathways that affect human gene expression and function, and have the potential to increase the translatability from preclinical studies to clinical trials. Prior to initiating screening activities, we characterize and expand the cells. We also create a cell line where the genetic defect associated with the disease has been corrected, or use a cell line from a healthy individual, in order to compare the gene regulation between diseased and normal cells. If the degree of gene activation or repression required to have a functional benefit is not known, we will undertake physiological characterization of these cell lines in order to define what threshold of gene regulation is functionally relevant.</w:t>
      </w:r>
    </w:p>
    <w:p>
      <w:pPr>
        <w:spacing w:after="0" w:line="201" w:lineRule="exact"/>
        <w:rPr>
          <w:sz w:val="20"/>
          <w:szCs w:val="20"/>
          <w:color w:val="auto"/>
        </w:rPr>
      </w:pPr>
    </w:p>
    <w:p>
      <w:pPr>
        <w:jc w:val="both"/>
        <w:ind w:firstLine="411"/>
        <w:spacing w:after="0" w:line="268" w:lineRule="auto"/>
        <w:rPr>
          <w:sz w:val="20"/>
          <w:szCs w:val="20"/>
          <w:color w:val="auto"/>
        </w:rPr>
      </w:pPr>
      <w:r>
        <w:rPr>
          <w:rFonts w:ascii="Arial" w:cs="Arial" w:eastAsia="Arial" w:hAnsi="Arial"/>
          <w:sz w:val="18"/>
          <w:szCs w:val="18"/>
          <w:color w:val="auto"/>
        </w:rPr>
        <w:t>Our process to characterize patient-derived cell models, produce cells at scale and develop suitable screens to identify drug targets typically takes between six and nine months. Depending on the disease, we may design the screen to measure effects on RNA and/or protein.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Target Identification</w:t>
      </w:r>
    </w:p>
    <w:p>
      <w:pPr>
        <w:spacing w:after="0" w:line="225" w:lineRule="exact"/>
        <w:rPr>
          <w:sz w:val="20"/>
          <w:szCs w:val="20"/>
          <w:color w:val="auto"/>
        </w:rPr>
      </w:pPr>
    </w:p>
    <w:p>
      <w:pPr>
        <w:jc w:val="both"/>
        <w:ind w:firstLine="406"/>
        <w:spacing w:after="0" w:line="259" w:lineRule="auto"/>
        <w:rPr>
          <w:sz w:val="20"/>
          <w:szCs w:val="20"/>
          <w:color w:val="auto"/>
        </w:rPr>
      </w:pPr>
      <w:r>
        <w:rPr>
          <w:rFonts w:ascii="Arial" w:cs="Arial" w:eastAsia="Arial" w:hAnsi="Arial"/>
          <w:sz w:val="18"/>
          <w:szCs w:val="18"/>
          <w:color w:val="auto"/>
        </w:rPr>
        <w:t>We employ three approaches to identify drug targets that can potentially modulate gene expression to treat genetically defined diseases at the root cause— two lab-based library screening approaches as well as computational biology using our FulcrumSeek database and other databases. We then evaluate possible drug targets identified from these efforts with the goal to advance programs into lead optimization.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Small Molecule Probe Library Screening</w:t>
      </w:r>
    </w:p>
    <w:p>
      <w:pPr>
        <w:spacing w:after="0" w:line="225" w:lineRule="exact"/>
        <w:rPr>
          <w:sz w:val="20"/>
          <w:szCs w:val="20"/>
          <w:color w:val="auto"/>
        </w:rPr>
      </w:pPr>
    </w:p>
    <w:p>
      <w:pPr>
        <w:jc w:val="both"/>
        <w:ind w:firstLine="403"/>
        <w:spacing w:after="0" w:line="288" w:lineRule="auto"/>
        <w:rPr>
          <w:sz w:val="20"/>
          <w:szCs w:val="20"/>
          <w:color w:val="auto"/>
        </w:rPr>
      </w:pPr>
      <w:r>
        <w:rPr>
          <w:rFonts w:ascii="Arial" w:cs="Arial" w:eastAsia="Arial" w:hAnsi="Arial"/>
          <w:sz w:val="16"/>
          <w:szCs w:val="16"/>
          <w:color w:val="auto"/>
        </w:rPr>
        <w:t>Our small molecule probe library is annotated, which means it consists of known, well-characterized molecules that interact with biochemical mechanisms and that have cellular activity. The purpose of our small molecule probe library is to identify and interrogate mechanisms that regulate the expression of the gene of interest. We designed our library with the intent to optimize biological diversity, in contrast with other small molecule screening approaches that optimize chemical diversity. The library was developed by our medicinal chemists who reviewed primary and patent literature to identify probe molecules that interact with known biochemical targets. They selected chemical probes based on their cellular activity, potency and selectivity. In order to expand our library beyond commercially-available small molecules, we undertook a custom synthesis campaign to generate compounds that were not available from commercial sources. Our library currently includes more than 4,000 small molecules relating to approximately 2,000 biochemical targets covering a wide breadth of pharmacology, including cell surface targets, kinases, metabolic enzymes and targets within the nucleus. Our library will continue to expand as we identify and acquire new mechanistic probes.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CRISPR Screening</w:t>
      </w:r>
    </w:p>
    <w:p>
      <w:pPr>
        <w:spacing w:after="0" w:line="225" w:lineRule="exact"/>
        <w:rPr>
          <w:sz w:val="20"/>
          <w:szCs w:val="20"/>
          <w:color w:val="auto"/>
        </w:rPr>
      </w:pPr>
    </w:p>
    <w:p>
      <w:pPr>
        <w:jc w:val="both"/>
        <w:ind w:firstLine="546"/>
        <w:spacing w:after="0" w:line="290" w:lineRule="auto"/>
        <w:rPr>
          <w:sz w:val="20"/>
          <w:szCs w:val="20"/>
          <w:color w:val="auto"/>
        </w:rPr>
      </w:pPr>
      <w:r>
        <w:rPr>
          <w:rFonts w:ascii="Arial" w:cs="Arial" w:eastAsia="Arial" w:hAnsi="Arial"/>
          <w:sz w:val="16"/>
          <w:szCs w:val="16"/>
          <w:color w:val="auto"/>
        </w:rPr>
        <w:t>We may also use a customized CRISPR library screening, which is an approach to interrogate the genome by selectively knocking out, reducing or increasing gene expression, for target identification. We have chosen to use CRISPR libraries as complementary or additional screening tools for drug target identification alongside our small molecule screening approach. We use both an array-based CRISPR library and our pooled, custom-designed CRISPR library. Specific targets that module the gene of interest can be identified via CRISPR library screening, and these targets can then be validated for our drug discovery endeavors. If small molecules that interact with these targets are identified from the literature, they are then obtained for further pharmacological validation. If no known chemical matter is available, we may establish a screen to identify chemical matter that interacts with the drug target. This chemical matter would serve as a starting point for medicinal chemistry work. Alternatively, we may seek partnerships for development using other modalities.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FulcrumSeek and Computational Biology</w:t>
      </w:r>
    </w:p>
    <w:p>
      <w:pPr>
        <w:spacing w:after="0" w:line="225" w:lineRule="exact"/>
        <w:rPr>
          <w:sz w:val="20"/>
          <w:szCs w:val="20"/>
          <w:color w:val="auto"/>
        </w:rPr>
      </w:pPr>
    </w:p>
    <w:p>
      <w:pPr>
        <w:jc w:val="both"/>
        <w:ind w:firstLine="371"/>
        <w:spacing w:after="0" w:line="294" w:lineRule="auto"/>
        <w:rPr>
          <w:sz w:val="20"/>
          <w:szCs w:val="20"/>
          <w:color w:val="auto"/>
        </w:rPr>
      </w:pPr>
      <w:r>
        <w:rPr>
          <w:rFonts w:ascii="Arial" w:cs="Arial" w:eastAsia="Arial" w:hAnsi="Arial"/>
          <w:sz w:val="16"/>
          <w:szCs w:val="16"/>
          <w:color w:val="auto"/>
        </w:rPr>
        <w:t>The primary role of FulcrumSeek and our computational biology capabilities is to generate drug target and biomarker hypotheses using externally generated patient data and internal screening data. Our approach is to leverage our network biology capabilities and expertise to determine how pathways interact with each other in a cell, to develop a network map of regulatory interactions that control gene expression and cellular function and propose targets that potentially could be pursued to address the root cause of diseases of interest. In each case, we explore these hypotheses through biological experimentation designed to validate predicted drug targets and biomarkers. We use confirmatory studies to aid in the refinement of our computational models in an iterative manner.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Target Validation</w:t>
      </w:r>
    </w:p>
    <w:p>
      <w:pPr>
        <w:spacing w:after="0" w:line="225" w:lineRule="exact"/>
        <w:rPr>
          <w:sz w:val="20"/>
          <w:szCs w:val="20"/>
          <w:color w:val="auto"/>
        </w:rPr>
      </w:pPr>
    </w:p>
    <w:p>
      <w:pPr>
        <w:jc w:val="both"/>
        <w:ind w:firstLine="483"/>
        <w:spacing w:after="0" w:line="255" w:lineRule="auto"/>
        <w:rPr>
          <w:sz w:val="20"/>
          <w:szCs w:val="20"/>
          <w:color w:val="auto"/>
        </w:rPr>
      </w:pPr>
      <w:r>
        <w:rPr>
          <w:rFonts w:ascii="Arial" w:cs="Arial" w:eastAsia="Arial" w:hAnsi="Arial"/>
          <w:sz w:val="18"/>
          <w:szCs w:val="18"/>
          <w:color w:val="auto"/>
        </w:rPr>
        <w:t>Our initial focus on drug target validation is to establish a robust link between the drug target that we identified through our screening approaches and modulation of the expression of the root cause gene of interest. Our validation work seeks to evaluate identified drug targets in a manner that allows us to prioritize targets where we may be able to deliver safe and effective therapies to patients. We conduct our validation tests using a diverse set of pharmacological tools and multiple genetic reagents to profile their effect on orthogonal read-outs of gene expression (RNA and protein) and the subsequent effects on physiological function.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important elements of our systematic approach to drug target validation include:</w:t>
      </w:r>
    </w:p>
    <w:p>
      <w:pPr>
        <w:spacing w:after="0" w:line="239" w:lineRule="exact"/>
        <w:rPr>
          <w:sz w:val="20"/>
          <w:szCs w:val="20"/>
          <w:color w:val="auto"/>
        </w:rPr>
      </w:pPr>
    </w:p>
    <w:p>
      <w:pPr>
        <w:ind w:left="10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Evaluation of different treatment modalities to interact with the drug target: </w:t>
      </w:r>
      <w:r>
        <w:rPr>
          <w:rFonts w:ascii="Arial" w:cs="Arial" w:eastAsia="Arial" w:hAnsi="Arial"/>
          <w:sz w:val="18"/>
          <w:szCs w:val="18"/>
          <w:color w:val="auto"/>
        </w:rPr>
        <w:t>we evaluate whether small molecules and genomic modulation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approaches similarly affect expression of the gene of interest.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Efficacy: </w:t>
      </w:r>
      <w:r>
        <w:rPr>
          <w:rFonts w:ascii="Arial" w:cs="Arial" w:eastAsia="Arial" w:hAnsi="Arial"/>
          <w:sz w:val="18"/>
          <w:szCs w:val="18"/>
          <w:color w:val="auto"/>
        </w:rPr>
        <w:t>we attempt to establish a link between the identified drug target and the level of the expression of the gene of interest.</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Safety: </w:t>
      </w:r>
      <w:r>
        <w:rPr>
          <w:rFonts w:ascii="Arial" w:cs="Arial" w:eastAsia="Arial" w:hAnsi="Arial"/>
          <w:sz w:val="18"/>
          <w:szCs w:val="18"/>
          <w:color w:val="auto"/>
        </w:rPr>
        <w:t>we evaluate whether modulation of the target and the resulting changes in gene expression cause undesired effects, including an</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of cell health markers to ensure there is minimal cellular toxicity.</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Profiling cell lines from multiple patients: </w:t>
      </w:r>
      <w:r>
        <w:rPr>
          <w:rFonts w:ascii="Arial" w:cs="Arial" w:eastAsia="Arial" w:hAnsi="Arial"/>
          <w:sz w:val="18"/>
          <w:szCs w:val="18"/>
          <w:color w:val="auto"/>
        </w:rPr>
        <w:t>we analyze the modulation of the drug target to determine whether the original cell line used to screen</w:t>
      </w:r>
      <w:r>
        <w:rPr>
          <w:rFonts w:ascii="Arial" w:cs="Arial" w:eastAsia="Arial" w:hAnsi="Arial"/>
          <w:sz w:val="18"/>
          <w:szCs w:val="18"/>
          <w:i w:val="1"/>
          <w:iCs w:val="1"/>
          <w:color w:val="auto"/>
        </w:rPr>
        <w:t xml:space="preserve"> </w:t>
      </w:r>
      <w:r>
        <w:rPr>
          <w:rFonts w:ascii="Arial" w:cs="Arial" w:eastAsia="Arial" w:hAnsi="Arial"/>
          <w:sz w:val="18"/>
          <w:szCs w:val="18"/>
          <w:color w:val="auto"/>
        </w:rPr>
        <w:t>targets is representative of disease in other patients.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Verification: </w:t>
      </w:r>
      <w:r>
        <w:rPr>
          <w:rFonts w:ascii="Arial" w:cs="Arial" w:eastAsia="Arial" w:hAnsi="Arial"/>
          <w:sz w:val="18"/>
          <w:szCs w:val="18"/>
          <w:color w:val="auto"/>
        </w:rPr>
        <w:t>we conduct studies designed to ensure that the modulation of the drug target and the resulting change in gene expression leads to a</w:t>
      </w:r>
      <w:r>
        <w:rPr>
          <w:rFonts w:ascii="Arial" w:cs="Arial" w:eastAsia="Arial" w:hAnsi="Arial"/>
          <w:sz w:val="18"/>
          <w:szCs w:val="18"/>
          <w:i w:val="1"/>
          <w:iCs w:val="1"/>
          <w:color w:val="auto"/>
        </w:rPr>
        <w:t xml:space="preserve"> </w:t>
      </w:r>
      <w:r>
        <w:rPr>
          <w:rFonts w:ascii="Arial" w:cs="Arial" w:eastAsia="Arial" w:hAnsi="Arial"/>
          <w:sz w:val="18"/>
          <w:szCs w:val="18"/>
          <w:color w:val="auto"/>
        </w:rPr>
        <w:t>desired functional effect.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Prioritization: </w:t>
      </w:r>
      <w:r>
        <w:rPr>
          <w:rFonts w:ascii="Arial" w:cs="Arial" w:eastAsia="Arial" w:hAnsi="Arial"/>
          <w:sz w:val="16"/>
          <w:szCs w:val="16"/>
          <w:color w:val="auto"/>
        </w:rPr>
        <w:t>we prioritize drug targets based on our assessment of our ability to deliver a candidate for clinical development based on that target.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Candidate Discovery and Characterization</w:t>
      </w:r>
    </w:p>
    <w:p>
      <w:pPr>
        <w:spacing w:after="0" w:line="225"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Following target identification and target validation, we initiate medicinal chemistry and drug discovery activities to advance a development candidate that is suitable for testing in clinical trials. This work optimizes characteristics that are important for an orally available small molecule, including potency, selectivity, pharmacokinetic, or PK, and safety parameters. There is an opportunity to bypass or considerably accelerate discovery and characterization activities if we identify and validate an attractive drug target that has been pursued previously by others in different indications. For example, available chemical matter and support from the scientific literature regarding p38a/b enabled us to rapidly identify our product candidate for the treatment of FSHD.</w:t>
      </w:r>
    </w:p>
    <w:p>
      <w:pPr>
        <w:spacing w:after="0" w:line="170" w:lineRule="exact"/>
        <w:rPr>
          <w:sz w:val="20"/>
          <w:szCs w:val="20"/>
          <w:color w:val="auto"/>
        </w:rPr>
      </w:pPr>
    </w:p>
    <w:p>
      <w:pPr>
        <w:ind w:right="20" w:firstLine="406"/>
        <w:spacing w:after="0" w:line="332" w:lineRule="auto"/>
        <w:rPr>
          <w:sz w:val="20"/>
          <w:szCs w:val="20"/>
          <w:color w:val="auto"/>
        </w:rPr>
      </w:pPr>
      <w:r>
        <w:rPr>
          <w:rFonts w:ascii="Arial" w:cs="Arial" w:eastAsia="Arial" w:hAnsi="Arial"/>
          <w:sz w:val="16"/>
          <w:szCs w:val="16"/>
          <w:color w:val="auto"/>
        </w:rPr>
        <w:t>A key element of our preclinical compound profiling approach is to investigate a development candidate across many patient-derived tissue-relevant cells. We choose these cells based on our assessment of the patient heterogeneity that may be encountered in clinical trials. The purpose of this analysis is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enable us to understand if the activity of the molecule differs among cells with different genetic subtypes, or if a patient stratification strategy is appropriate for clinical trials.</w:t>
      </w:r>
    </w:p>
    <w:p>
      <w:pPr>
        <w:spacing w:after="0" w:line="186" w:lineRule="exact"/>
        <w:rPr>
          <w:sz w:val="20"/>
          <w:szCs w:val="20"/>
          <w:color w:val="auto"/>
        </w:rPr>
      </w:pPr>
    </w:p>
    <w:p>
      <w:pPr>
        <w:jc w:val="both"/>
        <w:ind w:firstLine="366"/>
        <w:spacing w:after="0" w:line="298" w:lineRule="auto"/>
        <w:rPr>
          <w:sz w:val="20"/>
          <w:szCs w:val="20"/>
          <w:color w:val="auto"/>
        </w:rPr>
      </w:pPr>
      <w:r>
        <w:rPr>
          <w:rFonts w:ascii="Arial" w:cs="Arial" w:eastAsia="Arial" w:hAnsi="Arial"/>
          <w:sz w:val="16"/>
          <w:szCs w:val="16"/>
          <w:color w:val="auto"/>
        </w:rPr>
        <w:t>Many genetically defined diseases are not well modeled with animal models because such models do not have appropriate predictive validity. In these cases, we seek to develop an engraftment model where patient-derived human cells are engrafted into the relevant tissue of a host, immunodeficient mouse to produce a chimeric mouse. We may use these chimeric mice to assess gene regulation in the engrafted human cells, and for the efficient development of PK-pharmacodynamic, or PK/PD, relationships that will be the basis of therapeutic index calculations and human dose projections.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Advantages of a Small Molecule Approach</w:t>
      </w:r>
    </w:p>
    <w:p>
      <w:pPr>
        <w:spacing w:after="0" w:line="225" w:lineRule="exact"/>
        <w:rPr>
          <w:sz w:val="20"/>
          <w:szCs w:val="20"/>
          <w:color w:val="auto"/>
        </w:rPr>
      </w:pPr>
    </w:p>
    <w:p>
      <w:pPr>
        <w:jc w:val="both"/>
        <w:ind w:firstLine="506"/>
        <w:spacing w:after="0" w:line="268" w:lineRule="auto"/>
        <w:rPr>
          <w:sz w:val="20"/>
          <w:szCs w:val="20"/>
          <w:color w:val="auto"/>
        </w:rPr>
      </w:pPr>
      <w:r>
        <w:rPr>
          <w:rFonts w:ascii="Arial" w:cs="Arial" w:eastAsia="Arial" w:hAnsi="Arial"/>
          <w:sz w:val="18"/>
          <w:szCs w:val="18"/>
          <w:color w:val="auto"/>
        </w:rPr>
        <w:t>We believe that our approach to the treatment of genetically defined diseases using orally available, small molecule therapeutics may offer significant advantages over other treatment modalities due to:</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Biodistribution: </w:t>
      </w:r>
      <w:r>
        <w:rPr>
          <w:rFonts w:ascii="Arial" w:cs="Arial" w:eastAsia="Arial" w:hAnsi="Arial"/>
          <w:sz w:val="18"/>
          <w:szCs w:val="18"/>
          <w:color w:val="auto"/>
        </w:rPr>
        <w:t>small molecules can achieve broad distribution in the body. The ability to access tissues broadly is particularly relevant in</w:t>
      </w:r>
      <w:r>
        <w:rPr>
          <w:rFonts w:ascii="Arial" w:cs="Arial" w:eastAsia="Arial" w:hAnsi="Arial"/>
          <w:sz w:val="18"/>
          <w:szCs w:val="18"/>
          <w:i w:val="1"/>
          <w:iCs w:val="1"/>
          <w:color w:val="auto"/>
        </w:rPr>
        <w:t xml:space="preserve"> </w:t>
      </w:r>
      <w:r>
        <w:rPr>
          <w:rFonts w:ascii="Arial" w:cs="Arial" w:eastAsia="Arial" w:hAnsi="Arial"/>
          <w:sz w:val="18"/>
          <w:szCs w:val="18"/>
          <w:color w:val="auto"/>
        </w:rPr>
        <w:t>neuromuscular disorders where multiple muscles are affected by disease, or in CNS diseases where brain permeability may be limited with other treatment modalities.</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Tolerability: </w:t>
      </w:r>
      <w:r>
        <w:rPr>
          <w:rFonts w:ascii="Arial" w:cs="Arial" w:eastAsia="Arial" w:hAnsi="Arial"/>
          <w:sz w:val="18"/>
          <w:szCs w:val="18"/>
          <w:color w:val="auto"/>
        </w:rPr>
        <w:t>small molecules have a limited risk of immunogenicity and lack procedural risk relative to administering other treatment modalities,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ASOs and gene therapies.</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Manufacturing and quality: </w:t>
      </w:r>
      <w:r>
        <w:rPr>
          <w:rFonts w:ascii="Arial" w:cs="Arial" w:eastAsia="Arial" w:hAnsi="Arial"/>
          <w:sz w:val="18"/>
          <w:szCs w:val="18"/>
          <w:color w:val="auto"/>
        </w:rPr>
        <w:t>the production and quality control of drug supplies for clinical development are well understood. Specialized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generally not required, and many vendors offer services for manufacturing. We believe small molecule manufacturing may provide cost advantages relative to other modalities.</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Patient access: </w:t>
      </w:r>
      <w:r>
        <w:rPr>
          <w:rFonts w:ascii="Arial" w:cs="Arial" w:eastAsia="Arial" w:hAnsi="Arial"/>
          <w:sz w:val="18"/>
          <w:szCs w:val="18"/>
          <w:color w:val="auto"/>
        </w:rPr>
        <w:t>small molecule, oral medicines can be administered by the patient and do not require complicated in-patient procedures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sometimes only available in a limited number of treatment centers.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Product Candidates</w:t>
      </w:r>
    </w:p>
    <w:p>
      <w:pPr>
        <w:spacing w:after="0" w:line="231"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 xml:space="preserve">We have used our proprietary product engine and screening efforts to identify drug targets for our lead product candidates. We in-licensed our first product candidate, losmapimod, after we discovered that it could reduce aberrant expression of the </w:t>
      </w:r>
      <w:r>
        <w:rPr>
          <w:rFonts w:ascii="Arial" w:cs="Arial" w:eastAsia="Arial" w:hAnsi="Arial"/>
          <w:sz w:val="18"/>
          <w:szCs w:val="18"/>
          <w:i w:val="1"/>
          <w:iCs w:val="1"/>
          <w:color w:val="auto"/>
        </w:rPr>
        <w:t>DUX4</w:t>
      </w:r>
      <w:r>
        <w:rPr>
          <w:rFonts w:ascii="Arial" w:cs="Arial" w:eastAsia="Arial" w:hAnsi="Arial"/>
          <w:sz w:val="18"/>
          <w:szCs w:val="18"/>
          <w:color w:val="auto"/>
        </w:rPr>
        <w:t xml:space="preserve"> gene, which is the known root cause of FSHD. We expect to initiate a randomized Phase 2b clinical trial in mid-2019. We designed our second product candidate, FTX-HbF, to upregulate fetal hemoglobin, which we believe would compensate for abnormal hemoglobin in SCD and certain types of b-thalassemia. We aim to submit an IND for FTX-HbF in mid-2020. The following chart summarizes key information about our lead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130175</wp:posOffset>
            </wp:positionV>
            <wp:extent cx="5694045" cy="8578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9404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 for Facioscapulohumeral Muscular Dystrophy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Facioscapulohumeral Muscular Dystrophy</w:t>
      </w:r>
    </w:p>
    <w:p>
      <w:pPr>
        <w:spacing w:after="0" w:line="225" w:lineRule="exact"/>
        <w:rPr>
          <w:sz w:val="20"/>
          <w:szCs w:val="20"/>
          <w:color w:val="auto"/>
        </w:rPr>
      </w:pPr>
    </w:p>
    <w:p>
      <w:pPr>
        <w:jc w:val="both"/>
        <w:ind w:firstLine="402"/>
        <w:spacing w:after="0" w:line="332" w:lineRule="auto"/>
        <w:rPr>
          <w:sz w:val="20"/>
          <w:szCs w:val="20"/>
          <w:color w:val="auto"/>
        </w:rPr>
      </w:pPr>
      <w:r>
        <w:rPr>
          <w:rFonts w:ascii="Arial" w:cs="Arial" w:eastAsia="Arial" w:hAnsi="Arial"/>
          <w:sz w:val="16"/>
          <w:szCs w:val="16"/>
          <w:color w:val="auto"/>
        </w:rPr>
        <w:t>Facioscapulohumeral muscular dystrophy is a rare, progressive and disabling disease for which there are no approved treatments. FSHD is one of the most common forms of muscular dystrophy and affects both sexes equally, with onset typically in teens and young adults. FSHD is characterized by progressive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skeletal muscle loss that initially causes weakness in muscles in the face, shoulders, arms and trunk and progresses to weakness in muscles in lower extremities and the pelvic girdle. Skeletal muscle weakness results in significant physical limitations, including progressive loss of facial muscles that can cause an inability to smile or communicate, difficulty using arms for activities of daily living and difficulty getting out of bed, with many patients ultimately becoming dependent upon the use of a wheelchair for daily mobility activities. The majority of patients with FSHD also report experiencing chronic pain, anxiety and depression. The diagnosis and treatment of patients with FSHD is typically performed by neurologists.</w:t>
      </w:r>
    </w:p>
    <w:p>
      <w:pPr>
        <w:spacing w:after="0" w:line="170" w:lineRule="exact"/>
        <w:rPr>
          <w:sz w:val="20"/>
          <w:szCs w:val="20"/>
          <w:color w:val="auto"/>
        </w:rPr>
      </w:pPr>
    </w:p>
    <w:p>
      <w:pPr>
        <w:jc w:val="both"/>
        <w:ind w:firstLine="540"/>
        <w:spacing w:after="0" w:line="294" w:lineRule="auto"/>
        <w:rPr>
          <w:sz w:val="20"/>
          <w:szCs w:val="20"/>
          <w:color w:val="auto"/>
        </w:rPr>
      </w:pPr>
      <w:r>
        <w:rPr>
          <w:rFonts w:ascii="Arial" w:cs="Arial" w:eastAsia="Arial" w:hAnsi="Arial"/>
          <w:sz w:val="16"/>
          <w:szCs w:val="16"/>
          <w:color w:val="auto"/>
        </w:rPr>
        <w:t>The FSH Society estimated that the prevalence of FSHD in the United States is approximately 1 in 20,000 people. A recent study conducted in the Netherlands reported a more frequent prevalence of 1 in 8,333. Based on these estimates and a U.S. population of 320 million, we estimate that the patient population is between 16,000 to 38,000 in the United States. We believe that there may be additional patients who are not formally diagnosed due to a perceived difficulty of obtaining a diagnosis and the fact that there are no approved treatments. Approximately two-thirds of cases are familial-inherited in an autosomal dominant fashion and one-third of cases are sporadic. FSHD affects all ethnic groups with similar incidence and prevalence.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FSHD Biology</w:t>
      </w:r>
    </w:p>
    <w:p>
      <w:pPr>
        <w:spacing w:after="0" w:line="225"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auto"/>
        </w:rPr>
        <w:t xml:space="preserve">FSHD is caused by aberrant expression of </w:t>
      </w:r>
      <w:r>
        <w:rPr>
          <w:rFonts w:ascii="Arial" w:cs="Arial" w:eastAsia="Arial" w:hAnsi="Arial"/>
          <w:sz w:val="16"/>
          <w:szCs w:val="16"/>
          <w:i w:val="1"/>
          <w:iCs w:val="1"/>
          <w:color w:val="auto"/>
        </w:rPr>
        <w:t>DUX4</w:t>
      </w:r>
      <w:r>
        <w:rPr>
          <w:rFonts w:ascii="Arial" w:cs="Arial" w:eastAsia="Arial" w:hAnsi="Arial"/>
          <w:sz w:val="16"/>
          <w:szCs w:val="16"/>
          <w:color w:val="auto"/>
        </w:rPr>
        <w:t xml:space="preserve"> in skeletal muscle resulting in the inappropriate presence of DUX4 protein, a transcription factor causing the expression of other genes. Normally DUX4-driven gene expression is limited to early embryonic development, after which time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is silenced. In patients with FSHD, aberrant production of DUX4 protein in skeletal muscle regulates other genes encoding proteins, some of which are toxic to the muscle. Evidence of aberrant DUX4-driven gene expression is the major molecular signature that distinguishes muscle tissue affected by FSHD from healthy muscle. The result of aberrant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in FSHD is death of muscle and its replacement by fat, resulting in skeletal muscle weakness and progressive disability. We believe that reducing 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and its downstream transcriptional program could provide a disease-modifying therapeutic approach for the treatment of FSHD at its root cause.</w:t>
      </w:r>
    </w:p>
    <w:p>
      <w:pPr>
        <w:spacing w:after="0" w:line="172"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auto"/>
        </w:rPr>
        <w:t xml:space="preserve">In all patients with FSHD, the </w:t>
      </w:r>
      <w:r>
        <w:rPr>
          <w:rFonts w:ascii="Arial" w:cs="Arial" w:eastAsia="Arial" w:hAnsi="Arial"/>
          <w:sz w:val="18"/>
          <w:szCs w:val="18"/>
          <w:i w:val="1"/>
          <w:iCs w:val="1"/>
          <w:color w:val="auto"/>
        </w:rPr>
        <w:t>DUX4</w:t>
      </w:r>
      <w:r>
        <w:rPr>
          <w:rFonts w:ascii="Arial" w:cs="Arial" w:eastAsia="Arial" w:hAnsi="Arial"/>
          <w:sz w:val="18"/>
          <w:szCs w:val="18"/>
          <w:color w:val="auto"/>
        </w:rPr>
        <w:t xml:space="preserve"> gene is unsilenced, or de-repressed, as a result of one of two different types of genetic alterations, leading to FSHD1 or FSHD2. Approximately 95% of patients have FSHD1 and approximately 5% of patients have FSHD2. FSHD1 is caused by the contraction of an array of DNA, known as a D4Z4 repeat, from greater than ten repeat units to nine or fewer units. This contraction causes de-repression of </w:t>
      </w:r>
      <w:r>
        <w:rPr>
          <w:rFonts w:ascii="Arial" w:cs="Arial" w:eastAsia="Arial" w:hAnsi="Arial"/>
          <w:sz w:val="18"/>
          <w:szCs w:val="18"/>
          <w:i w:val="1"/>
          <w:iCs w:val="1"/>
          <w:color w:val="auto"/>
        </w:rPr>
        <w:t>DUX4</w:t>
      </w:r>
      <w:r>
        <w:rPr>
          <w:rFonts w:ascii="Arial" w:cs="Arial" w:eastAsia="Arial" w:hAnsi="Arial"/>
          <w:sz w:val="18"/>
          <w:szCs w:val="18"/>
          <w:color w:val="auto"/>
        </w:rPr>
        <w:t xml:space="preserve">. Patients with FSHD2 do not have meaningful D4Z4 repeat contraction, but have mutations in a regulatory gene, known as the </w:t>
      </w:r>
      <w:r>
        <w:rPr>
          <w:rFonts w:ascii="Arial" w:cs="Arial" w:eastAsia="Arial" w:hAnsi="Arial"/>
          <w:sz w:val="18"/>
          <w:szCs w:val="18"/>
          <w:i w:val="1"/>
          <w:iCs w:val="1"/>
          <w:color w:val="auto"/>
        </w:rPr>
        <w:t>SMCHD1</w:t>
      </w:r>
      <w:r>
        <w:rPr>
          <w:rFonts w:ascii="Arial" w:cs="Arial" w:eastAsia="Arial" w:hAnsi="Arial"/>
          <w:sz w:val="18"/>
          <w:szCs w:val="18"/>
          <w:color w:val="auto"/>
        </w:rPr>
        <w:t xml:space="preserve"> gene, that normally contributes to the repression of the </w:t>
      </w:r>
      <w:r>
        <w:rPr>
          <w:rFonts w:ascii="Arial" w:cs="Arial" w:eastAsia="Arial" w:hAnsi="Arial"/>
          <w:sz w:val="18"/>
          <w:szCs w:val="18"/>
          <w:i w:val="1"/>
          <w:iCs w:val="1"/>
          <w:color w:val="auto"/>
        </w:rPr>
        <w:t>DUX4</w:t>
      </w:r>
      <w:r>
        <w:rPr>
          <w:rFonts w:ascii="Arial" w:cs="Arial" w:eastAsia="Arial" w:hAnsi="Arial"/>
          <w:sz w:val="18"/>
          <w:szCs w:val="18"/>
          <w:color w:val="auto"/>
        </w:rPr>
        <w:t xml:space="preserve"> gene via DNA methylation.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8"/>
          <w:szCs w:val="18"/>
          <w:color w:val="auto"/>
        </w:rPr>
        <w:t xml:space="preserve">The figure below illustrates how genetic mutations in the D4Z4 repeat array (FSHD1) or the </w:t>
      </w:r>
      <w:r>
        <w:rPr>
          <w:rFonts w:ascii="Arial" w:cs="Arial" w:eastAsia="Arial" w:hAnsi="Arial"/>
          <w:sz w:val="18"/>
          <w:szCs w:val="18"/>
          <w:i w:val="1"/>
          <w:iCs w:val="1"/>
          <w:color w:val="auto"/>
        </w:rPr>
        <w:t>SMCHD1</w:t>
      </w:r>
      <w:r>
        <w:rPr>
          <w:rFonts w:ascii="Arial" w:cs="Arial" w:eastAsia="Arial" w:hAnsi="Arial"/>
          <w:sz w:val="18"/>
          <w:szCs w:val="18"/>
          <w:color w:val="auto"/>
        </w:rPr>
        <w:t xml:space="preserve"> gene (FSHD2) result in aberrant expression of </w:t>
      </w:r>
      <w:r>
        <w:rPr>
          <w:rFonts w:ascii="Arial" w:cs="Arial" w:eastAsia="Arial" w:hAnsi="Arial"/>
          <w:sz w:val="18"/>
          <w:szCs w:val="18"/>
          <w:i w:val="1"/>
          <w:iCs w:val="1"/>
          <w:color w:val="auto"/>
        </w:rPr>
        <w:t>DUX4</w:t>
      </w:r>
      <w:r>
        <w:rPr>
          <w:rFonts w:ascii="Arial" w:cs="Arial" w:eastAsia="Arial" w:hAnsi="Arial"/>
          <w:sz w:val="18"/>
          <w:szCs w:val="18"/>
          <w:color w:val="auto"/>
        </w:rPr>
        <w:t xml:space="preserve"> in skeletal muscle.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123190</wp:posOffset>
            </wp:positionV>
            <wp:extent cx="3970655" cy="25298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97065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Product Engine Identified the Drug Target for FSHD</w:t>
      </w:r>
    </w:p>
    <w:p>
      <w:pPr>
        <w:spacing w:after="0" w:line="225" w:lineRule="exact"/>
        <w:rPr>
          <w:sz w:val="20"/>
          <w:szCs w:val="20"/>
          <w:color w:val="auto"/>
        </w:rPr>
      </w:pPr>
    </w:p>
    <w:p>
      <w:pPr>
        <w:jc w:val="both"/>
        <w:ind w:firstLine="384"/>
        <w:spacing w:after="0" w:line="290" w:lineRule="auto"/>
        <w:rPr>
          <w:sz w:val="20"/>
          <w:szCs w:val="20"/>
          <w:color w:val="auto"/>
        </w:rPr>
      </w:pPr>
      <w:r>
        <w:rPr>
          <w:rFonts w:ascii="Arial" w:cs="Arial" w:eastAsia="Arial" w:hAnsi="Arial"/>
          <w:sz w:val="16"/>
          <w:szCs w:val="16"/>
          <w:color w:val="auto"/>
        </w:rPr>
        <w:t xml:space="preserve">We utilized patient-derived FSHD1 muscle cells, known as myotubes, and screened them with our small molecule probe library to identify drug targets that reduced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We identified several potential drug targets, however the modulation of the majority of the targets adversely affected the health or differentiation of muscle cells. One drug target that we identified from our screening efforts for which we did not observe adverse cell health issues was p38a/b, which had been studied extensively in other diseases, but had not been reported to be linked to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or FSHD until we conducted our screening efforts. We evaluated multiple small molecule p38a/b inhibitors and observed a consistent reduction of both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and DUX4-driven gene transcripts with each p38a/b inhibitor. We conducted further validation experiments to confirm that inhibition of p38a using genetic approaches such as siRNA and CRISPR single-guide RNAs, also led to a reduction in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Losmapimod</w:t>
      </w:r>
    </w:p>
    <w:p>
      <w:pPr>
        <w:spacing w:after="0" w:line="225" w:lineRule="exact"/>
        <w:rPr>
          <w:sz w:val="20"/>
          <w:szCs w:val="20"/>
          <w:color w:val="auto"/>
        </w:rPr>
      </w:pPr>
    </w:p>
    <w:p>
      <w:pPr>
        <w:jc w:val="both"/>
        <w:ind w:firstLine="385"/>
        <w:spacing w:after="0" w:line="291" w:lineRule="auto"/>
        <w:rPr>
          <w:sz w:val="20"/>
          <w:szCs w:val="20"/>
          <w:color w:val="auto"/>
        </w:rPr>
      </w:pPr>
      <w:r>
        <w:rPr>
          <w:rFonts w:ascii="Arial" w:cs="Arial" w:eastAsia="Arial" w:hAnsi="Arial"/>
          <w:sz w:val="16"/>
          <w:szCs w:val="16"/>
          <w:color w:val="auto"/>
        </w:rPr>
        <w:t>After identifying p38a/b as a potential drug target, we evaluated multiple small molecule inhibitors of p38a/b. Each of these inhibitors had previously been evaluated in clinical trials for the treatment of various diseases but never in muscle disorders. As a result of our evaluation and relative to other p38a/b inhibitors, we identified losmapimod as the preferred development candidate based on substantial and attractive preclinical and clinical data regarding safety, PK and target inhibition, and its advanced stage of development. Losmapimod was originally evaluated by GSK in over 3,500 subjects in clinical trials across multiple indications and in multiple countries. GSK did not evaluate losmapimod in FSHD or in any other muscle disorder. Although GSK did not pursue regulatory approval in the indications evaluated, losmapimod demonstrated an attractive PK, PD, safety and tolerability profile, including in chronic dosing.</w:t>
      </w:r>
    </w:p>
    <w:p>
      <w:pPr>
        <w:spacing w:after="0" w:line="174" w:lineRule="exact"/>
        <w:rPr>
          <w:sz w:val="20"/>
          <w:szCs w:val="20"/>
          <w:color w:val="auto"/>
        </w:rPr>
      </w:pPr>
    </w:p>
    <w:p>
      <w:pPr>
        <w:jc w:val="both"/>
        <w:ind w:firstLine="523"/>
        <w:spacing w:after="0" w:line="294" w:lineRule="auto"/>
        <w:rPr>
          <w:sz w:val="20"/>
          <w:szCs w:val="20"/>
          <w:color w:val="auto"/>
        </w:rPr>
      </w:pPr>
      <w:r>
        <w:rPr>
          <w:rFonts w:ascii="Arial" w:cs="Arial" w:eastAsia="Arial" w:hAnsi="Arial"/>
          <w:sz w:val="16"/>
          <w:szCs w:val="16"/>
          <w:color w:val="auto"/>
        </w:rPr>
        <w:t xml:space="preserve">As shown in the figure on the left below, we observed in preclinical studies using losmapimod that inhibition of the p38a/b pathway reduced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and downstream gene expression, as measured by the mRNA transcribed by </w:t>
      </w:r>
      <w:r>
        <w:rPr>
          <w:rFonts w:ascii="Arial" w:cs="Arial" w:eastAsia="Arial" w:hAnsi="Arial"/>
          <w:sz w:val="16"/>
          <w:szCs w:val="16"/>
          <w:i w:val="1"/>
          <w:iCs w:val="1"/>
          <w:color w:val="auto"/>
        </w:rPr>
        <w:t>MBD3L2</w:t>
      </w:r>
      <w:r>
        <w:rPr>
          <w:rFonts w:ascii="Arial" w:cs="Arial" w:eastAsia="Arial" w:hAnsi="Arial"/>
          <w:sz w:val="16"/>
          <w:szCs w:val="16"/>
          <w:color w:val="auto"/>
        </w:rPr>
        <w:t xml:space="preserve">, a gene that is only expressed following </w:t>
      </w:r>
      <w:r>
        <w:rPr>
          <w:rFonts w:ascii="Arial" w:cs="Arial" w:eastAsia="Arial" w:hAnsi="Arial"/>
          <w:sz w:val="16"/>
          <w:szCs w:val="16"/>
          <w:i w:val="1"/>
          <w:iCs w:val="1"/>
          <w:color w:val="auto"/>
        </w:rPr>
        <w:t>DUX4</w:t>
      </w:r>
      <w:r>
        <w:rPr>
          <w:rFonts w:ascii="Arial" w:cs="Arial" w:eastAsia="Arial" w:hAnsi="Arial"/>
          <w:sz w:val="16"/>
          <w:szCs w:val="16"/>
          <w:color w:val="auto"/>
        </w:rPr>
        <w:t xml:space="preserve"> activation. In the study, we demonstrated that </w:t>
      </w:r>
      <w:r>
        <w:rPr>
          <w:rFonts w:ascii="Arial" w:cs="Arial" w:eastAsia="Arial" w:hAnsi="Arial"/>
          <w:sz w:val="16"/>
          <w:szCs w:val="16"/>
          <w:i w:val="1"/>
          <w:iCs w:val="1"/>
          <w:color w:val="auto"/>
        </w:rPr>
        <w:t>MBD3L2</w:t>
      </w:r>
      <w:r>
        <w:rPr>
          <w:rFonts w:ascii="Arial" w:cs="Arial" w:eastAsia="Arial" w:hAnsi="Arial"/>
          <w:sz w:val="16"/>
          <w:szCs w:val="16"/>
          <w:color w:val="auto"/>
        </w:rPr>
        <w:t xml:space="preserve"> was representative of broader DUX4-driven gene expression changes in myotubes. We assessed the ability of losmapimod to inhibit p38a/b by measuring the effect on the phosphorylation of a downstream protein called heat shock protein 27, or HSP27. The level of phosphorylation of HSP27 has been used in previous clinical trials, including by GSK, as a biomarker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measure the degree of p38a/b inhibition. As shown in the figure on the right below, also observed reduced cell death, or apoptosis, in FSHD myotubes, as measured by active caspase-3. We used active caspase-3 to quantify cell death because it is a protein that has been shown to be an important regulator of the apoptosis pathway in myotubes.</w:t>
      </w:r>
    </w:p>
    <w:p>
      <w:pPr>
        <w:sectPr>
          <w:pgSz w:w="11900" w:h="16838" w:orient="portrait"/>
          <w:cols w:equalWidth="0" w:num="1">
            <w:col w:w="11420"/>
          </w:cols>
          <w:pgMar w:left="240" w:top="131" w:right="239" w:bottom="1440" w:gutter="0" w:footer="0" w:header="0"/>
        </w:sectPr>
      </w:pPr>
    </w:p>
    <w:p>
      <w:pPr>
        <w:spacing w:after="0" w:line="188" w:lineRule="exact"/>
        <w:rPr>
          <w:sz w:val="20"/>
          <w:szCs w:val="20"/>
          <w:color w:val="auto"/>
        </w:rPr>
      </w:pPr>
    </w:p>
    <w:p>
      <w:pPr>
        <w:jc w:val="center"/>
        <w:ind w:left="840"/>
        <w:spacing w:after="0"/>
        <w:rPr>
          <w:sz w:val="20"/>
          <w:szCs w:val="20"/>
          <w:color w:val="auto"/>
        </w:rPr>
      </w:pPr>
      <w:r>
        <w:rPr>
          <w:rFonts w:ascii="Arial" w:cs="Arial" w:eastAsia="Arial" w:hAnsi="Arial"/>
          <w:sz w:val="15"/>
          <w:szCs w:val="15"/>
          <w:b w:val="1"/>
          <w:bCs w:val="1"/>
          <w:color w:val="auto"/>
        </w:rPr>
        <w:t>Losmapimod reduced DUX4 protein levels and</w:t>
      </w:r>
    </w:p>
    <w:p>
      <w:pPr>
        <w:spacing w:after="0" w:line="56"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DUX4-driven gene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298450</wp:posOffset>
            </wp:positionV>
            <wp:extent cx="2778760" cy="18611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78760" cy="1861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1780"/>
        <w:spacing w:after="0"/>
        <w:rPr>
          <w:sz w:val="20"/>
          <w:szCs w:val="20"/>
          <w:color w:val="auto"/>
        </w:rPr>
      </w:pPr>
      <w:r>
        <w:rPr>
          <w:rFonts w:ascii="Arial" w:cs="Arial" w:eastAsia="Arial" w:hAnsi="Arial"/>
          <w:sz w:val="15"/>
          <w:szCs w:val="15"/>
          <w:b w:val="1"/>
          <w:bCs w:val="1"/>
          <w:color w:val="auto"/>
        </w:rPr>
        <w:t>Losmapimod reduced apoptosis in FSHD</w:t>
      </w:r>
    </w:p>
    <w:p>
      <w:pPr>
        <w:spacing w:after="0" w:line="56"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myotubes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161290</wp:posOffset>
            </wp:positionV>
            <wp:extent cx="2752725" cy="18611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52725" cy="18611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86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458"/>
        <w:spacing w:after="0" w:line="289" w:lineRule="auto"/>
        <w:rPr>
          <w:sz w:val="20"/>
          <w:szCs w:val="20"/>
          <w:color w:val="auto"/>
        </w:rPr>
      </w:pPr>
      <w:r>
        <w:rPr>
          <w:rFonts w:ascii="Arial" w:cs="Arial" w:eastAsia="Arial" w:hAnsi="Arial"/>
          <w:sz w:val="16"/>
          <w:szCs w:val="16"/>
          <w:color w:val="auto"/>
        </w:rPr>
        <w:t>After identifying losmapimod, we in-licensed the molecule from GSK because we believed that its safety and pharmacology history would significantly expedite our development plan and enhance our future regulatory submissions. In February 2019, we obtained an exclusive worldwide license from GSK to the losmapimod patents and preclinical and clinical data for all indications, subject to certain conditions. This license includes a letter of reference for the U.S. Food and Drug Administration, or FDA, providing us the right to reference all the previous INDs that had been filed by GSK for losmapimod, as well as a license to their losmapimod data, including the original preclinical study and clinical trial reports. We intend to utilize the GSK data to file an IND in May 2019 that will enable us to advance our clinical development plan for losmapimod in FSHD, including initiating a Phase 2b clinical trial. We also received active pharmaceutical ingredient, or API, and losmapimod tablets that had been manufactured by GSK. We plan to use the API and tablets to support our clinical development of losmapimod in FSHD, including our planned Phase 2 clinical trials.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Development</w:t>
      </w:r>
    </w:p>
    <w:p>
      <w:pPr>
        <w:spacing w:after="0" w:line="225" w:lineRule="exact"/>
        <w:rPr>
          <w:sz w:val="20"/>
          <w:szCs w:val="20"/>
          <w:color w:val="auto"/>
        </w:rPr>
      </w:pPr>
    </w:p>
    <w:p>
      <w:pPr>
        <w:jc w:val="both"/>
        <w:ind w:firstLine="415"/>
        <w:spacing w:after="0" w:line="290" w:lineRule="auto"/>
        <w:rPr>
          <w:sz w:val="20"/>
          <w:szCs w:val="20"/>
          <w:color w:val="auto"/>
        </w:rPr>
      </w:pPr>
      <w:r>
        <w:rPr>
          <w:rFonts w:ascii="Arial" w:cs="Arial" w:eastAsia="Arial" w:hAnsi="Arial"/>
          <w:sz w:val="16"/>
          <w:szCs w:val="16"/>
          <w:color w:val="auto"/>
        </w:rPr>
        <w:t xml:space="preserve">We conducted several preclinical studies designed to evaluate the ability of losmapimod to reduce DUX4-driven gene expression. In a preclinical study of losmapimod, we treated myotubes from primary cell lines of eight FSHD1 and three FSHD2 patients for four days with different concentrations of losmapimod or vehicle as a negative control. To model the effect of losmapimod treatment on DUX4-driven gene expression across diverse disease-causing genotypes, we measured </w:t>
      </w:r>
      <w:r>
        <w:rPr>
          <w:rFonts w:ascii="Arial" w:cs="Arial" w:eastAsia="Arial" w:hAnsi="Arial"/>
          <w:sz w:val="16"/>
          <w:szCs w:val="16"/>
          <w:i w:val="1"/>
          <w:iCs w:val="1"/>
          <w:color w:val="auto"/>
        </w:rPr>
        <w:t>MBD3L2</w:t>
      </w:r>
      <w:r>
        <w:rPr>
          <w:rFonts w:ascii="Arial" w:cs="Arial" w:eastAsia="Arial" w:hAnsi="Arial"/>
          <w:sz w:val="16"/>
          <w:szCs w:val="16"/>
          <w:color w:val="auto"/>
        </w:rPr>
        <w:t xml:space="preserve"> transcript levels relative to the transcript levels of </w:t>
      </w:r>
      <w:r>
        <w:rPr>
          <w:rFonts w:ascii="Arial" w:cs="Arial" w:eastAsia="Arial" w:hAnsi="Arial"/>
          <w:sz w:val="16"/>
          <w:szCs w:val="16"/>
          <w:i w:val="1"/>
          <w:iCs w:val="1"/>
          <w:color w:val="auto"/>
        </w:rPr>
        <w:t>POLR2A</w:t>
      </w:r>
      <w:r>
        <w:rPr>
          <w:rFonts w:ascii="Arial" w:cs="Arial" w:eastAsia="Arial" w:hAnsi="Arial"/>
          <w:sz w:val="16"/>
          <w:szCs w:val="16"/>
          <w:color w:val="auto"/>
        </w:rPr>
        <w:t xml:space="preserve">, a gene whose expression is not regulated by DUX4 protein. We observed that clinically achievable concentrations of losmapimod (30 to 100 nM) decreased DUX4-driven expression by 50% to 65%, as measured by quantitative polymerase chain reaction amplification of the </w:t>
      </w:r>
      <w:r>
        <w:rPr>
          <w:rFonts w:ascii="Arial" w:cs="Arial" w:eastAsia="Arial" w:hAnsi="Arial"/>
          <w:sz w:val="16"/>
          <w:szCs w:val="16"/>
          <w:i w:val="1"/>
          <w:iCs w:val="1"/>
          <w:color w:val="auto"/>
        </w:rPr>
        <w:t>MBD3L2</w:t>
      </w:r>
      <w:r>
        <w:rPr>
          <w:rFonts w:ascii="Arial" w:cs="Arial" w:eastAsia="Arial" w:hAnsi="Arial"/>
          <w:sz w:val="16"/>
          <w:szCs w:val="16"/>
          <w:color w:val="auto"/>
        </w:rPr>
        <w:t xml:space="preserve"> transcripts. The observed treatment effect was similar in all cells tested regardless of genotype. We believe that this data suggests that losmapimod has the potential to treat FSHD patients across all genotypes.</w:t>
      </w:r>
    </w:p>
    <w:p>
      <w:pPr>
        <w:spacing w:after="0" w:line="172"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The graphic below shows the least square mean estimates for DUX4-driven gene expression from 11 FSHD primary cells and healthy cells, treated with losmapimod presented as mean and 95% confidence intervals, which demonstrates that losmapimod reduced DUX4-driven gene expression, as measured by MBD3L2 and POLR2A transcript levels in a concentration-dependent manner.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Reduction of DUX4-driven gene expression at increasing concentrations of losmapimod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152400</wp:posOffset>
            </wp:positionV>
            <wp:extent cx="3447415" cy="25730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4741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448"/>
        <w:spacing w:after="0" w:line="289" w:lineRule="auto"/>
        <w:rPr>
          <w:sz w:val="20"/>
          <w:szCs w:val="20"/>
          <w:color w:val="auto"/>
        </w:rPr>
      </w:pPr>
      <w:r>
        <w:rPr>
          <w:rFonts w:ascii="Arial" w:cs="Arial" w:eastAsia="Arial" w:hAnsi="Arial"/>
          <w:sz w:val="16"/>
          <w:szCs w:val="16"/>
          <w:color w:val="auto"/>
        </w:rPr>
        <w:t>In our preclinical studies, we have also observed that treatment of FSHD patient-derived myotubes with losmapimod is highly specific for DUX4-driven gene expression. We conducted a study in which we measured the FSHD gene expression signature and observed a minimal impact on myogenesis when healthy human myotubes were treated with losmapimod. We treated FSHD cells with losmapimod for five days and a subsequent RNA-seq analysis revealed that only 89 transcripts (0.45%) out of approximately 20,000 protein coding genes were differentially expressed more than four-fold. Of these 89 differentially expressed transcripts, 90% were transcripts directly regulated by DUX4. We believe that this is strong evidence that the effects of losmapimod in affected skeletal muscle are highly specific for the treatment of the root cause of FSHD. Importantly, we did not observe changes in levels of myogenin, a transcriptional activator that promotes transcription of muscle-specific genes and plays a role in muscle differentiation, cell cycle exit and muscle atrophy, and observed minimal impact on other myogenic factors during myoblast differentiation into myotubes.</w:t>
      </w:r>
    </w:p>
    <w:p>
      <w:pPr>
        <w:spacing w:after="0" w:line="172" w:lineRule="exact"/>
        <w:rPr>
          <w:sz w:val="20"/>
          <w:szCs w:val="20"/>
          <w:color w:val="auto"/>
        </w:rPr>
      </w:pPr>
    </w:p>
    <w:p>
      <w:pPr>
        <w:jc w:val="both"/>
        <w:ind w:right="20" w:firstLine="493"/>
        <w:spacing w:after="0" w:line="268" w:lineRule="auto"/>
        <w:rPr>
          <w:sz w:val="20"/>
          <w:szCs w:val="20"/>
          <w:color w:val="auto"/>
        </w:rPr>
      </w:pPr>
      <w:r>
        <w:rPr>
          <w:rFonts w:ascii="Arial" w:cs="Arial" w:eastAsia="Arial" w:hAnsi="Arial"/>
          <w:sz w:val="18"/>
          <w:szCs w:val="18"/>
          <w:color w:val="auto"/>
        </w:rPr>
        <w:t>The graphic below depicts the gene expression signature in FSHD at increasing concentrations of losmapimod as compared to a high concentration of losmapimod in healthy wild type, or WT, myotubes.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graphic, darker pink tones indicate more gene expression and darker blue tones indicate less gene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148590</wp:posOffset>
            </wp:positionV>
            <wp:extent cx="4999990" cy="42449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99990" cy="424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391"/>
        <w:spacing w:after="0" w:line="256" w:lineRule="auto"/>
        <w:rPr>
          <w:sz w:val="20"/>
          <w:szCs w:val="20"/>
          <w:color w:val="auto"/>
        </w:rPr>
      </w:pPr>
      <w:r>
        <w:rPr>
          <w:rFonts w:ascii="Arial" w:cs="Arial" w:eastAsia="Arial" w:hAnsi="Arial"/>
          <w:sz w:val="18"/>
          <w:szCs w:val="18"/>
          <w:color w:val="auto"/>
        </w:rPr>
        <w:t>GSK observed concentrations of losmapimod in human plasma of 28.4 ng/mL to 74.1 ng/mL with an average of 50.5 ng/mL at a 15 mg twice per day dose in its clinical trials. In preclinical studies in animal models, we observed that losmapimod reached muscle tissue and engaged the p38a/b target in the muscle tissue. As shown below, we detected similar concentrations of losmapimod in rat plasma and muscle, and significant target engagement is observed at concentrations that we expect to achieve in clinical trials using a 15 mg twice per day dose.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p38a/b target engagement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152400</wp:posOffset>
            </wp:positionV>
            <wp:extent cx="3970655" cy="27787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970655"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55"/>
        <w:spacing w:after="0" w:line="268" w:lineRule="auto"/>
        <w:rPr>
          <w:sz w:val="20"/>
          <w:szCs w:val="20"/>
          <w:color w:val="auto"/>
        </w:rPr>
      </w:pPr>
      <w:r>
        <w:rPr>
          <w:rFonts w:ascii="Arial" w:cs="Arial" w:eastAsia="Arial" w:hAnsi="Arial"/>
          <w:sz w:val="18"/>
          <w:szCs w:val="18"/>
          <w:color w:val="auto"/>
        </w:rPr>
        <w:t>We obtained further evidence that losmapimod distributed to muscle from a preclinical study in which GSK profiled distribution of losmapimod to all tissues in rats. Our review of this data similarly confirmed that muscles were well exposed to losmapimod.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Overview</w:t>
      </w:r>
    </w:p>
    <w:p>
      <w:pPr>
        <w:spacing w:after="0" w:line="225"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We began dosing in a Phase 1 clinical trial of losmapimod in healthy volunteers and patients with FSHD in Europe in February 2019 following the filing of a clinical trial application, or CTA, in December 2018. We plan to conduct a randomized, double-blind placebo-controlled Phase 2b clinical trial with approximately 66 patients with FSHD to investigate whether oral administration of 15 mg of losmapimod twice per day reduces expression of DUX4-driven genes in affected skeletal muscle. We also plan to concurrently conduct an open label Phase 2 clinical trial in 16 patients with FSHD to investigate the safety and tolerability of 15 mg losmapimod twice per day for chronic use and to evaluate the ability of losmapimod to reduce expression of DUX4-driven genes in affected skeletal muscle over varying durations of treatment. We believe that a 15 mg twice per day dose of losmapimod is an appropriate dose for the treatment of patients with FSHD based on previous clinical data and p38a/b target engagement data generated by GSK and p38a/b target engagement data from our preclinical studies.</w:t>
      </w:r>
    </w:p>
    <w:p>
      <w:pPr>
        <w:spacing w:after="0" w:line="199" w:lineRule="exact"/>
        <w:rPr>
          <w:sz w:val="20"/>
          <w:szCs w:val="20"/>
          <w:color w:val="auto"/>
        </w:rPr>
      </w:pPr>
    </w:p>
    <w:p>
      <w:pPr>
        <w:jc w:val="both"/>
        <w:ind w:right="20" w:firstLine="406"/>
        <w:spacing w:after="0" w:line="259" w:lineRule="auto"/>
        <w:rPr>
          <w:sz w:val="20"/>
          <w:szCs w:val="20"/>
          <w:color w:val="auto"/>
        </w:rPr>
      </w:pPr>
      <w:r>
        <w:rPr>
          <w:rFonts w:ascii="Arial" w:cs="Arial" w:eastAsia="Arial" w:hAnsi="Arial"/>
          <w:sz w:val="18"/>
          <w:szCs w:val="18"/>
          <w:color w:val="auto"/>
        </w:rPr>
        <w:t>We submitted a CTA in Europe for the open label Phase 2 clinical trial in April 2019 and plan to submit a CTA in Europe for the Phase 2b clinical trial in May 2019. We plan to submit an IND to the FDA in May 2019. We expect to initiate the randomized Phase 2b clinical trial and the open label Phase 2 clinical trial in mid-2019.</w:t>
      </w:r>
    </w:p>
    <w:p>
      <w:pPr>
        <w:spacing w:after="0" w:line="194" w:lineRule="exact"/>
        <w:rPr>
          <w:sz w:val="20"/>
          <w:szCs w:val="20"/>
          <w:color w:val="auto"/>
        </w:rPr>
      </w:pPr>
    </w:p>
    <w:p>
      <w:pPr>
        <w:jc w:val="both"/>
        <w:ind w:firstLine="600"/>
        <w:spacing w:after="0" w:line="306" w:lineRule="auto"/>
        <w:rPr>
          <w:sz w:val="20"/>
          <w:szCs w:val="20"/>
          <w:color w:val="auto"/>
        </w:rPr>
      </w:pPr>
      <w:r>
        <w:rPr>
          <w:rFonts w:ascii="Arial" w:cs="Arial" w:eastAsia="Arial" w:hAnsi="Arial"/>
          <w:sz w:val="16"/>
          <w:szCs w:val="16"/>
          <w:color w:val="auto"/>
        </w:rPr>
        <w:t>We are also conducting several preparatory non-drug studies to assess biomarker endpoints and clinical outcome assessments. In addition, we are participating in a natural history study following 150 subjects with FSHD in the United States and 70 subjects in Europe over 18 months. We expect to utilize the data generated from our non-drug studies and the natural history study to inform discussions with regulatory agencies and future clinical trial design.</w:t>
      </w:r>
    </w:p>
    <w:p>
      <w:pPr>
        <w:spacing w:after="0" w:line="161" w:lineRule="exact"/>
        <w:rPr>
          <w:sz w:val="20"/>
          <w:szCs w:val="20"/>
          <w:color w:val="auto"/>
        </w:rPr>
      </w:pPr>
    </w:p>
    <w:p>
      <w:pPr>
        <w:jc w:val="both"/>
        <w:ind w:firstLine="436"/>
        <w:spacing w:after="0" w:line="256" w:lineRule="auto"/>
        <w:rPr>
          <w:sz w:val="20"/>
          <w:szCs w:val="20"/>
          <w:color w:val="auto"/>
        </w:rPr>
      </w:pPr>
      <w:r>
        <w:rPr>
          <w:rFonts w:ascii="Arial" w:cs="Arial" w:eastAsia="Arial" w:hAnsi="Arial"/>
          <w:sz w:val="18"/>
          <w:szCs w:val="18"/>
          <w:color w:val="auto"/>
        </w:rPr>
        <w:t>We believe that the safety data from GSK's prior losmapimod clinical trials, together with safety and efficacy data from our Phase 1 and Phase 2 clinical trials, may enable us to apply for accelerated approval. We believe a treatment for FSHD may be eligible for accelerated approval because FSHD is a rare, slowly progressive and disabling disease with no approved treatments. We plan to discuss accelerated approval with regulatory agencies if we observe positive results in our Phase 2b clinical trial based on biomarker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endpoints that we believe are likely to predict clinical benefit. We also plan to apply for orphan drug designation for FSHD in the United States and Europe in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Clinical Development of Losmapimod by GSK</w:t>
      </w:r>
    </w:p>
    <w:p>
      <w:pPr>
        <w:spacing w:after="0" w:line="225" w:lineRule="exact"/>
        <w:rPr>
          <w:sz w:val="20"/>
          <w:szCs w:val="20"/>
          <w:color w:val="auto"/>
        </w:rPr>
      </w:pPr>
    </w:p>
    <w:p>
      <w:pPr>
        <w:jc w:val="both"/>
        <w:ind w:firstLine="466"/>
        <w:spacing w:after="0" w:line="298" w:lineRule="auto"/>
        <w:rPr>
          <w:sz w:val="20"/>
          <w:szCs w:val="20"/>
          <w:color w:val="auto"/>
        </w:rPr>
      </w:pPr>
      <w:r>
        <w:rPr>
          <w:rFonts w:ascii="Arial" w:cs="Arial" w:eastAsia="Arial" w:hAnsi="Arial"/>
          <w:sz w:val="16"/>
          <w:szCs w:val="16"/>
          <w:color w:val="auto"/>
        </w:rPr>
        <w:t>GSK conducted multiple Phase 1 and Phase 2 clinical trials and one Phase 3 clinical trial of losmapimod, including in patients with chronic obstructive pulmonary disease, or COPD, myocardial infarction and other cardiovascular diseases, neuropathic pain, major depression disorder, focal segmental glomerulosclerosis, and rheumatoid arthritis. GSK treated over 3,500 subjects with losmapimod with single doses as high as 60 mg and repeated oral doses as high as 15 mg twice per day for up to 52 weeks. GSK did not conduct a clinical trial of losmapimod in patients with FSHD or any other muscle disorder.</w:t>
      </w:r>
    </w:p>
    <w:p>
      <w:pPr>
        <w:spacing w:after="0" w:line="167" w:lineRule="exact"/>
        <w:rPr>
          <w:sz w:val="20"/>
          <w:szCs w:val="20"/>
          <w:color w:val="auto"/>
        </w:rPr>
      </w:pPr>
    </w:p>
    <w:p>
      <w:pPr>
        <w:jc w:val="both"/>
        <w:ind w:firstLine="422"/>
        <w:spacing w:after="0" w:line="294" w:lineRule="auto"/>
        <w:rPr>
          <w:sz w:val="20"/>
          <w:szCs w:val="20"/>
          <w:color w:val="auto"/>
        </w:rPr>
      </w:pPr>
      <w:r>
        <w:rPr>
          <w:rFonts w:ascii="Arial" w:cs="Arial" w:eastAsia="Arial" w:hAnsi="Arial"/>
          <w:sz w:val="16"/>
          <w:szCs w:val="16"/>
          <w:color w:val="auto"/>
        </w:rPr>
        <w:t>Most adverse events, or AEs, in clinical trials of losmapimod conducted by GSK related to the underlying disease and others were typically reported by a similar proportion of patients on losmapimod and placebo. GSK observed a similar frequency of serious adverse events and deaths between patients treated with losmapimod and patients given placebo. These trials include extensive evaluation of the cardiovascular risk profile of losmapimod, including completion of an evaluation of the potential to prolong corrected QT. There was no clinically relevant difference in laboratory measures, electrocardiograms or vital signs with losmapimod as compared to placebo. GSK did not identify a safety signal attributed to losmapimod in any of these trials.</w:t>
      </w:r>
    </w:p>
    <w:p>
      <w:pPr>
        <w:spacing w:after="0" w:line="170"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auto"/>
        </w:rPr>
        <w:t>The table below presents safety data from the largest placebo-controlled clinical trial of losmapimod, which was a Phase 3 clinical trial for the treatment of acute coronary syndrome following a heart attack, in which over 1,700 patients were treated with 7.5 mg of losmapimod or placebo twice per day for 12 weeks and were followed for an additional 12 weeks. The data in the table below show the number of subjects reported to have one or more adverse events, or AEs, or serious adverse events, or SAEs.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Safety data from GSK's Phase 3 clinical trial of losmapimod in acute coronary syndrome</w:t>
      </w:r>
    </w:p>
    <w:tbl>
      <w:tblPr>
        <w:tblLayout w:type="fixed"/>
        <w:tblInd w:w="1720" w:type="dxa"/>
        <w:tblCellMar>
          <w:top w:w="0" w:type="dxa"/>
          <w:left w:w="0" w:type="dxa"/>
          <w:bottom w:w="0" w:type="dxa"/>
          <w:right w:w="0" w:type="dxa"/>
        </w:tblCellMar>
      </w:tblPr>
      <w:tr>
        <w:trPr>
          <w:trHeight w:val="142"/>
        </w:trPr>
        <w:tc>
          <w:tcPr>
            <w:tcW w:w="618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Placebo</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Losmapimod</w:t>
            </w:r>
          </w:p>
        </w:tc>
      </w:tr>
      <w:tr>
        <w:trPr>
          <w:trHeight w:val="210"/>
        </w:trPr>
        <w:tc>
          <w:tcPr>
            <w:tcW w:w="6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N = 1,752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N = 1,724</w:t>
            </w:r>
          </w:p>
        </w:tc>
      </w:tr>
      <w:tr>
        <w:trPr>
          <w:trHeight w:val="216"/>
        </w:trPr>
        <w:tc>
          <w:tcPr>
            <w:tcW w:w="618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n (%)</w:t>
            </w:r>
          </w:p>
        </w:tc>
        <w:tc>
          <w:tcPr>
            <w:tcW w:w="16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n (%)</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On-treatment AE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972</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(55.5)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(56.4)</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Any drug-related AE</w:t>
            </w:r>
          </w:p>
        </w:tc>
        <w:tc>
          <w:tcPr>
            <w:tcW w:w="320" w:type="dxa"/>
            <w:vAlign w:val="bottom"/>
          </w:tcPr>
          <w:p>
            <w:pPr>
              <w:jc w:val="right"/>
              <w:spacing w:after="0"/>
              <w:rPr>
                <w:sz w:val="20"/>
                <w:szCs w:val="20"/>
                <w:color w:val="auto"/>
              </w:rPr>
            </w:pPr>
            <w:r>
              <w:rPr>
                <w:rFonts w:ascii="Arial" w:cs="Arial" w:eastAsia="Arial" w:hAnsi="Arial"/>
                <w:sz w:val="18"/>
                <w:szCs w:val="18"/>
                <w:color w:val="auto"/>
              </w:rPr>
              <w:t>91</w:t>
            </w:r>
          </w:p>
        </w:tc>
        <w:tc>
          <w:tcPr>
            <w:tcW w:w="500" w:type="dxa"/>
            <w:vAlign w:val="bottom"/>
          </w:tcPr>
          <w:p>
            <w:pPr>
              <w:ind w:left="20"/>
              <w:spacing w:after="0"/>
              <w:rPr>
                <w:sz w:val="20"/>
                <w:szCs w:val="20"/>
                <w:color w:val="auto"/>
              </w:rPr>
            </w:pPr>
            <w:r>
              <w:rPr>
                <w:rFonts w:ascii="Arial" w:cs="Arial" w:eastAsia="Arial" w:hAnsi="Arial"/>
                <w:sz w:val="18"/>
                <w:szCs w:val="18"/>
                <w:color w:val="auto"/>
              </w:rPr>
              <w:t>(5.2)</w:t>
            </w:r>
          </w:p>
        </w:tc>
        <w:tc>
          <w:tcPr>
            <w:tcW w:w="980" w:type="dxa"/>
            <w:vAlign w:val="bottom"/>
            <w:gridSpan w:val="3"/>
          </w:tcPr>
          <w:p>
            <w:pPr>
              <w:jc w:val="center"/>
              <w:ind w:left="92"/>
              <w:spacing w:after="0"/>
              <w:rPr>
                <w:sz w:val="20"/>
                <w:szCs w:val="20"/>
                <w:color w:val="auto"/>
              </w:rPr>
            </w:pPr>
            <w:r>
              <w:rPr>
                <w:rFonts w:ascii="Arial" w:cs="Arial" w:eastAsia="Arial" w:hAnsi="Arial"/>
                <w:sz w:val="18"/>
                <w:szCs w:val="18"/>
                <w:color w:val="auto"/>
                <w:w w:val="88"/>
              </w:rPr>
              <w:t>104 (6.0)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AE leading to discontinuation of treatment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(4.4)</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Any SAE</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323</w:t>
            </w:r>
          </w:p>
        </w:tc>
        <w:tc>
          <w:tcPr>
            <w:tcW w:w="500" w:type="dxa"/>
            <w:vAlign w:val="bottom"/>
          </w:tcPr>
          <w:p>
            <w:pPr>
              <w:ind w:left="20"/>
              <w:spacing w:after="0"/>
              <w:rPr>
                <w:sz w:val="20"/>
                <w:szCs w:val="20"/>
                <w:color w:val="auto"/>
              </w:rPr>
            </w:pPr>
            <w:r>
              <w:rPr>
                <w:rFonts w:ascii="Arial" w:cs="Arial" w:eastAsia="Arial" w:hAnsi="Arial"/>
                <w:sz w:val="18"/>
                <w:szCs w:val="18"/>
                <w:color w:val="auto"/>
                <w:w w:val="97"/>
              </w:rPr>
              <w:t>(18.4)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480" w:type="dxa"/>
            <w:vAlign w:val="bottom"/>
          </w:tcPr>
          <w:p>
            <w:pPr>
              <w:ind w:left="20"/>
              <w:spacing w:after="0"/>
              <w:rPr>
                <w:sz w:val="20"/>
                <w:szCs w:val="20"/>
                <w:color w:val="auto"/>
              </w:rPr>
            </w:pPr>
            <w:r>
              <w:rPr>
                <w:rFonts w:ascii="Arial" w:cs="Arial" w:eastAsia="Arial" w:hAnsi="Arial"/>
                <w:sz w:val="18"/>
                <w:szCs w:val="18"/>
                <w:color w:val="auto"/>
                <w:w w:val="93"/>
              </w:rPr>
              <w:t>(21.1)</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On-treatment SAE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249</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(14.2)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(16.0)</w:t>
            </w:r>
          </w:p>
        </w:tc>
      </w:tr>
    </w:tbl>
    <w:p>
      <w:pPr>
        <w:spacing w:after="0" w:line="208" w:lineRule="exact"/>
        <w:rPr>
          <w:sz w:val="20"/>
          <w:szCs w:val="20"/>
          <w:color w:val="auto"/>
        </w:rPr>
      </w:pPr>
    </w:p>
    <w:p>
      <w:pPr>
        <w:jc w:val="both"/>
        <w:ind w:firstLine="362"/>
        <w:spacing w:after="0" w:line="306" w:lineRule="auto"/>
        <w:rPr>
          <w:sz w:val="20"/>
          <w:szCs w:val="20"/>
          <w:color w:val="auto"/>
        </w:rPr>
      </w:pPr>
      <w:r>
        <w:rPr>
          <w:rFonts w:ascii="Arial" w:cs="Arial" w:eastAsia="Arial" w:hAnsi="Arial"/>
          <w:sz w:val="16"/>
          <w:szCs w:val="16"/>
          <w:color w:val="auto"/>
        </w:rPr>
        <w:t>The table below presents safety data from a placebo-controlled Phase 2 clinical trial of losmapimod in patients with COPD, in which 602 adult patients were treated with 2.5 mg, 7.5 mg or 15 mg of losmapimod or placebo twice per day for 24 weeks and were followed for an additional week. We plan to use a dose of 15 mg twice per day in our clinical trials of losmapimod in FSHD. The data in the table show the number of subjects reported to have one or more AEs or SAEs.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Safety data from GSK's 24-week Phase 2 clinical trial of losmapimod in COPD</w:t>
      </w:r>
    </w:p>
    <w:tbl>
      <w:tblPr>
        <w:tblLayout w:type="fixed"/>
        <w:tblInd w:w="0" w:type="dxa"/>
        <w:tblCellMar>
          <w:top w:w="0" w:type="dxa"/>
          <w:left w:w="0" w:type="dxa"/>
          <w:bottom w:w="0" w:type="dxa"/>
          <w:right w:w="0" w:type="dxa"/>
        </w:tblCellMar>
      </w:tblPr>
      <w:tr>
        <w:trPr>
          <w:trHeight w:val="142"/>
        </w:trPr>
        <w:tc>
          <w:tcPr>
            <w:tcW w:w="1720" w:type="dxa"/>
            <w:vAlign w:val="bottom"/>
          </w:tcPr>
          <w:p>
            <w:pPr>
              <w:spacing w:after="0"/>
              <w:rPr>
                <w:sz w:val="12"/>
                <w:szCs w:val="12"/>
                <w:color w:val="auto"/>
              </w:rPr>
            </w:pPr>
          </w:p>
        </w:tc>
        <w:tc>
          <w:tcPr>
            <w:tcW w:w="34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Placebo</w:t>
            </w: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4"/>
              </w:rPr>
              <w:t>Losmapimod</w:t>
            </w:r>
          </w:p>
        </w:tc>
        <w:tc>
          <w:tcPr>
            <w:tcW w:w="3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720" w:type="dxa"/>
            <w:vAlign w:val="bottom"/>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2.5 mg</w:t>
            </w:r>
          </w:p>
        </w:tc>
        <w:tc>
          <w:tcPr>
            <w:tcW w:w="180" w:type="dxa"/>
            <w:vAlign w:val="bottom"/>
          </w:tcPr>
          <w:p>
            <w:pPr>
              <w:spacing w:after="0"/>
              <w:rPr>
                <w:sz w:val="12"/>
                <w:szCs w:val="12"/>
                <w:color w:val="auto"/>
              </w:rPr>
            </w:pPr>
          </w:p>
        </w:tc>
        <w:tc>
          <w:tcPr>
            <w:tcW w:w="7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7.5 mg</w:t>
            </w:r>
          </w:p>
        </w:tc>
        <w:tc>
          <w:tcPr>
            <w:tcW w:w="160" w:type="dxa"/>
            <w:vAlign w:val="bottom"/>
          </w:tcPr>
          <w:p>
            <w:pPr>
              <w:spacing w:after="0"/>
              <w:rPr>
                <w:sz w:val="12"/>
                <w:szCs w:val="12"/>
                <w:color w:val="auto"/>
              </w:rPr>
            </w:pPr>
          </w:p>
        </w:tc>
        <w:tc>
          <w:tcPr>
            <w:tcW w:w="7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15 mg</w:t>
            </w: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 = 153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N = 149</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1"/>
              </w:rPr>
              <w:t>N = 151</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N = 149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n (%)</w:t>
            </w:r>
          </w:p>
        </w:tc>
        <w:tc>
          <w:tcPr>
            <w:tcW w:w="16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88"/>
              </w:rPr>
              <w:t>n (%)</w:t>
            </w:r>
          </w:p>
        </w:tc>
        <w:tc>
          <w:tcPr>
            <w:tcW w:w="180" w:type="dxa"/>
            <w:vAlign w:val="bottom"/>
          </w:tcPr>
          <w:p>
            <w:pPr>
              <w:spacing w:after="0"/>
              <w:rPr>
                <w:sz w:val="18"/>
                <w:szCs w:val="18"/>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n (%)</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2"/>
              </w:rPr>
              <w:t>n (%)</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Any AE</w:t>
            </w:r>
          </w:p>
        </w:tc>
        <w:tc>
          <w:tcPr>
            <w:tcW w:w="1920" w:type="dxa"/>
            <w:vAlign w:val="bottom"/>
            <w:gridSpan w:val="2"/>
            <w:shd w:val="clear" w:color="auto" w:fill="CCEEFF"/>
          </w:tcPr>
          <w:p>
            <w:pPr>
              <w:jc w:val="center"/>
              <w:ind w:left="1092"/>
              <w:spacing w:after="0"/>
              <w:rPr>
                <w:sz w:val="20"/>
                <w:szCs w:val="20"/>
                <w:color w:val="auto"/>
              </w:rPr>
            </w:pPr>
            <w:r>
              <w:rPr>
                <w:rFonts w:ascii="Arial" w:cs="Arial" w:eastAsia="Arial" w:hAnsi="Arial"/>
                <w:sz w:val="18"/>
                <w:szCs w:val="18"/>
                <w:color w:val="auto"/>
                <w:w w:val="87"/>
              </w:rPr>
              <w:t>94 (61)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On-treatment AE</w:t>
            </w:r>
          </w:p>
        </w:tc>
        <w:tc>
          <w:tcPr>
            <w:tcW w:w="1920" w:type="dxa"/>
            <w:vAlign w:val="bottom"/>
            <w:gridSpan w:val="2"/>
          </w:tcPr>
          <w:p>
            <w:pPr>
              <w:jc w:val="center"/>
              <w:ind w:left="1092"/>
              <w:spacing w:after="0"/>
              <w:rPr>
                <w:sz w:val="20"/>
                <w:szCs w:val="20"/>
                <w:color w:val="auto"/>
              </w:rPr>
            </w:pPr>
            <w:r>
              <w:rPr>
                <w:rFonts w:ascii="Arial" w:cs="Arial" w:eastAsia="Arial" w:hAnsi="Arial"/>
                <w:sz w:val="18"/>
                <w:szCs w:val="18"/>
                <w:color w:val="auto"/>
                <w:w w:val="87"/>
              </w:rPr>
              <w:t>93 (61)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400" w:type="dxa"/>
            <w:vAlign w:val="bottom"/>
          </w:tcPr>
          <w:p>
            <w:pPr>
              <w:ind w:left="20"/>
              <w:spacing w:after="0"/>
              <w:rPr>
                <w:sz w:val="20"/>
                <w:szCs w:val="20"/>
                <w:color w:val="auto"/>
              </w:rPr>
            </w:pPr>
            <w:r>
              <w:rPr>
                <w:rFonts w:ascii="Arial" w:cs="Arial" w:eastAsia="Arial" w:hAnsi="Arial"/>
                <w:sz w:val="18"/>
                <w:szCs w:val="18"/>
                <w:color w:val="auto"/>
              </w:rPr>
              <w:t>(61)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400" w:type="dxa"/>
            <w:vAlign w:val="bottom"/>
          </w:tcPr>
          <w:p>
            <w:pPr>
              <w:ind w:left="2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95</w:t>
            </w:r>
          </w:p>
        </w:tc>
        <w:tc>
          <w:tcPr>
            <w:tcW w:w="400" w:type="dxa"/>
            <w:vAlign w:val="bottom"/>
          </w:tcPr>
          <w:p>
            <w:pPr>
              <w:ind w:left="20"/>
              <w:spacing w:after="0"/>
              <w:rPr>
                <w:sz w:val="20"/>
                <w:szCs w:val="20"/>
                <w:color w:val="auto"/>
              </w:rPr>
            </w:pPr>
            <w:r>
              <w:rPr>
                <w:rFonts w:ascii="Arial" w:cs="Arial" w:eastAsia="Arial" w:hAnsi="Arial"/>
                <w:sz w:val="18"/>
                <w:szCs w:val="18"/>
                <w:color w:val="auto"/>
              </w:rPr>
              <w:t>(64)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Any drug-related AE</w:t>
            </w:r>
          </w:p>
        </w:tc>
        <w:tc>
          <w:tcPr>
            <w:tcW w:w="1920" w:type="dxa"/>
            <w:vAlign w:val="bottom"/>
            <w:gridSpan w:val="2"/>
            <w:shd w:val="clear" w:color="auto" w:fill="CCEEFF"/>
          </w:tcPr>
          <w:p>
            <w:pPr>
              <w:jc w:val="center"/>
              <w:ind w:left="1092"/>
              <w:spacing w:after="0"/>
              <w:rPr>
                <w:sz w:val="20"/>
                <w:szCs w:val="20"/>
                <w:color w:val="auto"/>
              </w:rPr>
            </w:pPr>
            <w:r>
              <w:rPr>
                <w:rFonts w:ascii="Arial" w:cs="Arial" w:eastAsia="Arial" w:hAnsi="Arial"/>
                <w:sz w:val="18"/>
                <w:szCs w:val="18"/>
                <w:color w:val="auto"/>
                <w:w w:val="89"/>
              </w:rPr>
              <w:t>11 (7)</w:t>
            </w:r>
          </w:p>
        </w:tc>
        <w:tc>
          <w:tcPr>
            <w:tcW w:w="86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9"/>
              </w:rPr>
              <w:t>13 (9)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AE leading to discontinuation of treatment</w:t>
            </w:r>
          </w:p>
        </w:tc>
        <w:tc>
          <w:tcPr>
            <w:tcW w:w="1920" w:type="dxa"/>
            <w:vAlign w:val="bottom"/>
            <w:gridSpan w:val="2"/>
          </w:tcPr>
          <w:p>
            <w:pPr>
              <w:jc w:val="center"/>
              <w:ind w:left="1092"/>
              <w:spacing w:after="0"/>
              <w:rPr>
                <w:sz w:val="20"/>
                <w:szCs w:val="20"/>
                <w:color w:val="auto"/>
              </w:rPr>
            </w:pPr>
            <w:r>
              <w:rPr>
                <w:rFonts w:ascii="Arial" w:cs="Arial" w:eastAsia="Arial" w:hAnsi="Arial"/>
                <w:sz w:val="18"/>
                <w:szCs w:val="18"/>
                <w:color w:val="auto"/>
                <w:w w:val="89"/>
              </w:rPr>
              <w:t>12 (8)</w:t>
            </w:r>
          </w:p>
        </w:tc>
        <w:tc>
          <w:tcPr>
            <w:tcW w:w="860" w:type="dxa"/>
            <w:vAlign w:val="bottom"/>
            <w:gridSpan w:val="3"/>
          </w:tcPr>
          <w:p>
            <w:pPr>
              <w:jc w:val="center"/>
              <w:ind w:left="72"/>
              <w:spacing w:after="0"/>
              <w:rPr>
                <w:sz w:val="20"/>
                <w:szCs w:val="20"/>
                <w:color w:val="auto"/>
              </w:rPr>
            </w:pPr>
            <w:r>
              <w:rPr>
                <w:rFonts w:ascii="Arial" w:cs="Arial" w:eastAsia="Arial" w:hAnsi="Arial"/>
                <w:sz w:val="18"/>
                <w:szCs w:val="18"/>
                <w:color w:val="auto"/>
                <w:w w:val="89"/>
              </w:rPr>
              <w:t>11 (7)</w:t>
            </w:r>
          </w:p>
        </w:tc>
        <w:tc>
          <w:tcPr>
            <w:tcW w:w="880" w:type="dxa"/>
            <w:vAlign w:val="bottom"/>
            <w:gridSpan w:val="3"/>
          </w:tcPr>
          <w:p>
            <w:pPr>
              <w:jc w:val="center"/>
              <w:ind w:left="95"/>
              <w:spacing w:after="0"/>
              <w:rPr>
                <w:sz w:val="20"/>
                <w:szCs w:val="20"/>
                <w:color w:val="auto"/>
              </w:rPr>
            </w:pPr>
            <w:r>
              <w:rPr>
                <w:rFonts w:ascii="Arial" w:cs="Arial" w:eastAsia="Arial" w:hAnsi="Arial"/>
                <w:sz w:val="18"/>
                <w:szCs w:val="18"/>
                <w:color w:val="auto"/>
                <w:w w:val="89"/>
              </w:rPr>
              <w:t>14 (9)</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ind w:left="20"/>
              <w:spacing w:after="0"/>
              <w:rPr>
                <w:sz w:val="20"/>
                <w:szCs w:val="20"/>
                <w:color w:val="auto"/>
              </w:rPr>
            </w:pPr>
            <w:r>
              <w:rPr>
                <w:rFonts w:ascii="Arial" w:cs="Arial" w:eastAsia="Arial" w:hAnsi="Arial"/>
                <w:sz w:val="18"/>
                <w:szCs w:val="18"/>
                <w:color w:val="auto"/>
              </w:rPr>
              <w:t>(13)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Any SAE</w:t>
            </w:r>
          </w:p>
        </w:tc>
        <w:tc>
          <w:tcPr>
            <w:tcW w:w="1920" w:type="dxa"/>
            <w:vAlign w:val="bottom"/>
            <w:gridSpan w:val="2"/>
            <w:shd w:val="clear" w:color="auto" w:fill="CCEEFF"/>
          </w:tcPr>
          <w:p>
            <w:pPr>
              <w:jc w:val="center"/>
              <w:ind w:left="1092"/>
              <w:spacing w:after="0"/>
              <w:rPr>
                <w:sz w:val="20"/>
                <w:szCs w:val="20"/>
                <w:color w:val="auto"/>
              </w:rPr>
            </w:pPr>
            <w:r>
              <w:rPr>
                <w:rFonts w:ascii="Arial" w:cs="Arial" w:eastAsia="Arial" w:hAnsi="Arial"/>
                <w:sz w:val="18"/>
                <w:szCs w:val="18"/>
                <w:color w:val="auto"/>
                <w:w w:val="87"/>
              </w:rPr>
              <w:t>18 (12)</w:t>
            </w:r>
          </w:p>
        </w:tc>
        <w:tc>
          <w:tcPr>
            <w:tcW w:w="86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9"/>
              </w:rPr>
              <w:t>14 (9)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Any on-treatment SAE</w:t>
            </w:r>
          </w:p>
        </w:tc>
        <w:tc>
          <w:tcPr>
            <w:tcW w:w="1920" w:type="dxa"/>
            <w:vAlign w:val="bottom"/>
            <w:gridSpan w:val="2"/>
          </w:tcPr>
          <w:p>
            <w:pPr>
              <w:jc w:val="center"/>
              <w:ind w:left="1092"/>
              <w:spacing w:after="0"/>
              <w:rPr>
                <w:sz w:val="20"/>
                <w:szCs w:val="20"/>
                <w:color w:val="auto"/>
              </w:rPr>
            </w:pPr>
            <w:r>
              <w:rPr>
                <w:rFonts w:ascii="Arial" w:cs="Arial" w:eastAsia="Arial" w:hAnsi="Arial"/>
                <w:sz w:val="18"/>
                <w:szCs w:val="18"/>
                <w:color w:val="auto"/>
                <w:w w:val="87"/>
              </w:rPr>
              <w:t>17 (11)</w:t>
            </w:r>
          </w:p>
        </w:tc>
        <w:tc>
          <w:tcPr>
            <w:tcW w:w="860" w:type="dxa"/>
            <w:vAlign w:val="bottom"/>
            <w:gridSpan w:val="3"/>
          </w:tcPr>
          <w:p>
            <w:pPr>
              <w:jc w:val="center"/>
              <w:ind w:left="72"/>
              <w:spacing w:after="0"/>
              <w:rPr>
                <w:sz w:val="20"/>
                <w:szCs w:val="20"/>
                <w:color w:val="auto"/>
              </w:rPr>
            </w:pPr>
            <w:r>
              <w:rPr>
                <w:rFonts w:ascii="Arial" w:cs="Arial" w:eastAsia="Arial" w:hAnsi="Arial"/>
                <w:sz w:val="18"/>
                <w:szCs w:val="18"/>
                <w:color w:val="auto"/>
                <w:w w:val="89"/>
              </w:rPr>
              <w:t>12 (8)</w:t>
            </w:r>
          </w:p>
        </w:tc>
        <w:tc>
          <w:tcPr>
            <w:tcW w:w="880" w:type="dxa"/>
            <w:vAlign w:val="bottom"/>
            <w:gridSpan w:val="3"/>
          </w:tcPr>
          <w:p>
            <w:pPr>
              <w:jc w:val="center"/>
              <w:ind w:left="95"/>
              <w:spacing w:after="0"/>
              <w:rPr>
                <w:sz w:val="20"/>
                <w:szCs w:val="20"/>
                <w:color w:val="auto"/>
              </w:rPr>
            </w:pPr>
            <w:r>
              <w:rPr>
                <w:rFonts w:ascii="Arial" w:cs="Arial" w:eastAsia="Arial" w:hAnsi="Arial"/>
                <w:sz w:val="18"/>
                <w:szCs w:val="18"/>
                <w:color w:val="auto"/>
                <w:w w:val="89"/>
              </w:rPr>
              <w:t>14 (9)</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ind w:left="20"/>
              <w:spacing w:after="0"/>
              <w:rPr>
                <w:sz w:val="20"/>
                <w:szCs w:val="20"/>
                <w:color w:val="auto"/>
              </w:rPr>
            </w:pPr>
            <w:r>
              <w:rPr>
                <w:rFonts w:ascii="Arial" w:cs="Arial" w:eastAsia="Arial" w:hAnsi="Arial"/>
                <w:sz w:val="18"/>
                <w:szCs w:val="18"/>
                <w:color w:val="auto"/>
              </w:rPr>
              <w:t>(10)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Any drug related SAE</w:t>
            </w:r>
          </w:p>
        </w:tc>
        <w:tc>
          <w:tcPr>
            <w:tcW w:w="1920" w:type="dxa"/>
            <w:vAlign w:val="bottom"/>
            <w:gridSpan w:val="2"/>
            <w:shd w:val="clear" w:color="auto" w:fill="CCEEFF"/>
          </w:tcPr>
          <w:p>
            <w:pPr>
              <w:jc w:val="center"/>
              <w:ind w:left="1112"/>
              <w:spacing w:after="0"/>
              <w:rPr>
                <w:sz w:val="20"/>
                <w:szCs w:val="20"/>
                <w:color w:val="auto"/>
              </w:rPr>
            </w:pPr>
            <w:r>
              <w:rPr>
                <w:rFonts w:ascii="Arial" w:cs="Arial" w:eastAsia="Arial" w:hAnsi="Arial"/>
                <w:sz w:val="18"/>
                <w:szCs w:val="18"/>
                <w:color w:val="auto"/>
                <w:w w:val="92"/>
              </w:rPr>
              <w:t>1 (&lt;1)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0" w:type="dxa"/>
            <w:vAlign w:val="bottom"/>
          </w:tcPr>
          <w:p>
            <w:pPr>
              <w:jc w:val="right"/>
              <w:ind w:right="432"/>
              <w:spacing w:after="0"/>
              <w:rPr>
                <w:sz w:val="20"/>
                <w:szCs w:val="20"/>
                <w:color w:val="auto"/>
              </w:rPr>
            </w:pPr>
            <w:r>
              <w:rPr>
                <w:rFonts w:ascii="Arial" w:cs="Arial" w:eastAsia="Arial" w:hAnsi="Arial"/>
                <w:sz w:val="18"/>
                <w:szCs w:val="18"/>
                <w:color w:val="auto"/>
              </w:rPr>
              <w:t>106</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6"/>
        <w:spacing w:after="0" w:line="294" w:lineRule="auto"/>
        <w:rPr>
          <w:sz w:val="20"/>
          <w:szCs w:val="20"/>
          <w:color w:val="auto"/>
        </w:rPr>
      </w:pPr>
      <w:r>
        <w:rPr>
          <w:rFonts w:ascii="Arial" w:cs="Arial" w:eastAsia="Arial" w:hAnsi="Arial"/>
          <w:sz w:val="16"/>
          <w:szCs w:val="16"/>
          <w:color w:val="auto"/>
        </w:rPr>
        <w:t xml:space="preserve">In prior studies, GSK observed that the p38a/b target inhibition in humans was approximately 10%, 30% and 50% at trough and 40%, 60% and 70% at peak following twice per day doses of 2.5 mg, 7.5 mg and 15 mg, respectively. In addition, based 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from our studies in FSHD myotubes with losmapimod, we believe that the muscle exposures that we have achieved in rodents, which are similar to concentrations in human blood from the 15 mg twice per day dose, will result in robust p38a/b target engagement and will reduce DUX4-driven gene expression in FSHD skeletal muscle by more than 50%. We believe that this data supports our determination that 15 mg of losmapimod twice per day is an appropriate dose for the treatment of patients with FSHD.</w:t>
      </w:r>
    </w:p>
    <w:p>
      <w:pPr>
        <w:spacing w:after="0" w:line="170" w:lineRule="exact"/>
        <w:rPr>
          <w:sz w:val="20"/>
          <w:szCs w:val="20"/>
          <w:color w:val="auto"/>
        </w:rPr>
      </w:pPr>
    </w:p>
    <w:p>
      <w:pPr>
        <w:jc w:val="center"/>
        <w:ind w:right="8920"/>
        <w:spacing w:after="0"/>
        <w:rPr>
          <w:sz w:val="20"/>
          <w:szCs w:val="20"/>
          <w:color w:val="auto"/>
        </w:rPr>
      </w:pPr>
      <w:r>
        <w:rPr>
          <w:rFonts w:ascii="Arial" w:cs="Arial" w:eastAsia="Arial" w:hAnsi="Arial"/>
          <w:sz w:val="16"/>
          <w:szCs w:val="16"/>
          <w:i w:val="1"/>
          <w:iCs w:val="1"/>
          <w:color w:val="auto"/>
        </w:rPr>
        <w:t>Our Clinical Development Strategy</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Preparatory Studies</w:t>
      </w:r>
    </w:p>
    <w:p>
      <w:pPr>
        <w:spacing w:after="0" w:line="225" w:lineRule="exact"/>
        <w:rPr>
          <w:sz w:val="20"/>
          <w:szCs w:val="20"/>
          <w:color w:val="auto"/>
        </w:rPr>
      </w:pPr>
    </w:p>
    <w:p>
      <w:pPr>
        <w:jc w:val="both"/>
        <w:ind w:firstLine="502"/>
        <w:spacing w:after="0" w:line="268" w:lineRule="auto"/>
        <w:rPr>
          <w:sz w:val="20"/>
          <w:szCs w:val="20"/>
          <w:color w:val="auto"/>
        </w:rPr>
      </w:pPr>
      <w:r>
        <w:rPr>
          <w:rFonts w:ascii="Arial" w:cs="Arial" w:eastAsia="Arial" w:hAnsi="Arial"/>
          <w:sz w:val="18"/>
          <w:szCs w:val="18"/>
          <w:color w:val="auto"/>
        </w:rPr>
        <w:t>There are currently four ongoing preparatory studies designed to inform molecular biomarker and clinical development efficacy endpoints for planned clinical trials of losmapimod in patients with FSHD.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Patients</w:t>
            </w: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Study</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(Planned)</w:t>
            </w:r>
          </w:p>
        </w:tc>
        <w:tc>
          <w:tcPr>
            <w:tcW w:w="160" w:type="dxa"/>
            <w:vAlign w:val="bottom"/>
          </w:tcPr>
          <w:p>
            <w:pPr>
              <w:spacing w:after="0"/>
              <w:rPr>
                <w:sz w:val="14"/>
                <w:szCs w:val="14"/>
                <w:color w:val="auto"/>
              </w:rPr>
            </w:pPr>
          </w:p>
        </w:tc>
        <w:tc>
          <w:tcPr>
            <w:tcW w:w="3920" w:type="dxa"/>
            <w:vAlign w:val="bottom"/>
          </w:tcPr>
          <w:p>
            <w:pPr>
              <w:ind w:left="1280"/>
              <w:spacing w:after="0"/>
              <w:rPr>
                <w:sz w:val="20"/>
                <w:szCs w:val="20"/>
                <w:color w:val="auto"/>
              </w:rPr>
            </w:pPr>
            <w:r>
              <w:rPr>
                <w:rFonts w:ascii="Arial" w:cs="Arial" w:eastAsia="Arial" w:hAnsi="Arial"/>
                <w:sz w:val="14"/>
                <w:szCs w:val="14"/>
                <w:b w:val="1"/>
                <w:bCs w:val="1"/>
                <w:color w:val="auto"/>
              </w:rPr>
              <w:t>Description / Endpoints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Biomarker Preparatory Study (Fulcrum SRA 002-2018)</w:t>
            </w:r>
          </w:p>
        </w:tc>
        <w:tc>
          <w:tcPr>
            <w:tcW w:w="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w:t>
            </w:r>
          </w:p>
        </w:tc>
        <w:tc>
          <w:tcPr>
            <w:tcW w:w="40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DUX4-driven gene expression in skeletal muscle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whole-body skeletal muscle MRI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Optimized Time Up and Go Test Preparatory Study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w w:val="96"/>
              </w:rPr>
              <w:t>Optimized time up and go test for FSHD, or FSHD-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(Fulcrum SRA 003-2018)</w:t>
            </w:r>
          </w:p>
        </w:tc>
        <w:tc>
          <w:tcPr>
            <w:tcW w:w="640" w:type="dxa"/>
            <w:vAlign w:val="bottom"/>
          </w:tcPr>
          <w:p>
            <w:pPr>
              <w:spacing w:after="0"/>
              <w:rPr>
                <w:sz w:val="19"/>
                <w:szCs w:val="19"/>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TUG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Patient Input (Fulcrum SRA 004-2018)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Direct patient input into the Phase 2b clinical trial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ReSOLVE Natural History Study (NIH) and Reachable</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150</w:t>
            </w: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Natural history study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Work Space (Fulcrum SRA 003-2017)</w:t>
            </w:r>
          </w:p>
        </w:tc>
        <w:tc>
          <w:tcPr>
            <w:tcW w:w="640" w:type="dxa"/>
            <w:vAlign w:val="bottom"/>
          </w:tcPr>
          <w:p>
            <w:pPr>
              <w:spacing w:after="0"/>
              <w:rPr>
                <w:sz w:val="19"/>
                <w:szCs w:val="19"/>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Reachable work space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 Natural History Study and Reachable Work Space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Natural history study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(SRA 003-2017)</w:t>
            </w:r>
          </w:p>
        </w:tc>
        <w:tc>
          <w:tcPr>
            <w:tcW w:w="64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Reachable work space</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Biomarker Preparatory Study (Fulcrum SRA 002-2018)</w:t>
      </w:r>
    </w:p>
    <w:p>
      <w:pPr>
        <w:spacing w:after="0" w:line="225" w:lineRule="exact"/>
        <w:rPr>
          <w:sz w:val="20"/>
          <w:szCs w:val="20"/>
          <w:color w:val="auto"/>
        </w:rPr>
      </w:pPr>
    </w:p>
    <w:p>
      <w:pPr>
        <w:jc w:val="both"/>
        <w:ind w:firstLine="437"/>
        <w:spacing w:after="0" w:line="259" w:lineRule="auto"/>
        <w:rPr>
          <w:sz w:val="20"/>
          <w:szCs w:val="20"/>
          <w:color w:val="auto"/>
        </w:rPr>
      </w:pPr>
      <w:r>
        <w:rPr>
          <w:rFonts w:ascii="Arial" w:cs="Arial" w:eastAsia="Arial" w:hAnsi="Arial"/>
          <w:sz w:val="18"/>
          <w:szCs w:val="18"/>
          <w:color w:val="auto"/>
        </w:rPr>
        <w:t>We designed this preparatory study to investigate, inform and optimize the DUX4-driven gene expression and MRI efficacy biomarker endpoints that we intend to use in clinical trials of losmapimod. We are evaluating 20 subjects at seven clinical sites. We expect to complete enrollment in May 2019 and will use the data to inform our planned Phase 2 trials of losmapimod for the treatment of FSHD.</w:t>
      </w:r>
    </w:p>
    <w:p>
      <w:pPr>
        <w:spacing w:after="0" w:line="194" w:lineRule="exact"/>
        <w:rPr>
          <w:sz w:val="20"/>
          <w:szCs w:val="20"/>
          <w:color w:val="auto"/>
        </w:rPr>
      </w:pPr>
    </w:p>
    <w:p>
      <w:pPr>
        <w:jc w:val="both"/>
        <w:ind w:firstLine="537"/>
        <w:spacing w:after="0" w:line="255" w:lineRule="auto"/>
        <w:rPr>
          <w:sz w:val="20"/>
          <w:szCs w:val="20"/>
          <w:color w:val="auto"/>
        </w:rPr>
      </w:pPr>
      <w:r>
        <w:rPr>
          <w:rFonts w:ascii="Arial" w:cs="Arial" w:eastAsia="Arial" w:hAnsi="Arial"/>
          <w:sz w:val="18"/>
          <w:szCs w:val="18"/>
          <w:color w:val="auto"/>
        </w:rPr>
        <w:t>This preparatory study is designed to measure aberrant DUX4-driven gene expression in affected skeletal muscle via a subset of DUX4-driven gene transcripts, in order to develop a molecular muscle endpoint designed to track the root cause of disease. We are using MRI to inform affected leg muscles selected for biopsy. We believe that the measurement could be a primary endpoint in a clinical trial to support accelerated approval of losmapimod for FSHD. We are also using whole-body MRI scans one to three months apart to evaluate changes in skeletal muscle health (lean muscle tissue volume and muscle tissue replaced by fat).</w:t>
      </w:r>
    </w:p>
    <w:p>
      <w:pPr>
        <w:spacing w:after="0" w:line="197" w:lineRule="exact"/>
        <w:rPr>
          <w:sz w:val="20"/>
          <w:szCs w:val="20"/>
          <w:color w:val="auto"/>
        </w:rPr>
      </w:pPr>
    </w:p>
    <w:p>
      <w:pPr>
        <w:jc w:val="both"/>
        <w:ind w:right="20" w:firstLine="367"/>
        <w:spacing w:after="0" w:line="268" w:lineRule="auto"/>
        <w:rPr>
          <w:sz w:val="20"/>
          <w:szCs w:val="20"/>
          <w:color w:val="auto"/>
        </w:rPr>
      </w:pPr>
      <w:r>
        <w:rPr>
          <w:rFonts w:ascii="Arial" w:cs="Arial" w:eastAsia="Arial" w:hAnsi="Arial"/>
          <w:sz w:val="18"/>
          <w:szCs w:val="18"/>
          <w:color w:val="auto"/>
        </w:rPr>
        <w:t>The subjects have clinical severity scores of two to four on the Ricci scale, which is the clinical impairment disability scale for patients with FSHD, where a zero indicates that a subject has no disability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five indicates that a subject is permanently dependent upon the use of a wheelchair for daily mobility activities.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Optimized Time Up and Go Test Preparatory Study (Fulcrum SRA 003-2018)</w:t>
      </w:r>
    </w:p>
    <w:p>
      <w:pPr>
        <w:spacing w:after="0" w:line="225" w:lineRule="exact"/>
        <w:rPr>
          <w:sz w:val="20"/>
          <w:szCs w:val="20"/>
          <w:color w:val="auto"/>
        </w:rPr>
      </w:pPr>
    </w:p>
    <w:p>
      <w:pPr>
        <w:jc w:val="both"/>
        <w:ind w:firstLine="373"/>
        <w:spacing w:after="0" w:line="294" w:lineRule="auto"/>
        <w:rPr>
          <w:sz w:val="20"/>
          <w:szCs w:val="20"/>
          <w:color w:val="auto"/>
        </w:rPr>
      </w:pPr>
      <w:r>
        <w:rPr>
          <w:rFonts w:ascii="Arial" w:cs="Arial" w:eastAsia="Arial" w:hAnsi="Arial"/>
          <w:sz w:val="16"/>
          <w:szCs w:val="16"/>
          <w:color w:val="auto"/>
        </w:rPr>
        <w:t>We are evaluating a modified version of the classic time up and go, or classic TUG, test that we are optimizing as a clinical outcome assessment of mobility and ambulation, which we refer to as the FSHD-TUG test. The classic TUG test requires patients to get up from a chair, walk three meters, turn around, walk back to the chair and sit down. It was originally developed for clinical practice to assess mobility, balance, walking ability and fall risk in older adults prior to discharge from hospitalization and was used recently as a key secondary efficacy endpoint in a registration trial in multiple sclerosis in Europe. The classic TUG test is also one of the clinical outcome assessments in the ReSOLVE natural history study discussed below.</w:t>
      </w:r>
    </w:p>
    <w:p>
      <w:pPr>
        <w:spacing w:after="0" w:line="170"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While we believe that the classic TUG test is a valid, reliable and objective test to quantify functional mobility in all age groups, we believe that a minor modification, asking patients to get up from a standardized bed, will be more appropriate for FSHD patients. We believe that the FSHD-TUG test may be more sensitive to measure treatment effects in patients with FSHD. Patients with FSHD generally have a difficult time rising from a chair and even more so from a recumbent position and this difficulty progresses over time. Patients with FSHD report that limitations in mobility and in the use of the shoulders and upper arms are the two most important areas of concern. The FSHD-TUG test may be a useful clinical outcome assessment endpoint for measurement of treatment effects of losmapimod on mobility.</w:t>
      </w:r>
    </w:p>
    <w:p>
      <w:pPr>
        <w:spacing w:after="0" w:line="198" w:lineRule="exact"/>
        <w:rPr>
          <w:sz w:val="20"/>
          <w:szCs w:val="20"/>
          <w:color w:val="auto"/>
        </w:rPr>
      </w:pPr>
    </w:p>
    <w:p>
      <w:pPr>
        <w:jc w:val="both"/>
        <w:ind w:firstLine="400"/>
        <w:spacing w:after="0" w:line="259" w:lineRule="auto"/>
        <w:rPr>
          <w:sz w:val="20"/>
          <w:szCs w:val="20"/>
          <w:color w:val="auto"/>
        </w:rPr>
      </w:pPr>
      <w:r>
        <w:rPr>
          <w:rFonts w:ascii="Arial" w:cs="Arial" w:eastAsia="Arial" w:hAnsi="Arial"/>
          <w:sz w:val="18"/>
          <w:szCs w:val="18"/>
          <w:color w:val="auto"/>
        </w:rPr>
        <w:t>We are currently testing the FSHD-TUG test in comparison to the classic TUG test in a group of 22 subjects with FSHD and in 20 healthy volunteers who are age and gender matched. The subjects will have clinical severity scores of one to four on the Ricci scale. We are evaluating the subjects in five visits over approximately 12 months.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Direct Patient Input (Fulcrum SRA 004-2018)</w:t>
      </w:r>
    </w:p>
    <w:p>
      <w:pPr>
        <w:spacing w:after="0" w:line="225" w:lineRule="exact"/>
        <w:rPr>
          <w:sz w:val="20"/>
          <w:szCs w:val="20"/>
          <w:color w:val="auto"/>
        </w:rPr>
      </w:pPr>
    </w:p>
    <w:p>
      <w:pPr>
        <w:jc w:val="both"/>
        <w:ind w:firstLine="394"/>
        <w:spacing w:after="0" w:line="294" w:lineRule="auto"/>
        <w:rPr>
          <w:sz w:val="20"/>
          <w:szCs w:val="20"/>
          <w:color w:val="auto"/>
        </w:rPr>
      </w:pPr>
      <w:r>
        <w:rPr>
          <w:rFonts w:ascii="Arial" w:cs="Arial" w:eastAsia="Arial" w:hAnsi="Arial"/>
          <w:sz w:val="16"/>
          <w:szCs w:val="16"/>
          <w:color w:val="auto"/>
        </w:rPr>
        <w:t>We are also seeking to obtain direct patient input into the design and feasibility of our planned Phase 2b clinical trial by having approximately 100 patients with FSHD complete a survey based on their review of the proposed schedule of clinical outcome assessments for the trial. The patients will provide their views on their willingness to participate and any potential barriers to their participation in our planned Phase 2b clinical trial. We conduct these surveys during a face-to-face interview in clinics in the United States and France, via an internet survey for members of an FSHD registry in the United Kingdom and through in-person groups in Canada. We have the ability to refine the protocol for our Phase 2b clinical trial to reflect the feedback from patients.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ReSOLVE Natural History Study</w:t>
      </w:r>
    </w:p>
    <w:p>
      <w:pPr>
        <w:spacing w:after="0" w:line="225" w:lineRule="exact"/>
        <w:rPr>
          <w:sz w:val="20"/>
          <w:szCs w:val="20"/>
          <w:color w:val="auto"/>
        </w:rPr>
      </w:pPr>
    </w:p>
    <w:p>
      <w:pPr>
        <w:jc w:val="both"/>
        <w:ind w:firstLine="364"/>
        <w:spacing w:after="0" w:line="289" w:lineRule="auto"/>
        <w:rPr>
          <w:sz w:val="20"/>
          <w:szCs w:val="20"/>
          <w:color w:val="auto"/>
        </w:rPr>
      </w:pPr>
      <w:r>
        <w:rPr>
          <w:rFonts w:ascii="Arial" w:cs="Arial" w:eastAsia="Arial" w:hAnsi="Arial"/>
          <w:sz w:val="16"/>
          <w:szCs w:val="16"/>
          <w:color w:val="auto"/>
        </w:rPr>
        <w:t>The Clinical Trial Readiness to Solve Barriers to Drug Development in FSHD, or ReSOLVE study, is an ongoing natural history study funded by the NIH to help identify the patient population, efficacy biomarker and clinical outcome assessments for future FSHD drug trials. The study is being coordinated by the University of Rochester and University of Kansas Medical Center and enrolled the first subject in April 2018. The study is following approximately 150 patients for 18 months across a network of eight U.S. clinical centers and will evaluate multiple biomarkers and clinical outcome assessments that may be suitable for clinical trials and will evaluate patient selection criteria based on genetic, demographic or clinical characteristics. Three sites in the European Union have joined the ReSOLVE protocol and will follow approximately 70 patients for 18 months. As of April 2019, over 130 patients have been enrolled. We believe that the results of this natural history study will inform the design and implementation of clinical trials and will inform discussions with regulatory agencies. We also believe that this study may provide valuable insights into the timeline for disease progression and functional changes in FSHD in the absence of treatment.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auto"/>
        </w:rPr>
        <w:t>In connection with the ReSOLVE study, we have funded the addition of a clinical outcome assessment, which we refer to as reachable work space, or RWS. RWS is an objective assessment of upper arm function in a quantitative manner by measuring arm and shoulder mobility with and without weights. A hallmark of FSHD progression is weakness in the shoulder muscles and upper arms that eventually leads to an inability of patients to lift their arms above their shoulders. The RWS assessments are analyzed by a central reader. We have provided standardized hardware, software, and testing conditions to evaluate RWS at eight sites that are part of the ReSOLVE study in the United States and at three European sites. To date, we have collected over 200 RWS assessments in the study.</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1 Clinical Trial</w:t>
      </w:r>
    </w:p>
    <w:p>
      <w:pPr>
        <w:spacing w:after="0" w:line="225" w:lineRule="exact"/>
        <w:rPr>
          <w:sz w:val="20"/>
          <w:szCs w:val="20"/>
          <w:color w:val="auto"/>
        </w:rPr>
      </w:pPr>
    </w:p>
    <w:p>
      <w:pPr>
        <w:jc w:val="both"/>
        <w:ind w:firstLine="420"/>
        <w:spacing w:after="0" w:line="332" w:lineRule="auto"/>
        <w:rPr>
          <w:sz w:val="20"/>
          <w:szCs w:val="20"/>
          <w:color w:val="auto"/>
        </w:rPr>
      </w:pPr>
      <w:r>
        <w:rPr>
          <w:rFonts w:ascii="Arial" w:cs="Arial" w:eastAsia="Arial" w:hAnsi="Arial"/>
          <w:sz w:val="16"/>
          <w:szCs w:val="16"/>
          <w:color w:val="auto"/>
        </w:rPr>
        <w:t>We are conducting a randomized Phase 1 clinical trial of losmapimod in healthy adult volunteers and patients with FSHD in Europe under a CTA that we filed in December 2018. We expect that this trial will be completed in 2019. We intend to present data in the fourth quarter of 2019 at a scientific conference.</w:t>
      </w:r>
    </w:p>
    <w:p>
      <w:pPr>
        <w:spacing w:after="0" w:line="139" w:lineRule="exact"/>
        <w:rPr>
          <w:sz w:val="20"/>
          <w:szCs w:val="20"/>
          <w:color w:val="auto"/>
        </w:rPr>
      </w:pPr>
    </w:p>
    <w:p>
      <w:pPr>
        <w:jc w:val="both"/>
        <w:ind w:firstLine="405"/>
        <w:spacing w:after="0" w:line="306" w:lineRule="auto"/>
        <w:rPr>
          <w:sz w:val="20"/>
          <w:szCs w:val="20"/>
          <w:color w:val="auto"/>
        </w:rPr>
      </w:pPr>
      <w:r>
        <w:rPr>
          <w:rFonts w:ascii="Arial" w:cs="Arial" w:eastAsia="Arial" w:hAnsi="Arial"/>
          <w:sz w:val="16"/>
          <w:szCs w:val="16"/>
          <w:color w:val="auto"/>
        </w:rPr>
        <w:t>In this trial, we have dosed eight healthy volunteers with 7.5 mg of losmapimod capsules, followed by a washout period, and subsequently dosed the same volunteers with a 15 mg dose of losmapimod capsules. As part of this trial, we have also dosed two healthy volunteers with placebo capsules in both periods. Consistent with the extensive data that we in-licensed from GSK, losmapimod has been well tolerated in this trial.</w:t>
      </w:r>
    </w:p>
    <w:p>
      <w:pPr>
        <w:spacing w:after="0" w:line="161"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Following the completion of the healthy volunteer cohort, we began dosing patients with FSHD in April 2019. We plan to enroll up to 20 patients in this trial. This trial is designed to establish the initial safety and tolerability of losmapimod in patients with FSHD. Patients are being randomized across three arms of 7.5 mg or 15 mg of losmapimod capsules or placebo twice per day for 14 days. We also intend to compare p38a/b target engagement in skeletal muscle of patients treated with a dose of 7.5 mg and 15 mg of losmapimod twice per day relative to that of patients on placebo. We aim to confirm that 15 mg twice per day is the appropriate dose for our Phase 2 trials based on higher muscle exposures and target engagement than the 7.5 mg twice per day dose. We will measure target engagement and other biomarkers in muscle needle biopsies before and after two weeks of treatment.</w:t>
      </w:r>
    </w:p>
    <w:p>
      <w:pPr>
        <w:spacing w:after="0" w:line="174" w:lineRule="exact"/>
        <w:rPr>
          <w:sz w:val="20"/>
          <w:szCs w:val="20"/>
          <w:color w:val="auto"/>
        </w:rPr>
      </w:pPr>
    </w:p>
    <w:p>
      <w:pPr>
        <w:jc w:val="both"/>
        <w:ind w:firstLine="419"/>
        <w:spacing w:after="0" w:line="298" w:lineRule="auto"/>
        <w:rPr>
          <w:sz w:val="20"/>
          <w:szCs w:val="20"/>
          <w:color w:val="auto"/>
        </w:rPr>
      </w:pPr>
      <w:r>
        <w:rPr>
          <w:rFonts w:ascii="Arial" w:cs="Arial" w:eastAsia="Arial" w:hAnsi="Arial"/>
          <w:sz w:val="16"/>
          <w:szCs w:val="16"/>
          <w:color w:val="auto"/>
        </w:rPr>
        <w:t>We manufactured the losmapimod capsules for this trial prior to our license agreement with GSK. For our Phase 2 clinical trials, we will use losmapimod tablets that were manufactured by GSK. We confirmed that the PK of the losmapimod capsules were consistent with published data on the PK of the losmapimod tablets manufactured by GSK. In this trial, we are also confirming that the p38a/b target engagement in blood from our losmapimod capsules is consistent with the previous data on target engagement of the losmapimod tablets manufactured by GSK.</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2b Clinical Trial</w:t>
      </w:r>
    </w:p>
    <w:p>
      <w:pPr>
        <w:spacing w:after="0" w:line="22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plan to initiate a randomized, double-blind, placebo-controlled Phase 2b clinical trial in approximately 66 patients with FSHD1 and clinical severity scores of two to four on the Ricci scale. In this trial, we will evaluate treatment with 15 mg of losmapimod or placebo tablets twice per day over a 24-week period. Patients will be randomized 1:1 between the treatment and placebo arms. We plan to submit an IND to the FDA for losmapimod in May 2019. We also plan to submit CTAs in May 2019 to conduct the trial at sites in Europe and Canada and expect to initiate this trial in mid-2019.</w:t>
      </w:r>
    </w:p>
    <w:p>
      <w:pPr>
        <w:spacing w:after="0" w:line="167" w:lineRule="exact"/>
        <w:rPr>
          <w:sz w:val="20"/>
          <w:szCs w:val="20"/>
          <w:color w:val="auto"/>
        </w:rPr>
      </w:pPr>
    </w:p>
    <w:p>
      <w:pPr>
        <w:jc w:val="both"/>
        <w:ind w:firstLine="406"/>
        <w:spacing w:after="0" w:line="256" w:lineRule="auto"/>
        <w:rPr>
          <w:sz w:val="20"/>
          <w:szCs w:val="20"/>
          <w:color w:val="auto"/>
        </w:rPr>
      </w:pPr>
      <w:r>
        <w:rPr>
          <w:rFonts w:ascii="Arial" w:cs="Arial" w:eastAsia="Arial" w:hAnsi="Arial"/>
          <w:sz w:val="18"/>
          <w:szCs w:val="18"/>
          <w:color w:val="auto"/>
        </w:rPr>
        <w:t>The primary endpoint will be the reduction of DUX4-driven gene expression in affected skeletal muscle biopsies before treatment and after approximately 16 weeks of treatment. We selected the number of patients to enroll in this trial based on the magnitude of reduction of DUX4-driven gene expression that we have observed in our preclinical studies using losmapimod concentrations similar to those measured when dosing with 15 mg twice per day in clinical trials completed by GSK.</w:t>
      </w:r>
    </w:p>
    <w:p>
      <w:pPr>
        <w:spacing w:after="0" w:line="197" w:lineRule="exact"/>
        <w:rPr>
          <w:sz w:val="20"/>
          <w:szCs w:val="20"/>
          <w:color w:val="auto"/>
        </w:rPr>
      </w:pPr>
    </w:p>
    <w:p>
      <w:pPr>
        <w:jc w:val="both"/>
        <w:ind w:right="20" w:firstLine="482"/>
        <w:spacing w:after="0" w:line="332" w:lineRule="auto"/>
        <w:rPr>
          <w:sz w:val="20"/>
          <w:szCs w:val="20"/>
          <w:color w:val="auto"/>
        </w:rPr>
      </w:pPr>
      <w:r>
        <w:rPr>
          <w:rFonts w:ascii="Arial" w:cs="Arial" w:eastAsia="Arial" w:hAnsi="Arial"/>
          <w:sz w:val="16"/>
          <w:szCs w:val="16"/>
          <w:color w:val="auto"/>
        </w:rPr>
        <w:t>Secondary endpoints of the trial will include evaluation of safety and tolerability in FSHD patients, PK in blood, losmapimod concentration in skeletal muscle biopsies, and p38a/b target engagement in blood and in muscle biopsies. This trial will also include evaluation of exploratory efficacy endpoints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including MRI biomarkers and clinical outcome assessments. The clinical outcome assessments include centrally read RWS, FSHD-TUG test and patient-reported outcomes and muscle strength measured by quantitative dynamometry and motor function ability measurements obtained by physical therapists.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graphic below presents the design of the Phase 2b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148590</wp:posOffset>
            </wp:positionV>
            <wp:extent cx="5711190" cy="22898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11190"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Open Label Clinical Trial</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In parallel with the Phase 2b clinical trial, we also plan to initiate enrollment in mid-2019 for an open label, single site Phase 2 clinical trial of losmapimod in 16 patients with FSHD1 and clinical severity scores of two to four on the Ricci scale. Patients will receive tablets containing 15 mg of losmapimod twice per day for up to 52 weeks. The treatment period will be preceded by eight weeks of pre-treatment assessments to establish a baseline for musculoskeletal MRI biomarkers and clinical outcome assessments. We filed a CTA for this trial in April 2019 and plan to conduct the trial at one site in the Netherlands.</w:t>
      </w:r>
    </w:p>
    <w:p>
      <w:pPr>
        <w:spacing w:after="0" w:line="167" w:lineRule="exact"/>
        <w:rPr>
          <w:sz w:val="20"/>
          <w:szCs w:val="20"/>
          <w:color w:val="auto"/>
        </w:rPr>
      </w:pPr>
    </w:p>
    <w:p>
      <w:pPr>
        <w:jc w:val="both"/>
        <w:ind w:firstLine="407"/>
        <w:spacing w:after="0" w:line="254" w:lineRule="auto"/>
        <w:rPr>
          <w:sz w:val="20"/>
          <w:szCs w:val="20"/>
          <w:color w:val="auto"/>
        </w:rPr>
      </w:pPr>
      <w:r>
        <w:rPr>
          <w:rFonts w:ascii="Arial" w:cs="Arial" w:eastAsia="Arial" w:hAnsi="Arial"/>
          <w:sz w:val="18"/>
          <w:szCs w:val="18"/>
          <w:color w:val="auto"/>
        </w:rPr>
        <w:t>The primary objective is to investigate the safety and tolerability of losmapimod for chronic dosing in FSHD patients. The primary endpoints are to assess safety and tolerability over the 52-week period. The secondary endpoints are the change from baseline in pHSP27 and the ratio of pHSP27 to total HSP27 in blood and muscle for assessment of the inhibition of p38a/b during the dosing period. This trial is also designed to provide initial data regarding changes in DUX4-driven gene expression, MRI biomarkers, objective clinical outcome assessments and patient-reported outcomes that may occur at various times following initiation of treatment with losmapimod relative to the pre-treatment period. We intend to use this data to further guide our clinical development strategy for losmapimod in FSHD.</w:t>
      </w:r>
    </w:p>
    <w:p>
      <w:pPr>
        <w:spacing w:after="0" w:line="198"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We will measure DUX4-driven gene expression before and during treatment using muscle needle biopsies in affected muscles. All patients will have a pre-treatment biopsy and we will obtain a second muscle needle biopsy from each patient, with half of the patients undergoing a biopsy after four weeks of treatment and the other half after 40 weeks of treatment.</w:t>
      </w:r>
    </w:p>
    <w:p>
      <w:pPr>
        <w:spacing w:after="0" w:line="194" w:lineRule="exact"/>
        <w:rPr>
          <w:sz w:val="20"/>
          <w:szCs w:val="20"/>
          <w:color w:val="auto"/>
        </w:rPr>
      </w:pPr>
    </w:p>
    <w:p>
      <w:pPr>
        <w:jc w:val="both"/>
        <w:ind w:firstLine="437"/>
        <w:spacing w:after="0" w:line="256" w:lineRule="auto"/>
        <w:rPr>
          <w:sz w:val="20"/>
          <w:szCs w:val="20"/>
          <w:color w:val="auto"/>
        </w:rPr>
      </w:pPr>
      <w:r>
        <w:rPr>
          <w:rFonts w:ascii="Arial" w:cs="Arial" w:eastAsia="Arial" w:hAnsi="Arial"/>
          <w:sz w:val="18"/>
          <w:szCs w:val="18"/>
          <w:color w:val="auto"/>
        </w:rPr>
        <w:t>We will measure potential losmapimod treatment effects on shoulder and upper arm function and mobility/ambulation, as well as on muscle strength and function and quality of life and activities of daily living, similar to the assessments in the Phase 2b clinical trial. The clinical outcome assessments will be RWS, FSHD-TUG, muscle strength, motor function ability and generic and FSHD-specific patient reports of quality of life and activities of daily living. There will also be an assessment of day-to-day mobility using wearable sensors.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graphic below presents the design of the Phase 2 open label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148590</wp:posOffset>
            </wp:positionV>
            <wp:extent cx="5685790" cy="23666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85790"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Research</w:t>
      </w:r>
    </w:p>
    <w:p>
      <w:pPr>
        <w:spacing w:after="0" w:line="225"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We engaged Clarion Healthcare, LLC to conduct market research with physicians and payors to better understand the commercial landscape and to assist in our commercial planning. A total of 14 physicians in the United States, European Union and Asia and nine payors or payor experts in the United States and European Union were surveyed. Both groups acknowledged the severity of the disease and lack of any existing therapies for patients. Physicians were asked their views on potentially prescribing a small molecule product candidate that effectively repressed DUX4 gene expression in skeletal muscle and resulted in the preservation of muscle function. Based on the April 2018 report, we believe that physicians would be receptive to prescribing a product with these qualities, subject to the efficacy and safety of the product, due to the chronic nature of the disease.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 for Hemoglobinopathies</w:t>
      </w:r>
    </w:p>
    <w:p>
      <w:pPr>
        <w:spacing w:after="0" w:line="225"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Hemoglobinopathies are a category of genetic disorders affecting RBCs. We intend to develop FTX-HbF to elevate the level of fetal hemoglobin for the treatment of patients with certain hemoglobinopathies, namely sickle cell disease and for certain types of b-thalassemia.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Sickle Cell Disease</w:t>
      </w:r>
    </w:p>
    <w:p>
      <w:pPr>
        <w:spacing w:after="0" w:line="225" w:lineRule="exact"/>
        <w:rPr>
          <w:sz w:val="20"/>
          <w:szCs w:val="20"/>
          <w:color w:val="auto"/>
        </w:rPr>
      </w:pPr>
    </w:p>
    <w:p>
      <w:pPr>
        <w:jc w:val="both"/>
        <w:ind w:firstLine="362"/>
        <w:spacing w:after="0" w:line="298" w:lineRule="auto"/>
        <w:rPr>
          <w:sz w:val="20"/>
          <w:szCs w:val="20"/>
          <w:color w:val="auto"/>
        </w:rPr>
      </w:pPr>
      <w:r>
        <w:rPr>
          <w:rFonts w:ascii="Arial" w:cs="Arial" w:eastAsia="Arial" w:hAnsi="Arial"/>
          <w:sz w:val="16"/>
          <w:szCs w:val="16"/>
          <w:color w:val="auto"/>
        </w:rPr>
        <w:t>Sickle cell disease is a genetic disorder of RBCs. SCD patients typically suffer from serious clinical consequences, which may include vaso-occlusive crises, anemia, pain, infections, stroke, heart disease, pulmonary hypertension, kidney failure, liver disease and reduced life expectancy. According to a study published by the American Medical Association, approximately 32.5% of adult patients with SCD were hospitalized three or more times per year due to pain crises. SCD is reported to shorten patient life expectancy by approximately 20 to 30 years. Patients with SCD are primarily treated by hematologists.</w:t>
      </w:r>
    </w:p>
    <w:p>
      <w:pPr>
        <w:spacing w:after="0" w:line="167" w:lineRule="exact"/>
        <w:rPr>
          <w:sz w:val="20"/>
          <w:szCs w:val="20"/>
          <w:color w:val="auto"/>
        </w:rPr>
      </w:pPr>
    </w:p>
    <w:p>
      <w:pPr>
        <w:jc w:val="both"/>
        <w:ind w:right="20" w:firstLine="529"/>
        <w:spacing w:after="0" w:line="306" w:lineRule="auto"/>
        <w:rPr>
          <w:sz w:val="20"/>
          <w:szCs w:val="20"/>
          <w:color w:val="auto"/>
        </w:rPr>
      </w:pPr>
      <w:r>
        <w:rPr>
          <w:rFonts w:ascii="Arial" w:cs="Arial" w:eastAsia="Arial" w:hAnsi="Arial"/>
          <w:sz w:val="16"/>
          <w:szCs w:val="16"/>
          <w:color w:val="auto"/>
        </w:rPr>
        <w:t>In the United States, where newborn screening for SCD is mandatory, the estimated prevalence is approximately 100,000 individuals. In Europe, the estimated prevalence is approximately 134,000 individuals according to the European Medicines Agency, or EMA. According to the World Health Organization, the global incidence is estimated to be approximately 300,000 births annually. SCD is most prevalent in Africa and the Middle East.</w:t>
      </w:r>
    </w:p>
    <w:p>
      <w:pPr>
        <w:spacing w:after="0" w:line="161"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8"/>
          <w:szCs w:val="18"/>
          <w:color w:val="auto"/>
        </w:rPr>
        <w:t>Approved drug treatments for SCD focus primarily on the management and reduction of pain episodes. The two drug treatments approved in the United States are hydroxyurea and L-glutamine.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Hydroxyurea is approved for the treatment of anemia related to SCD to reduce the frequency of painful crises and the need for blood transfusions. Hydroxyurea has a black box warning for myelosuppression and malignancy. In general, it is limited by its adverse side effects, inconsistent patient responses and concerns regarding the cytotoxic effect of the drug. L-glutamine is approved to reduce severe complications associated with the disorder. While treatment with L-glutamine decreases the mean number of pain crises, side effects include nausea, noncardiac chest pain, fatigue, and musculoskeletal pain.</w:t>
      </w:r>
    </w:p>
    <w:p>
      <w:pPr>
        <w:spacing w:after="0" w:line="167" w:lineRule="exact"/>
        <w:rPr>
          <w:sz w:val="20"/>
          <w:szCs w:val="20"/>
          <w:color w:val="auto"/>
        </w:rPr>
      </w:pPr>
    </w:p>
    <w:p>
      <w:pPr>
        <w:jc w:val="both"/>
        <w:ind w:firstLine="527"/>
        <w:spacing w:after="0" w:line="294" w:lineRule="auto"/>
        <w:rPr>
          <w:sz w:val="20"/>
          <w:szCs w:val="20"/>
          <w:color w:val="auto"/>
        </w:rPr>
      </w:pPr>
      <w:r>
        <w:rPr>
          <w:rFonts w:ascii="Arial" w:cs="Arial" w:eastAsia="Arial" w:hAnsi="Arial"/>
          <w:sz w:val="16"/>
          <w:szCs w:val="16"/>
          <w:color w:val="auto"/>
        </w:rPr>
        <w:t>Blood transfusions can be utilized to decrease the sickling of RBCs. While blood transfusions can be critical to manage SCD, there are a number of limitations associated with this therapeutic approach, including limited patient access and serious complications such as iron overload. The only potentially curative treatment currently approved for severe SCD is bone marrow transplantation. However, this treatment option is not commonly used due to the difficulties of finding a suitable matching donor and the risks associated with the treatment, which include an approximately 5% mortality rate. Bone marrow transplantation is more commonly offered to pediatric patients with available sibling-matched donors.</w:t>
      </w:r>
    </w:p>
    <w:p>
      <w:pPr>
        <w:spacing w:after="0" w:line="170" w:lineRule="exact"/>
        <w:rPr>
          <w:sz w:val="20"/>
          <w:szCs w:val="20"/>
          <w:color w:val="auto"/>
        </w:rPr>
      </w:pPr>
    </w:p>
    <w:p>
      <w:pPr>
        <w:jc w:val="both"/>
        <w:ind w:firstLine="424"/>
        <w:spacing w:after="0" w:line="287" w:lineRule="auto"/>
        <w:rPr>
          <w:sz w:val="20"/>
          <w:szCs w:val="20"/>
          <w:color w:val="auto"/>
        </w:rPr>
      </w:pPr>
      <w:r>
        <w:rPr>
          <w:rFonts w:ascii="Arial" w:cs="Arial" w:eastAsia="Arial" w:hAnsi="Arial"/>
          <w:sz w:val="16"/>
          <w:szCs w:val="16"/>
          <w:color w:val="auto"/>
        </w:rPr>
        <w:t>While multiple experimental approaches to treat SCD are being explored in clinical trials, the majority are focused on symptomatic relief or gene therapy approaches. Symptomatic approaches under investigation aim to affect issues associated with cell adhesion, sickling, thrombosis and iron homeostasis. We anticipate that a novel orally available therapy that affects the root cause of SCD may be used in combination with symptomatic therapeutics. Novartis AG, or Novartis, Global Blood Therapeutics, Inc. and GlycoMimetics Inc. in collaboration with Pfizer, Inc. are conducting late stage clinical trials aiming to provide symptomatic relief for patients with SCD. Several gene therapy approaches to treat SCD are focused on elevating fetal hemoglobin, however no gene therapy approaches have been approved for SCD and the efficacy, safety and durability of gene therapy approaches have yet to be established. Gene therapies need to be administered in an in-patient procedure through a bone marrow transplant, which is also referred to as a stem cell transplant or hematopoietic stem cell transplant. As part of the transplant process, the patient receives myeloablative chemotherapy which kills cells in the bone marrow in order to support the gene therapy. Despite ongoing efforts to develop gene therapies for SCD, we believe there is still a high unmet need that could be better addressed by a small molecule, oral therapy to treat the disease by increasing fetal hemoglobin.</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SCD Biology</w:t>
      </w:r>
    </w:p>
    <w:p>
      <w:pPr>
        <w:spacing w:after="0" w:line="225" w:lineRule="exact"/>
        <w:rPr>
          <w:sz w:val="20"/>
          <w:szCs w:val="20"/>
          <w:color w:val="auto"/>
        </w:rPr>
      </w:pPr>
    </w:p>
    <w:p>
      <w:pPr>
        <w:jc w:val="both"/>
        <w:ind w:firstLine="385"/>
        <w:spacing w:after="0" w:line="294" w:lineRule="auto"/>
        <w:rPr>
          <w:sz w:val="20"/>
          <w:szCs w:val="20"/>
          <w:color w:val="auto"/>
        </w:rPr>
      </w:pPr>
      <w:r>
        <w:rPr>
          <w:rFonts w:ascii="Arial" w:cs="Arial" w:eastAsia="Arial" w:hAnsi="Arial"/>
          <w:sz w:val="16"/>
          <w:szCs w:val="16"/>
          <w:color w:val="auto"/>
        </w:rPr>
        <w:t xml:space="preserve">SCD is caused by a mutation in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This gene encodes a protein that is a key component of hemoglobin, a protein complex whose function is to transport oxygen in the body. Hemoglobin in adults is a complex of four proteins, two hemoglobin b-subunits and two hemoglobin a-subunits. In patients with SCD, hemoglobin is composed of two mutant b-subunits and two a-subunits and the result is the formation of abnormal hemoglobin. The result of the mutation is less efficient oxygen transport and the formation of RBCs that have a sickle shape. These sickle shaped cells are much less flexible than healthy cells and can block blood vessels (vaso-occlusion) or rupture cells (lysis), leading to pain, anemia, irreversible organ damage or even death.</w:t>
      </w:r>
    </w:p>
    <w:p>
      <w:pPr>
        <w:spacing w:after="0" w:line="170" w:lineRule="exact"/>
        <w:rPr>
          <w:sz w:val="20"/>
          <w:szCs w:val="20"/>
          <w:color w:val="auto"/>
        </w:rPr>
      </w:pPr>
    </w:p>
    <w:p>
      <w:pPr>
        <w:jc w:val="both"/>
        <w:ind w:firstLine="417"/>
        <w:spacing w:after="0" w:line="306" w:lineRule="auto"/>
        <w:rPr>
          <w:sz w:val="20"/>
          <w:szCs w:val="20"/>
          <w:color w:val="auto"/>
        </w:rPr>
      </w:pPr>
      <w:r>
        <w:rPr>
          <w:rFonts w:ascii="Arial" w:cs="Arial" w:eastAsia="Arial" w:hAnsi="Arial"/>
          <w:sz w:val="16"/>
          <w:szCs w:val="16"/>
          <w:color w:val="auto"/>
        </w:rPr>
        <w:t xml:space="preserve">During fetal development, the major form of hemoglobin is fetal hemoglobin. Similar to hemoglobin in adults, fetal hemoglobin is also a complex of four proteins, two a-subunits and two g-subunits. Shortly after birth, the genes encoding the g-subunits, the </w:t>
      </w:r>
      <w:r>
        <w:rPr>
          <w:rFonts w:ascii="Arial" w:cs="Arial" w:eastAsia="Arial" w:hAnsi="Arial"/>
          <w:sz w:val="16"/>
          <w:szCs w:val="16"/>
          <w:i w:val="1"/>
          <w:iCs w:val="1"/>
          <w:color w:val="auto"/>
        </w:rPr>
        <w:t>HBG1</w:t>
      </w:r>
      <w:r>
        <w:rPr>
          <w:rFonts w:ascii="Arial" w:cs="Arial" w:eastAsia="Arial" w:hAnsi="Arial"/>
          <w:sz w:val="16"/>
          <w:szCs w:val="16"/>
          <w:color w:val="auto"/>
        </w:rPr>
        <w:t xml:space="preserve"> and </w:t>
      </w:r>
      <w:r>
        <w:rPr>
          <w:rFonts w:ascii="Arial" w:cs="Arial" w:eastAsia="Arial" w:hAnsi="Arial"/>
          <w:sz w:val="16"/>
          <w:szCs w:val="16"/>
          <w:i w:val="1"/>
          <w:iCs w:val="1"/>
          <w:color w:val="auto"/>
        </w:rPr>
        <w:t>HBG2</w:t>
      </w:r>
      <w:r>
        <w:rPr>
          <w:rFonts w:ascii="Arial" w:cs="Arial" w:eastAsia="Arial" w:hAnsi="Arial"/>
          <w:sz w:val="16"/>
          <w:szCs w:val="16"/>
          <w:color w:val="auto"/>
        </w:rPr>
        <w:t xml:space="preserve"> genes, are silenced and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is activated. As described above, SCD is caused by a mutation in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that gives rise to mutated b-subunits.</w:t>
      </w:r>
    </w:p>
    <w:p>
      <w:pPr>
        <w:spacing w:after="0" w:line="161" w:lineRule="exact"/>
        <w:rPr>
          <w:sz w:val="20"/>
          <w:szCs w:val="20"/>
          <w:color w:val="auto"/>
        </w:rPr>
      </w:pPr>
    </w:p>
    <w:p>
      <w:pPr>
        <w:jc w:val="both"/>
        <w:ind w:firstLine="474"/>
        <w:spacing w:after="0" w:line="256" w:lineRule="auto"/>
        <w:rPr>
          <w:sz w:val="20"/>
          <w:szCs w:val="20"/>
          <w:color w:val="auto"/>
        </w:rPr>
      </w:pPr>
      <w:r>
        <w:rPr>
          <w:rFonts w:ascii="Arial" w:cs="Arial" w:eastAsia="Arial" w:hAnsi="Arial"/>
          <w:sz w:val="18"/>
          <w:szCs w:val="18"/>
          <w:color w:val="auto"/>
        </w:rPr>
        <w:t>A small subset of individuals with the sickle cell mutation continue to produce high levels of fetal hemoglobin due to inheritance of additional genetic mutations, which is called Hereditary Persistence of Fetal Hemoglobin, or HPFH. The production of fetal hemoglobin in these individuals allows them to maintain at least 30% fetal hemoglobin. Patients with elevated fetal hemoglobin exhibit few, if any, clinical manifestations of SCD. Further, an increase of fetal hemoglobin as low as 3% over baseline in patients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without HPFH, due to either therapeutic intervention or the inheritance of other genetic traits, can result in reduced clinical manifestations of the disease.</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Our Approach to Address the Root Cause of SCD</w:t>
      </w:r>
    </w:p>
    <w:p>
      <w:pPr>
        <w:spacing w:after="0" w:line="225" w:lineRule="exact"/>
        <w:rPr>
          <w:sz w:val="20"/>
          <w:szCs w:val="20"/>
          <w:color w:val="auto"/>
        </w:rPr>
      </w:pPr>
    </w:p>
    <w:p>
      <w:pPr>
        <w:jc w:val="both"/>
        <w:ind w:firstLine="361"/>
        <w:spacing w:after="0" w:line="268" w:lineRule="auto"/>
        <w:rPr>
          <w:sz w:val="20"/>
          <w:szCs w:val="20"/>
          <w:color w:val="auto"/>
        </w:rPr>
      </w:pPr>
      <w:r>
        <w:rPr>
          <w:rFonts w:ascii="Arial" w:cs="Arial" w:eastAsia="Arial" w:hAnsi="Arial"/>
          <w:sz w:val="18"/>
          <w:szCs w:val="18"/>
          <w:color w:val="auto"/>
        </w:rPr>
        <w:t>Our strategy to address the root cause of SCD was to identify a drug mechanism that induces expression of fetal hemoglobin. We believe that FTX-HbF may address the root cause of SCD through this mechanism of action.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Overview of </w:t>
      </w:r>
      <w:r>
        <w:rPr>
          <w:rFonts w:ascii="Arial" w:cs="Arial" w:eastAsia="Arial" w:hAnsi="Arial"/>
          <w:sz w:val="18"/>
          <w:szCs w:val="18"/>
          <w:color w:val="auto"/>
        </w:rPr>
        <w:t>b</w:t>
      </w:r>
      <w:r>
        <w:rPr>
          <w:rFonts w:ascii="Arial" w:cs="Arial" w:eastAsia="Arial" w:hAnsi="Arial"/>
          <w:sz w:val="18"/>
          <w:szCs w:val="18"/>
          <w:i w:val="1"/>
          <w:iCs w:val="1"/>
          <w:color w:val="auto"/>
        </w:rPr>
        <w:t>-Thalassemia</w:t>
      </w:r>
    </w:p>
    <w:p>
      <w:pPr>
        <w:spacing w:after="0" w:line="225" w:lineRule="exact"/>
        <w:rPr>
          <w:sz w:val="20"/>
          <w:szCs w:val="20"/>
          <w:color w:val="auto"/>
        </w:rPr>
      </w:pPr>
    </w:p>
    <w:p>
      <w:pPr>
        <w:jc w:val="both"/>
        <w:ind w:firstLine="419"/>
        <w:spacing w:after="0" w:line="303" w:lineRule="auto"/>
        <w:rPr>
          <w:sz w:val="20"/>
          <w:szCs w:val="20"/>
          <w:color w:val="auto"/>
        </w:rPr>
      </w:pPr>
      <w:r>
        <w:rPr>
          <w:rFonts w:ascii="Arial" w:cs="Arial" w:eastAsia="Arial" w:hAnsi="Arial"/>
          <w:sz w:val="15"/>
          <w:szCs w:val="15"/>
          <w:color w:val="auto"/>
        </w:rPr>
        <w:t xml:space="preserve">b-thalassemia is a rare blood disorder associated with the absence or reduced production of b-globin, which is one of the two proteins that comprise adult hemoglobin. This results in an abnormally low level of hemoglobin as well as an excess of a-globin chains that cause destruction of RBCs. The severity of the phenotype is related to the degree of imbalance between a- and non-a-globin chain synthesis. The absence of b-globin due to </w:t>
      </w:r>
      <w:r>
        <w:rPr>
          <w:rFonts w:ascii="Arial" w:cs="Arial" w:eastAsia="Arial" w:hAnsi="Arial"/>
          <w:sz w:val="15"/>
          <w:szCs w:val="15"/>
          <w:i w:val="1"/>
          <w:iCs w:val="1"/>
          <w:color w:val="auto"/>
        </w:rPr>
        <w:t>HBB</w:t>
      </w:r>
      <w:r>
        <w:rPr>
          <w:rFonts w:ascii="Arial" w:cs="Arial" w:eastAsia="Arial" w:hAnsi="Arial"/>
          <w:sz w:val="15"/>
          <w:szCs w:val="15"/>
          <w:color w:val="auto"/>
        </w:rPr>
        <w:t xml:space="preserve"> gene deletions is referred to as</w:t>
      </w:r>
    </w:p>
    <w:p>
      <w:pPr>
        <w:spacing w:after="0" w:line="1" w:lineRule="exact"/>
        <w:rPr>
          <w:sz w:val="20"/>
          <w:szCs w:val="20"/>
          <w:color w:val="auto"/>
        </w:rPr>
      </w:pPr>
    </w:p>
    <w:p>
      <w:pPr>
        <w:jc w:val="both"/>
        <w:spacing w:after="0" w:line="200" w:lineRule="auto"/>
        <w:rPr>
          <w:sz w:val="20"/>
          <w:szCs w:val="20"/>
          <w:color w:val="auto"/>
        </w:rPr>
      </w:pPr>
      <w:r>
        <w:rPr>
          <w:rFonts w:ascii="Arial" w:cs="Arial" w:eastAsia="Arial" w:hAnsi="Arial"/>
          <w:sz w:val="18"/>
          <w:szCs w:val="18"/>
          <w:color w:val="auto"/>
        </w:rPr>
        <w:t>b</w:t>
      </w:r>
      <w:r>
        <w:rPr>
          <w:rFonts w:ascii="Arial" w:cs="Arial" w:eastAsia="Arial" w:hAnsi="Arial"/>
          <w:sz w:val="29"/>
          <w:szCs w:val="29"/>
          <w:color w:val="auto"/>
          <w:vertAlign w:val="superscript"/>
        </w:rPr>
        <w:t>0</w:t>
      </w:r>
      <w:r>
        <w:rPr>
          <w:rFonts w:ascii="Arial" w:cs="Arial" w:eastAsia="Arial" w:hAnsi="Arial"/>
          <w:sz w:val="18"/>
          <w:szCs w:val="18"/>
          <w:color w:val="auto"/>
        </w:rPr>
        <w:t xml:space="preserve"> thalassemia. Other </w:t>
      </w:r>
      <w:r>
        <w:rPr>
          <w:rFonts w:ascii="Arial" w:cs="Arial" w:eastAsia="Arial" w:hAnsi="Arial"/>
          <w:sz w:val="18"/>
          <w:szCs w:val="18"/>
          <w:i w:val="1"/>
          <w:iCs w:val="1"/>
          <w:color w:val="auto"/>
        </w:rPr>
        <w:t>HBB</w:t>
      </w:r>
      <w:r>
        <w:rPr>
          <w:rFonts w:ascii="Arial" w:cs="Arial" w:eastAsia="Arial" w:hAnsi="Arial"/>
          <w:sz w:val="18"/>
          <w:szCs w:val="18"/>
          <w:color w:val="auto"/>
        </w:rPr>
        <w:t xml:space="preserve"> gene alterations allow some b-globin to be produced but in reduced amounts. A reduced amount of b-globin is called b</w:t>
      </w:r>
      <w:r>
        <w:rPr>
          <w:rFonts w:ascii="Arial" w:cs="Arial" w:eastAsia="Arial" w:hAnsi="Arial"/>
          <w:sz w:val="29"/>
          <w:szCs w:val="29"/>
          <w:color w:val="auto"/>
          <w:vertAlign w:val="superscript"/>
        </w:rPr>
        <w:t>+</w:t>
      </w:r>
      <w:r>
        <w:rPr>
          <w:rFonts w:ascii="Arial" w:cs="Arial" w:eastAsia="Arial" w:hAnsi="Arial"/>
          <w:sz w:val="18"/>
          <w:szCs w:val="18"/>
          <w:color w:val="auto"/>
        </w:rPr>
        <w:t>thalassemia. Many patients with b-thalassemia require chronic blood transfusions due to severe anemia that results from low hemoglobin levels, which are referred to as transfusion-dependent patients. It is estimated that 40,000 babies are born worldwide with b-thalassemia per year of whom 25,000 require blood transfusions. Patients with b-thalassemia are primarily treated by hematologists.</w:t>
      </w:r>
    </w:p>
    <w:p>
      <w:pPr>
        <w:spacing w:after="0" w:line="214" w:lineRule="exact"/>
        <w:rPr>
          <w:sz w:val="20"/>
          <w:szCs w:val="20"/>
          <w:color w:val="auto"/>
        </w:rPr>
      </w:pPr>
    </w:p>
    <w:p>
      <w:pPr>
        <w:jc w:val="both"/>
        <w:ind w:firstLine="473"/>
        <w:spacing w:after="0" w:line="302" w:lineRule="auto"/>
        <w:rPr>
          <w:sz w:val="20"/>
          <w:szCs w:val="20"/>
          <w:color w:val="auto"/>
        </w:rPr>
      </w:pPr>
      <w:r>
        <w:rPr>
          <w:rFonts w:ascii="Arial" w:cs="Arial" w:eastAsia="Arial" w:hAnsi="Arial"/>
          <w:sz w:val="15"/>
          <w:szCs w:val="15"/>
          <w:color w:val="auto"/>
        </w:rPr>
        <w:t>b-thalassemia has been clinically characterized into three forms, depending on disease severity: major, intermedia and minor. The most severe form, b-thalassemia major (also known as Cooley's anemia), is generally diagnosed shortly after birth and patients have life-threatening anemia. Pediatric patients do not grow and gain weight at the typical rates, and often have liver, heart and bone problems. Many b-thalassemia major patients require frequent blood transfusions to prevent severe anemia, a treatment that itself can cause long-term problems due to a build-up of iron in the body. b-thalassemia intermedia is a less severe form of the disease that results in mild to moderate anemia. These patients sometimes require blood transfusions depending on the severity of the symptoms. Patients with</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b-thalassemia minor suffer from very mild anemia and generally do not require treatment. Having either b</w:t>
      </w:r>
      <w:r>
        <w:rPr>
          <w:rFonts w:ascii="Arial" w:cs="Arial" w:eastAsia="Arial" w:hAnsi="Arial"/>
          <w:sz w:val="29"/>
          <w:szCs w:val="29"/>
          <w:color w:val="auto"/>
          <w:vertAlign w:val="superscript"/>
        </w:rPr>
        <w:t>0</w:t>
      </w:r>
      <w:r>
        <w:rPr>
          <w:rFonts w:ascii="Arial" w:cs="Arial" w:eastAsia="Arial" w:hAnsi="Arial"/>
          <w:sz w:val="18"/>
          <w:szCs w:val="18"/>
          <w:color w:val="auto"/>
        </w:rPr>
        <w:t xml:space="preserve"> or b</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thalassemia does not necessarily predict clinical disease severity as people with both types have been diagnosed with thalassemia major and thalassemia intermedia. Any increase in fetal hemoglobin has the potential to ameliorate the disease.</w:t>
      </w:r>
    </w:p>
    <w:p>
      <w:pPr>
        <w:spacing w:after="0" w:line="210" w:lineRule="exact"/>
        <w:rPr>
          <w:sz w:val="20"/>
          <w:szCs w:val="20"/>
          <w:color w:val="auto"/>
        </w:rPr>
      </w:pPr>
    </w:p>
    <w:p>
      <w:pPr>
        <w:jc w:val="both"/>
        <w:ind w:firstLine="361"/>
        <w:spacing w:after="0" w:line="286" w:lineRule="auto"/>
        <w:rPr>
          <w:sz w:val="20"/>
          <w:szCs w:val="20"/>
          <w:color w:val="auto"/>
        </w:rPr>
      </w:pPr>
      <w:r>
        <w:rPr>
          <w:rFonts w:ascii="Arial" w:cs="Arial" w:eastAsia="Arial" w:hAnsi="Arial"/>
          <w:sz w:val="16"/>
          <w:szCs w:val="16"/>
          <w:color w:val="auto"/>
        </w:rPr>
        <w:t>The current standard of care for many patients with b-thalassemia is frequent blood transfusions to manage anemia. The only potentially curative therapy for b-thalassemia is allogeneic hematopoietic stem cell transplant, which is associated with risks of complications, including mortality, and is limited to patients with a suitable donor. LentiGlobin, a gene therapy developed by bluebird bio, Inc., or bluebird, for the treatment of adult and adolescent patients with transfusion-dependent b-thalassemia and with certain genotypes, received a positive opinion recommending conditional marketing authorization in Europe in March 2019. bluebird announced that it plans to file a biologics license application, or BLA, in the United States in 2019. Acceleron Pharma, Inc., or Acceleron, in collaboration with Celgene Corp., or Celgene, is conducting Phase 3 clinical trials of luspatercept (ACE-536), an erythroid maturation agent. Celgene submitted a BLA for luspatercept for the treatment of adult patients with anemia associated with b-thalassemia and who require frequent transfusions. Celgene and Acceleron submitted a marketing authorization application to the EMA in the second quarter of 2019. There are also multiple other experimental approaches to treat b-thalassemia being explored in clinical trials, including approaches that use small molecule, gene therapy and gene editing approaches. Despite ongoing efforts to develop new therapies for b-thalassemia, we believe there is still a high unmet need that could be addressed by a small molecule, oral therapy to treatment the disease by increasing fetal hemoglobin.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Biology of b-Thalassemia</w:t>
      </w:r>
    </w:p>
    <w:p>
      <w:pPr>
        <w:spacing w:after="0" w:line="225"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 xml:space="preserve">b-thalassemia is caused by genetic mutations in the </w:t>
      </w:r>
      <w:r>
        <w:rPr>
          <w:rFonts w:ascii="Arial" w:cs="Arial" w:eastAsia="Arial" w:hAnsi="Arial"/>
          <w:sz w:val="18"/>
          <w:szCs w:val="18"/>
          <w:i w:val="1"/>
          <w:iCs w:val="1"/>
          <w:color w:val="auto"/>
        </w:rPr>
        <w:t>HBB</w:t>
      </w:r>
      <w:r>
        <w:rPr>
          <w:rFonts w:ascii="Arial" w:cs="Arial" w:eastAsia="Arial" w:hAnsi="Arial"/>
          <w:sz w:val="18"/>
          <w:szCs w:val="18"/>
          <w:color w:val="auto"/>
        </w:rPr>
        <w:t xml:space="preserve"> gene. The mutations interfere with the production of b-globin. Some mutations result in no b-globin being produced, while other mutations result in a decreased amount of b-globin being produced.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Our Approach to Address the Root Cause of b-Thalassemia</w:t>
      </w:r>
    </w:p>
    <w:p>
      <w:pPr>
        <w:spacing w:after="0" w:line="225"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7"/>
          <w:szCs w:val="17"/>
          <w:color w:val="auto"/>
        </w:rPr>
        <w:t>We believe that some types of b-thalassemia may be treated by a therapy that upregulates fetal hemoglobin. Babies born with b-thalassemia major generally do not have any symptoms shortly after birth because they have fetal hemoglobin in their blood. As the fetal hemoglobin levels decrease after birth and the b-globin fails to increase, anemia appears and the babies with b-thalassemia begin to exhibit symptoms of the disease. Patients with b-thalassemia intermedia that have higher levels of fetal hemoglobin have fewer symptoms than patients with low levels of fetal hemoglobin. We believe that FTX-HbF may be suitable for clinical development for the treatment of patients who are not b</w:t>
      </w:r>
      <w:r>
        <w:rPr>
          <w:rFonts w:ascii="Arial" w:cs="Arial" w:eastAsia="Arial" w:hAnsi="Arial"/>
          <w:sz w:val="28"/>
          <w:szCs w:val="28"/>
          <w:color w:val="auto"/>
          <w:vertAlign w:val="superscript"/>
        </w:rPr>
        <w:t>0</w:t>
      </w:r>
      <w:r>
        <w:rPr>
          <w:rFonts w:ascii="Arial" w:cs="Arial" w:eastAsia="Arial" w:hAnsi="Arial"/>
          <w:sz w:val="17"/>
          <w:szCs w:val="17"/>
          <w:color w:val="auto"/>
        </w:rPr>
        <w:t xml:space="preserve"> but who are transfusion dependent.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Product Engine Identified the Drug Target for SCD and b-Thalassemia</w:t>
      </w:r>
    </w:p>
    <w:p>
      <w:pPr>
        <w:spacing w:after="0" w:line="225"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auto"/>
        </w:rPr>
        <w:t xml:space="preserve">Applying our product engine, we conducted target identification and validation activities using human umbilical cord blood-derived erythroid progenitor 2, or HUDEP2, cells as a model to study fetal hemoglobin reactivation. HUDEP2 cells are immature RBCs. By screening our small molecule probe library and a CRISPR library, we identified several potential drug targets that activated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and resulted in fetal hemoglobin elevation. Each screening approach identified the same protein complex which we believe plays an important role in the expression of genes responsible for the production of fetal hemoglobin. We conducted additional validation experiments in which we observed that inhibition of several components of this complex resulted in the desired elevation of fetal hemoglobin. We also observed that inhibition of these components did not adversely affect important cell health markers.</w:t>
      </w:r>
    </w:p>
    <w:p>
      <w:pPr>
        <w:spacing w:after="0" w:line="174"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auto"/>
        </w:rPr>
        <w:t xml:space="preserve">We selected a member of this protein complex for drug discovery activities following an assessment of its tractability as a drug target, which we refer to as the HbF drug target. The normal physiological role of the HbF drug target is to facilitate a post-translational protein modification, and the goal of our medicinal chemistry program was to optimize inhibitors of the HbF drug target. We developed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target engagement assays, as well as enabled X-ray crystallography, to discover and develop FTX-HbF, a novel small molecule inhibitor of the HbF drug target.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FTX-HbF</w:t>
      </w:r>
    </w:p>
    <w:p>
      <w:pPr>
        <w:spacing w:after="0" w:line="225" w:lineRule="exact"/>
        <w:rPr>
          <w:sz w:val="20"/>
          <w:szCs w:val="20"/>
          <w:color w:val="auto"/>
        </w:rPr>
      </w:pPr>
    </w:p>
    <w:p>
      <w:pPr>
        <w:jc w:val="both"/>
        <w:ind w:firstLine="474"/>
        <w:spacing w:after="0" w:line="255" w:lineRule="auto"/>
        <w:rPr>
          <w:sz w:val="20"/>
          <w:szCs w:val="20"/>
          <w:color w:val="auto"/>
        </w:rPr>
      </w:pPr>
      <w:r>
        <w:rPr>
          <w:rFonts w:ascii="Arial" w:cs="Arial" w:eastAsia="Arial" w:hAnsi="Arial"/>
          <w:sz w:val="18"/>
          <w:szCs w:val="18"/>
          <w:color w:val="auto"/>
        </w:rPr>
        <w:t xml:space="preserve">FTX-HbF, our novel small molecule that we designed to inhibit the HbF drug target and thereby elevate fetal hemoglobin, possesses properties that we believe are well aligned with preferred parameters for oral drug delivery. We studied the cellular potency and the PK data of FTX-HbF in preclinical animal models and observed that its profile would be predictive of once or twice daily oral administration. We have not observed any off-target concerns in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profiling studies, and we are conducting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to evaluate FTX-HbF. We have initiated IND-enabling activities and we aim to submit an IND in mid-2020.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jc w:val="both"/>
        <w:ind w:right="20" w:firstLine="407"/>
        <w:spacing w:after="0" w:line="259" w:lineRule="auto"/>
        <w:rPr>
          <w:sz w:val="20"/>
          <w:szCs w:val="20"/>
          <w:color w:val="auto"/>
        </w:rPr>
      </w:pPr>
      <w:r>
        <w:rPr>
          <w:rFonts w:ascii="Arial" w:cs="Arial" w:eastAsia="Arial" w:hAnsi="Arial"/>
          <w:sz w:val="18"/>
          <w:szCs w:val="18"/>
          <w:color w:val="auto"/>
        </w:rPr>
        <w:t xml:space="preserve">We have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activation of the </w:t>
      </w:r>
      <w:r>
        <w:rPr>
          <w:rFonts w:ascii="Arial" w:cs="Arial" w:eastAsia="Arial" w:hAnsi="Arial"/>
          <w:sz w:val="18"/>
          <w:szCs w:val="18"/>
          <w:i w:val="1"/>
          <w:iCs w:val="1"/>
          <w:color w:val="auto"/>
        </w:rPr>
        <w:t>HBG1/2</w:t>
      </w:r>
      <w:r>
        <w:rPr>
          <w:rFonts w:ascii="Arial" w:cs="Arial" w:eastAsia="Arial" w:hAnsi="Arial"/>
          <w:sz w:val="18"/>
          <w:szCs w:val="18"/>
          <w:color w:val="auto"/>
        </w:rPr>
        <w:t xml:space="preserve"> genes in preclinical studies with FTX-HbF. We observed that FTX-HbF elevated levels of fetal hemoglobin with no adverse effect on important cellular health markers. As depicted in the graphic below, we also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upregulation of fetal hemoglobin in primary human CD34+ cells differentiated into RBCs from five different human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donors after five days of drug treatment. FTX-HbF showed a significant elevation of fetal hemoglobin over baseline in each of these five cell lines.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 of FTX-HbF treatment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differentiated primary human CD34+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144145</wp:posOffset>
            </wp:positionV>
            <wp:extent cx="3816350" cy="23152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16350"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96"/>
        <w:spacing w:after="0" w:line="298" w:lineRule="auto"/>
        <w:rPr>
          <w:sz w:val="20"/>
          <w:szCs w:val="20"/>
          <w:color w:val="auto"/>
        </w:rPr>
      </w:pPr>
      <w:r>
        <w:rPr>
          <w:rFonts w:ascii="Arial" w:cs="Arial" w:eastAsia="Arial" w:hAnsi="Arial"/>
          <w:sz w:val="16"/>
          <w:szCs w:val="16"/>
          <w:color w:val="auto"/>
        </w:rPr>
        <w:t xml:space="preserve">In preclinical PK/PD studies in mice, we observed that blood cells had dose-dependent drug target engagement after 4.5 days of oral treatment. We believe our drug target is conserved between species, which is supported by our observation of a concomitant upregulation of the mouse embryonic globin gene under conditions where we observed drug target engagement. Since mice do not have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found in humans, we used the mouse embryonic globin gene </w:t>
      </w:r>
      <w:r>
        <w:rPr>
          <w:rFonts w:ascii="Arial" w:cs="Arial" w:eastAsia="Arial" w:hAnsi="Arial"/>
          <w:sz w:val="16"/>
          <w:szCs w:val="16"/>
          <w:i w:val="1"/>
          <w:iCs w:val="1"/>
          <w:color w:val="auto"/>
        </w:rPr>
        <w:t xml:space="preserve">hbb-bh1 </w:t>
      </w:r>
      <w:r>
        <w:rPr>
          <w:rFonts w:ascii="Arial" w:cs="Arial" w:eastAsia="Arial" w:hAnsi="Arial"/>
          <w:sz w:val="16"/>
          <w:szCs w:val="16"/>
          <w:color w:val="auto"/>
        </w:rPr>
        <w:t>as a surrogate for the human</w:t>
      </w:r>
      <w:r>
        <w:rPr>
          <w:rFonts w:ascii="Arial" w:cs="Arial" w:eastAsia="Arial" w:hAnsi="Arial"/>
          <w:sz w:val="16"/>
          <w:szCs w:val="16"/>
          <w:i w:val="1"/>
          <w:iCs w:val="1"/>
          <w:color w:val="auto"/>
        </w:rPr>
        <w:t xml:space="preserve"> HBG1/2 </w:t>
      </w:r>
      <w:r>
        <w:rPr>
          <w:rFonts w:ascii="Arial" w:cs="Arial" w:eastAsia="Arial" w:hAnsi="Arial"/>
          <w:sz w:val="16"/>
          <w:szCs w:val="16"/>
          <w:color w:val="auto"/>
        </w:rPr>
        <w:t>genes. We measured the target engagement in the mouse from whole blood. We concluded from the data</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that FTX-HbF engaged the drug target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modulated the endogenous mouse globin gene expression program. The results of this study are depicted below.</w:t>
      </w:r>
    </w:p>
    <w:p>
      <w:pPr>
        <w:sectPr>
          <w:pgSz w:w="11900" w:h="16838" w:orient="portrait"/>
          <w:cols w:equalWidth="0" w:num="1">
            <w:col w:w="11420"/>
          </w:cols>
          <w:pgMar w:left="240" w:top="131" w:right="239" w:bottom="1440" w:gutter="0" w:footer="0" w:header="0"/>
        </w:sectPr>
      </w:pPr>
    </w:p>
    <w:p>
      <w:pPr>
        <w:spacing w:after="0" w:line="180" w:lineRule="exact"/>
        <w:rPr>
          <w:sz w:val="20"/>
          <w:szCs w:val="20"/>
          <w:color w:val="auto"/>
        </w:rPr>
      </w:pPr>
    </w:p>
    <w:p>
      <w:pPr>
        <w:jc w:val="center"/>
        <w:ind w:left="740"/>
        <w:spacing w:after="0"/>
        <w:rPr>
          <w:sz w:val="20"/>
          <w:szCs w:val="20"/>
          <w:color w:val="auto"/>
        </w:rPr>
      </w:pPr>
      <w:r>
        <w:rPr>
          <w:rFonts w:ascii="Arial" w:cs="Arial" w:eastAsia="Arial" w:hAnsi="Arial"/>
          <w:sz w:val="15"/>
          <w:szCs w:val="15"/>
          <w:b w:val="1"/>
          <w:bCs w:val="1"/>
          <w:color w:val="auto"/>
        </w:rPr>
        <w:t>Target engagement modification in</w:t>
      </w:r>
    </w:p>
    <w:p>
      <w:pPr>
        <w:spacing w:after="0" w:line="56" w:lineRule="exact"/>
        <w:rPr>
          <w:sz w:val="20"/>
          <w:szCs w:val="20"/>
          <w:color w:val="auto"/>
        </w:rPr>
      </w:pPr>
    </w:p>
    <w:p>
      <w:pPr>
        <w:jc w:val="center"/>
        <w:ind w:left="740"/>
        <w:spacing w:after="0"/>
        <w:rPr>
          <w:sz w:val="20"/>
          <w:szCs w:val="20"/>
          <w:color w:val="auto"/>
        </w:rPr>
      </w:pPr>
      <w:r>
        <w:rPr>
          <w:rFonts w:ascii="Arial" w:cs="Arial" w:eastAsia="Arial" w:hAnsi="Arial"/>
          <w:sz w:val="18"/>
          <w:szCs w:val="18"/>
          <w:b w:val="1"/>
          <w:bCs w:val="1"/>
          <w:color w:val="auto"/>
        </w:rPr>
        <w:t>mouse blood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161290</wp:posOffset>
            </wp:positionV>
            <wp:extent cx="2066925" cy="31127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66925" cy="3112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1900"/>
        <w:spacing w:after="0"/>
        <w:rPr>
          <w:sz w:val="20"/>
          <w:szCs w:val="20"/>
          <w:color w:val="auto"/>
        </w:rPr>
      </w:pPr>
      <w:r>
        <w:rPr>
          <w:rFonts w:ascii="Arial" w:cs="Arial" w:eastAsia="Arial" w:hAnsi="Arial"/>
          <w:sz w:val="15"/>
          <w:szCs w:val="15"/>
          <w:b w:val="1"/>
          <w:bCs w:val="1"/>
          <w:color w:val="auto"/>
        </w:rPr>
        <w:t>Mouse embryonic globin mRNA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465455</wp:posOffset>
            </wp:positionV>
            <wp:extent cx="2160905" cy="30613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60905" cy="3061335"/>
                    </a:xfrm>
                    <a:prstGeom prst="rect">
                      <a:avLst/>
                    </a:prstGeom>
                    <a:noFill/>
                  </pic:spPr>
                </pic:pic>
              </a:graphicData>
            </a:graphic>
          </wp:anchor>
        </w:drawing>
      </w:r>
    </w:p>
    <w:p>
      <w:pPr>
        <w:spacing w:after="0" w:line="462" w:lineRule="exact"/>
        <w:rPr>
          <w:sz w:val="20"/>
          <w:szCs w:val="20"/>
          <w:color w:val="auto"/>
        </w:rPr>
      </w:pPr>
    </w:p>
    <w:p>
      <w:pPr>
        <w:sectPr>
          <w:pgSz w:w="11900" w:h="16838" w:orient="portrait"/>
          <w:cols w:equalWidth="0" w:num="2">
            <w:col w:w="5940" w:space="720"/>
            <w:col w:w="476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443"/>
        <w:spacing w:after="0" w:line="291" w:lineRule="auto"/>
        <w:rPr>
          <w:sz w:val="20"/>
          <w:szCs w:val="20"/>
          <w:color w:val="auto"/>
        </w:rPr>
      </w:pPr>
      <w:r>
        <w:rPr>
          <w:rFonts w:ascii="Arial" w:cs="Arial" w:eastAsia="Arial" w:hAnsi="Arial"/>
          <w:sz w:val="16"/>
          <w:szCs w:val="16"/>
          <w:color w:val="auto"/>
        </w:rPr>
        <w:t>In the graphic on the left, we measured the amount of drug target engagement modification in mouse blood cells after five days of treatment. Each point represents the value for a different mouse, shown as a percent of the average vehicle-treated value. In the graphic on the right, we determined the level of mouse embryonic globin mRNA levels in mouse blood after five days of treatment. The data is from an average of four or five mice per treatment. In these studies, we used a conventional method of assessing statistical significance known as a two-tailed test. The p-value for each of the studies depicted above was 0.0005. A p-value is a conventional statistical method for measuring the statistical significance of experimental results. A p-value of less than 0.05 is generally considered to represent statistical significance, meaning that there is a less than five percent likelihood that the observed results occurred by chance.</w:t>
      </w:r>
    </w:p>
    <w:p>
      <w:pPr>
        <w:spacing w:after="0" w:line="174" w:lineRule="exact"/>
        <w:rPr>
          <w:sz w:val="20"/>
          <w:szCs w:val="20"/>
          <w:color w:val="auto"/>
        </w:rPr>
      </w:pPr>
    </w:p>
    <w:p>
      <w:pPr>
        <w:jc w:val="both"/>
        <w:ind w:firstLine="406"/>
        <w:spacing w:after="0" w:line="256" w:lineRule="auto"/>
        <w:rPr>
          <w:sz w:val="20"/>
          <w:szCs w:val="20"/>
          <w:color w:val="auto"/>
        </w:rPr>
      </w:pPr>
      <w:r>
        <w:rPr>
          <w:rFonts w:ascii="Arial" w:cs="Arial" w:eastAsia="Arial" w:hAnsi="Arial"/>
          <w:sz w:val="18"/>
          <w:szCs w:val="18"/>
          <w:color w:val="auto"/>
        </w:rPr>
        <w:t xml:space="preserve">Additionally, we studied FTX-HbF in a mouse model of SCD, known as the Townes mouse model. In this model, mouse globin genes have been replaced with human globin genes, thereby allowing investigations of mechanisms that may regulate human hemoglobin gene expression. The Townes mouse model has been widely used to study potential treatments for SCD. As shown in the figures below, we observed that FTX-HbF resulted in a significant increase in </w:t>
      </w:r>
      <w:r>
        <w:rPr>
          <w:rFonts w:ascii="Arial" w:cs="Arial" w:eastAsia="Arial" w:hAnsi="Arial"/>
          <w:sz w:val="18"/>
          <w:szCs w:val="18"/>
          <w:i w:val="1"/>
          <w:iCs w:val="1"/>
          <w:color w:val="auto"/>
        </w:rPr>
        <w:t>HBG1</w:t>
      </w:r>
      <w:r>
        <w:rPr>
          <w:rFonts w:ascii="Arial" w:cs="Arial" w:eastAsia="Arial" w:hAnsi="Arial"/>
          <w:sz w:val="18"/>
          <w:szCs w:val="18"/>
          <w:color w:val="auto"/>
        </w:rPr>
        <w:t xml:space="preserve"> gene expression and HbF protein after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28 days of dosing at 5 mg/kg twice per day. Hydroxyurea did not result in a significant elevation of </w:t>
      </w:r>
      <w:r>
        <w:rPr>
          <w:rFonts w:ascii="Arial" w:cs="Arial" w:eastAsia="Arial" w:hAnsi="Arial"/>
          <w:sz w:val="16"/>
          <w:szCs w:val="16"/>
          <w:i w:val="1"/>
          <w:iCs w:val="1"/>
          <w:color w:val="auto"/>
        </w:rPr>
        <w:t>HBG1</w:t>
      </w:r>
      <w:r>
        <w:rPr>
          <w:rFonts w:ascii="Arial" w:cs="Arial" w:eastAsia="Arial" w:hAnsi="Arial"/>
          <w:sz w:val="16"/>
          <w:szCs w:val="16"/>
          <w:color w:val="auto"/>
        </w:rPr>
        <w:t xml:space="preserve"> gene expression.</w:t>
      </w:r>
    </w:p>
    <w:p>
      <w:pPr>
        <w:sectPr>
          <w:pgSz w:w="11900" w:h="16838" w:orient="portrait"/>
          <w:cols w:equalWidth="0" w:num="1">
            <w:col w:w="11420"/>
          </w:cols>
          <w:pgMar w:left="240" w:top="131" w:right="239" w:bottom="1440" w:gutter="0" w:footer="0" w:header="0"/>
        </w:sectPr>
      </w:pPr>
    </w:p>
    <w:p>
      <w:pPr>
        <w:spacing w:after="0" w:line="242" w:lineRule="exact"/>
        <w:rPr>
          <w:sz w:val="20"/>
          <w:szCs w:val="20"/>
          <w:color w:val="auto"/>
        </w:rPr>
      </w:pPr>
    </w:p>
    <w:p>
      <w:pPr>
        <w:jc w:val="center"/>
        <w:ind w:left="800"/>
        <w:spacing w:after="0"/>
        <w:rPr>
          <w:sz w:val="20"/>
          <w:szCs w:val="20"/>
          <w:color w:val="auto"/>
        </w:rPr>
      </w:pPr>
      <w:r>
        <w:rPr>
          <w:rFonts w:ascii="Arial" w:cs="Arial" w:eastAsia="Arial" w:hAnsi="Arial"/>
          <w:sz w:val="15"/>
          <w:szCs w:val="15"/>
          <w:b w:val="1"/>
          <w:bCs w:val="1"/>
          <w:color w:val="auto"/>
        </w:rPr>
        <w:t>HBG1 mRNA levels in Townes mouse</w:t>
      </w:r>
    </w:p>
    <w:p>
      <w:pPr>
        <w:spacing w:after="0" w:line="56"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auto"/>
        </w:rPr>
        <w:t>treated with FTX-HbF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255905</wp:posOffset>
            </wp:positionV>
            <wp:extent cx="2684145" cy="22726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84145" cy="22726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2020"/>
        <w:spacing w:after="0"/>
        <w:rPr>
          <w:sz w:val="20"/>
          <w:szCs w:val="20"/>
          <w:color w:val="auto"/>
        </w:rPr>
      </w:pPr>
      <w:r>
        <w:rPr>
          <w:rFonts w:ascii="Arial" w:cs="Arial" w:eastAsia="Arial" w:hAnsi="Arial"/>
          <w:sz w:val="15"/>
          <w:szCs w:val="15"/>
          <w:b w:val="1"/>
          <w:bCs w:val="1"/>
          <w:color w:val="auto"/>
        </w:rPr>
        <w:t>HbF protein levels in Townes mouse</w:t>
      </w:r>
    </w:p>
    <w:p>
      <w:pPr>
        <w:spacing w:after="0" w:line="56" w:lineRule="exact"/>
        <w:rPr>
          <w:sz w:val="20"/>
          <w:szCs w:val="20"/>
          <w:color w:val="auto"/>
        </w:rPr>
      </w:pPr>
    </w:p>
    <w:p>
      <w:pPr>
        <w:jc w:val="center"/>
        <w:ind w:right="2020"/>
        <w:spacing w:after="0"/>
        <w:rPr>
          <w:sz w:val="20"/>
          <w:szCs w:val="20"/>
          <w:color w:val="auto"/>
        </w:rPr>
      </w:pPr>
      <w:r>
        <w:rPr>
          <w:rFonts w:ascii="Arial" w:cs="Arial" w:eastAsia="Arial" w:hAnsi="Arial"/>
          <w:sz w:val="18"/>
          <w:szCs w:val="18"/>
          <w:b w:val="1"/>
          <w:bCs w:val="1"/>
          <w:color w:val="auto"/>
        </w:rPr>
        <w:t>treated with FTX-HbF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161290</wp:posOffset>
            </wp:positionV>
            <wp:extent cx="2778760" cy="23666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78760" cy="23666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80" w:space="720"/>
            <w:col w:w="472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418"/>
        <w:spacing w:after="0" w:line="294" w:lineRule="auto"/>
        <w:rPr>
          <w:sz w:val="20"/>
          <w:szCs w:val="20"/>
          <w:color w:val="auto"/>
        </w:rPr>
      </w:pPr>
      <w:r>
        <w:rPr>
          <w:rFonts w:ascii="Arial" w:cs="Arial" w:eastAsia="Arial" w:hAnsi="Arial"/>
          <w:sz w:val="16"/>
          <w:szCs w:val="16"/>
          <w:color w:val="auto"/>
        </w:rPr>
        <w:t>In the graphic on the left, we determined the level of human HBG1 mRNA for the four treatment conditions from mouse blood, shown as a percentage of vehicle-alone-treated SCD mice. In the graphic on the right, we determined the level of human HbF protein for the four treatment conditions, shown as a percentage of vehicle-alone-treated SCD mice. Each value represents the mean value from five or six mice per treatment after 28 days of treatment. In these studies, we used a conventional method of assessing statistical significance known as a one-way analysis of variance, or ANOVA. The p-value for the study depicted on the left was less than 0.0001 and the p-value for the study depicted on the right was less than 0.001.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Development Plan for FTX-HbF</w:t>
      </w:r>
    </w:p>
    <w:p>
      <w:pPr>
        <w:spacing w:after="0" w:line="225" w:lineRule="exact"/>
        <w:rPr>
          <w:sz w:val="20"/>
          <w:szCs w:val="20"/>
          <w:color w:val="auto"/>
        </w:rPr>
      </w:pPr>
    </w:p>
    <w:p>
      <w:pPr>
        <w:jc w:val="both"/>
        <w:ind w:firstLine="413"/>
        <w:spacing w:after="0" w:line="259" w:lineRule="auto"/>
        <w:rPr>
          <w:sz w:val="20"/>
          <w:szCs w:val="20"/>
          <w:color w:val="auto"/>
        </w:rPr>
      </w:pPr>
      <w:r>
        <w:rPr>
          <w:rFonts w:ascii="Arial" w:cs="Arial" w:eastAsia="Arial" w:hAnsi="Arial"/>
          <w:sz w:val="18"/>
          <w:szCs w:val="18"/>
          <w:color w:val="auto"/>
        </w:rPr>
        <w:t>We are currently conducting IND-enabling studies and intend to submit an IND for FTX-HbF in mid-2020. We intend to initiate a Phase 1 clinical trial of FTX-HbF in healthy volunteers in late 2020. The Phase 1 trial will be designed to investigate the safety and tolerability of single and multiple ascending doses of FTX-HbF and to define the relationship between PK and target engagement in blood.</w:t>
      </w:r>
    </w:p>
    <w:p>
      <w:pPr>
        <w:spacing w:after="0" w:line="194" w:lineRule="exact"/>
        <w:rPr>
          <w:sz w:val="20"/>
          <w:szCs w:val="20"/>
          <w:color w:val="auto"/>
        </w:rPr>
      </w:pPr>
    </w:p>
    <w:p>
      <w:pPr>
        <w:jc w:val="both"/>
        <w:ind w:firstLine="377"/>
        <w:spacing w:after="0" w:line="313" w:lineRule="auto"/>
        <w:rPr>
          <w:sz w:val="20"/>
          <w:szCs w:val="20"/>
          <w:color w:val="auto"/>
        </w:rPr>
      </w:pPr>
      <w:r>
        <w:rPr>
          <w:rFonts w:ascii="Arial" w:cs="Arial" w:eastAsia="Arial" w:hAnsi="Arial"/>
          <w:sz w:val="16"/>
          <w:szCs w:val="16"/>
          <w:color w:val="auto"/>
        </w:rPr>
        <w:t>Following completion of the Phase 1 trial, we would consider a parallel development path in SCD and b-thalassemia. We expect that our target SCD patient population will be adult SCD patients with inadequate disease control and that concomitant use of hydroxyurea and/or L-glutamine will be allowed when available. We expect that our target b-thalassemia patient population will be adult b-thalassemia patients who are not b</w:t>
      </w:r>
      <w:r>
        <w:rPr>
          <w:rFonts w:ascii="Arial" w:cs="Arial" w:eastAsia="Arial" w:hAnsi="Arial"/>
          <w:sz w:val="26"/>
          <w:szCs w:val="26"/>
          <w:color w:val="auto"/>
          <w:vertAlign w:val="superscript"/>
        </w:rPr>
        <w:t>0</w:t>
      </w:r>
      <w:r>
        <w:rPr>
          <w:rFonts w:ascii="Arial" w:cs="Arial" w:eastAsia="Arial" w:hAnsi="Arial"/>
          <w:sz w:val="16"/>
          <w:szCs w:val="16"/>
          <w:color w:val="auto"/>
        </w:rPr>
        <w:t xml:space="preserve"> but are transfusion-dependent.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Screening Programs</w:t>
      </w:r>
    </w:p>
    <w:p>
      <w:pPr>
        <w:spacing w:after="0" w:line="231"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8"/>
          <w:szCs w:val="18"/>
          <w:color w:val="auto"/>
        </w:rPr>
        <w:t>We have leveraged our proprietary product engine to discover targets that we are pursuing with small molecules for FSHD and SCD and b-thalassemia. We are leveraging the broad applicability of our product engine to discover drug targets for other rare, genetically defined diseases across neuromuscular and CNS diseases. We plan to complete four additional screens in 2019. These four diseases and our approach to identifying targets to address the root cause of each disease are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130810</wp:posOffset>
            </wp:positionV>
            <wp:extent cx="5514340" cy="10293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1434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92"/>
        <w:spacing w:after="0" w:line="298" w:lineRule="auto"/>
        <w:rPr>
          <w:sz w:val="20"/>
          <w:szCs w:val="20"/>
          <w:color w:val="auto"/>
        </w:rPr>
      </w:pPr>
      <w:r>
        <w:rPr>
          <w:rFonts w:ascii="Arial" w:cs="Arial" w:eastAsia="Arial" w:hAnsi="Arial"/>
          <w:sz w:val="16"/>
          <w:szCs w:val="16"/>
          <w:color w:val="auto"/>
        </w:rPr>
        <w:t>We currently plan to conduct six additional screens in 2020, and we are undergoing a rigorous disease assessment and selection process. Although we believe our product engine and screening efforts are robust and have a high likelihood of identifying drug targets for each new screen area, we intend to focus on advancing the most attractive targets and development candidates identified from our screening efforts for development. We may also selectively consider external partnerships for those areas that may be more appropriate for a partner to advance.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w:t>
      </w:r>
    </w:p>
    <w:p>
      <w:pPr>
        <w:spacing w:after="0" w:line="225" w:lineRule="exact"/>
        <w:rPr>
          <w:sz w:val="20"/>
          <w:szCs w:val="20"/>
          <w:color w:val="auto"/>
        </w:rPr>
      </w:pPr>
    </w:p>
    <w:p>
      <w:pPr>
        <w:jc w:val="both"/>
        <w:ind w:firstLine="463"/>
        <w:spacing w:after="0" w:line="290" w:lineRule="auto"/>
        <w:rPr>
          <w:sz w:val="20"/>
          <w:szCs w:val="20"/>
          <w:color w:val="auto"/>
        </w:rPr>
      </w:pPr>
      <w:r>
        <w:rPr>
          <w:rFonts w:ascii="Arial" w:cs="Arial" w:eastAsia="Arial" w:hAnsi="Arial"/>
          <w:sz w:val="16"/>
          <w:szCs w:val="16"/>
          <w:color w:val="auto"/>
        </w:rPr>
        <w:t>Duchenne muscular dystrophy, or DMD, is the most common childhood-onset muscular dystrophy with a prevalence of approximately one out of every 3,500 male births. Patients usually are diagnosed before five years of age and typically require the use of wheelchairs before their teens. Life-threatening cardiac and respiratory complications result in a life expectancy of 20-30 years without any treatment. Currently, management of these complications by standard of care treatment (</w:t>
      </w:r>
      <w:r>
        <w:rPr>
          <w:rFonts w:ascii="Arial" w:cs="Arial" w:eastAsia="Arial" w:hAnsi="Arial"/>
          <w:sz w:val="16"/>
          <w:szCs w:val="16"/>
          <w:i w:val="1"/>
          <w:iCs w:val="1"/>
          <w:color w:val="auto"/>
        </w:rPr>
        <w:t>e.g.</w:t>
      </w:r>
      <w:r>
        <w:rPr>
          <w:rFonts w:ascii="Arial" w:cs="Arial" w:eastAsia="Arial" w:hAnsi="Arial"/>
          <w:sz w:val="16"/>
          <w:szCs w:val="16"/>
          <w:color w:val="auto"/>
        </w:rPr>
        <w:t xml:space="preserve">, corticosteroids) can extend life expectancy, however, there are no approved disease-modifying therapies. This X-chromosome linked disease is caused by mutations in the </w:t>
      </w:r>
      <w:r>
        <w:rPr>
          <w:rFonts w:ascii="Arial" w:cs="Arial" w:eastAsia="Arial" w:hAnsi="Arial"/>
          <w:sz w:val="16"/>
          <w:szCs w:val="16"/>
          <w:i w:val="1"/>
          <w:iCs w:val="1"/>
          <w:color w:val="auto"/>
        </w:rPr>
        <w:t>DMD</w:t>
      </w:r>
      <w:r>
        <w:rPr>
          <w:rFonts w:ascii="Arial" w:cs="Arial" w:eastAsia="Arial" w:hAnsi="Arial"/>
          <w:sz w:val="16"/>
          <w:szCs w:val="16"/>
          <w:color w:val="auto"/>
        </w:rPr>
        <w:t xml:space="preserve"> gene resulting in the loss of expression or function of the protein dystrophin. Dystrophin is an integral component of a large multiprotein complex that functions by linking the sarcolemma (the plasma membrane in muscle fibers) with the cytoskeleton and other motor machinery. In the absence of dystrophin, progressive muscle fiber degeneration results in loss of function and clinical manifestation of the disease.</w:t>
      </w:r>
    </w:p>
    <w:p>
      <w:pPr>
        <w:spacing w:after="0" w:line="172" w:lineRule="exact"/>
        <w:rPr>
          <w:sz w:val="20"/>
          <w:szCs w:val="20"/>
          <w:color w:val="auto"/>
        </w:rPr>
      </w:pPr>
    </w:p>
    <w:p>
      <w:pPr>
        <w:jc w:val="both"/>
        <w:ind w:right="20" w:firstLine="469"/>
        <w:spacing w:after="0" w:line="306" w:lineRule="auto"/>
        <w:rPr>
          <w:sz w:val="20"/>
          <w:szCs w:val="20"/>
          <w:color w:val="auto"/>
        </w:rPr>
      </w:pPr>
      <w:r>
        <w:rPr>
          <w:rFonts w:ascii="Arial" w:cs="Arial" w:eastAsia="Arial" w:hAnsi="Arial"/>
          <w:sz w:val="16"/>
          <w:szCs w:val="16"/>
          <w:color w:val="auto"/>
        </w:rPr>
        <w:t>Our goal is to apply our product engine to identify drug targets to increase the expression of utrophin, a dystrophin-related protein, that can replace the function of dystrophin in the membrane and address the dysfunction due to damaged muscle fibers. Utrophin is normally expressed in other tissues and studies have shown that higher levels of this protein result in functional improvements in animal models of the disease.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Friedreich Ataxia</w:t>
      </w:r>
    </w:p>
    <w:p>
      <w:pPr>
        <w:spacing w:after="0" w:line="225"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auto"/>
        </w:rPr>
        <w:t xml:space="preserve">Friedreich ataxia, or FA, a neuromuscular disorder affecting about one out of every 40,000 people, is the most common hereditary ataxia, with a typical age of onset between 10 and 15 years. The progressive impaired muscle coordination, ataxia, is caused by the degeneration of neurons in the cerebellum and dorsal root ganglia in the spinal cord. FA patients also commonly suffer from life-threatening heart conditions such as hypertrophic cardiomyopathy, myocardial fibrosis and heart failure. There are no approved disease-modifying therapies. The genetic root cause of FA is an expansion of a sequence in the frataxin gene, </w:t>
      </w:r>
      <w:r>
        <w:rPr>
          <w:rFonts w:ascii="Arial" w:cs="Arial" w:eastAsia="Arial" w:hAnsi="Arial"/>
          <w:sz w:val="18"/>
          <w:szCs w:val="18"/>
          <w:i w:val="1"/>
          <w:iCs w:val="1"/>
          <w:color w:val="auto"/>
        </w:rPr>
        <w:t>FXN,</w:t>
      </w:r>
      <w:r>
        <w:rPr>
          <w:rFonts w:ascii="Arial" w:cs="Arial" w:eastAsia="Arial" w:hAnsi="Arial"/>
          <w:sz w:val="18"/>
          <w:szCs w:val="18"/>
          <w:color w:val="auto"/>
        </w:rPr>
        <w:t xml:space="preserve"> which causes its downregulation. Loss of function of frataxin, an important protein involved in iron metabolism, results in oxidative stress and mitochondrial dysfunction.</w:t>
      </w:r>
    </w:p>
    <w:p>
      <w:pPr>
        <w:spacing w:after="0" w:line="198"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Our goal is to apply our product engine to identify drug targets that can upregulate the levels of frataxin protein to levels that will impact and restore function to prevent neuronal and cardiac cell degeneration.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Myotonic Dystrophy 1</w:t>
      </w:r>
    </w:p>
    <w:p>
      <w:pPr>
        <w:spacing w:after="0" w:line="225" w:lineRule="exact"/>
        <w:rPr>
          <w:sz w:val="20"/>
          <w:szCs w:val="20"/>
          <w:color w:val="auto"/>
        </w:rPr>
      </w:pPr>
    </w:p>
    <w:p>
      <w:pPr>
        <w:jc w:val="both"/>
        <w:ind w:firstLine="422"/>
        <w:spacing w:after="0" w:line="290" w:lineRule="auto"/>
        <w:rPr>
          <w:sz w:val="20"/>
          <w:szCs w:val="20"/>
          <w:color w:val="auto"/>
        </w:rPr>
      </w:pPr>
      <w:r>
        <w:rPr>
          <w:rFonts w:ascii="Arial" w:cs="Arial" w:eastAsia="Arial" w:hAnsi="Arial"/>
          <w:sz w:val="16"/>
          <w:szCs w:val="16"/>
          <w:color w:val="auto"/>
        </w:rPr>
        <w:t xml:space="preserve">Myotonic Dystrophy 1, or DM1, is the most common adult-onset muscular dystrophy affecting about one out of every 8,000 people, with a typical age of onset between 20 and 40 years. It is characterized by muscle weakness and myotonia. Cardiopulmonary complications when present can be life-threatening and current treatments are directed toward managing these complications. There are no approved disease-modifying therapies. DM1 is caused by expansion of a triple nucleotide repeat present in the non-coding region of the </w:t>
      </w:r>
      <w:r>
        <w:rPr>
          <w:rFonts w:ascii="Arial" w:cs="Arial" w:eastAsia="Arial" w:hAnsi="Arial"/>
          <w:sz w:val="16"/>
          <w:szCs w:val="16"/>
          <w:i w:val="1"/>
          <w:iCs w:val="1"/>
          <w:color w:val="auto"/>
        </w:rPr>
        <w:t>DMPK</w:t>
      </w:r>
      <w:r>
        <w:rPr>
          <w:rFonts w:ascii="Arial" w:cs="Arial" w:eastAsia="Arial" w:hAnsi="Arial"/>
          <w:sz w:val="16"/>
          <w:szCs w:val="16"/>
          <w:color w:val="auto"/>
        </w:rPr>
        <w:t xml:space="preserve"> gene and are part of its mature transcript. More than 50 cytosine-thymine-guanine repeats are usually associated with pathology and disease severity is proportional to the number of repeats, which can expand to over 4,000. The accumulation of </w:t>
      </w:r>
      <w:r>
        <w:rPr>
          <w:rFonts w:ascii="Arial" w:cs="Arial" w:eastAsia="Arial" w:hAnsi="Arial"/>
          <w:sz w:val="16"/>
          <w:szCs w:val="16"/>
          <w:i w:val="1"/>
          <w:iCs w:val="1"/>
          <w:color w:val="auto"/>
        </w:rPr>
        <w:t>DMPK</w:t>
      </w:r>
      <w:r>
        <w:rPr>
          <w:rFonts w:ascii="Arial" w:cs="Arial" w:eastAsia="Arial" w:hAnsi="Arial"/>
          <w:sz w:val="16"/>
          <w:szCs w:val="16"/>
          <w:color w:val="auto"/>
        </w:rPr>
        <w:t xml:space="preserve"> gene transcripts containing long repeats result in the sequestration of proteins important for the correct splicing of important transcripts participating in the function of skeletal and cardiac muscle and other tissues.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 xml:space="preserve">Our goal is to apply our product engine to identify drug targets that may lead to downregulation of the expression of the </w:t>
      </w:r>
      <w:r>
        <w:rPr>
          <w:rFonts w:ascii="Arial" w:cs="Arial" w:eastAsia="Arial" w:hAnsi="Arial"/>
          <w:sz w:val="18"/>
          <w:szCs w:val="18"/>
          <w:i w:val="1"/>
          <w:iCs w:val="1"/>
          <w:color w:val="auto"/>
        </w:rPr>
        <w:t>DMPK</w:t>
      </w:r>
      <w:r>
        <w:rPr>
          <w:rFonts w:ascii="Arial" w:cs="Arial" w:eastAsia="Arial" w:hAnsi="Arial"/>
          <w:sz w:val="18"/>
          <w:szCs w:val="18"/>
          <w:color w:val="auto"/>
        </w:rPr>
        <w:t xml:space="preserve"> gene in order to reduce the levels of the pathological repeats and improve muscle function. Reduction of </w:t>
      </w:r>
      <w:r>
        <w:rPr>
          <w:rFonts w:ascii="Arial" w:cs="Arial" w:eastAsia="Arial" w:hAnsi="Arial"/>
          <w:sz w:val="18"/>
          <w:szCs w:val="18"/>
          <w:i w:val="1"/>
          <w:iCs w:val="1"/>
          <w:color w:val="auto"/>
        </w:rPr>
        <w:t>DMPK</w:t>
      </w:r>
      <w:r>
        <w:rPr>
          <w:rFonts w:ascii="Arial" w:cs="Arial" w:eastAsia="Arial" w:hAnsi="Arial"/>
          <w:sz w:val="18"/>
          <w:szCs w:val="18"/>
          <w:color w:val="auto"/>
        </w:rPr>
        <w:t xml:space="preserve"> gene expression in DM1 models has been shown to reduce aberrant splicing and to be well tolerated.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a-Synucleinopathies</w:t>
      </w:r>
    </w:p>
    <w:p>
      <w:pPr>
        <w:spacing w:after="0" w:line="225" w:lineRule="exact"/>
        <w:rPr>
          <w:sz w:val="20"/>
          <w:szCs w:val="20"/>
          <w:color w:val="auto"/>
        </w:rPr>
      </w:pPr>
    </w:p>
    <w:p>
      <w:pPr>
        <w:jc w:val="both"/>
        <w:ind w:firstLine="390"/>
        <w:spacing w:after="0" w:line="290" w:lineRule="auto"/>
        <w:rPr>
          <w:sz w:val="20"/>
          <w:szCs w:val="20"/>
          <w:color w:val="auto"/>
        </w:rPr>
      </w:pPr>
      <w:r>
        <w:rPr>
          <w:rFonts w:ascii="Arial" w:cs="Arial" w:eastAsia="Arial" w:hAnsi="Arial"/>
          <w:sz w:val="16"/>
          <w:szCs w:val="16"/>
          <w:color w:val="auto"/>
        </w:rPr>
        <w:t xml:space="preserve">In rare cases, a-Synucleinopathies result from point mutations and multiplications in the </w:t>
      </w:r>
      <w:r>
        <w:rPr>
          <w:rFonts w:ascii="Arial" w:cs="Arial" w:eastAsia="Arial" w:hAnsi="Arial"/>
          <w:sz w:val="16"/>
          <w:szCs w:val="16"/>
          <w:i w:val="1"/>
          <w:iCs w:val="1"/>
          <w:color w:val="auto"/>
        </w:rPr>
        <w:t>SNCA</w:t>
      </w:r>
      <w:r>
        <w:rPr>
          <w:rFonts w:ascii="Arial" w:cs="Arial" w:eastAsia="Arial" w:hAnsi="Arial"/>
          <w:sz w:val="16"/>
          <w:szCs w:val="16"/>
          <w:color w:val="auto"/>
        </w:rPr>
        <w:t xml:space="preserve"> gene that encodes the protein a-synuclein. Familial forms of Parkinson's disease can result from these mutations and multiplications in the </w:t>
      </w:r>
      <w:r>
        <w:rPr>
          <w:rFonts w:ascii="Arial" w:cs="Arial" w:eastAsia="Arial" w:hAnsi="Arial"/>
          <w:sz w:val="16"/>
          <w:szCs w:val="16"/>
          <w:i w:val="1"/>
          <w:iCs w:val="1"/>
          <w:color w:val="auto"/>
        </w:rPr>
        <w:t>SNCA</w:t>
      </w:r>
      <w:r>
        <w:rPr>
          <w:rFonts w:ascii="Arial" w:cs="Arial" w:eastAsia="Arial" w:hAnsi="Arial"/>
          <w:sz w:val="16"/>
          <w:szCs w:val="16"/>
          <w:color w:val="auto"/>
        </w:rPr>
        <w:t xml:space="preserve"> gene. Parkinson's disease is a common progressive neurodegenerative disease characterized by movement disorders such as bradykinesia, rigidity and tremor. Genome wide association studies have linked single nucleotide polymorphisms in </w:t>
      </w:r>
      <w:r>
        <w:rPr>
          <w:rFonts w:ascii="Arial" w:cs="Arial" w:eastAsia="Arial" w:hAnsi="Arial"/>
          <w:sz w:val="16"/>
          <w:szCs w:val="16"/>
          <w:i w:val="1"/>
          <w:iCs w:val="1"/>
          <w:color w:val="auto"/>
        </w:rPr>
        <w:t xml:space="preserve">SNCA </w:t>
      </w:r>
      <w:r>
        <w:rPr>
          <w:rFonts w:ascii="Arial" w:cs="Arial" w:eastAsia="Arial" w:hAnsi="Arial"/>
          <w:sz w:val="16"/>
          <w:szCs w:val="16"/>
          <w:color w:val="auto"/>
        </w:rPr>
        <w:t>with increased risk of Parkinson's disease. These mutations have been shown to increase levels of pathological, aggregated a-synuclein, leading to the loss</w:t>
      </w:r>
      <w:r>
        <w:rPr>
          <w:rFonts w:ascii="Arial" w:cs="Arial" w:eastAsia="Arial" w:hAnsi="Arial"/>
          <w:sz w:val="16"/>
          <w:szCs w:val="16"/>
          <w:i w:val="1"/>
          <w:iCs w:val="1"/>
          <w:color w:val="auto"/>
        </w:rPr>
        <w:t xml:space="preserve"> </w:t>
      </w:r>
      <w:r>
        <w:rPr>
          <w:rFonts w:ascii="Arial" w:cs="Arial" w:eastAsia="Arial" w:hAnsi="Arial"/>
          <w:sz w:val="16"/>
          <w:szCs w:val="16"/>
          <w:color w:val="auto"/>
        </w:rPr>
        <w:t>of midbrain dopaminergic neurons important for motor control. Abnormal deposits of a-synuclein protein, or Lewy bodies, are the characteristic histological signature of Parkinson's disease at autopsy. According to the Parkinson's Foundation, nearly one million people will be living with Parkinson's disease in the United States by 2020.</w:t>
      </w:r>
    </w:p>
    <w:p>
      <w:pPr>
        <w:spacing w:after="0" w:line="172" w:lineRule="exact"/>
        <w:rPr>
          <w:sz w:val="20"/>
          <w:szCs w:val="20"/>
          <w:color w:val="auto"/>
        </w:rPr>
      </w:pPr>
    </w:p>
    <w:p>
      <w:pPr>
        <w:jc w:val="both"/>
        <w:ind w:firstLine="398"/>
        <w:spacing w:after="0" w:line="256" w:lineRule="auto"/>
        <w:rPr>
          <w:sz w:val="20"/>
          <w:szCs w:val="20"/>
          <w:color w:val="auto"/>
        </w:rPr>
      </w:pPr>
      <w:r>
        <w:rPr>
          <w:rFonts w:ascii="Arial" w:cs="Arial" w:eastAsia="Arial" w:hAnsi="Arial"/>
          <w:sz w:val="18"/>
          <w:szCs w:val="18"/>
          <w:color w:val="auto"/>
        </w:rPr>
        <w:t>Our goal is to use our product engine to identify drug targets for genetically defined a-synucleinopathies that may lead to reduction in a-synuclein levels in the most relevant cell type for Parkinson's disease—dopaminergic neurons. Our goal is to lower the overall a-synuclein load in the brain of patients with sporadic or genetic a-synucleinopathies by starting treatment early in their disease course to prevent further a-synuclein-dependent neurodegeneration, thus representing a potential disease-modifying approach across all a-synucleinopathies.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Reference and License Agreement with GlaxoSmithKline</w:t>
      </w:r>
    </w:p>
    <w:p>
      <w:pPr>
        <w:spacing w:after="0" w:line="231"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In February 2019, we entered into a right of reference and license agreement with affiliates of GSK, pursuant to which GSK granted us a right of reference to certain INDs filed with the FDA and controlled by GSK or its affiliates relating to losmapimod and an exclusive worldwide license under certain patent rights related to losmapimod. The agreement also provides us with an exclusive worldwide license to certain of GSK's preclinical and clinical data with respect to losmapimod. As partial consideration for the right of reference and licenses granted under the agreement, we issued 12,500,000 shares of our Series B preferred stock to GSK at the time we entered into the reference and license agreement. The agreement obligates us to use commercially reasonable efforts to develop and commercialize a licensed product for the treatment of FSHD.</w:t>
      </w:r>
    </w:p>
    <w:p>
      <w:pPr>
        <w:spacing w:after="0" w:line="174"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8"/>
          <w:szCs w:val="18"/>
          <w:color w:val="auto"/>
        </w:rPr>
        <w:t>The agreement grants us an exclusive, sublicensable license under the licensed patent rights and data rights to research, develop and commercialize losmapimod or any product containing losmapimod as an API, which we refer to as a licensed product, to treat disease in humans. GSK retained the right, without the right to grant sublicenses, to conduct nonclinical research under the licensed patents and data rights and, with our consent, GSK may engage in certain developmental activities relating to the use of a licensed product in connection with a specified prophylactic use. GSK also agreed to and has since transferred to us its existing manufactured supply of losmapimod.</w:t>
      </w:r>
    </w:p>
    <w:p>
      <w:pPr>
        <w:spacing w:after="0" w:line="197" w:lineRule="exact"/>
        <w:rPr>
          <w:sz w:val="20"/>
          <w:szCs w:val="20"/>
          <w:color w:val="auto"/>
        </w:rPr>
      </w:pPr>
    </w:p>
    <w:p>
      <w:pPr>
        <w:jc w:val="both"/>
        <w:ind w:firstLine="393"/>
        <w:spacing w:after="0" w:line="294" w:lineRule="auto"/>
        <w:rPr>
          <w:sz w:val="20"/>
          <w:szCs w:val="20"/>
          <w:color w:val="auto"/>
        </w:rPr>
      </w:pPr>
      <w:r>
        <w:rPr>
          <w:rFonts w:ascii="Arial" w:cs="Arial" w:eastAsia="Arial" w:hAnsi="Arial"/>
          <w:sz w:val="16"/>
          <w:szCs w:val="16"/>
          <w:color w:val="auto"/>
        </w:rPr>
        <w:t>Under the agreement, we will be obligated to make milestone payments to GSK aggregating up to $37.5 million upon the achievement of specified clinical and regulatory milestones with respect to the first licensed product to achieve such milestones, and up to $60.0 million upon the achievement of one-time aggregate annual worldwide net sales milestones. We will also be obligated to pay royalties ranging from a mid single-digit percentage to a low double-digit percentage to GSK based on our, and any of our affiliates' and sublicensees', annual net sales of licensed products. The royalties are payable on a product-by-product and country-by-country basis, and may be reduced in specified circumstances.</w:t>
      </w:r>
    </w:p>
    <w:p>
      <w:pPr>
        <w:spacing w:after="0" w:line="170"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8"/>
          <w:szCs w:val="18"/>
          <w:color w:val="auto"/>
        </w:rPr>
        <w:t>Our obligation to make royalty payments extends with respect to a licensed product in a country until the earlier of the approval of a generic version of such licensed product by the applicable regulatory agency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such country or the tenth anniversary of the first commercial sale of such licensed product in such country, which we refer to as the royalty term. Following the expiration of regulatory exclusivity for any licensed product on a country-by-country basis, the applicable royalty rate will be reduced. Additionally, if we or our affiliates or sublicensees determine that it is necessary to obtain a license from a third party under any patent rights to exploit a licensed product in a country, then we may deduct a certain percentage of the license fees under such third party license payable by us to the third party from the royalty payment that would otherwise be due to GSK in such country.</w:t>
      </w:r>
    </w:p>
    <w:p>
      <w:pPr>
        <w:spacing w:after="0" w:line="197" w:lineRule="exact"/>
        <w:rPr>
          <w:sz w:val="20"/>
          <w:szCs w:val="20"/>
          <w:color w:val="auto"/>
        </w:rPr>
      </w:pPr>
    </w:p>
    <w:p>
      <w:pPr>
        <w:jc w:val="both"/>
        <w:ind w:firstLine="354"/>
        <w:spacing w:after="0" w:line="255" w:lineRule="auto"/>
        <w:rPr>
          <w:sz w:val="20"/>
          <w:szCs w:val="20"/>
          <w:color w:val="auto"/>
        </w:rPr>
      </w:pPr>
      <w:r>
        <w:rPr>
          <w:rFonts w:ascii="Arial" w:cs="Arial" w:eastAsia="Arial" w:hAnsi="Arial"/>
          <w:sz w:val="18"/>
          <w:szCs w:val="18"/>
          <w:color w:val="auto"/>
        </w:rPr>
        <w:t>If, prior to our completion of the first Phase 2 clinical trial for a licensed product, we wish to sublicense any of the licensed patent or data rights granted to us under the agreement to any third party outside of the United States, we must notify GSK of the terms on which we propose to grant such sublicense. GSK has the right to enter into negotiations with us for such sublicense, and if GSK so elects, then we must negotiate in good faith with GSK for a prescribed period. If we and GSK do not agree to a sublicense of the relevant rights, we may sublicense the relevant rights to the third party on terms no less favorable than any terms offered to us by GSK.</w:t>
      </w:r>
    </w:p>
    <w:p>
      <w:pPr>
        <w:spacing w:after="0" w:line="197" w:lineRule="exact"/>
        <w:rPr>
          <w:sz w:val="20"/>
          <w:szCs w:val="20"/>
          <w:color w:val="auto"/>
        </w:rPr>
      </w:pPr>
    </w:p>
    <w:p>
      <w:pPr>
        <w:jc w:val="both"/>
        <w:ind w:firstLine="385"/>
        <w:spacing w:after="0" w:line="298" w:lineRule="auto"/>
        <w:rPr>
          <w:sz w:val="20"/>
          <w:szCs w:val="20"/>
          <w:color w:val="auto"/>
        </w:rPr>
      </w:pPr>
      <w:r>
        <w:rPr>
          <w:rFonts w:ascii="Arial" w:cs="Arial" w:eastAsia="Arial" w:hAnsi="Arial"/>
          <w:sz w:val="16"/>
          <w:szCs w:val="16"/>
          <w:color w:val="auto"/>
        </w:rPr>
        <w:t>The agreement continues on a country-by-country and licensed product-by-licensed product basis until the expiration of the royalty term in each country, at which time the agreement expires with respect to such licensed product in such country and we shall have a fully-paid up, royalty-free and perpetual license to the licensed patent rights and data with respect to such licensed product in such country. Either party has the right to terminate the agreement if the other party has materially breached in the performance of its obligations under the agreement and such breach has not been cured within the applicable cure period.</w:t>
      </w:r>
    </w:p>
    <w:p>
      <w:pPr>
        <w:spacing w:after="0" w:line="167"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We also agreed to provide GSK the opportunity to purchase shares of common stock in connection with this offering equal to the proportion that the shares of common stock held by GSK (assuming conversion of all preferred stock into common stock upon consummation of this offering) bear to the total number of shares of common stock immediately prior to the closing of this offering (assuming conversion of all preferred stock into common stock upon consummation of this offering and all outstanding options). If GSK exercises its rights to purchase shares of common stock in connection with this offering, subject to certain conditions, GSK may purchase shares offered in this offering or may purchase shares of common stock in a private placement that is expected to close concurrently with this offering, in each case at the initial per share public offering price.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jc w:val="both"/>
        <w:ind w:firstLine="506"/>
        <w:spacing w:after="0" w:line="306" w:lineRule="auto"/>
        <w:rPr>
          <w:sz w:val="20"/>
          <w:szCs w:val="20"/>
          <w:color w:val="auto"/>
        </w:rPr>
      </w:pPr>
      <w:r>
        <w:rPr>
          <w:rFonts w:ascii="Arial" w:cs="Arial" w:eastAsia="Arial" w:hAnsi="Arial"/>
          <w:sz w:val="16"/>
          <w:szCs w:val="16"/>
          <w:color w:val="auto"/>
        </w:rPr>
        <w:t>We strive to protect and enhance the proprietary technology, inventions and improvements that are commercially important to the development of our business, including by seeking, maintaining and defending patent rights, whether developed internally or licensed from third parties. We also rely on trade secrets, know-how, continuing technological innovation and in-licensing opportunities to develop, strengthen and maintain our proprietary position in our field.</w:t>
      </w:r>
    </w:p>
    <w:p>
      <w:pPr>
        <w:spacing w:after="0" w:line="161" w:lineRule="exact"/>
        <w:rPr>
          <w:sz w:val="20"/>
          <w:szCs w:val="20"/>
          <w:color w:val="auto"/>
        </w:rPr>
      </w:pPr>
    </w:p>
    <w:p>
      <w:pPr>
        <w:jc w:val="both"/>
        <w:ind w:firstLine="426"/>
        <w:spacing w:after="0" w:line="294" w:lineRule="auto"/>
        <w:rPr>
          <w:sz w:val="20"/>
          <w:szCs w:val="20"/>
          <w:color w:val="auto"/>
        </w:rPr>
      </w:pPr>
      <w:r>
        <w:rPr>
          <w:rFonts w:ascii="Arial" w:cs="Arial" w:eastAsia="Arial" w:hAnsi="Arial"/>
          <w:sz w:val="16"/>
          <w:szCs w:val="16"/>
          <w:color w:val="auto"/>
        </w:rPr>
        <w:t>Our future commercial success depends, in part, on our ability to: obtain and maintain patent and other proprietary protection for commercially important technology, inventions and know-how related to our business; defend and enforce in our intellectual property rights, in particular our patents rights; preserve the confidentiality of our trade secrets; and operate without infringing, misappropriating or violating the valid and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w:t>
      </w:r>
    </w:p>
    <w:p>
      <w:pPr>
        <w:spacing w:after="0" w:line="170" w:lineRule="exact"/>
        <w:rPr>
          <w:sz w:val="20"/>
          <w:szCs w:val="20"/>
          <w:color w:val="auto"/>
        </w:rPr>
      </w:pPr>
    </w:p>
    <w:p>
      <w:pPr>
        <w:jc w:val="both"/>
        <w:ind w:firstLine="390"/>
        <w:spacing w:after="0" w:line="298" w:lineRule="auto"/>
        <w:rPr>
          <w:sz w:val="20"/>
          <w:szCs w:val="20"/>
          <w:color w:val="auto"/>
        </w:rPr>
      </w:pPr>
      <w:r>
        <w:rPr>
          <w:rFonts w:ascii="Arial" w:cs="Arial" w:eastAsia="Arial" w:hAnsi="Arial"/>
          <w:sz w:val="16"/>
          <w:szCs w:val="16"/>
          <w:color w:val="auto"/>
        </w:rPr>
        <w:t>The patent positions of biotechnology and pharmaceutical companies like ours are generally uncertain and can involve complex legal, scientific and factual issues. We cannot predict whether the patent applications we are currently pursuing will issue as patents in any particular jurisdiction or whether the claims of any issued patents will provide sufficient proprietary protection from competitors. We also cannot ensure that patents will issue with respect to any patent applications that we or our licensors may file in the future, nor can we ensure that any of our owned or licensed patents or future patents will be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commercially useful in protecting our product candidates and methods of manufacturing the same. In addition, the coverage claimed in a patent application may be significantly reduced before a patent is issued, and its scope can be reinterpreted and even challenged after issuance. As a result, we cannot guarantee that any of our products will be protected or remain protectable by enforceable patents. Moreover, any patents that we hold may be challenged, circumvented or invalidated by third parties. See "Risk Factors—Risks Related to Our Intellectual Property" for a more comprehensive description of risks related to our intellectual property.</w:t>
      </w:r>
    </w:p>
    <w:p>
      <w:pPr>
        <w:spacing w:after="0" w:line="197" w:lineRule="exact"/>
        <w:rPr>
          <w:sz w:val="20"/>
          <w:szCs w:val="20"/>
          <w:color w:val="auto"/>
        </w:rPr>
      </w:pPr>
    </w:p>
    <w:p>
      <w:pPr>
        <w:jc w:val="both"/>
        <w:ind w:firstLine="418"/>
        <w:spacing w:after="0" w:line="259" w:lineRule="auto"/>
        <w:rPr>
          <w:sz w:val="20"/>
          <w:szCs w:val="20"/>
          <w:color w:val="auto"/>
        </w:rPr>
      </w:pPr>
      <w:r>
        <w:rPr>
          <w:rFonts w:ascii="Arial" w:cs="Arial" w:eastAsia="Arial" w:hAnsi="Arial"/>
          <w:sz w:val="18"/>
          <w:szCs w:val="18"/>
          <w:color w:val="auto"/>
        </w:rPr>
        <w:t>We generally file patent applications directed to our key programs in an effort to secure our intellectual property positions vis-a-vis these programs. As of April 30, 2019, we owned one allowed U.S. patent application, one U.S. pending non-provisional patent applications, four foreign pending patent applications, four pending Patent Cooperation Treaty, or PCT, applications and six U.S. provisional patent applications.</w:t>
      </w:r>
    </w:p>
    <w:p>
      <w:pPr>
        <w:spacing w:after="0" w:line="194" w:lineRule="exact"/>
        <w:rPr>
          <w:sz w:val="20"/>
          <w:szCs w:val="20"/>
          <w:color w:val="auto"/>
        </w:rPr>
      </w:pPr>
    </w:p>
    <w:p>
      <w:pPr>
        <w:jc w:val="both"/>
        <w:ind w:firstLine="463"/>
        <w:spacing w:after="0" w:line="306" w:lineRule="auto"/>
        <w:rPr>
          <w:sz w:val="20"/>
          <w:szCs w:val="20"/>
          <w:color w:val="auto"/>
        </w:rPr>
      </w:pPr>
      <w:r>
        <w:rPr>
          <w:rFonts w:ascii="Arial" w:cs="Arial" w:eastAsia="Arial" w:hAnsi="Arial"/>
          <w:sz w:val="16"/>
          <w:szCs w:val="16"/>
          <w:color w:val="auto"/>
        </w:rPr>
        <w:t>The intellectual property portfolio for our most advanced programs as of April 30, 2019, is summarized below. Prosecution is a lengthy process, during which the scope of the claims initially submitted for examination by the U.S. Patent and Trademark Office may be significantly narrowed before issuance, if issued at all. We expect this may be the case with respect to some of our pending patent applications referred to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Losmapimod and Derivatives</w:t>
      </w:r>
    </w:p>
    <w:p>
      <w:pPr>
        <w:spacing w:after="0" w:line="225" w:lineRule="exact"/>
        <w:rPr>
          <w:sz w:val="20"/>
          <w:szCs w:val="20"/>
          <w:color w:val="auto"/>
        </w:rPr>
      </w:pPr>
    </w:p>
    <w:p>
      <w:pPr>
        <w:jc w:val="both"/>
        <w:ind w:firstLine="425"/>
        <w:spacing w:after="0" w:line="287" w:lineRule="auto"/>
        <w:rPr>
          <w:sz w:val="20"/>
          <w:szCs w:val="20"/>
          <w:color w:val="auto"/>
        </w:rPr>
      </w:pPr>
      <w:r>
        <w:rPr>
          <w:rFonts w:ascii="Arial" w:cs="Arial" w:eastAsia="Arial" w:hAnsi="Arial"/>
          <w:sz w:val="16"/>
          <w:szCs w:val="16"/>
          <w:color w:val="auto"/>
        </w:rPr>
        <w:t>The patent portfolio for losmapimod is based upon Fulcrum-owned and in-licensed patent families that include patents and patent applications directed to new methods of using losmapimod and other p38 inhibitors to treat FSHD, pharmaceutical compositions generically and specifically covering p38 inhibitors, and methods for identifying novel compositions to treat FSHD. As of April 30, 2019, we owned one allowed U.S. patent application, one U.S. pending non-provisional patent application, four foreign patent applications, three pending PCT applications, and two U.S. provisional patent applications relating to our p38a/b program, primarily relating to methods of using losmapimod and certain other p38 inhibitors for the treatment of FSHD. While we believe that the specific and generic claims contained in our allowed U.S. patent application provide protection for the method of using losmapimod for the treatment of FSHD, and is not implicated by invalidating prior art, third parties may nevertheless challenge such claims. If any such claims are invalidated or rendered unenforceable for any reason, we will lose valuable intellectual property rights and our ability to prevent others from competing with us would be impaired. Any U.S. or ex-U.S. patents that may issue from pending applications that we own, if any, for our p38a/b program are projected to have a statutory expiration date in 2038, excluding any additional term for patent term adjustments or patent term extension, if applicable.</w:t>
      </w:r>
    </w:p>
    <w:p>
      <w:pPr>
        <w:spacing w:after="0" w:line="177" w:lineRule="exact"/>
        <w:rPr>
          <w:sz w:val="20"/>
          <w:szCs w:val="20"/>
          <w:color w:val="auto"/>
        </w:rPr>
      </w:pPr>
    </w:p>
    <w:p>
      <w:pPr>
        <w:jc w:val="both"/>
        <w:ind w:firstLine="374"/>
        <w:spacing w:after="0" w:line="298" w:lineRule="auto"/>
        <w:rPr>
          <w:sz w:val="20"/>
          <w:szCs w:val="20"/>
          <w:color w:val="auto"/>
        </w:rPr>
      </w:pPr>
      <w:r>
        <w:rPr>
          <w:rFonts w:ascii="Arial" w:cs="Arial" w:eastAsia="Arial" w:hAnsi="Arial"/>
          <w:sz w:val="16"/>
          <w:szCs w:val="16"/>
          <w:color w:val="auto"/>
        </w:rPr>
        <w:t>Losmapimod is currently protected by patents owned by GSK (as a composition of matter and certain uses which do not include FSHD) and certain of these patents are licensed to us. As soon as the patents covering the composition of matter expire on February 10, 2023, or are no longer in-force, the GSK-licensed patents will no longer be a barrier to entry for any unclaimed new uses, including FSHD. Even during the term of these composition of matter patents, losmapimod can still be developed in the meantime in certain geographies, including in the United States, under safe harbor regulations.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FTX-HbF</w:t>
      </w:r>
    </w:p>
    <w:p>
      <w:pPr>
        <w:spacing w:after="0" w:line="225" w:lineRule="exact"/>
        <w:rPr>
          <w:sz w:val="20"/>
          <w:szCs w:val="20"/>
          <w:color w:val="auto"/>
        </w:rPr>
      </w:pPr>
    </w:p>
    <w:p>
      <w:pPr>
        <w:jc w:val="both"/>
        <w:ind w:firstLine="403"/>
        <w:spacing w:after="0" w:line="294" w:lineRule="auto"/>
        <w:rPr>
          <w:sz w:val="20"/>
          <w:szCs w:val="20"/>
          <w:color w:val="auto"/>
        </w:rPr>
      </w:pPr>
      <w:r>
        <w:rPr>
          <w:rFonts w:ascii="Arial" w:cs="Arial" w:eastAsia="Arial" w:hAnsi="Arial"/>
          <w:sz w:val="16"/>
          <w:szCs w:val="16"/>
          <w:color w:val="auto"/>
        </w:rPr>
        <w:t>As of April 30, 2019, intellectual property portfolio for our FTX-HbF program includes one U.S. provisional patent application directed to pharmaceutical compositions generically and specifically covering inhibitors of a certain protein or protein complex that regulate fetal hemoglobin, as well as to methods for using and making these compositions. In order to continue to pursue protection based on this provisional patent application, we will need to file a PCT, foreign applications, and/or U.S. non-provisional patent application prior to the applicable deadline. If we do continue to pursue protection, any patents that may issue from the non-provisional patent applications would be projected to have statutory expiration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dates in 2039, excluding any additional term for patent term adjustments or patent term extension, if applicable. While we believe that the specific and generic claims, contained in our U.S. provisional patent application, if filed as U.S. non-provisional application, PCT application and/or foreign application(s), provide protection for the claimed pharmaceutical compositions and methods of use and are not implicated by invalidating prior art,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97" w:lineRule="exact"/>
        <w:rPr>
          <w:sz w:val="20"/>
          <w:szCs w:val="20"/>
          <w:color w:val="auto"/>
        </w:rPr>
      </w:pPr>
    </w:p>
    <w:p>
      <w:pPr>
        <w:jc w:val="both"/>
        <w:ind w:firstLine="369"/>
        <w:spacing w:after="0" w:line="268"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186" w:lineRule="exact"/>
        <w:rPr>
          <w:sz w:val="20"/>
          <w:szCs w:val="20"/>
          <w:color w:val="auto"/>
        </w:rPr>
      </w:pPr>
    </w:p>
    <w:p>
      <w:pPr>
        <w:jc w:val="both"/>
        <w:ind w:firstLine="379"/>
        <w:spacing w:after="0" w:line="309" w:lineRule="auto"/>
        <w:rPr>
          <w:sz w:val="20"/>
          <w:szCs w:val="20"/>
          <w:color w:val="auto"/>
        </w:rPr>
      </w:pPr>
      <w:r>
        <w:rPr>
          <w:rFonts w:ascii="Arial" w:cs="Arial" w:eastAsia="Arial" w:hAnsi="Arial"/>
          <w:sz w:val="15"/>
          <w:szCs w:val="15"/>
          <w:color w:val="auto"/>
        </w:rPr>
        <w:t>In the United States, the term of a patent covering an FDA-approved drug may, in certain cases, be eligible for a patent term extension under the Drug Price Competition and Patent Term Restoration Act of 1984 as compensation for the loss of patent term during the 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It is possible that issued U.S. patents covering the use of losmapimod and products from our intellectual property may be entitled to patent term extensions. If our use of drug candidates or the drug candidate itself receive FDA approval, we intend to apply for patent term extensions, if available, to extend the term of patents that cover the approved use or drug candidate. We also intend to seek patent term extensions in any jurisdictions where available, however, there is no guarantee that the applicable authorities, including the FDA, will agree with our assessment of whether such extensions should be granted, and even if granted, the length of such extensions.</w:t>
      </w:r>
    </w:p>
    <w:p>
      <w:pPr>
        <w:spacing w:after="0" w:line="162" w:lineRule="exact"/>
        <w:rPr>
          <w:sz w:val="20"/>
          <w:szCs w:val="20"/>
          <w:color w:val="auto"/>
        </w:rPr>
      </w:pPr>
    </w:p>
    <w:p>
      <w:pPr>
        <w:jc w:val="both"/>
        <w:ind w:firstLine="413"/>
        <w:spacing w:after="0" w:line="286" w:lineRule="auto"/>
        <w:rPr>
          <w:sz w:val="20"/>
          <w:szCs w:val="20"/>
          <w:color w:val="auto"/>
        </w:rPr>
      </w:pPr>
      <w:r>
        <w:rPr>
          <w:rFonts w:ascii="Arial" w:cs="Arial" w:eastAsia="Arial" w:hAnsi="Arial"/>
          <w:sz w:val="16"/>
          <w:szCs w:val="16"/>
          <w:color w:val="auto"/>
        </w:rPr>
        <w:t>In addition to patent protection, we rely upon unpatented trade secrets and confidential know-how and continuing technological innovation to develop and maintain our competitive position. However, trade secrets and confidential know-how are difficult to protect. We seek to protect our proprietary information, in part, using confidentiality agreements with any collaborators, scientific advisors, employees and consultants and invention assignment agreements with our employees. We also have agreements requiring assignment of inventions with selected consultants, scientific advisors and collaborators. These agreements may not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See "Risk Factors—Risks Related to our Intellectual Property" for a more comprehensive description of risks related to our intellectual property.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jc w:val="both"/>
        <w:ind w:firstLine="488"/>
        <w:spacing w:after="0" w:line="298" w:lineRule="auto"/>
        <w:rPr>
          <w:sz w:val="20"/>
          <w:szCs w:val="20"/>
          <w:color w:val="auto"/>
        </w:rPr>
      </w:pPr>
      <w:r>
        <w:rPr>
          <w:rFonts w:ascii="Arial" w:cs="Arial" w:eastAsia="Arial" w:hAnsi="Arial"/>
          <w:sz w:val="16"/>
          <w:szCs w:val="16"/>
          <w:color w:val="auto"/>
        </w:rPr>
        <w:t>We do not have any manufacturing facilities. We obtained sufficient losmapimod tablets, or drug product, from GSK to complete our planned Phase 2 clinical trials. We obtained losmapimod API from GSK and plan to engage a contract manufacturing organization to convert the API into losmapimod tablets. We believe that the quantity of API will be sufficient to complete further clinical trials in FSHD. We believe that we have all the necessary information from GSK to enable the required technology transfers to contract manufacturing organizations. We also intend to identify and engage contract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manufacturing organizations to prepare our own API and to manufacture tablets to support potential commercialization.</w:t>
      </w:r>
    </w:p>
    <w:p>
      <w:pPr>
        <w:spacing w:after="0" w:line="225"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We expect to rely on third parties for the manufacture of FTX-HbF and any future product candidates for preclinical and clinical testing, as well as for commercial manufacture if our product candidates receive marketing approval. Our lead product candidates are small molecules and can be manufactured in reliable and reproducible synthetic processes from readily available starting materials. We expect to continue to develop product candidates that can be produced cost-effectively at contract manufacturing facilities.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70" w:lineRule="exact"/>
        <w:rPr>
          <w:sz w:val="20"/>
          <w:szCs w:val="20"/>
          <w:color w:val="auto"/>
        </w:rPr>
      </w:pPr>
    </w:p>
    <w:p>
      <w:pPr>
        <w:jc w:val="both"/>
        <w:ind w:firstLine="421"/>
        <w:spacing w:after="0" w:line="253"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1"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The key competitive factors affecting the success of all of our therapeutic product candidates, if approved, are likely to be their efficacy, safety, convenience, price, the effectiveness of companion diagnostics in guiding the use of related therapeutics, the level of generic competition and the availability of reimbursement from government and other third-party payors.</w:t>
      </w:r>
    </w:p>
    <w:p>
      <w:pPr>
        <w:spacing w:after="0" w:line="194"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98"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If our lead product candidates are approved for the indications for which we are currently undertaking clinical trials, they will compete with the therapies and currently marketed drugs discussed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FSHD</w:t>
      </w:r>
    </w:p>
    <w:p>
      <w:pPr>
        <w:spacing w:after="0" w:line="22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There are no approved therapies for the treatment of FSHD. Controlled trials of albuterol, corticosteroids and a myostatin inhibitor all failed to demonstrate a clinical benefit to patients with FSHD. Low-intensity aerobic exercise tailored to the patient's distribution of weakness may provide some limited beneficial effect. Limited range of motion in the shoulder girdle can stem from periscapular muscle weakness, and in such cases surgical scapular fixation can result in some functional improvement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patients. There is also no standard practice regarding the use of physical or occupational therapy across countries and sites.</w:t>
      </w:r>
    </w:p>
    <w:p>
      <w:pPr>
        <w:spacing w:after="0" w:line="225"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color w:val="auto"/>
        </w:rPr>
        <w:t>We are not aware of any product candidate currently in clinical development for FSHD with the same mechanism of action as losmapimod or that is designed to treat the root cause of FSHD. We are aware of ACE-083, a locally injected myostatin inhibitor for intermittent treatment of weakness for ankle dorsiflexion (foot drop) and elbow flexion, which is currently in Phase 2a clinical development for FSHD by Acceleron. aTyr Pharma, Inc., or aTyr, conducted a Phase 1/2 clinical trial of resolaris, a physiocrine immune modulation protein. aTyr discontinued development of resolaris in FSHD. aTyr publicly disclosed that they do not intend to further develop resolaris without a partner.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SCD</w:t>
      </w:r>
    </w:p>
    <w:p>
      <w:pPr>
        <w:spacing w:after="0" w:line="225" w:lineRule="exact"/>
        <w:rPr>
          <w:sz w:val="20"/>
          <w:szCs w:val="20"/>
          <w:color w:val="auto"/>
        </w:rPr>
      </w:pPr>
    </w:p>
    <w:p>
      <w:pPr>
        <w:jc w:val="both"/>
        <w:ind w:firstLine="446"/>
        <w:spacing w:after="0" w:line="256" w:lineRule="auto"/>
        <w:rPr>
          <w:sz w:val="20"/>
          <w:szCs w:val="20"/>
          <w:color w:val="auto"/>
        </w:rPr>
      </w:pPr>
      <w:r>
        <w:rPr>
          <w:rFonts w:ascii="Arial" w:cs="Arial" w:eastAsia="Arial" w:hAnsi="Arial"/>
          <w:sz w:val="18"/>
          <w:szCs w:val="18"/>
          <w:color w:val="auto"/>
        </w:rPr>
        <w:t>Approved drug treatments for SCD focus primarily on the management and reduction of pain episodes. The two drug treatments approved in the United States are hydroxyurea and L-glutamine. Hydroxyurea, marketed by Bristol-Myers Squibb Company, is approved for the treatment of anemia related to SCD, to reduce the frequency of painful crises and the need for blood transfusions. L-glutamine, marketed by Emmaus Life Sciences, Inc., is approved to reduce severe complications associated with the disorder.</w:t>
      </w:r>
    </w:p>
    <w:p>
      <w:pPr>
        <w:spacing w:after="0" w:line="197" w:lineRule="exact"/>
        <w:rPr>
          <w:sz w:val="20"/>
          <w:szCs w:val="20"/>
          <w:color w:val="auto"/>
        </w:rPr>
      </w:pPr>
    </w:p>
    <w:p>
      <w:pPr>
        <w:jc w:val="both"/>
        <w:ind w:firstLine="400"/>
        <w:spacing w:after="0" w:line="294" w:lineRule="auto"/>
        <w:rPr>
          <w:sz w:val="20"/>
          <w:szCs w:val="20"/>
          <w:color w:val="auto"/>
        </w:rPr>
      </w:pPr>
      <w:r>
        <w:rPr>
          <w:rFonts w:ascii="Arial" w:cs="Arial" w:eastAsia="Arial" w:hAnsi="Arial"/>
          <w:sz w:val="16"/>
          <w:szCs w:val="16"/>
          <w:color w:val="auto"/>
        </w:rPr>
        <w:t>Blood transfusions can be utilized to decrease the sickling of RBCs. While blood transfusions can be critically important to the management of SCD, there are a number of limitations associated with this therapeutic approach, including limited patient access and serious complications such as iron overload. The only potentially curative treatment currently approved for severe SCD is bone marrow transplantation. However, this treatment option is not commonly used given the difficulties of finding a suitable matched donor and the risks associated with the treatment, which include an approximately 5% mortality rate. Bone marrow transplantation is more commonly offered to pediatric patients with available sibling-matched donors.</w:t>
      </w:r>
    </w:p>
    <w:p>
      <w:pPr>
        <w:spacing w:after="0" w:line="170"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6"/>
          <w:szCs w:val="16"/>
          <w:color w:val="auto"/>
        </w:rPr>
        <w:t xml:space="preserve">FTX-HbF could face competition from a number of different therapeutic approaches in development for patients with SCD. Novartis is conducting Phase 3 clinical trials of crizanlizumab, an anti-P-selectin monoclonal antibody, for the prevention of vaso-occlusive crises in patients with SCD. In January 2019, Novartis announced that crizanlizumab was granted breakthrough therapy designation by the FDA, and that Novartis expects to file a BLA for crizanlizumab in the first half of 2019. Global Blood Therapeutics, Inc. is conducting a Phase 3 clinical trial of voxelotor (GBT440), a hemoglobin modifier, to prevent the sickling of RBCs. GlycoMimetics Inc. and Pfizer, Inc. are conducting a Phase 3 clinical trial of rivipansel (GMI-1070), a pan-selectin inhibitor. bluebird is conducting Phase 3 clinical trials of LentiGlobin, a gene therapy, as a one-time treatment for SCD that aims to treat SCD by inserting a functional human b-globin gene into the patient's own hematopoietic stem cells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and then transplanting the modified stem cell into the patient's bloodstream. EpiDestiny, Inc., or EpiDestiny, in collaboration with Novo Nordisk A/S, is evaluating EPI01, a small molecule designed to increase production of fetal hemoglobin, in Phase 2 clinical trials. Imara, Inc. is evaluating IMR-687, a PDE9 inhibitor, in a Phase 2a clinical trial in patients with sickle cell anemia. Aruvant Sciences, Inc. is evaluating RVT-181, a gene therapy, in a Phase 1/2 trial. Sangamo Therapeutics Inc., or Sangamo, in collaboration with Bioverativ Inc., or Bioverativ, is developing BIVV-003, a gene editing cell therapy that modifies cells to produce functional RBCs using fetal hemoglobin. There are also several other gene editing approaches being evaluated by Intellia Therapeutics, Inc. (in collaboration with Novartis), Editas Medicine, Inc. and CRISPR Therapeutics AG (in collaboration with Vertex Pharmaceuticals Incorporated, or Vertex). Pfizer conducted a Phase 1b clinical trial with PF-04447943, a PDE9 inhibitor, in patients with SCD.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b-thalassemia</w:t>
      </w:r>
    </w:p>
    <w:p>
      <w:pPr>
        <w:spacing w:after="0" w:line="225"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auto"/>
        </w:rPr>
        <w:t>The current standard of care for many patients with b-thalassemia is frequent blood transfusions to manage anemia. The only potentially curative therapy for b-thalassemia is allogeneic hematopoietic stem cell transplant, which is associated with serious risk and is limited to patients with a suitable donor. LentiGlobin, a gene therapy developed by bluebird for the treatment of adult and adolescent patients with transfusion-dependent b-thalassemia and with certain genotypes, received a positive opinion recommending conditional marketing authorization in Europe in March 2019. bluebird announced that it plans to file a BLA in the United States in 2019.</w:t>
      </w:r>
    </w:p>
    <w:p>
      <w:pPr>
        <w:spacing w:after="0" w:line="197" w:lineRule="exact"/>
        <w:rPr>
          <w:sz w:val="20"/>
          <w:szCs w:val="20"/>
          <w:color w:val="auto"/>
        </w:rPr>
      </w:pPr>
    </w:p>
    <w:p>
      <w:pPr>
        <w:jc w:val="both"/>
        <w:ind w:firstLine="359"/>
        <w:spacing w:after="0" w:line="298" w:lineRule="auto"/>
        <w:rPr>
          <w:sz w:val="20"/>
          <w:szCs w:val="20"/>
          <w:color w:val="auto"/>
        </w:rPr>
      </w:pPr>
      <w:r>
        <w:rPr>
          <w:rFonts w:ascii="Arial" w:cs="Arial" w:eastAsia="Arial" w:hAnsi="Arial"/>
          <w:sz w:val="16"/>
          <w:szCs w:val="16"/>
          <w:color w:val="auto"/>
        </w:rPr>
        <w:t>FTX-HbF could face competition from a number of different therapeutic approaches are in development as a therapeutic option for patients with transfusion-dependent b-thalassemia. Acceleron, in collaboration with Celgene, is conducting Phase 3 clinical trials of luspatercept (ACE-536), an erythroid maturation agent. Celgene submitted a BLA for luspatercept for the treatment of adult patients with anemia associated with b-thalassemia and who require frequent transfusions. Celgene and Acceleron submitted a marketing authorization application, or MAA, to the EMA in the second quarter of 2019.</w:t>
      </w:r>
    </w:p>
    <w:p>
      <w:pPr>
        <w:spacing w:after="0" w:line="167" w:lineRule="exact"/>
        <w:rPr>
          <w:sz w:val="20"/>
          <w:szCs w:val="20"/>
          <w:color w:val="auto"/>
        </w:rPr>
      </w:pPr>
    </w:p>
    <w:p>
      <w:pPr>
        <w:jc w:val="both"/>
        <w:ind w:firstLine="585"/>
        <w:spacing w:after="0" w:line="289" w:lineRule="auto"/>
        <w:rPr>
          <w:sz w:val="20"/>
          <w:szCs w:val="20"/>
          <w:color w:val="auto"/>
        </w:rPr>
      </w:pPr>
      <w:r>
        <w:rPr>
          <w:rFonts w:ascii="Arial" w:cs="Arial" w:eastAsia="Arial" w:hAnsi="Arial"/>
          <w:sz w:val="16"/>
          <w:szCs w:val="16"/>
          <w:color w:val="auto"/>
        </w:rPr>
        <w:t xml:space="preserve">Bellicum Pharmaceuticals, Inc. is conducting a Phase 1/2 clinical trial to evaluate a modified donor T cell therapy to be used in conjunction with hematopoietic stem cell transplant. Kiadis Pharma is conducting Phase 2 and Phase 3 clinical trials of an adjunctive T cell immunotherapy treatment in conjunction with hematopoietic stem cell transplant. EpiDestiny, in collaboration with Novo Nordisk A/S, is evaluating EPI01, a small molecule designed to increase production of fetal hemoglobin, in Phase 2 clinical trials. Orchard Therapeutics plc is conducting Phase 2 clinical trials of OLT-300, an autologous </w:t>
      </w:r>
      <w:r>
        <w:rPr>
          <w:rFonts w:ascii="Arial" w:cs="Arial" w:eastAsia="Arial" w:hAnsi="Arial"/>
          <w:sz w:val="16"/>
          <w:szCs w:val="16"/>
          <w:i w:val="1"/>
          <w:iCs w:val="1"/>
          <w:color w:val="auto"/>
        </w:rPr>
        <w:t>ex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gene therapy for the treatment of transfusion-dependent b-thalassemia. Sangamo, in collaboration with Bioverativ, is conducting a Phase 1/2 clinical trial of</w:t>
      </w:r>
      <w:r>
        <w:rPr>
          <w:rFonts w:ascii="Arial" w:cs="Arial" w:eastAsia="Arial" w:hAnsi="Arial"/>
          <w:sz w:val="16"/>
          <w:szCs w:val="16"/>
          <w:i w:val="1"/>
          <w:iCs w:val="1"/>
          <w:color w:val="auto"/>
        </w:rPr>
        <w:t xml:space="preserve"> </w:t>
      </w:r>
      <w:r>
        <w:rPr>
          <w:rFonts w:ascii="Arial" w:cs="Arial" w:eastAsia="Arial" w:hAnsi="Arial"/>
          <w:sz w:val="16"/>
          <w:szCs w:val="16"/>
          <w:color w:val="auto"/>
        </w:rPr>
        <w:t>ST-400, which uses a genome-edited cell therapy approach designed to produce functional RBCs using fetal hemoglobin. CRISPR Therapeutics AG, in collaboration with Vertex, is conducting a Phase 1/2 clinical trial of CTX001, which uses a gene editing approach to upregulate the expression of fetal hemoglobin, in patients with transfusion-dependent b-thalassemia.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231" w:lineRule="exact"/>
        <w:rPr>
          <w:sz w:val="20"/>
          <w:szCs w:val="20"/>
          <w:color w:val="auto"/>
        </w:rPr>
      </w:pPr>
    </w:p>
    <w:p>
      <w:pPr>
        <w:jc w:val="both"/>
        <w:ind w:firstLine="474"/>
        <w:spacing w:after="0" w:line="294"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United States</w:t>
      </w:r>
    </w:p>
    <w:p>
      <w:pPr>
        <w:spacing w:after="0" w:line="225"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6"/>
          <w:szCs w:val="16"/>
          <w:color w:val="auto"/>
        </w:rPr>
        <w:t>In the United States, drug products are regulated under the Federal Food, Drug and Cosmetic Act, or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 These sanctions may include, but are not limited to, the FDA's refusal to allow an applicant to proceed with clinical trials, refusal to approve pending applications, license suspension or revocation, withdrawal of an approval, imposition of a clinical hold, issuance of warning letters and other types of letters, adverse publicity, product recalls, product seizures, total or partial suspension of production or distribution, injunctions, fines, refusals of government contracts, restitution, disgorgement of profits or civil or criminal investigations and penalties brought by the FDA or Department of Justice, or DOJ, or other government entities, including state agencies.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418"/>
        <w:spacing w:after="0" w:line="268" w:lineRule="auto"/>
        <w:rPr>
          <w:sz w:val="20"/>
          <w:szCs w:val="20"/>
          <w:color w:val="auto"/>
        </w:rPr>
      </w:pPr>
      <w:r>
        <w:rPr>
          <w:rFonts w:ascii="Arial" w:cs="Arial" w:eastAsia="Arial" w:hAnsi="Arial"/>
          <w:sz w:val="18"/>
          <w:szCs w:val="18"/>
          <w:color w:val="auto"/>
        </w:rPr>
        <w:t>An applicant seeking approval to market and distribute a new drug in the United States generally must satisfactorily complete each of the following steps before the product candidate will be approved by the FDA:</w:t>
      </w:r>
    </w:p>
    <w:p>
      <w:pPr>
        <w:spacing w:after="0" w:line="199" w:lineRule="exact"/>
        <w:rPr>
          <w:sz w:val="20"/>
          <w:szCs w:val="20"/>
          <w:color w:val="auto"/>
        </w:rPr>
      </w:pPr>
    </w:p>
    <w:p>
      <w:pPr>
        <w:ind w:left="10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preclinical testing including laboratory tests, animal studies and formulation studies, which must be performed in accordance with the FDA's good laboratory practice, or GLP, regulations and standards;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submission to the FDA of an IND for human clinical testing, which must become effective before human clinical trials may begin;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representing each clinical site before each clinical trial may be initiated;</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preparation and submission to the FDA of a new drug application, or NDA, for a drug product which includes not only the results of the clinical trials, but also, detailed information on the chemistry, manufacture and quality controls for the product candidate and proposed labelling for one or more proposed indication(s);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or if applicable;</w:t>
      </w:r>
    </w:p>
    <w:p>
      <w:pPr>
        <w:spacing w:after="0" w:line="238"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including those of third parties, at which the product candidate or components thereof are manufactured to assess compliance with current good manufacturing practices, or cGMP, requirements and to assure that the facilities, methods and controls are adequate to preserve the product's identity, strength, quality and purity;</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GCP and the integrity of clinical data in support of the NDA;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to allow marketing of the new drug product;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any post-approval studies required by the FDA.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 xml:space="preserve">Before an applicant begins testing a product candidate with potential therapeutic value in humans, the product candidate enters the preclinical testing stage, including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the safety and activity of the drug for initial testing in humans and to establish a rationale for therapeutic use.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and long-term toxicity studies may continue after the IND is submitted.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IND and IRB Processes</w:t>
      </w:r>
    </w:p>
    <w:p>
      <w:pPr>
        <w:spacing w:after="0" w:line="225" w:lineRule="exact"/>
        <w:rPr>
          <w:sz w:val="20"/>
          <w:szCs w:val="20"/>
          <w:color w:val="auto"/>
        </w:rPr>
      </w:pPr>
    </w:p>
    <w:p>
      <w:pPr>
        <w:jc w:val="both"/>
        <w:ind w:right="20" w:firstLine="370"/>
        <w:spacing w:after="0" w:line="268"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 requirements, which include, among other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things, the requirement that all research subjects provide their voluntary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w:t>
      </w:r>
    </w:p>
    <w:p>
      <w:pPr>
        <w:spacing w:after="0" w:line="197" w:lineRule="exact"/>
        <w:rPr>
          <w:sz w:val="20"/>
          <w:szCs w:val="20"/>
          <w:color w:val="auto"/>
        </w:rPr>
      </w:pPr>
    </w:p>
    <w:p>
      <w:pPr>
        <w:jc w:val="both"/>
        <w:ind w:firstLine="436"/>
        <w:spacing w:after="0" w:line="288" w:lineRule="auto"/>
        <w:rPr>
          <w:sz w:val="20"/>
          <w:szCs w:val="20"/>
          <w:color w:val="auto"/>
        </w:rPr>
      </w:pPr>
      <w:r>
        <w:rPr>
          <w:rFonts w:ascii="Arial" w:cs="Arial" w:eastAsia="Arial" w:hAnsi="Arial"/>
          <w:sz w:val="16"/>
          <w:szCs w:val="16"/>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these cases, the IND sponsor and the FDA must resolve any outstanding concerns before clinical trials can begin.</w:t>
      </w:r>
    </w:p>
    <w:p>
      <w:pPr>
        <w:spacing w:after="0" w:line="174" w:lineRule="exact"/>
        <w:rPr>
          <w:sz w:val="20"/>
          <w:szCs w:val="20"/>
          <w:color w:val="auto"/>
        </w:rPr>
      </w:pPr>
    </w:p>
    <w:p>
      <w:pPr>
        <w:jc w:val="both"/>
        <w:ind w:firstLine="437"/>
        <w:spacing w:after="0" w:line="289" w:lineRule="auto"/>
        <w:rPr>
          <w:sz w:val="20"/>
          <w:szCs w:val="20"/>
          <w:color w:val="auto"/>
        </w:rPr>
      </w:pPr>
      <w:r>
        <w:rPr>
          <w:rFonts w:ascii="Arial" w:cs="Arial" w:eastAsia="Arial" w:hAnsi="Arial"/>
          <w:sz w:val="16"/>
          <w:szCs w:val="16"/>
          <w:color w:val="auto"/>
        </w:rPr>
        <w:t>Following commencement of a clinical trial under an IND, the FDA may also place a clinical hold or partial clinical hold on that trial. Clinical holds are imposed by the FDA whenever there is concern for patient safety and may be a result of new data, findings, or developments in clinical, nonclinical, and/or chemistry, manufacturing, and controls.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may not be allowed to proceed, while other protocols may be allowed. No more than 30 days after imposition of a clinical hold or partial clinical hold, the FDA will provide the sponsor a written explanation of the basis for the hold. Following issuance of a clinical hold or partial clinical hold, a clinical trial may only resume after the FDA has so notified the sponsor. The FDA will base that determination on information provided by the sponsor correcting the deficiencies previously cited or otherwise satisfying the FDA that the clinical trial can proceed.</w:t>
      </w:r>
    </w:p>
    <w:p>
      <w:pPr>
        <w:spacing w:after="0" w:line="172" w:lineRule="exact"/>
        <w:rPr>
          <w:sz w:val="20"/>
          <w:szCs w:val="20"/>
          <w:color w:val="auto"/>
        </w:rPr>
      </w:pPr>
    </w:p>
    <w:p>
      <w:pPr>
        <w:jc w:val="both"/>
        <w:ind w:firstLine="397"/>
        <w:spacing w:after="0" w:line="288" w:lineRule="auto"/>
        <w:rPr>
          <w:sz w:val="20"/>
          <w:szCs w:val="20"/>
          <w:color w:val="auto"/>
        </w:rPr>
      </w:pPr>
      <w:r>
        <w:rPr>
          <w:rFonts w:ascii="Arial" w:cs="Arial" w:eastAsia="Arial" w:hAnsi="Arial"/>
          <w:sz w:val="16"/>
          <w:szCs w:val="16"/>
          <w:color w:val="auto"/>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on April 28, 2008, the FDA amended its regulations governing the acceptance of foreign clinical studies not conducted under an investigational new drug application as support for an IND or a new drug application. The final rule provides that such studies must be conducted in accordance with GCP, including review and approval by an independent ethics committee, or IEC, and informed consent from subjects. The GCP requirements in the final rule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74" w:lineRule="exact"/>
        <w:rPr>
          <w:sz w:val="20"/>
          <w:szCs w:val="20"/>
          <w:color w:val="auto"/>
        </w:rPr>
      </w:pPr>
    </w:p>
    <w:p>
      <w:pPr>
        <w:jc w:val="both"/>
        <w:ind w:firstLine="417"/>
        <w:spacing w:after="0" w:line="256" w:lineRule="auto"/>
        <w:rPr>
          <w:sz w:val="20"/>
          <w:szCs w:val="20"/>
          <w:color w:val="auto"/>
        </w:rPr>
      </w:pPr>
      <w:r>
        <w:rPr>
          <w:rFonts w:ascii="Arial" w:cs="Arial" w:eastAsia="Arial" w:hAnsi="Arial"/>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86"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Additionally,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the competitive environment.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Information about clinical trials must be submitted within specific timeframes to the NIH for public dissemination on its ClinicalTrials.gov website.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Expanded Access to an Investigational Drug for Treatment Use</w:t>
      </w:r>
    </w:p>
    <w:p>
      <w:pPr>
        <w:spacing w:after="0" w:line="225" w:lineRule="exact"/>
        <w:rPr>
          <w:sz w:val="20"/>
          <w:szCs w:val="20"/>
          <w:color w:val="auto"/>
        </w:rPr>
      </w:pPr>
    </w:p>
    <w:p>
      <w:pPr>
        <w:jc w:val="both"/>
        <w:ind w:firstLine="496"/>
        <w:spacing w:after="0" w:line="291" w:lineRule="auto"/>
        <w:rPr>
          <w:sz w:val="20"/>
          <w:szCs w:val="20"/>
          <w:color w:val="auto"/>
        </w:rPr>
      </w:pPr>
      <w:r>
        <w:rPr>
          <w:rFonts w:ascii="Arial" w:cs="Arial" w:eastAsia="Arial" w:hAnsi="Arial"/>
          <w:sz w:val="16"/>
          <w:szCs w:val="16"/>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174"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175" w:lineRule="exact"/>
        <w:rPr>
          <w:sz w:val="20"/>
          <w:szCs w:val="20"/>
          <w:color w:val="auto"/>
        </w:rPr>
      </w:pPr>
    </w:p>
    <w:p>
      <w:pPr>
        <w:jc w:val="both"/>
        <w:ind w:firstLine="426"/>
        <w:spacing w:after="0" w:line="290" w:lineRule="auto"/>
        <w:rPr>
          <w:sz w:val="20"/>
          <w:szCs w:val="20"/>
          <w:color w:val="auto"/>
        </w:rPr>
      </w:pPr>
      <w:r>
        <w:rPr>
          <w:rFonts w:ascii="Arial" w:cs="Arial" w:eastAsia="Arial" w:hAnsi="Arial"/>
          <w:sz w:val="15"/>
          <w:szCs w:val="15"/>
          <w:color w:val="auto"/>
        </w:rPr>
        <w:t>On December 13, 2016, the 21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Century Cures Act, or the Cures Act, established (and the 2017 Food and Drug Administration Reauthorization Act later amended) a requirement that sponsors of one or more investigational drugs for the treatment of a serious disease(s) or condition(s) make publicly available their policy for evaluating and responding to requests for expanded access for individual patients. Although these requirements were rolled out over time, they have now come into full effect. This provision requires drug and biologic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or biologic receives designation as a breakthrough therapy, fast track product, or regenerative medicine advanced therapy.</w:t>
      </w:r>
    </w:p>
    <w:p>
      <w:pPr>
        <w:spacing w:after="0" w:line="176"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In addition,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in Support of an NDA</w:t>
      </w:r>
    </w:p>
    <w:p>
      <w:pPr>
        <w:spacing w:after="0" w:line="225" w:lineRule="exact"/>
        <w:rPr>
          <w:sz w:val="20"/>
          <w:szCs w:val="20"/>
          <w:color w:val="auto"/>
        </w:rPr>
      </w:pPr>
    </w:p>
    <w:p>
      <w:pPr>
        <w:jc w:val="both"/>
        <w:ind w:firstLine="494"/>
        <w:spacing w:after="0" w:line="298" w:lineRule="auto"/>
        <w:rPr>
          <w:sz w:val="20"/>
          <w:szCs w:val="20"/>
          <w:color w:val="auto"/>
        </w:rPr>
      </w:pPr>
      <w:r>
        <w:rPr>
          <w:rFonts w:ascii="Arial" w:cs="Arial" w:eastAsia="Arial" w:hAnsi="Arial"/>
          <w:sz w:val="16"/>
          <w:szCs w:val="16"/>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167"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8"/>
          <w:szCs w:val="18"/>
          <w:color w:val="auto"/>
        </w:rPr>
        <w:t>Human clinical trials are typically conducted in three sequential phases, but the phases may overlap or be combined. Additional studies may also be required after approval.</w:t>
      </w:r>
    </w:p>
    <w:p>
      <w:pPr>
        <w:spacing w:after="0" w:line="186" w:lineRule="exact"/>
        <w:rPr>
          <w:sz w:val="20"/>
          <w:szCs w:val="20"/>
          <w:color w:val="auto"/>
        </w:rPr>
      </w:pPr>
    </w:p>
    <w:p>
      <w:pPr>
        <w:jc w:val="both"/>
        <w:ind w:firstLine="500"/>
        <w:spacing w:after="0" w:line="256"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 tolerance,</w:t>
      </w:r>
      <w:r>
        <w:rPr>
          <w:rFonts w:ascii="Arial" w:cs="Arial" w:eastAsia="Arial" w:hAnsi="Arial"/>
          <w:sz w:val="18"/>
          <w:szCs w:val="18"/>
          <w:i w:val="1"/>
          <w:iCs w:val="1"/>
          <w:color w:val="auto"/>
        </w:rPr>
        <w:t xml:space="preserve"> </w:t>
      </w:r>
      <w:r>
        <w:rPr>
          <w:rFonts w:ascii="Arial" w:cs="Arial" w:eastAsia="Arial" w:hAnsi="Arial"/>
          <w:sz w:val="18"/>
          <w:szCs w:val="18"/>
          <w:color w:val="auto"/>
        </w:rPr>
        <w:t>absorption, metabolism, distribution, excretion and pharmacodynamics in healthy humans or in patients. During Phase 1 clinical trials, information about the investigational drug product's pharmacokinetics and pharmacological effects may be obtained to permit the design of well-controlled and scientifically valid Phase 2 clinical trials.</w:t>
      </w:r>
    </w:p>
    <w:p>
      <w:pPr>
        <w:spacing w:after="0" w:line="197"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clinical trials are generally conducted in a limited patient population to identify possible adverse effects and safety risks, evaluate the efficacy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spacing w:after="0" w:line="197" w:lineRule="exact"/>
        <w:rPr>
          <w:sz w:val="20"/>
          <w:szCs w:val="20"/>
          <w:color w:val="auto"/>
        </w:rPr>
      </w:pPr>
    </w:p>
    <w:p>
      <w:pPr>
        <w:jc w:val="both"/>
        <w:ind w:firstLine="513"/>
        <w:spacing w:after="0" w:line="294" w:lineRule="auto"/>
        <w:rPr>
          <w:sz w:val="20"/>
          <w:szCs w:val="20"/>
          <w:color w:val="auto"/>
        </w:rPr>
      </w:pPr>
      <w:r>
        <w:rPr>
          <w:rFonts w:ascii="Arial" w:cs="Arial" w:eastAsia="Arial" w:hAnsi="Arial"/>
          <w:sz w:val="16"/>
          <w:szCs w:val="16"/>
          <w:i w:val="1"/>
          <w:iCs w:val="1"/>
          <w:color w:val="auto"/>
        </w:rPr>
        <w:t xml:space="preserve">Phase 3 </w:t>
      </w:r>
      <w:r>
        <w:rPr>
          <w:rFonts w:ascii="Arial" w:cs="Arial" w:eastAsia="Arial" w:hAnsi="Arial"/>
          <w:sz w:val="16"/>
          <w:szCs w:val="16"/>
          <w:color w:val="auto"/>
        </w:rPr>
        <w:t>clinical trials proceed if the Phase 2 clinical trials demonstrate that a dose range of the product candidate is potentially effective and has an</w:t>
      </w:r>
      <w:r>
        <w:rPr>
          <w:rFonts w:ascii="Arial" w:cs="Arial" w:eastAsia="Arial" w:hAnsi="Arial"/>
          <w:sz w:val="16"/>
          <w:szCs w:val="16"/>
          <w:i w:val="1"/>
          <w:iCs w:val="1"/>
          <w:color w:val="auto"/>
        </w:rPr>
        <w:t xml:space="preserve"> </w:t>
      </w:r>
      <w:r>
        <w:rPr>
          <w:rFonts w:ascii="Arial" w:cs="Arial" w:eastAsia="Arial" w:hAnsi="Arial"/>
          <w:sz w:val="16"/>
          <w:szCs w:val="16"/>
          <w:color w:val="auto"/>
        </w:rPr>
        <w:t>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and, if approved, how to appropriately label a drug. Such Phase 3 studies are referred to as "pivotal."</w:t>
      </w:r>
    </w:p>
    <w:p>
      <w:pPr>
        <w:spacing w:after="0" w:line="170" w:lineRule="exact"/>
        <w:rPr>
          <w:sz w:val="20"/>
          <w:szCs w:val="20"/>
          <w:color w:val="auto"/>
        </w:rPr>
      </w:pPr>
    </w:p>
    <w:p>
      <w:pPr>
        <w:jc w:val="both"/>
        <w:ind w:firstLine="485"/>
        <w:spacing w:after="0" w:line="255" w:lineRule="auto"/>
        <w:rPr>
          <w:sz w:val="20"/>
          <w:szCs w:val="20"/>
          <w:color w:val="auto"/>
        </w:rPr>
      </w:pPr>
      <w:r>
        <w:rPr>
          <w:rFonts w:ascii="Arial" w:cs="Arial" w:eastAsia="Arial" w:hAnsi="Arial"/>
          <w:sz w:val="18"/>
          <w:szCs w:val="18"/>
          <w:color w:val="auto"/>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approval for products.</w:t>
      </w:r>
    </w:p>
    <w:p>
      <w:pPr>
        <w:spacing w:after="0" w:line="197" w:lineRule="exact"/>
        <w:rPr>
          <w:sz w:val="20"/>
          <w:szCs w:val="20"/>
          <w:color w:val="auto"/>
        </w:rPr>
      </w:pPr>
    </w:p>
    <w:p>
      <w:pPr>
        <w:jc w:val="both"/>
        <w:ind w:firstLine="361"/>
        <w:spacing w:after="0" w:line="288" w:lineRule="auto"/>
        <w:rPr>
          <w:sz w:val="20"/>
          <w:szCs w:val="20"/>
          <w:color w:val="auto"/>
        </w:rPr>
      </w:pPr>
      <w:r>
        <w:rPr>
          <w:rFonts w:ascii="Arial" w:cs="Arial" w:eastAsia="Arial" w:hAnsi="Arial"/>
          <w:sz w:val="16"/>
          <w:szCs w:val="16"/>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in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product has been associated with unexpected serious harm to patients. The FDA will typically inspect one or more clinical sites to assure compliance with GCP and the integrity of the clinical data submitted.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7"/>
        <w:spacing w:after="0" w:line="294" w:lineRule="auto"/>
        <w:rPr>
          <w:sz w:val="20"/>
          <w:szCs w:val="20"/>
          <w:color w:val="auto"/>
        </w:rPr>
      </w:pPr>
      <w:r>
        <w:rPr>
          <w:rFonts w:ascii="Arial" w:cs="Arial" w:eastAsia="Arial" w:hAnsi="Arial"/>
          <w:sz w:val="16"/>
          <w:szCs w:val="16"/>
          <w:color w:val="auto"/>
        </w:rPr>
        <w:t>Concurrent with clinical trials, companies often complete additional animal studies. They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w:t>
      </w:r>
    </w:p>
    <w:p>
      <w:pPr>
        <w:spacing w:after="0" w:line="225" w:lineRule="exact"/>
        <w:rPr>
          <w:sz w:val="20"/>
          <w:szCs w:val="20"/>
          <w:color w:val="auto"/>
        </w:rPr>
      </w:pPr>
    </w:p>
    <w:p>
      <w:pPr>
        <w:jc w:val="both"/>
        <w:ind w:firstLine="354"/>
        <w:spacing w:after="0" w:line="291" w:lineRule="auto"/>
        <w:rPr>
          <w:sz w:val="20"/>
          <w:szCs w:val="20"/>
          <w:color w:val="auto"/>
        </w:rPr>
      </w:pPr>
      <w:r>
        <w:rPr>
          <w:rFonts w:ascii="Arial" w:cs="Arial" w:eastAsia="Arial" w:hAnsi="Arial"/>
          <w:sz w:val="16"/>
          <w:szCs w:val="16"/>
          <w:color w:val="auto"/>
        </w:rPr>
        <w:t>Under the Pediatric Research Equity Act of 2003, an NDA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74"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8"/>
          <w:szCs w:val="18"/>
          <w:color w:val="auto"/>
        </w:rPr>
        <w:t>For drugs intended to treat a serious or life-threatening disease or condition, the FDA must, upon the request of an applicant,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ninety (90) days after the FDA's receipt of the study plan.</w:t>
      </w:r>
    </w:p>
    <w:p>
      <w:pPr>
        <w:spacing w:after="0" w:line="197"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Food and Drug Administration Safety and Innovation Act in 2012. Unless otherwise required by regulation, the pediatric data requirements do not apply to products with orphan designation.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an NDA</w:t>
      </w:r>
    </w:p>
    <w:p>
      <w:pPr>
        <w:spacing w:after="0" w:line="225" w:lineRule="exact"/>
        <w:rPr>
          <w:sz w:val="20"/>
          <w:szCs w:val="20"/>
          <w:color w:val="auto"/>
        </w:rPr>
      </w:pPr>
    </w:p>
    <w:p>
      <w:pPr>
        <w:jc w:val="both"/>
        <w:ind w:firstLine="367"/>
        <w:spacing w:after="0" w:line="253" w:lineRule="auto"/>
        <w:rPr>
          <w:sz w:val="20"/>
          <w:szCs w:val="20"/>
          <w:color w:val="auto"/>
        </w:rPr>
      </w:pPr>
      <w:r>
        <w:rPr>
          <w:rFonts w:ascii="Arial" w:cs="Arial" w:eastAsia="Arial" w:hAnsi="Arial"/>
          <w:sz w:val="18"/>
          <w:szCs w:val="18"/>
          <w:color w:val="auto"/>
        </w:rPr>
        <w:t>In order to obtain approval to market a drug product in the United States, a marketing application must be submitted to the FDA that provides sufficient data establishing the safety, purity and potency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spacing w:after="0" w:line="201" w:lineRule="exact"/>
        <w:rPr>
          <w:sz w:val="20"/>
          <w:szCs w:val="20"/>
          <w:color w:val="auto"/>
        </w:rPr>
      </w:pPr>
    </w:p>
    <w:p>
      <w:pPr>
        <w:jc w:val="both"/>
        <w:ind w:firstLine="363"/>
        <w:spacing w:after="0" w:line="294" w:lineRule="auto"/>
        <w:rPr>
          <w:sz w:val="20"/>
          <w:szCs w:val="20"/>
          <w:color w:val="auto"/>
        </w:rPr>
      </w:pPr>
      <w:r>
        <w:rPr>
          <w:rFonts w:ascii="Arial" w:cs="Arial" w:eastAsia="Arial" w:hAnsi="Arial"/>
          <w:sz w:val="16"/>
          <w:szCs w:val="16"/>
          <w:color w:val="auto"/>
        </w:rPr>
        <w:t>The NDA is a vehicle through which applicants formally propose that the FDA approve a new product for marketing and sale in the United States for one or more indications. Every new non-biologic drug product candidate must be the subject of an approved NDA before it may be commercialized in the United States. BLAs are submitted for approval of biologic products. Under federal law, the submission of most NDAs is subject to an application user fee, which for federal fiscal year 2019 is $2,588,478 for an application requiring clinical data. The sponsor of an approved NDA is also subject to an annual program fee, which for fiscal year 2019 is $309,915. Certain exceptions and waivers are available for some of these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fees, such as an exception from the application fee for products with orphan designation, an exception from the program fee when the program does not engage in manufacturing the drug during a particular fiscal year and a waiver for certain small businesses.</w:t>
      </w:r>
    </w:p>
    <w:p>
      <w:pPr>
        <w:spacing w:after="0" w:line="186" w:lineRule="exact"/>
        <w:rPr>
          <w:sz w:val="20"/>
          <w:szCs w:val="20"/>
          <w:color w:val="auto"/>
        </w:rPr>
      </w:pPr>
    </w:p>
    <w:p>
      <w:pPr>
        <w:jc w:val="both"/>
        <w:ind w:firstLine="371"/>
        <w:spacing w:after="0" w:line="287" w:lineRule="auto"/>
        <w:rPr>
          <w:sz w:val="20"/>
          <w:szCs w:val="20"/>
          <w:color w:val="auto"/>
        </w:rPr>
      </w:pPr>
      <w:r>
        <w:rPr>
          <w:rFonts w:ascii="Arial" w:cs="Arial" w:eastAsia="Arial" w:hAnsi="Arial"/>
          <w:sz w:val="16"/>
          <w:szCs w:val="16"/>
          <w:color w:val="auto"/>
        </w:rPr>
        <w:t>The FDA conducts a preliminary review of the application, generally within 60 calendar days of its receipt, and strives to inform the sponsor within 74 days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Under that agreement, 90% of applications seeking approval of New Molecular Entities, or NMEs, are meant to be reviewed within ten months from the date on which the FDA accepts the application for filing, and 90% of applications for NMEs that have been designated for Priority Review are meant to be reviewed within six months of the filing date. For applications seeking approval of products that are not NMEs, the ten-month and six-month review periods run from the date that the FDA receives the application. The review process and the Prescription Drug User Fee Act, or PDUFA, goal date may be extended by the FDA for three additional months to consider new information or clarification provided by the applicant to address an outstanding deficiency identified by the FDA following the original submission.</w:t>
      </w:r>
    </w:p>
    <w:p>
      <w:pPr>
        <w:spacing w:after="0" w:line="177" w:lineRule="exact"/>
        <w:rPr>
          <w:sz w:val="20"/>
          <w:szCs w:val="20"/>
          <w:color w:val="auto"/>
        </w:rPr>
      </w:pPr>
    </w:p>
    <w:p>
      <w:pPr>
        <w:jc w:val="both"/>
        <w:ind w:firstLine="473"/>
        <w:spacing w:after="0" w:line="290" w:lineRule="auto"/>
        <w:rPr>
          <w:sz w:val="20"/>
          <w:szCs w:val="20"/>
          <w:color w:val="auto"/>
        </w:rPr>
      </w:pPr>
      <w:r>
        <w:rPr>
          <w:rFonts w:ascii="Arial" w:cs="Arial" w:eastAsia="Arial" w:hAnsi="Arial"/>
          <w:sz w:val="16"/>
          <w:szCs w:val="16"/>
          <w:color w:val="auto"/>
        </w:rPr>
        <w:t>Before approving an application, the FDA typically will inspect the facility or facilities where the product is being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Under the FDA Reauthorization Act of 2017, the FDA must implement a protocol to expedite review of responses to inspection reports pertaining to certain applications, including applications for products in shortage or those for which approval is dependent on remediation of conditions identified in the inspection report.</w:t>
      </w:r>
    </w:p>
    <w:p>
      <w:pPr>
        <w:spacing w:after="0" w:line="172" w:lineRule="exact"/>
        <w:rPr>
          <w:sz w:val="20"/>
          <w:szCs w:val="20"/>
          <w:color w:val="auto"/>
        </w:rPr>
      </w:pPr>
    </w:p>
    <w:p>
      <w:pPr>
        <w:jc w:val="both"/>
        <w:ind w:firstLine="498"/>
        <w:spacing w:after="0" w:line="298" w:lineRule="auto"/>
        <w:rPr>
          <w:sz w:val="20"/>
          <w:szCs w:val="20"/>
          <w:color w:val="auto"/>
        </w:rPr>
      </w:pPr>
      <w:r>
        <w:rPr>
          <w:rFonts w:ascii="Arial" w:cs="Arial" w:eastAsia="Arial" w:hAnsi="Arial"/>
          <w:sz w:val="16"/>
          <w:szCs w:val="16"/>
          <w:color w:val="auto"/>
        </w:rPr>
        <w:t>In addition, as a condition of approval, the FDA may require an applicant to develop a REMS. A REMS uses risk-minimization strategies beyond the professional labeling to ensure that the benefits of the product outweigh the potential risks. To determine whether a REMS is needed, the FDA will consider the size of the population likely to use the product, the seriousness of the disease, the expected benefit of the product, the expected duration of treatment, the seriousness of known or potential adverse events and whether the product is a new molecular entity.</w:t>
      </w:r>
    </w:p>
    <w:p>
      <w:pPr>
        <w:spacing w:after="0" w:line="167" w:lineRule="exact"/>
        <w:rPr>
          <w:sz w:val="20"/>
          <w:szCs w:val="20"/>
          <w:color w:val="auto"/>
        </w:rPr>
      </w:pPr>
    </w:p>
    <w:p>
      <w:pPr>
        <w:jc w:val="both"/>
        <w:ind w:firstLine="537"/>
        <w:spacing w:after="0" w:line="256" w:lineRule="auto"/>
        <w:rPr>
          <w:sz w:val="20"/>
          <w:szCs w:val="20"/>
          <w:color w:val="auto"/>
        </w:rPr>
      </w:pPr>
      <w:r>
        <w:rPr>
          <w:rFonts w:ascii="Arial" w:cs="Arial" w:eastAsia="Arial" w:hAnsi="Arial"/>
          <w:sz w:val="18"/>
          <w:szCs w:val="18"/>
          <w:color w:val="auto"/>
        </w:rPr>
        <w:t>The FDA may refer an application for a novel product to an advisory committee or explain why such referral was not made. Typically, an advisory committee is a panel of independent experts, including clinicians and other scientific experts, that review, evaluate and provide a recommendation as to whether the application should be approved and under what conditions. The FDA is not bound by the recommendations of an advisory committee, but the FDA considers such recommendations carefully when making decisions.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 Track, Breakthrough Therapy, Priority Review and Regenerative Advanced Therapy Designations</w:t>
      </w:r>
    </w:p>
    <w:p>
      <w:pPr>
        <w:spacing w:after="0" w:line="22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designation and Regenerative Advanced Therapy designation.</w:t>
      </w:r>
    </w:p>
    <w:p>
      <w:pPr>
        <w:spacing w:after="0" w:line="194" w:lineRule="exact"/>
        <w:rPr>
          <w:sz w:val="20"/>
          <w:szCs w:val="20"/>
          <w:color w:val="auto"/>
        </w:rPr>
      </w:pPr>
    </w:p>
    <w:p>
      <w:pPr>
        <w:jc w:val="both"/>
        <w:ind w:firstLine="389"/>
        <w:spacing w:after="0" w:line="332" w:lineRule="auto"/>
        <w:rPr>
          <w:sz w:val="20"/>
          <w:szCs w:val="20"/>
          <w:color w:val="auto"/>
        </w:rPr>
      </w:pPr>
      <w:r>
        <w:rPr>
          <w:rFonts w:ascii="Arial" w:cs="Arial" w:eastAsia="Arial" w:hAnsi="Arial"/>
          <w:sz w:val="16"/>
          <w:szCs w:val="16"/>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condition. For Fast Track products, sponsors may have greater interaction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74"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74" w:lineRule="exact"/>
        <w:rPr>
          <w:sz w:val="20"/>
          <w:szCs w:val="20"/>
          <w:color w:val="auto"/>
        </w:rPr>
      </w:pPr>
    </w:p>
    <w:p>
      <w:pPr>
        <w:jc w:val="both"/>
        <w:ind w:firstLine="436"/>
        <w:spacing w:after="0" w:line="291" w:lineRule="auto"/>
        <w:rPr>
          <w:sz w:val="20"/>
          <w:szCs w:val="20"/>
          <w:color w:val="auto"/>
        </w:rPr>
      </w:pPr>
      <w:r>
        <w:rPr>
          <w:rFonts w:ascii="Arial" w:cs="Arial" w:eastAsia="Arial" w:hAnsi="Arial"/>
          <w:sz w:val="16"/>
          <w:szCs w:val="16"/>
          <w:color w:val="auto"/>
        </w:rPr>
        <w:t>Third, the FDA may designate a product for Priority Review if it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w:t>
      </w:r>
    </w:p>
    <w:p>
      <w:pPr>
        <w:spacing w:after="0" w:line="174" w:lineRule="exact"/>
        <w:rPr>
          <w:sz w:val="20"/>
          <w:szCs w:val="20"/>
          <w:color w:val="auto"/>
        </w:rPr>
      </w:pPr>
    </w:p>
    <w:p>
      <w:pPr>
        <w:jc w:val="both"/>
        <w:ind w:firstLine="402"/>
        <w:spacing w:after="0" w:line="318" w:lineRule="auto"/>
        <w:rPr>
          <w:sz w:val="20"/>
          <w:szCs w:val="20"/>
          <w:color w:val="auto"/>
        </w:rPr>
      </w:pPr>
      <w:r>
        <w:rPr>
          <w:rFonts w:ascii="Arial" w:cs="Arial" w:eastAsia="Arial" w:hAnsi="Arial"/>
          <w:sz w:val="15"/>
          <w:szCs w:val="15"/>
          <w:color w:val="auto"/>
        </w:rPr>
        <w:t>With passage of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if preliminary clinical evidence indicates that the product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Approval Pathway</w:t>
      </w:r>
    </w:p>
    <w:p>
      <w:pPr>
        <w:spacing w:after="0" w:line="225"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74" w:lineRule="exact"/>
        <w:rPr>
          <w:sz w:val="20"/>
          <w:szCs w:val="20"/>
          <w:color w:val="auto"/>
        </w:rPr>
      </w:pPr>
    </w:p>
    <w:p>
      <w:pPr>
        <w:jc w:val="both"/>
        <w:ind w:firstLine="433"/>
        <w:spacing w:after="0" w:line="332" w:lineRule="auto"/>
        <w:rPr>
          <w:sz w:val="20"/>
          <w:szCs w:val="20"/>
          <w:color w:val="auto"/>
        </w:rPr>
      </w:pPr>
      <w:r>
        <w:rPr>
          <w:rFonts w:ascii="Arial" w:cs="Arial" w:eastAsia="Arial" w:hAnsi="Arial"/>
          <w:sz w:val="16"/>
          <w:szCs w:val="16"/>
          <w:color w:val="auto"/>
        </w:rPr>
        <w:t>For the purposes of accelerated approval, a surrogate endpoint is a marker, such as a laboratory measurement, radiographic image, physical sign, efficacy biomarker or other measure that is thought to predict clinical benefit but is not itself a measure of clinical benefit. Surrogate endpoints can often be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97" w:lineRule="exact"/>
        <w:rPr>
          <w:sz w:val="20"/>
          <w:szCs w:val="20"/>
          <w:color w:val="auto"/>
        </w:rPr>
      </w:pPr>
    </w:p>
    <w:p>
      <w:pPr>
        <w:jc w:val="both"/>
        <w:ind w:firstLine="484"/>
        <w:spacing w:after="0" w:line="298" w:lineRule="auto"/>
        <w:rPr>
          <w:sz w:val="20"/>
          <w:szCs w:val="20"/>
          <w:color w:val="auto"/>
        </w:rPr>
      </w:pPr>
      <w:r>
        <w:rPr>
          <w:rFonts w:ascii="Arial" w:cs="Arial" w:eastAsia="Arial" w:hAnsi="Arial"/>
          <w:sz w:val="16"/>
          <w:szCs w:val="16"/>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spacing w:after="0" w:line="167" w:lineRule="exact"/>
        <w:rPr>
          <w:sz w:val="20"/>
          <w:szCs w:val="20"/>
          <w:color w:val="auto"/>
        </w:rPr>
      </w:pPr>
    </w:p>
    <w:p>
      <w:pPr>
        <w:jc w:val="both"/>
        <w:ind w:firstLine="444"/>
        <w:spacing w:after="0" w:line="294" w:lineRule="auto"/>
        <w:rPr>
          <w:sz w:val="20"/>
          <w:szCs w:val="20"/>
          <w:color w:val="auto"/>
        </w:rPr>
      </w:pPr>
      <w:r>
        <w:rPr>
          <w:rFonts w:ascii="Arial" w:cs="Arial" w:eastAsia="Arial" w:hAnsi="Arial"/>
          <w:sz w:val="16"/>
          <w:szCs w:val="16"/>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a clinical benefit during post-marketing studies, would allow the FDA to initiate expedited proceedings to withdraw approval of the product. All promotional materials for product candidates approved under accelerated regulations are subject to prior review by the FDA.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FDA's Decision on an NDA</w:t>
      </w:r>
    </w:p>
    <w:p>
      <w:pPr>
        <w:spacing w:after="0" w:line="225"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201" w:lineRule="exact"/>
        <w:rPr>
          <w:sz w:val="20"/>
          <w:szCs w:val="20"/>
          <w:color w:val="auto"/>
        </w:rPr>
      </w:pPr>
    </w:p>
    <w:p>
      <w:pPr>
        <w:jc w:val="both"/>
        <w:ind w:firstLine="402"/>
        <w:spacing w:after="0" w:line="287" w:lineRule="auto"/>
        <w:rPr>
          <w:sz w:val="20"/>
          <w:szCs w:val="20"/>
          <w:color w:val="auto"/>
        </w:rPr>
      </w:pPr>
      <w:r>
        <w:rPr>
          <w:rFonts w:ascii="Arial" w:cs="Arial" w:eastAsia="Arial" w:hAnsi="Arial"/>
          <w:sz w:val="16"/>
          <w:szCs w:val="16"/>
          <w:color w:val="auto"/>
        </w:rPr>
        <w:t>If the FDA approves a new product, it may limit the approved indications for use of the product, require that contraindications, warnings or precautions be included in the product labeling, or require that post-approval studies, including Phase 4 clinical trials, be conducted to further assess the drug's safety after approval. The agency may also require testing and surveillance programs to monitor the product after commercialization, or impose other conditions, including distribution restrictions or other risk management mechanisms, including a REMS, to help ensure that the benefits of the product outweigh the potential risks. REMS programs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The FDA may require a REMS before or after approval if it becomes aware of a serious risk associated with use of the product. The requirement for a REMS can materially affect the potential market and profitability of a product. After approval, many types of changes to the approved product, such as adding new indications, changing manufacturing processes and adding labeling claims, are subject to further testing requirements and FDA review and approval.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225" w:lineRule="exact"/>
        <w:rPr>
          <w:sz w:val="20"/>
          <w:szCs w:val="20"/>
          <w:color w:val="auto"/>
        </w:rPr>
      </w:pPr>
    </w:p>
    <w:p>
      <w:pPr>
        <w:jc w:val="both"/>
        <w:ind w:firstLine="479"/>
        <w:spacing w:after="0" w:line="288" w:lineRule="auto"/>
        <w:rPr>
          <w:sz w:val="20"/>
          <w:szCs w:val="20"/>
          <w:color w:val="auto"/>
        </w:rPr>
      </w:pPr>
      <w:r>
        <w:rPr>
          <w:rFonts w:ascii="Arial" w:cs="Arial" w:eastAsia="Arial" w:hAnsi="Arial"/>
          <w:sz w:val="16"/>
          <w:szCs w:val="16"/>
          <w:color w:val="auto"/>
        </w:rPr>
        <w:t>If regulatory approval for marketing of a product or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 are strictly regulated and often require prior FDA approval before being implemented. Accordingly, the sponsor and its third-party manufacturers must continue to expend time, money and effort in the areas of production and quality control to maintain compliance with cGMP regulations and other regulatory requirements.</w:t>
      </w:r>
    </w:p>
    <w:p>
      <w:pPr>
        <w:spacing w:after="0" w:line="174"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to the FDA samples of each lot, together with a release protocol showing a summary of the history of manufacture of the lot and the results of all of the manufacturer's tests performed on the lot. The FDA may also perform certain confirmatory tests on lots of some products before releasing the lots for distribution. Finally, the FDA will conduct laboratory research related to the safety, purity, potency and effectiveness of pharmaceutical products.</w:t>
      </w:r>
    </w:p>
    <w:p>
      <w:pPr>
        <w:spacing w:after="0" w:line="170" w:lineRule="exact"/>
        <w:rPr>
          <w:sz w:val="20"/>
          <w:szCs w:val="20"/>
          <w:color w:val="auto"/>
        </w:rPr>
      </w:pPr>
    </w:p>
    <w:p>
      <w:pPr>
        <w:jc w:val="both"/>
        <w:ind w:firstLine="414"/>
        <w:spacing w:after="0" w:line="255"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210"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firstLine="390"/>
        <w:spacing w:after="0" w:line="289" w:lineRule="auto"/>
        <w:rPr>
          <w:sz w:val="20"/>
          <w:szCs w:val="20"/>
          <w:color w:val="auto"/>
        </w:rPr>
      </w:pPr>
      <w:r>
        <w:rPr>
          <w:rFonts w:ascii="Arial" w:cs="Arial" w:eastAsia="Arial" w:hAnsi="Arial"/>
          <w:sz w:val="16"/>
          <w:szCs w:val="16"/>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communication regarding off-label information, such as distributing scientific or medical journal information.</w:t>
      </w:r>
    </w:p>
    <w:p>
      <w:pPr>
        <w:spacing w:after="0" w:line="225" w:lineRule="exact"/>
        <w:rPr>
          <w:sz w:val="20"/>
          <w:szCs w:val="20"/>
          <w:color w:val="auto"/>
        </w:rPr>
      </w:pPr>
    </w:p>
    <w:p>
      <w:pPr>
        <w:jc w:val="both"/>
        <w:ind w:firstLine="371"/>
        <w:spacing w:after="0" w:line="254" w:lineRule="auto"/>
        <w:rPr>
          <w:sz w:val="20"/>
          <w:szCs w:val="20"/>
          <w:color w:val="auto"/>
        </w:rPr>
      </w:pPr>
      <w:r>
        <w:rPr>
          <w:rFonts w:ascii="Arial" w:cs="Arial" w:eastAsia="Arial" w:hAnsi="Arial"/>
          <w:sz w:val="18"/>
          <w:szCs w:val="18"/>
          <w:color w:val="auto"/>
        </w:rPr>
        <w:t>If a company is found to have promoted off-label uses, it may become subject to adverse public relations and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98" w:lineRule="exact"/>
        <w:rPr>
          <w:sz w:val="20"/>
          <w:szCs w:val="20"/>
          <w:color w:val="auto"/>
        </w:rPr>
      </w:pPr>
    </w:p>
    <w:p>
      <w:pPr>
        <w:jc w:val="both"/>
        <w:ind w:firstLine="475"/>
        <w:spacing w:after="0" w:line="255"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and its implementing regulations, as well as the Drug Supply Chain Security Act, or DSCA, which regulate the distribution and tracing of prescription drug samples at the federal level, and set minimum standards for the regulation of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505(b)(2) NDAs</w:t>
      </w:r>
    </w:p>
    <w:p>
      <w:pPr>
        <w:spacing w:after="0" w:line="225" w:lineRule="exact"/>
        <w:rPr>
          <w:sz w:val="20"/>
          <w:szCs w:val="20"/>
          <w:color w:val="auto"/>
        </w:rPr>
      </w:pPr>
    </w:p>
    <w:p>
      <w:pPr>
        <w:jc w:val="both"/>
        <w:ind w:firstLine="394"/>
        <w:spacing w:after="0" w:line="291" w:lineRule="auto"/>
        <w:rPr>
          <w:sz w:val="20"/>
          <w:szCs w:val="20"/>
          <w:color w:val="auto"/>
        </w:rPr>
      </w:pPr>
      <w:r>
        <w:rPr>
          <w:rFonts w:ascii="Arial" w:cs="Arial" w:eastAsia="Arial" w:hAnsi="Arial"/>
          <w:sz w:val="16"/>
          <w:szCs w:val="16"/>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applicant for approval of the application "were not conducted by or for the applicant and for which the applicant has not obtained a right of reference or use from the person by or for whom the investigations were conducted."</w:t>
      </w:r>
    </w:p>
    <w:p>
      <w:pPr>
        <w:spacing w:after="0" w:line="174" w:lineRule="exact"/>
        <w:rPr>
          <w:sz w:val="20"/>
          <w:szCs w:val="20"/>
          <w:color w:val="auto"/>
        </w:rPr>
      </w:pPr>
    </w:p>
    <w:p>
      <w:pPr>
        <w:jc w:val="both"/>
        <w:ind w:firstLine="355"/>
        <w:spacing w:after="0" w:line="291" w:lineRule="auto"/>
        <w:rPr>
          <w:sz w:val="20"/>
          <w:szCs w:val="20"/>
          <w:color w:val="auto"/>
        </w:rPr>
      </w:pPr>
      <w:r>
        <w:rPr>
          <w:rFonts w:ascii="Arial" w:cs="Arial" w:eastAsia="Arial" w:hAnsi="Arial"/>
          <w:sz w:val="16"/>
          <w:szCs w:val="16"/>
          <w:color w:val="auto"/>
        </w:rPr>
        <w:t>Thus, Section 505(b)(2) authorizes the FDA to approve an NDA based on safety and effectiveness data that were not developed by the applicant. NDAs filed under Section 505(b)(2) may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applicant.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225" w:lineRule="exact"/>
        <w:rPr>
          <w:sz w:val="20"/>
          <w:szCs w:val="20"/>
          <w:color w:val="auto"/>
        </w:rPr>
      </w:pPr>
    </w:p>
    <w:p>
      <w:pPr>
        <w:jc w:val="both"/>
        <w:ind w:firstLine="452"/>
        <w:spacing w:after="0" w:line="254" w:lineRule="auto"/>
        <w:rPr>
          <w:sz w:val="20"/>
          <w:szCs w:val="20"/>
          <w:color w:val="auto"/>
        </w:rPr>
      </w:pPr>
      <w:r>
        <w:rPr>
          <w:rFonts w:ascii="Arial" w:cs="Arial" w:eastAsia="Arial" w:hAnsi="Arial"/>
          <w:sz w:val="18"/>
          <w:szCs w:val="18"/>
          <w:color w:val="auto"/>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reference-listed drug, or RLD.</w:t>
      </w:r>
    </w:p>
    <w:p>
      <w:pPr>
        <w:spacing w:after="0" w:line="194" w:lineRule="exact"/>
        <w:rPr>
          <w:sz w:val="20"/>
          <w:szCs w:val="20"/>
          <w:color w:val="auto"/>
        </w:rPr>
      </w:pPr>
    </w:p>
    <w:p>
      <w:pPr>
        <w:jc w:val="both"/>
        <w:ind w:firstLine="370"/>
        <w:spacing w:after="0" w:line="289" w:lineRule="auto"/>
        <w:rPr>
          <w:sz w:val="20"/>
          <w:szCs w:val="20"/>
          <w:color w:val="auto"/>
        </w:rPr>
      </w:pPr>
      <w:r>
        <w:rPr>
          <w:rFonts w:ascii="Arial" w:cs="Arial" w:eastAsia="Arial" w:hAnsi="Arial"/>
          <w:sz w:val="16"/>
          <w:szCs w:val="16"/>
          <w:color w:val="auto"/>
        </w:rPr>
        <w:t>Specifically, in order for an ANDA to be approved, the FDA must find that the generic version is identical to the RLD with respect to the active ingredients, route of administration, dosage form, strength and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the patient.</w:t>
      </w:r>
    </w:p>
    <w:p>
      <w:pPr>
        <w:spacing w:after="0" w:line="172" w:lineRule="exact"/>
        <w:rPr>
          <w:sz w:val="20"/>
          <w:szCs w:val="20"/>
          <w:color w:val="auto"/>
        </w:rPr>
      </w:pPr>
    </w:p>
    <w:p>
      <w:pPr>
        <w:jc w:val="both"/>
        <w:ind w:firstLine="362"/>
        <w:spacing w:after="0" w:line="291" w:lineRule="auto"/>
        <w:rPr>
          <w:sz w:val="20"/>
          <w:szCs w:val="20"/>
          <w:color w:val="auto"/>
        </w:rPr>
      </w:pPr>
      <w:r>
        <w:rPr>
          <w:rFonts w:ascii="Arial" w:cs="Arial" w:eastAsia="Arial" w:hAnsi="Arial"/>
          <w:sz w:val="16"/>
          <w:szCs w:val="16"/>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74" w:lineRule="exact"/>
        <w:rPr>
          <w:sz w:val="20"/>
          <w:szCs w:val="20"/>
          <w:color w:val="auto"/>
        </w:rPr>
      </w:pPr>
    </w:p>
    <w:p>
      <w:pPr>
        <w:jc w:val="both"/>
        <w:ind w:firstLine="505"/>
        <w:spacing w:after="0" w:line="253" w:lineRule="auto"/>
        <w:rPr>
          <w:sz w:val="20"/>
          <w:szCs w:val="20"/>
          <w:color w:val="auto"/>
        </w:rPr>
      </w:pPr>
      <w:r>
        <w:rPr>
          <w:rFonts w:ascii="Arial" w:cs="Arial" w:eastAsia="Arial" w:hAnsi="Arial"/>
          <w:sz w:val="18"/>
          <w:szCs w:val="18"/>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20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The FDA must establish a Priority Review track for certain generic drugs, requiring the FDA to review a drug application within eight months for a drug that has three or fewer approved drugs listed in the Orange Book and is no longer protected by any patent or regulatory exclusivities, or is on the FDA's drug shortage list. The FDA is also authorized to expedite review of "competitor generic therapies" or drugs with inadequate generic competition, including holding meetings with or providing advice to the drug sponsor prior to submission of the application.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Hatch-Waxman Patent Certification and the 30-Month Stay</w:t>
      </w:r>
    </w:p>
    <w:p>
      <w:pPr>
        <w:spacing w:after="0" w:line="225" w:lineRule="exact"/>
        <w:rPr>
          <w:sz w:val="20"/>
          <w:szCs w:val="20"/>
          <w:color w:val="auto"/>
        </w:rPr>
      </w:pPr>
    </w:p>
    <w:p>
      <w:pPr>
        <w:jc w:val="both"/>
        <w:ind w:firstLine="482"/>
        <w:spacing w:after="0" w:line="256" w:lineRule="auto"/>
        <w:rPr>
          <w:sz w:val="20"/>
          <w:szCs w:val="20"/>
          <w:color w:val="auto"/>
        </w:rPr>
      </w:pPr>
      <w:r>
        <w:rPr>
          <w:rFonts w:ascii="Arial" w:cs="Arial" w:eastAsia="Arial" w:hAnsi="Arial"/>
          <w:sz w:val="18"/>
          <w:szCs w:val="18"/>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239"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225" w:lineRule="exact"/>
        <w:rPr>
          <w:sz w:val="20"/>
          <w:szCs w:val="20"/>
          <w:color w:val="auto"/>
        </w:rPr>
      </w:pPr>
    </w:p>
    <w:p>
      <w:pPr>
        <w:jc w:val="both"/>
        <w:ind w:firstLine="355"/>
        <w:spacing w:after="0" w:line="256"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application will not be approved until all the listed patents claiming the referenced product have expired (other than method of use patents involving indications for which the applicant is not seeking approval).</w:t>
      </w:r>
    </w:p>
    <w:p>
      <w:pPr>
        <w:spacing w:after="0" w:line="197" w:lineRule="exact"/>
        <w:rPr>
          <w:sz w:val="20"/>
          <w:szCs w:val="20"/>
          <w:color w:val="auto"/>
        </w:rPr>
      </w:pPr>
    </w:p>
    <w:p>
      <w:pPr>
        <w:jc w:val="both"/>
        <w:ind w:firstLine="436"/>
        <w:spacing w:after="0" w:line="294" w:lineRule="auto"/>
        <w:rPr>
          <w:sz w:val="20"/>
          <w:szCs w:val="20"/>
          <w:color w:val="auto"/>
        </w:rPr>
      </w:pPr>
      <w:r>
        <w:rPr>
          <w:rFonts w:ascii="Arial" w:cs="Arial" w:eastAsia="Arial" w:hAnsi="Arial"/>
          <w:sz w:val="16"/>
          <w:szCs w:val="16"/>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the expiration of the patent, or a decision in the infringement case that is favorable to the ANDA applicant.</w:t>
      </w:r>
    </w:p>
    <w:p>
      <w:pPr>
        <w:spacing w:after="0" w:line="170" w:lineRule="exact"/>
        <w:rPr>
          <w:sz w:val="20"/>
          <w:szCs w:val="20"/>
          <w:color w:val="auto"/>
        </w:rPr>
      </w:pPr>
    </w:p>
    <w:p>
      <w:pPr>
        <w:jc w:val="both"/>
        <w:ind w:firstLine="394"/>
        <w:spacing w:after="0" w:line="254" w:lineRule="auto"/>
        <w:rPr>
          <w:sz w:val="20"/>
          <w:szCs w:val="20"/>
          <w:color w:val="auto"/>
        </w:rPr>
      </w:pPr>
      <w:r>
        <w:rPr>
          <w:rFonts w:ascii="Arial" w:cs="Arial" w:eastAsia="Arial" w:hAnsi="Arial"/>
          <w:sz w:val="18"/>
          <w:szCs w:val="18"/>
          <w:color w:val="auto"/>
        </w:rPr>
        <w:t>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Section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Exclusivity</w:t>
      </w:r>
    </w:p>
    <w:p>
      <w:pPr>
        <w:spacing w:after="0" w:line="225" w:lineRule="exact"/>
        <w:rPr>
          <w:sz w:val="20"/>
          <w:szCs w:val="20"/>
          <w:color w:val="auto"/>
        </w:rPr>
      </w:pPr>
    </w:p>
    <w:p>
      <w:pPr>
        <w:jc w:val="both"/>
        <w:ind w:firstLine="376"/>
        <w:spacing w:after="0" w:line="290"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225" w:lineRule="exact"/>
        <w:rPr>
          <w:sz w:val="20"/>
          <w:szCs w:val="20"/>
          <w:color w:val="auto"/>
        </w:rPr>
      </w:pPr>
    </w:p>
    <w:p>
      <w:pPr>
        <w:jc w:val="both"/>
        <w:ind w:firstLine="478"/>
        <w:spacing w:after="0" w:line="291" w:lineRule="auto"/>
        <w:rPr>
          <w:sz w:val="20"/>
          <w:szCs w:val="20"/>
          <w:color w:val="auto"/>
        </w:rPr>
      </w:pPr>
      <w:r>
        <w:rPr>
          <w:rFonts w:ascii="Arial" w:cs="Arial" w:eastAsia="Arial" w:hAnsi="Arial"/>
          <w:sz w:val="16"/>
          <w:szCs w:val="16"/>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seek orphan drug designation before submitting an NDA for the candidate product.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174"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for the same condition for seven years, except in certain limited circumstances. Orphan exclusivity does not block the approval of a different product for the same rare disease or condition, nor does it block the approval of the same product for different conditions. If a drug designated as an orphan drug ultimately receives marketing approval for an indication broader than what was designated in its orphan drug application, it may not be entitled to exclusivity.</w:t>
      </w:r>
    </w:p>
    <w:p>
      <w:pPr>
        <w:spacing w:after="0" w:line="174" w:lineRule="exact"/>
        <w:rPr>
          <w:sz w:val="20"/>
          <w:szCs w:val="20"/>
          <w:color w:val="auto"/>
        </w:rPr>
      </w:pPr>
    </w:p>
    <w:p>
      <w:pPr>
        <w:jc w:val="both"/>
        <w:ind w:firstLine="396"/>
        <w:spacing w:after="0" w:line="298" w:lineRule="auto"/>
        <w:rPr>
          <w:sz w:val="20"/>
          <w:szCs w:val="20"/>
          <w:color w:val="auto"/>
        </w:rPr>
      </w:pPr>
      <w:r>
        <w:rPr>
          <w:rFonts w:ascii="Arial" w:cs="Arial" w:eastAsia="Arial" w:hAnsi="Arial"/>
          <w:sz w:val="16"/>
          <w:szCs w:val="16"/>
          <w:color w:val="auto"/>
        </w:rPr>
        <w:t>Orphan drug exclusivity will not bar approval of another product under certain circumstances, including if a subsequent product with the same drug for the same condition is shown to be clinically superior to the approved product on the basis of greater efficacy or safety, or providing a major contribution to patient care, or if the company with orphan drug exclusivity is not able to meet market demand. This is the case despite an earlier court opinion holding that the Orphan Drug Act unambiguously required the FDA to recognize orphan exclusivity regardless of a showing of clinical superiority.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225" w:lineRule="exact"/>
        <w:rPr>
          <w:sz w:val="20"/>
          <w:szCs w:val="20"/>
          <w:color w:val="auto"/>
        </w:rPr>
      </w:pPr>
    </w:p>
    <w:p>
      <w:pPr>
        <w:jc w:val="both"/>
        <w:ind w:firstLine="341"/>
        <w:spacing w:after="0" w:line="288" w:lineRule="auto"/>
        <w:rPr>
          <w:sz w:val="20"/>
          <w:szCs w:val="20"/>
          <w:color w:val="auto"/>
        </w:rPr>
      </w:pPr>
      <w:r>
        <w:rPr>
          <w:rFonts w:ascii="Arial" w:cs="Arial" w:eastAsia="Arial" w:hAnsi="Arial"/>
          <w:sz w:val="16"/>
          <w:szCs w:val="16"/>
          <w:color w:val="auto"/>
        </w:rPr>
        <w:t>A patent claiming a new drug product may be eligible for a limited patent term extension under the Hatch-Waxman Act, which permits a patent restoration of up to five years for patent term lost during the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Law and Regulation</w:t>
      </w:r>
    </w:p>
    <w:p>
      <w:pPr>
        <w:spacing w:after="0" w:line="225" w:lineRule="exact"/>
        <w:rPr>
          <w:sz w:val="20"/>
          <w:szCs w:val="20"/>
          <w:color w:val="auto"/>
        </w:rPr>
      </w:pPr>
    </w:p>
    <w:p>
      <w:pPr>
        <w:jc w:val="both"/>
        <w:ind w:firstLine="523"/>
        <w:spacing w:after="0" w:line="259" w:lineRule="auto"/>
        <w:rPr>
          <w:sz w:val="20"/>
          <w:szCs w:val="20"/>
          <w:color w:val="auto"/>
        </w:rPr>
      </w:pPr>
      <w:r>
        <w:rPr>
          <w:rFonts w:ascii="Arial" w:cs="Arial" w:eastAsia="Arial" w:hAnsi="Arial"/>
          <w:sz w:val="18"/>
          <w:szCs w:val="18"/>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regulations that may constrain business and/or financial arrangements. Restrictions under applicable federal and state health care laws and regulations, include the following:</w:t>
      </w:r>
    </w:p>
    <w:p>
      <w:pPr>
        <w:spacing w:after="0" w:line="199" w:lineRule="exact"/>
        <w:rPr>
          <w:sz w:val="20"/>
          <w:szCs w:val="20"/>
          <w:color w:val="auto"/>
        </w:rPr>
      </w:pPr>
    </w:p>
    <w:p>
      <w:pPr>
        <w:jc w:val="both"/>
        <w:ind w:left="1080" w:hanging="532"/>
        <w:spacing w:after="0" w:line="256"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224"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21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207"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8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152" w:lineRule="exact"/>
        <w:rPr>
          <w:rFonts w:ascii="Arial" w:cs="Arial" w:eastAsia="Arial" w:hAnsi="Arial"/>
          <w:sz w:val="16"/>
          <w:szCs w:val="16"/>
          <w:color w:val="auto"/>
        </w:rPr>
      </w:pPr>
    </w:p>
    <w:p>
      <w:pPr>
        <w:jc w:val="both"/>
        <w:ind w:left="1080" w:hanging="532"/>
        <w:spacing w:after="0" w:line="294"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the ACA,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96"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86" w:lineRule="exact"/>
        <w:rPr>
          <w:sz w:val="20"/>
          <w:szCs w:val="20"/>
          <w:color w:val="auto"/>
        </w:rPr>
      </w:pPr>
    </w:p>
    <w:p>
      <w:pPr>
        <w:jc w:val="both"/>
        <w:ind w:firstLine="414"/>
        <w:spacing w:after="0" w:line="294" w:lineRule="auto"/>
        <w:rPr>
          <w:sz w:val="20"/>
          <w:szCs w:val="20"/>
          <w:color w:val="auto"/>
        </w:rPr>
      </w:pPr>
      <w:r>
        <w:rPr>
          <w:rFonts w:ascii="Arial" w:cs="Arial" w:eastAsia="Arial" w:hAnsi="Arial"/>
          <w:sz w:val="16"/>
          <w:szCs w:val="16"/>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225" w:lineRule="exact"/>
        <w:rPr>
          <w:sz w:val="20"/>
          <w:szCs w:val="20"/>
          <w:color w:val="auto"/>
        </w:rPr>
      </w:pPr>
    </w:p>
    <w:p>
      <w:pPr>
        <w:jc w:val="both"/>
        <w:ind w:firstLine="474"/>
        <w:spacing w:after="0" w:line="288" w:lineRule="auto"/>
        <w:rPr>
          <w:sz w:val="20"/>
          <w:szCs w:val="20"/>
          <w:color w:val="auto"/>
        </w:rPr>
      </w:pPr>
      <w:r>
        <w:rPr>
          <w:rFonts w:ascii="Arial" w:cs="Arial" w:eastAsia="Arial" w:hAnsi="Arial"/>
          <w:sz w:val="16"/>
          <w:szCs w:val="16"/>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74" w:lineRule="exact"/>
        <w:rPr>
          <w:sz w:val="20"/>
          <w:szCs w:val="20"/>
          <w:color w:val="auto"/>
        </w:rPr>
      </w:pPr>
    </w:p>
    <w:p>
      <w:pPr>
        <w:jc w:val="both"/>
        <w:ind w:firstLine="693"/>
        <w:spacing w:after="0" w:line="290"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72" w:lineRule="exact"/>
        <w:rPr>
          <w:sz w:val="20"/>
          <w:szCs w:val="20"/>
          <w:color w:val="auto"/>
        </w:rPr>
      </w:pPr>
    </w:p>
    <w:p>
      <w:pPr>
        <w:jc w:val="both"/>
        <w:ind w:firstLine="354"/>
        <w:spacing w:after="0" w:line="291" w:lineRule="auto"/>
        <w:rPr>
          <w:sz w:val="20"/>
          <w:szCs w:val="20"/>
          <w:color w:val="auto"/>
        </w:rPr>
      </w:pPr>
      <w:r>
        <w:rPr>
          <w:rFonts w:ascii="Arial" w:cs="Arial" w:eastAsia="Arial" w:hAnsi="Arial"/>
          <w:sz w:val="16"/>
          <w:szCs w:val="16"/>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74"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194" w:lineRule="exact"/>
        <w:rPr>
          <w:sz w:val="20"/>
          <w:szCs w:val="20"/>
          <w:color w:val="auto"/>
        </w:rPr>
      </w:pPr>
    </w:p>
    <w:p>
      <w:pPr>
        <w:jc w:val="both"/>
        <w:ind w:firstLine="403"/>
        <w:spacing w:after="0" w:line="332" w:lineRule="auto"/>
        <w:rPr>
          <w:sz w:val="20"/>
          <w:szCs w:val="20"/>
          <w:color w:val="auto"/>
        </w:rPr>
      </w:pPr>
      <w:r>
        <w:rPr>
          <w:rFonts w:ascii="Arial" w:cs="Arial" w:eastAsia="Arial" w:hAnsi="Arial"/>
          <w:sz w:val="16"/>
          <w:szCs w:val="16"/>
          <w:color w:val="auto"/>
        </w:rPr>
        <w:t>In March 2010, the United States Congress enacted the ACA, which, among other things, includes changes to the coverage and payment for drug products under government health care programs. Among the provisions of the ACA of importance to our potential product candidates are:</w:t>
      </w:r>
    </w:p>
    <w:p>
      <w:pPr>
        <w:spacing w:after="0" w:line="153" w:lineRule="exact"/>
        <w:rPr>
          <w:sz w:val="20"/>
          <w:szCs w:val="20"/>
          <w:color w:val="auto"/>
        </w:rPr>
      </w:pPr>
    </w:p>
    <w:p>
      <w:pPr>
        <w:ind w:left="108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66"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 and</w:t>
      </w:r>
    </w:p>
    <w:p>
      <w:pPr>
        <w:spacing w:after="0" w:line="207"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jc w:val="both"/>
        <w:ind w:firstLine="354"/>
        <w:spacing w:after="0" w:line="289"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increased the statute of limitations period for the government to recover overpayments to providers from three to five years.</w:t>
      </w:r>
    </w:p>
    <w:p>
      <w:pPr>
        <w:spacing w:after="0" w:line="172" w:lineRule="exact"/>
        <w:rPr>
          <w:sz w:val="20"/>
          <w:szCs w:val="20"/>
          <w:color w:val="auto"/>
        </w:rPr>
      </w:pPr>
    </w:p>
    <w:p>
      <w:pPr>
        <w:jc w:val="both"/>
        <w:ind w:firstLine="358"/>
        <w:spacing w:after="0" w:line="287" w:lineRule="auto"/>
        <w:rPr>
          <w:sz w:val="20"/>
          <w:szCs w:val="20"/>
          <w:color w:val="auto"/>
        </w:rPr>
      </w:pPr>
      <w:r>
        <w:rPr>
          <w:rFonts w:ascii="Arial" w:cs="Arial" w:eastAsia="Arial" w:hAnsi="Arial"/>
          <w:sz w:val="16"/>
          <w:szCs w:val="16"/>
          <w:color w:val="auto"/>
        </w:rPr>
        <w:t>Since enactment of the ACA, there have been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is effective as of 2019. According to the Congressional Budget Office, the repeal of the individual mandate will cause 13 million fewer Americans to be insured in 2027 and premiums in insurance markets may rise.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 The Congress will likely consider other legislation to replace elements of the ACA during the next Congressional session.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5"/>
        <w:spacing w:after="0" w:line="291" w:lineRule="auto"/>
        <w:rPr>
          <w:sz w:val="20"/>
          <w:szCs w:val="20"/>
          <w:color w:val="auto"/>
        </w:rPr>
      </w:pPr>
      <w:r>
        <w:rPr>
          <w:rFonts w:ascii="Arial" w:cs="Arial" w:eastAsia="Arial" w:hAnsi="Arial"/>
          <w:sz w:val="16"/>
          <w:szCs w:val="16"/>
          <w:color w:val="auto"/>
        </w:rPr>
        <w:t>In addition,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Trump administration and CMS have both stated that the ruling will have no immediate effect, and on December 30, 2018 the same judge issued an order staying the judgment pending appeal. The Trump Administration has recently represented to the Court of Appeals considering this judgment that it does not oppose the lower court's ruling. It is unclear how this decision and any subsequent appeals and other efforts to repeal and replace the ACA will impact the ACA and our business. Litigation and legislation over the ACA are likely to continue, with unpredictable and uncertain results.</w:t>
      </w:r>
    </w:p>
    <w:p>
      <w:pPr>
        <w:spacing w:after="0" w:line="174" w:lineRule="exact"/>
        <w:rPr>
          <w:sz w:val="20"/>
          <w:szCs w:val="20"/>
          <w:color w:val="auto"/>
        </w:rPr>
      </w:pPr>
    </w:p>
    <w:p>
      <w:pPr>
        <w:jc w:val="both"/>
        <w:ind w:firstLine="426"/>
        <w:spacing w:after="0" w:line="286" w:lineRule="auto"/>
        <w:rPr>
          <w:sz w:val="20"/>
          <w:szCs w:val="20"/>
          <w:color w:val="auto"/>
        </w:rPr>
      </w:pPr>
      <w:r>
        <w:rPr>
          <w:rFonts w:ascii="Arial" w:cs="Arial" w:eastAsia="Arial" w:hAnsi="Arial"/>
          <w:sz w:val="16"/>
          <w:szCs w:val="16"/>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181"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color w:val="auto"/>
        </w:rPr>
        <w:t>Further,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For example,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w:t>
      </w:r>
    </w:p>
    <w:p>
      <w:pPr>
        <w:spacing w:after="0" w:line="172" w:lineRule="exact"/>
        <w:rPr>
          <w:sz w:val="20"/>
          <w:szCs w:val="20"/>
          <w:color w:val="auto"/>
        </w:rPr>
      </w:pPr>
    </w:p>
    <w:p>
      <w:pPr>
        <w:jc w:val="both"/>
        <w:ind w:firstLine="398"/>
        <w:spacing w:after="0" w:line="289" w:lineRule="auto"/>
        <w:rPr>
          <w:sz w:val="20"/>
          <w:szCs w:val="20"/>
          <w:color w:val="auto"/>
        </w:rPr>
      </w:pPr>
      <w:r>
        <w:rPr>
          <w:rFonts w:ascii="Arial" w:cs="Arial" w:eastAsia="Arial" w:hAnsi="Arial"/>
          <w:sz w:val="16"/>
          <w:szCs w:val="16"/>
          <w:color w:val="auto"/>
        </w:rPr>
        <w:t>For example, on May 11, 2018, the Administration issued a plan to lower drug prices. Under this blueprint for action, the Administration indicated that the Department of Health and Human Services, or HHS,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members be provided with an annual statement of plan payments, out-of-pocket spending, and drug price increases. More recently,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w:t>
      </w:r>
    </w:p>
    <w:p>
      <w:pPr>
        <w:spacing w:after="0" w:line="197" w:lineRule="exact"/>
        <w:rPr>
          <w:sz w:val="20"/>
          <w:szCs w:val="20"/>
          <w:color w:val="auto"/>
        </w:rPr>
      </w:pPr>
    </w:p>
    <w:p>
      <w:pPr>
        <w:jc w:val="both"/>
        <w:ind w:firstLine="410"/>
        <w:spacing w:after="0" w:line="289"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the European Union</w:t>
      </w:r>
    </w:p>
    <w:p>
      <w:pPr>
        <w:spacing w:after="0" w:line="225" w:lineRule="exact"/>
        <w:rPr>
          <w:sz w:val="20"/>
          <w:szCs w:val="20"/>
          <w:color w:val="auto"/>
        </w:rPr>
      </w:pPr>
    </w:p>
    <w:p>
      <w:pPr>
        <w:jc w:val="both"/>
        <w:ind w:firstLine="480"/>
        <w:spacing w:after="0" w:line="286" w:lineRule="auto"/>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Specifically, however, the process governing approval of medicinal products in the European Union, or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an MAA and granting of a marketing authorization by these authorities before the product can be marketed and sold in the EU.</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Approval</w:t>
      </w:r>
    </w:p>
    <w:p>
      <w:pPr>
        <w:spacing w:after="0" w:line="225" w:lineRule="exact"/>
        <w:rPr>
          <w:sz w:val="20"/>
          <w:szCs w:val="20"/>
          <w:color w:val="auto"/>
        </w:rPr>
      </w:pPr>
    </w:p>
    <w:p>
      <w:pPr>
        <w:jc w:val="both"/>
        <w:ind w:firstLine="452"/>
        <w:spacing w:after="0" w:line="253" w:lineRule="auto"/>
        <w:rPr>
          <w:sz w:val="20"/>
          <w:szCs w:val="20"/>
          <w:color w:val="auto"/>
        </w:rPr>
      </w:pPr>
      <w:r>
        <w:rPr>
          <w:rFonts w:ascii="Arial" w:cs="Arial" w:eastAsia="Arial" w:hAnsi="Arial"/>
          <w:sz w:val="18"/>
          <w:szCs w:val="18"/>
          <w:color w:val="auto"/>
        </w:rPr>
        <w:t>The Clinical Trials Directive 2001/20/EC, the Directive 2005/28/EC on GCP and the related national implementing provisions of the individual member states of the European Union, or EU Member States, govern the system for the approval of clinical trials in the EU.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1"/>
        <w:spacing w:after="0" w:line="290" w:lineRule="auto"/>
        <w:rPr>
          <w:sz w:val="20"/>
          <w:szCs w:val="20"/>
          <w:color w:val="auto"/>
        </w:rPr>
      </w:pPr>
      <w:r>
        <w:rPr>
          <w:rFonts w:ascii="Arial" w:cs="Arial" w:eastAsia="Arial" w:hAnsi="Arial"/>
          <w:sz w:val="16"/>
          <w:szCs w:val="16"/>
          <w:color w:val="auto"/>
        </w:rPr>
        <w:t>In April 2014, the new Clinical Trials Regulation, (EU) No 536/2014, was adopted. The Clinical Trials Regulation was published on June 16, 2014 but is not expected to apply until later in 2019. The Clinical Trials Regulation will be directly applicable in all the EU Member States, repealing the current Clinical Trials Directive 2001/20/EC and replacing any national legislation that was put in place to implement the Directive. Conduct of all clinical trials performed in the EU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172" w:lineRule="exact"/>
        <w:rPr>
          <w:sz w:val="20"/>
          <w:szCs w:val="20"/>
          <w:color w:val="auto"/>
        </w:rPr>
      </w:pPr>
    </w:p>
    <w:p>
      <w:pPr>
        <w:jc w:val="both"/>
        <w:ind w:firstLine="487"/>
        <w:spacing w:after="0" w:line="289" w:lineRule="auto"/>
        <w:rPr>
          <w:sz w:val="20"/>
          <w:szCs w:val="20"/>
          <w:color w:val="auto"/>
        </w:rPr>
      </w:pPr>
      <w:r>
        <w:rPr>
          <w:rFonts w:ascii="Arial" w:cs="Arial" w:eastAsia="Arial" w:hAnsi="Arial"/>
          <w:sz w:val="16"/>
          <w:szCs w:val="16"/>
          <w:color w:val="auto"/>
        </w:rPr>
        <w:t>The new Clinical Trials Regulation aims to simplify and streamline the approval of clinical trials in the EU. The main characteristics of the regulation include: a streamlined application procedure via a single entry point, the "EU Portal and Database";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appointed reporting Member State, whose assessment report is submitted for review by the sponsor and all other competent authorities of all EU Member States in which an application for authorization of a clinical trial has been submitted (Concerned Member States). Part II is assessed separately by each Concerned Member State. Strict deadlines have been established for the assessment of clinical trial applications. The role of the relevant ethics committees in the assessment procedure will continue to be governed by the national law of the Concerned Member State. However, overall related timelines will be defined by the Clinical Trials Regulation.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PRIME Designation in the EU</w:t>
      </w:r>
    </w:p>
    <w:p>
      <w:pPr>
        <w:spacing w:after="0" w:line="22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Agency contact and rapporteur from the Committee for Human Medicinal Products, or CHMP, or Committee for Advanced Therapies,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w:t>
      </w:r>
    </w:p>
    <w:p>
      <w:pPr>
        <w:spacing w:after="0" w:line="225"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To obtain a marketing authorization for a product under EU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 Regulation (EC) No 1901/2006 provides that prior to obtaining a marketing authorization in the EU, applicants have to demonstrate compliance with all measures included in an EMA-approved Paediatric Investigation Plan, or PIP, covering all subsets of the pediatric population, unless the EMA has granted (1) a product-specific waiver, (2) a class waiver or (3) a deferral for one or more of the measures included in the PIP.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45"/>
        <w:spacing w:after="0" w:line="290" w:lineRule="auto"/>
        <w:rPr>
          <w:sz w:val="20"/>
          <w:szCs w:val="20"/>
          <w:color w:val="auto"/>
        </w:rPr>
      </w:pPr>
      <w:r>
        <w:rPr>
          <w:rFonts w:ascii="Arial" w:cs="Arial" w:eastAsia="Arial" w:hAnsi="Arial"/>
          <w:sz w:val="16"/>
          <w:szCs w:val="16"/>
          <w:color w:val="auto"/>
        </w:rPr>
        <w:t>The centralized procedure provides for the grant of a single marketing authorization by the European Commission that is valid across the European Economic Area (i.e. the EU as well as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 The centralized procedure may at the request of the applicant also be used in certain other cases. We anticipate that the centralized procedure will be mandatory for the product candidates we are developing.</w:t>
      </w:r>
    </w:p>
    <w:p>
      <w:pPr>
        <w:spacing w:after="0" w:line="172" w:lineRule="exact"/>
        <w:rPr>
          <w:sz w:val="20"/>
          <w:szCs w:val="20"/>
          <w:color w:val="auto"/>
        </w:rPr>
      </w:pPr>
    </w:p>
    <w:p>
      <w:pPr>
        <w:jc w:val="both"/>
        <w:ind w:firstLine="563"/>
        <w:spacing w:after="0" w:line="286" w:lineRule="auto"/>
        <w:rPr>
          <w:sz w:val="20"/>
          <w:szCs w:val="20"/>
          <w:color w:val="auto"/>
        </w:rPr>
      </w:pPr>
      <w:r>
        <w:rPr>
          <w:rFonts w:ascii="Arial" w:cs="Arial" w:eastAsia="Arial" w:hAnsi="Arial"/>
          <w:sz w:val="16"/>
          <w:szCs w:val="16"/>
          <w:color w:val="auto"/>
        </w:rPr>
        <w:t>Under the centralized procedure, the CHMP is responsible for conducting the initial assessment of a product and for several post-authorization and maintenance activities, such as the assessment of modifications or extensions to an existing marketing authorization. Under the centralized procedure in the EU,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75" w:lineRule="exact"/>
        <w:rPr>
          <w:sz w:val="20"/>
          <w:szCs w:val="20"/>
          <w:color w:val="auto"/>
        </w:rPr>
      </w:pPr>
    </w:p>
    <w:p>
      <w:pPr>
        <w:jc w:val="both"/>
        <w:ind w:firstLine="352"/>
        <w:spacing w:after="0" w:line="291" w:lineRule="auto"/>
        <w:rPr>
          <w:sz w:val="20"/>
          <w:szCs w:val="20"/>
          <w:color w:val="auto"/>
        </w:rPr>
      </w:pPr>
      <w:r>
        <w:rPr>
          <w:rFonts w:ascii="Arial" w:cs="Arial" w:eastAsia="Arial" w:hAnsi="Arial"/>
          <w:sz w:val="16"/>
          <w:szCs w:val="16"/>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188" w:lineRule="exact"/>
        <w:rPr>
          <w:sz w:val="20"/>
          <w:szCs w:val="20"/>
          <w:color w:val="auto"/>
        </w:rPr>
      </w:pPr>
    </w:p>
    <w:p>
      <w:pPr>
        <w:ind w:left="10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26"/>
        <w:spacing w:after="0" w:line="294" w:lineRule="auto"/>
        <w:rPr>
          <w:sz w:val="20"/>
          <w:szCs w:val="20"/>
          <w:color w:val="auto"/>
        </w:rPr>
      </w:pPr>
      <w:r>
        <w:rPr>
          <w:rFonts w:ascii="Arial" w:cs="Arial" w:eastAsia="Arial" w:hAnsi="Arial"/>
          <w:sz w:val="16"/>
          <w:szCs w:val="16"/>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170"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(i) the risk-benefit balance of the product candidate is positive, (ii) it is likely that the applicant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77" w:lineRule="exact"/>
        <w:rPr>
          <w:sz w:val="20"/>
          <w:szCs w:val="20"/>
          <w:color w:val="auto"/>
        </w:rPr>
      </w:pPr>
    </w:p>
    <w:p>
      <w:pPr>
        <w:jc w:val="both"/>
        <w:ind w:firstLine="519"/>
        <w:spacing w:after="0" w:line="256" w:lineRule="auto"/>
        <w:rPr>
          <w:sz w:val="20"/>
          <w:szCs w:val="20"/>
          <w:color w:val="auto"/>
        </w:rPr>
      </w:pPr>
      <w:r>
        <w:rPr>
          <w:rFonts w:ascii="Arial" w:cs="Arial" w:eastAsia="Arial" w:hAnsi="Arial"/>
          <w:sz w:val="18"/>
          <w:szCs w:val="18"/>
          <w:color w:val="auto"/>
        </w:rPr>
        <w:t>The EU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products we have in development do not make use of embryonic stem cells, it is possible that the national laws in certain EU Member States may prohibit or restrict us from commercializing our products, even if they have been granted an EU marketing authorization.</w:t>
      </w:r>
    </w:p>
    <w:p>
      <w:pPr>
        <w:spacing w:after="0" w:line="197"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72" w:lineRule="exact"/>
        <w:rPr>
          <w:sz w:val="20"/>
          <w:szCs w:val="20"/>
          <w:color w:val="auto"/>
        </w:rPr>
      </w:pPr>
    </w:p>
    <w:p>
      <w:pPr>
        <w:jc w:val="both"/>
        <w:ind w:firstLine="362"/>
        <w:spacing w:after="0" w:line="256"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Data Protection in the EU</w:t>
      </w:r>
    </w:p>
    <w:p>
      <w:pPr>
        <w:spacing w:after="0" w:line="225" w:lineRule="exact"/>
        <w:rPr>
          <w:sz w:val="20"/>
          <w:szCs w:val="20"/>
          <w:color w:val="auto"/>
        </w:rPr>
      </w:pPr>
    </w:p>
    <w:p>
      <w:pPr>
        <w:jc w:val="both"/>
        <w:ind w:right="20" w:firstLine="452"/>
        <w:spacing w:after="0" w:line="332" w:lineRule="auto"/>
        <w:rPr>
          <w:sz w:val="20"/>
          <w:szCs w:val="20"/>
          <w:color w:val="auto"/>
        </w:rPr>
      </w:pPr>
      <w:r>
        <w:rPr>
          <w:rFonts w:ascii="Arial" w:cs="Arial" w:eastAsia="Arial" w:hAnsi="Arial"/>
          <w:sz w:val="16"/>
          <w:szCs w:val="16"/>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entitlement for medicinal products authorized in accordance the centralized authorization procedure. Data exclusivity prevents applicants for authorization of generics of these innovative products from referencing the innovator's data to assess a generic (abridged) application for a period of eight years. During an additional two-year period of market exclusivity, a generic MAA can be submitted and authorized, and the innovator's data may be referenced, but no generic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an NCE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225" w:lineRule="exact"/>
        <w:rPr>
          <w:sz w:val="20"/>
          <w:szCs w:val="20"/>
          <w:color w:val="auto"/>
        </w:rPr>
      </w:pPr>
    </w:p>
    <w:p>
      <w:pPr>
        <w:jc w:val="both"/>
        <w:ind w:firstLine="357"/>
        <w:spacing w:after="0" w:line="289"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Paediatric Studies and Exclusivity</w:t>
      </w:r>
    </w:p>
    <w:p>
      <w:pPr>
        <w:spacing w:after="0" w:line="225" w:lineRule="exact"/>
        <w:rPr>
          <w:sz w:val="20"/>
          <w:szCs w:val="20"/>
          <w:color w:val="auto"/>
        </w:rPr>
      </w:pPr>
    </w:p>
    <w:p>
      <w:pPr>
        <w:jc w:val="both"/>
        <w:ind w:firstLine="517"/>
        <w:spacing w:after="0" w:line="286" w:lineRule="auto"/>
        <w:rPr>
          <w:sz w:val="20"/>
          <w:szCs w:val="20"/>
          <w:color w:val="auto"/>
        </w:rPr>
      </w:pPr>
      <w:r>
        <w:rPr>
          <w:rFonts w:ascii="Arial" w:cs="Arial" w:eastAsia="Arial" w:hAnsi="Arial"/>
          <w:sz w:val="16"/>
          <w:szCs w:val="16"/>
          <w:color w:val="auto"/>
        </w:rPr>
        <w:t>Prior to obtaining a marketing authorization in the European Union,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225" w:lineRule="exact"/>
        <w:rPr>
          <w:sz w:val="20"/>
          <w:szCs w:val="20"/>
          <w:color w:val="auto"/>
        </w:rPr>
      </w:pPr>
    </w:p>
    <w:p>
      <w:pPr>
        <w:jc w:val="both"/>
        <w:ind w:firstLine="361"/>
        <w:spacing w:after="0" w:line="314" w:lineRule="auto"/>
        <w:rPr>
          <w:sz w:val="20"/>
          <w:szCs w:val="20"/>
          <w:color w:val="auto"/>
        </w:rPr>
      </w:pPr>
      <w:r>
        <w:rPr>
          <w:rFonts w:ascii="Arial" w:cs="Arial" w:eastAsia="Arial" w:hAnsi="Arial"/>
          <w:sz w:val="15"/>
          <w:szCs w:val="15"/>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59"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8"/>
          <w:szCs w:val="18"/>
          <w:color w:val="auto"/>
        </w:rPr>
        <w:t>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225" w:lineRule="exact"/>
        <w:rPr>
          <w:sz w:val="20"/>
          <w:szCs w:val="20"/>
          <w:color w:val="auto"/>
        </w:rPr>
      </w:pPr>
    </w:p>
    <w:p>
      <w:pPr>
        <w:jc w:val="both"/>
        <w:ind w:right="20" w:firstLine="481"/>
        <w:spacing w:after="0" w:line="268" w:lineRule="auto"/>
        <w:rPr>
          <w:sz w:val="20"/>
          <w:szCs w:val="20"/>
          <w:color w:val="auto"/>
        </w:rPr>
      </w:pPr>
      <w:r>
        <w:rPr>
          <w:rFonts w:ascii="Arial" w:cs="Arial" w:eastAsia="Arial" w:hAnsi="Arial"/>
          <w:sz w:val="18"/>
          <w:szCs w:val="18"/>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199" w:lineRule="exact"/>
        <w:rPr>
          <w:sz w:val="20"/>
          <w:szCs w:val="20"/>
          <w:color w:val="auto"/>
        </w:rPr>
      </w:pPr>
    </w:p>
    <w:p>
      <w:pPr>
        <w:ind w:left="108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212"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183"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are also subject to EU Member State laws. Direct-to-consumer advertising of prescription medicines is prohibited across the EU.</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225"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On June 23, 2016, the electorate in the United Kingdom voted in favor of leaving the EU, commonly referred to as Brexit. Thereafter, on March 29, 2017, the country formally notified the EU of its intention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withdraw pursuant to Article 50 of the Lisbon Treaty. The withdrawal of the United Kingdom from the EU was meant to take effect either on the effective date of the withdrawal agreement or, in the absence of agreement, two years after the United Kingdom provides a notice of withdrawal pursuant to the EU Treaty, which was March 29, 2019. That date has now been extended to October 31, 2019. Discussions between the United Kingdom and the European Union have focused on finalizing withdrawal issues and transition agreements, but have been extremely difficult to date. Limited progress to date in these negotiations and ongoing uncertainty within the UK Government and Parliament sustains the possibility of the United Kingdom leaving the European Union on the given deadline without a withdrawal agreement and associated transition period in place, which is likely to cause significant market and economic disruption.</w:t>
      </w:r>
    </w:p>
    <w:p>
      <w:pPr>
        <w:spacing w:after="0" w:line="174"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that applies to products and the approval of product candidates in the United Kingdom. It remains to be seen how, if at all, Brexit will impact regulatory requirements for product candidates and products in the United Kingdom.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225" w:lineRule="exact"/>
        <w:rPr>
          <w:sz w:val="20"/>
          <w:szCs w:val="20"/>
          <w:color w:val="auto"/>
        </w:rPr>
      </w:pPr>
    </w:p>
    <w:p>
      <w:pPr>
        <w:jc w:val="both"/>
        <w:ind w:firstLine="365"/>
        <w:spacing w:after="0" w:line="287" w:lineRule="auto"/>
        <w:rPr>
          <w:sz w:val="20"/>
          <w:szCs w:val="20"/>
          <w:color w:val="auto"/>
        </w:rPr>
      </w:pPr>
      <w:r>
        <w:rPr>
          <w:rFonts w:ascii="Arial" w:cs="Arial" w:eastAsia="Arial" w:hAnsi="Arial"/>
          <w:sz w:val="16"/>
          <w:szCs w:val="16"/>
          <w:color w:val="auto"/>
        </w:rPr>
        <w:t>The collection, use,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Decisions for Approved Products</w:t>
      </w:r>
    </w:p>
    <w:p>
      <w:pPr>
        <w:spacing w:after="0" w:line="225" w:lineRule="exact"/>
        <w:rPr>
          <w:sz w:val="20"/>
          <w:szCs w:val="20"/>
          <w:color w:val="auto"/>
        </w:rPr>
      </w:pPr>
    </w:p>
    <w:p>
      <w:pPr>
        <w:jc w:val="both"/>
        <w:ind w:firstLine="442"/>
        <w:spacing w:after="0" w:line="287" w:lineRule="auto"/>
        <w:rPr>
          <w:sz w:val="20"/>
          <w:szCs w:val="20"/>
          <w:color w:val="auto"/>
        </w:rPr>
      </w:pPr>
      <w:r>
        <w:rPr>
          <w:rFonts w:ascii="Arial" w:cs="Arial" w:eastAsia="Arial" w:hAnsi="Arial"/>
          <w:sz w:val="16"/>
          <w:szCs w:val="16"/>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As of March 31, 2019, we had 57 full-time employees, including a total of 25 employees with M.D. or Ph.D. degrees. Of these full-time employees, 44 employees are engaged in research and development. None of our employees are represented by labor unions or covered by collective bargaining agreements. We consider our relationship with our employees to be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Our principal facilities consist of office and laboratory space. We occupy approximately 28,731 square feet of office space in Cambridge, Massachusetts under a lease that currently expires in June 2028.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name, age as of April 15, 2019 and position of each of our executive officers and directors.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4"/>
                <w:szCs w:val="14"/>
                <w:color w:val="auto"/>
              </w:rPr>
            </w:pPr>
          </w:p>
        </w:tc>
        <w:tc>
          <w:tcPr>
            <w:tcW w:w="3620" w:type="dxa"/>
            <w:vAlign w:val="bottom"/>
          </w:tcPr>
          <w:p>
            <w:pPr>
              <w:ind w:left="15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J. Gould, Ph.D.</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Chief Executive Officer and President,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Bryan Stuart</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Wallace, Ph.D.</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Scientific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Diego Cadavid, M.D.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Senior Vice President, Clinical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Levin</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James J. Collins, Ph.D.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Alan Ezekowitz, MBChB, D.Phil</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James Geraghty</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Kate Haviland</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b w:val="1"/>
          <w:bCs w:val="1"/>
          <w:i w:val="1"/>
          <w:iCs w:val="1"/>
          <w:color w:val="auto"/>
        </w:rPr>
        <w:t xml:space="preserve">Robert J. Gould, Ph.D. </w:t>
      </w:r>
      <w:r>
        <w:rPr>
          <w:rFonts w:ascii="Arial" w:cs="Arial" w:eastAsia="Arial" w:hAnsi="Arial"/>
          <w:sz w:val="16"/>
          <w:szCs w:val="16"/>
          <w:color w:val="auto"/>
        </w:rPr>
        <w:t>has served as our president and chief executive officer and as a member of our board of directors since June 2016. Dr. Gould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as president and chief executive officer of Epizyme, Inc., or Epizyme, a biopharmaceutical company, from March 2010 to September 2015. Prior to joining Epizyme, he served as director of novel therapeutics at the Broad Institute of Massachusetts Institute of Technology, or MIT, and Harvard, a research institute, from December 2006 to March 2010. Dr. Gould spent 23 years at Merck Research Laboratories, or Merck, a healthcare company, where he held a variety of leadership positions, culminating in the role of vice president, licensing and external research. Dr. Gould received a B.A. from Spring Arbor University and a Ph.D. from the University of Iowa and completed postdoctoral studies at the Johns Hopkins University. We believe that Dr. Gould's extensive leadership experience in the life sciences industry and his extensive knowledge of our company based on his current role as our chief executive officer qualify him to serve on our board of directors.</w:t>
      </w:r>
    </w:p>
    <w:p>
      <w:pPr>
        <w:spacing w:after="0" w:line="172"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b w:val="1"/>
          <w:bCs w:val="1"/>
          <w:i w:val="1"/>
          <w:iCs w:val="1"/>
          <w:color w:val="auto"/>
        </w:rPr>
        <w:t xml:space="preserve">Bryan Stuart </w:t>
      </w:r>
      <w:r>
        <w:rPr>
          <w:rFonts w:ascii="Arial" w:cs="Arial" w:eastAsia="Arial" w:hAnsi="Arial"/>
          <w:sz w:val="16"/>
          <w:szCs w:val="16"/>
          <w:color w:val="auto"/>
        </w:rPr>
        <w:t>has served as our chief operating officer since December 2018. Mr. Stuart previously served as president and chief executive officer of Yarra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Therapeutics, LLC, or Yarra, a subsidiary of Array Biopharma, Inc., a biopharmaceutical company focused on genetically defined rare diseases, from December 2017 to August 2018. Prior to joining Yarra, Mr. Stuart served as president of Kastle Therapeutics, LLC, or Kastle, a biopharmaceutical company focused on developing and commercializing treatments for rare diseases, from July 2015 to March 2017 and as president and chief executive officer from March 2017 to November 2017. Prior to joining Kastle, Mr. Stuart was the chief business officer of Civitas Therapeutics, Inc., a biopharmaceutical company, from August 2012 to October 2014, where he led the business development, capital raising, commercial and portfolio management functions, including the sale of Civitas to Acorda Therapeutics, Inc. He previously led business development, corporate development and strategy at both EKR Therapeutics Inc. (acquired by Chiesi Farmaceutici S.p.A.) and Ovation Pharmaceuticals Inc. (acquired by Lundbeck A/S), where he played key roles in each company's growth and ultimate sale. Mr. Stuart began his career as a healthcare investment banker at William Blair &amp; Company. Mr. Stuart received an MBA from the Kellogg School of Management at Northwestern University and a B.S. from the University of Illinois.</w:t>
      </w:r>
    </w:p>
    <w:p>
      <w:pPr>
        <w:spacing w:after="0" w:line="17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Owen Wallace, Ph.D. </w:t>
      </w:r>
      <w:r>
        <w:rPr>
          <w:rFonts w:ascii="Arial" w:cs="Arial" w:eastAsia="Arial" w:hAnsi="Arial"/>
          <w:sz w:val="18"/>
          <w:szCs w:val="18"/>
          <w:color w:val="auto"/>
        </w:rPr>
        <w:t>has served as our chief scientific officer since April 2017. Dr. Wallace previously served as head, global discovery chemistry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Novartis Institutes for BioMedical Research, or Novartis Institutes, a pharmaceutical company, from May 2013 to April 2017. Prior to joining Novartis Institutes, 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held various positions at Eli Lilly &amp; Company, a pharmaceutical company, including site scientific leader and group senior director from July 2010 to June 2013, senior director, discovery chemistry from August 2009 to July 2010, director, discovery chemistry from December 2005 to August 2009 and head, discovery chemistry research from February 2002 to December 2005. Dr. Wallace received his Ph.D. in Organic Chemistry from Yale University and his B.Sc. (Hons) in Chemistry from University College Cork in Ireland.</w:t>
      </w:r>
    </w:p>
    <w:p>
      <w:pPr>
        <w:spacing w:after="0" w:line="19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b w:val="1"/>
          <w:bCs w:val="1"/>
          <w:i w:val="1"/>
          <w:iCs w:val="1"/>
          <w:color w:val="auto"/>
        </w:rPr>
        <w:t xml:space="preserve">Diego Cadavid, M.D. </w:t>
      </w:r>
      <w:r>
        <w:rPr>
          <w:rFonts w:ascii="Arial" w:cs="Arial" w:eastAsia="Arial" w:hAnsi="Arial"/>
          <w:sz w:val="16"/>
          <w:szCs w:val="16"/>
          <w:color w:val="auto"/>
        </w:rPr>
        <w:t>has served as our senior vice president, clinical development since July 2018 and served as our vice president, clinical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September 2016 to July 2018. Dr. Cadavid currently serves as an adjunct professor at the University of Massachusetts Medical School. Dr. Cadavid previously served as senior medical director in the MS Clinical Development Group at Biogen Inc., or Biogen, a biotechnology company, from January 2014 to September 2016 and as a director of the Neurology Clinical Group at Biogen from April 2008 to December 2013. Before joining Biogen, Dr. Cadavid spent nine years at Rutgers-New Jersey Medical School where he was Associate Professor of Neurology and Neuroscience. While working at Biogen, Dr. Cadavid served as a consultant at the Center for Immunology and Inflammatory Diseases at the Massachusetts General Hospital in Boston. Dr. Cadavid received an M.D. from Pontificia Universidad Javeriana in Bogota, Colombia.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b w:val="1"/>
          <w:bCs w:val="1"/>
          <w:i w:val="1"/>
          <w:iCs w:val="1"/>
          <w:color w:val="auto"/>
        </w:rPr>
        <w:t xml:space="preserve">Mark Levin </w:t>
      </w:r>
      <w:r>
        <w:rPr>
          <w:rFonts w:ascii="Arial" w:cs="Arial" w:eastAsia="Arial" w:hAnsi="Arial"/>
          <w:sz w:val="16"/>
          <w:szCs w:val="16"/>
          <w:color w:val="auto"/>
        </w:rPr>
        <w:t>has served as a member of our board of directors since August 2015 and chairman of our board of directors since August 2016. Mr. Levin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serves as a partner at Third Rock Ventures, LLC, which he co-founded in 2007. Mr. Levin served as our interim president and chief executive officer from August 2015 to July 2016 and as interim president and chief executive officer of Voyager Therapeutics, Inc., or Voyager, a biotechnology company, from June 2013 to September 2014. He has served as the chairman of the board of directors of Voyager since June 2013. Mr. Levin was formerly on the boards of publicly traded life sciences companies Eleven Biotherapeutics, Inc. from September 2008 to November 2014 and Foundation Medicine, Inc. from 2010 to June 2014. Mr. Levin served as founding chief executive officer of Millennium Pharmaceuticals, Inc., a biopharmaceutical company since acquired by Takeda Pharmaceutical Company Limited, from 1993 to 2005. Mr. Levin received both a B.S. and an M.S. in Chemical and Biochemical Engineering from Washington University in St. Louis. We believe Mr. Levin's experience working with and serving on the boards of directors of life sciences companies and his experience working in the venture capital industry qualifies him to serve on our board of directors.</w:t>
      </w:r>
    </w:p>
    <w:p>
      <w:pPr>
        <w:spacing w:after="0" w:line="174"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b w:val="1"/>
          <w:bCs w:val="1"/>
          <w:i w:val="1"/>
          <w:iCs w:val="1"/>
          <w:color w:val="auto"/>
        </w:rPr>
        <w:t xml:space="preserve">James J. Collins, Ph.D. </w:t>
      </w:r>
      <w:r>
        <w:rPr>
          <w:rFonts w:ascii="Arial" w:cs="Arial" w:eastAsia="Arial" w:hAnsi="Arial"/>
          <w:sz w:val="16"/>
          <w:szCs w:val="16"/>
          <w:color w:val="auto"/>
        </w:rPr>
        <w:t>has served on our board of directors since January 2017. Dr. Collins has served as the Termeer Professor of Medical Engineering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Science in the Institute for Medical Engineering and Science and the Department of Biological Engineering at MIT since December 2014. Prior to his joining MIT, from October 1990 to November 2014, Dr. Collins served as a professor in biomedical engineering at Boston University. Dr. Collins received a B.S. in Physics from the College of the Holy Cross and a doctorate in Medical Engineering from the University of Oxford. From 1987 to 1990, he was a Rhodes Scholar. We believe Dr. Collins' extensive industry expertise qualifies him to serve on our board of directors.</w:t>
      </w:r>
    </w:p>
    <w:p>
      <w:pPr>
        <w:spacing w:after="0" w:line="170" w:lineRule="exact"/>
        <w:rPr>
          <w:sz w:val="20"/>
          <w:szCs w:val="20"/>
          <w:color w:val="auto"/>
        </w:rPr>
      </w:pPr>
    </w:p>
    <w:p>
      <w:pPr>
        <w:jc w:val="both"/>
        <w:ind w:firstLine="473"/>
        <w:spacing w:after="0" w:line="289" w:lineRule="auto"/>
        <w:rPr>
          <w:sz w:val="20"/>
          <w:szCs w:val="20"/>
          <w:color w:val="auto"/>
        </w:rPr>
      </w:pPr>
      <w:r>
        <w:rPr>
          <w:rFonts w:ascii="Arial" w:cs="Arial" w:eastAsia="Arial" w:hAnsi="Arial"/>
          <w:sz w:val="16"/>
          <w:szCs w:val="16"/>
          <w:b w:val="1"/>
          <w:bCs w:val="1"/>
          <w:i w:val="1"/>
          <w:iCs w:val="1"/>
          <w:color w:val="auto"/>
        </w:rPr>
        <w:t xml:space="preserve">Alan Ezekowitz, MBChB, D.Phil </w:t>
      </w:r>
      <w:r>
        <w:rPr>
          <w:rFonts w:ascii="Arial" w:cs="Arial" w:eastAsia="Arial" w:hAnsi="Arial"/>
          <w:sz w:val="16"/>
          <w:szCs w:val="16"/>
          <w:color w:val="auto"/>
        </w:rPr>
        <w:t>has served on our board of directors since December 2016. Dr. Ezekowitz currently serves as the president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Abide Therapeutics, Inc., or Abide, a biopharmaceutical company that he co-founded in 2011. Prior to founding Abide, Dr. Ezekowitz was the senior vice president and franchise head for disease areas including bone, respiratory, immunology, muscle, dermatology and urology at Merck from March 2006 to March 2011. Prior to joining Merck, Dr. Ezekowitz was the Charles Wilder Professor of Pediatrics at the Harvard Medical School from June 1995 to March 2005 and served as the chief of pediatric services at the Massachusetts General Hospital for Children and the Partners Healthcare System. Additionally, he directed the Laboratory of Developmental Immunology at Massachusetts General Hospital. Dr. Ezekowitz received his medical training at the University of Cape Town in South Africa and received a Doctor of Philosophy degree from Oxford University. We believe Dr. Ezekowitz's leadership experience in the life sciences industry qualifies him to serve on our board of directors.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59"/>
        <w:spacing w:after="0" w:line="286" w:lineRule="auto"/>
        <w:rPr>
          <w:sz w:val="20"/>
          <w:szCs w:val="20"/>
          <w:color w:val="auto"/>
        </w:rPr>
      </w:pPr>
      <w:r>
        <w:rPr>
          <w:rFonts w:ascii="Arial" w:cs="Arial" w:eastAsia="Arial" w:hAnsi="Arial"/>
          <w:sz w:val="16"/>
          <w:szCs w:val="16"/>
          <w:b w:val="1"/>
          <w:bCs w:val="1"/>
          <w:i w:val="1"/>
          <w:iCs w:val="1"/>
          <w:color w:val="auto"/>
        </w:rPr>
        <w:t xml:space="preserve">James Geraghty </w:t>
      </w:r>
      <w:r>
        <w:rPr>
          <w:rFonts w:ascii="Arial" w:cs="Arial" w:eastAsia="Arial" w:hAnsi="Arial"/>
          <w:sz w:val="16"/>
          <w:szCs w:val="16"/>
          <w:color w:val="auto"/>
        </w:rPr>
        <w:t>has served on our board of directors since July 2016. Mr. Geraghty is an industry leader with over 30 years of strategic and leadership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including more than 20 years as a senior member of executive teams at biotechnology companies developing and commercializing innovative therapies. From May 2013 to December 2016, Mr. Geraghty was an Entrepreneur in Residence at Third Rock Ventures, a leading biotech venture and company-formation fund. From April 2011 to December 2012, Mr. Geraghty served as a senior vice president of Sanofi, a global healthcare company. Prior to that, he served in various senior management roles at Genzyme Corporation, or Genzyme, a biotechnology company, from 1992 to April 2011, including as senior vice president, international development from January 2007 to April 2011. Mr. Geraghty currently serves as chairman of the board of directors of Orchard Therapeutics plc, Idera Pharmaceuticals, Inc., or Idera, and Pieris Pharmaceuticals, Inc., each publicly traded companies, and as a member of the board of directors of Voyager, a publicly traded company. He previously served as chairman of the board of Juniper Pharmaceuticals, Inc. and as a director of bluebird bio Inc. and GTC Biotherapeutics, Inc. Mr. Geraghty received a B.A. in English from Georgetown University, an M.S. in Psychology from the University of Pennsylvania and a J.D. From Yale Law School. We believe Mr. Geraghty's public company board and management experience and his broad and deep knowledge of the industry in which we operate qualifies him to serve on our board of directors.</w:t>
      </w:r>
    </w:p>
    <w:p>
      <w:pPr>
        <w:spacing w:after="0" w:line="181"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6"/>
          <w:szCs w:val="16"/>
          <w:b w:val="1"/>
          <w:bCs w:val="1"/>
          <w:i w:val="1"/>
          <w:iCs w:val="1"/>
          <w:color w:val="auto"/>
        </w:rPr>
        <w:t xml:space="preserve">Kate Haviland </w:t>
      </w:r>
      <w:r>
        <w:rPr>
          <w:rFonts w:ascii="Arial" w:cs="Arial" w:eastAsia="Arial" w:hAnsi="Arial"/>
          <w:sz w:val="16"/>
          <w:szCs w:val="16"/>
          <w:color w:val="auto"/>
        </w:rPr>
        <w:t>has served on our board of directors since June 2018. Ms. Haviland has served as chief operating officer of Blueprint Medicines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Blueprint, a precision therapy company, since February 2019. Prior to her serving as chief operating officer, Ms. Haviland served as chief business officer of Blueprint from January 2016 to January 2019. Prior to that, from April 2014 to December 2015, Ms. Haviland served as vice president, rare diseases and oncology program leadership at Idera, a clinical-stage biopharmaceutical company, where she oversaw all aspects of the product development strategy for Idera's rare disease and oncology pipeline programs, including preclinical research, manufacturing and drug supply, regulatory affairs, clinical development and execution and commercial planning. Prior to joining Idera, from June 2012 to April 2014, Ms. Haviland served as head of commercial development at Sarepta Therapeutics, Inc., a commercial-stage biopharmaceutical company, where she was responsible for product development and commercial planning and for cultivating relationships with key opinion leaders and patient advocacy groups. In addition, Ms. Haviland previously served as executive director of commercial development at PTC Therapeutics, Inc., a biopharmaceutical company, from March 2007 to June 2012 and held corporate development and project management roles at Genzyme, a biotechnology company, from July 2005 to April 2007. Ms. Haviland received a B.A. from Wesleyan University with a double major in biochemistry/molecular biology and economics and an M.B.A. from Harvard Business School. We believe Ms. Haviland's extensive experience working with life sciences companies qualifies her to serve on our board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225"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8"/>
          <w:szCs w:val="18"/>
          <w:color w:val="auto"/>
        </w:rPr>
        <w:t>Our board of directors is currently authorized to have eight members and currently consists of six members. Our directors hold office until their successors have been elected and qualified or until the earlier of their death, resignation or removal.</w:t>
      </w:r>
    </w:p>
    <w:p>
      <w:pPr>
        <w:spacing w:after="0" w:line="186" w:lineRule="exact"/>
        <w:rPr>
          <w:sz w:val="20"/>
          <w:szCs w:val="20"/>
          <w:color w:val="auto"/>
        </w:rPr>
      </w:pPr>
    </w:p>
    <w:p>
      <w:pPr>
        <w:jc w:val="both"/>
        <w:ind w:firstLine="390"/>
        <w:spacing w:after="0" w:line="255" w:lineRule="auto"/>
        <w:rPr>
          <w:sz w:val="20"/>
          <w:szCs w:val="20"/>
          <w:color w:val="auto"/>
        </w:rPr>
      </w:pPr>
      <w:r>
        <w:rPr>
          <w:rFonts w:ascii="Arial" w:cs="Arial" w:eastAsia="Arial" w:hAnsi="Arial"/>
          <w:sz w:val="18"/>
          <w:szCs w:val="18"/>
          <w:color w:val="auto"/>
        </w:rPr>
        <w:t>Our certificate of incorporation and bylaws that will become effective upon the closing of this offering provide that the authorized number of directors may be changed only by resolution of our board of directors. Our certificate of incorporation and bylaws will also provide that our directors may be removed only for cause by the affirmative vote of the holders of 75% of our shares of capital stock present in person or by proxy and entitled to vote, and that any vacancy on our board of directors, including a vacancy resulting from an enlargement of our board of directors, may be filled only by vote of a majority of our directors then in office.</w:t>
      </w:r>
    </w:p>
    <w:p>
      <w:pPr>
        <w:spacing w:after="0" w:line="197" w:lineRule="exact"/>
        <w:rPr>
          <w:sz w:val="20"/>
          <w:szCs w:val="20"/>
          <w:color w:val="auto"/>
        </w:rPr>
      </w:pPr>
    </w:p>
    <w:p>
      <w:pPr>
        <w:jc w:val="both"/>
        <w:ind w:firstLine="354"/>
        <w:spacing w:after="0" w:line="268" w:lineRule="auto"/>
        <w:rPr>
          <w:sz w:val="20"/>
          <w:szCs w:val="20"/>
          <w:color w:val="auto"/>
        </w:rPr>
      </w:pPr>
      <w:r>
        <w:rPr>
          <w:rFonts w:ascii="Arial" w:cs="Arial" w:eastAsia="Arial" w:hAnsi="Arial"/>
          <w:sz w:val="18"/>
          <w:szCs w:val="18"/>
          <w:color w:val="auto"/>
        </w:rPr>
        <w:t>In accordance with the terms of our certificate of incorporation and bylaws that will become effective upon the closing of this offering, our board of directors will be divided into three classes, class I, class II</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and class III, with members of each class serving staggered three-year terms. Upon the closing of this offering, the members of the classes will be divided as follows:</w:t>
      </w:r>
    </w:p>
    <w:p>
      <w:pPr>
        <w:spacing w:after="0" w:line="186" w:lineRule="exact"/>
        <w:rPr>
          <w:sz w:val="20"/>
          <w:szCs w:val="20"/>
          <w:color w:val="auto"/>
        </w:rPr>
      </w:pPr>
    </w:p>
    <w:tbl>
      <w:tblPr>
        <w:tblLayout w:type="fixed"/>
        <w:tblInd w:w="540" w:type="dxa"/>
        <w:tblCellMar>
          <w:top w:w="0" w:type="dxa"/>
          <w:left w:w="0" w:type="dxa"/>
          <w:bottom w:w="0" w:type="dxa"/>
          <w:right w:w="0" w:type="dxa"/>
        </w:tblCellMar>
      </w:tblPr>
      <w:tr>
        <w:trPr>
          <w:trHeight w:val="23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tcPr>
          <w:p>
            <w:pPr>
              <w:ind w:left="240"/>
              <w:spacing w:after="0"/>
              <w:rPr>
                <w:sz w:val="20"/>
                <w:szCs w:val="20"/>
                <w:color w:val="auto"/>
              </w:rPr>
            </w:pPr>
            <w:r>
              <w:rPr>
                <w:rFonts w:ascii="Arial" w:cs="Arial" w:eastAsia="Arial" w:hAnsi="Arial"/>
                <w:sz w:val="18"/>
                <w:szCs w:val="18"/>
                <w:color w:val="auto"/>
              </w:rPr>
              <w:t>the class I directors will be</w:t>
            </w:r>
          </w:p>
        </w:tc>
        <w:tc>
          <w:tcPr>
            <w:tcW w:w="1360" w:type="dxa"/>
            <w:vAlign w:val="bottom"/>
          </w:tcPr>
          <w:p>
            <w:pPr>
              <w:ind w:left="480"/>
              <w:spacing w:after="0"/>
              <w:rPr>
                <w:sz w:val="20"/>
                <w:szCs w:val="20"/>
                <w:color w:val="auto"/>
              </w:rPr>
            </w:pPr>
            <w:r>
              <w:rPr>
                <w:rFonts w:ascii="Arial" w:cs="Arial" w:eastAsia="Arial" w:hAnsi="Arial"/>
                <w:sz w:val="18"/>
                <w:szCs w:val="18"/>
                <w:color w:val="auto"/>
              </w:rPr>
              <w:t>and</w:t>
            </w:r>
          </w:p>
        </w:tc>
        <w:tc>
          <w:tcPr>
            <w:tcW w:w="6520" w:type="dxa"/>
            <w:vAlign w:val="bottom"/>
          </w:tcPr>
          <w:p>
            <w:pPr>
              <w:jc w:val="right"/>
              <w:ind w:right="52"/>
              <w:spacing w:after="0"/>
              <w:rPr>
                <w:sz w:val="20"/>
                <w:szCs w:val="20"/>
                <w:color w:val="auto"/>
              </w:rPr>
            </w:pPr>
            <w:r>
              <w:rPr>
                <w:rFonts w:ascii="Arial" w:cs="Arial" w:eastAsia="Arial" w:hAnsi="Arial"/>
                <w:sz w:val="18"/>
                <w:szCs w:val="18"/>
                <w:color w:val="auto"/>
                <w:w w:val="96"/>
              </w:rPr>
              <w:t>, and their term will expire at the annual meeting of stockholders to be held in 2020;</w:t>
            </w:r>
          </w:p>
        </w:tc>
      </w:tr>
      <w:tr>
        <w:trPr>
          <w:trHeight w:val="45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tcPr>
          <w:p>
            <w:pPr>
              <w:ind w:left="240"/>
              <w:spacing w:after="0"/>
              <w:rPr>
                <w:sz w:val="20"/>
                <w:szCs w:val="20"/>
                <w:color w:val="auto"/>
              </w:rPr>
            </w:pPr>
            <w:r>
              <w:rPr>
                <w:rFonts w:ascii="Arial" w:cs="Arial" w:eastAsia="Arial" w:hAnsi="Arial"/>
                <w:sz w:val="18"/>
                <w:szCs w:val="18"/>
                <w:color w:val="auto"/>
              </w:rPr>
              <w:t>the class II directors will</w:t>
            </w:r>
          </w:p>
        </w:tc>
        <w:tc>
          <w:tcPr>
            <w:tcW w:w="1360" w:type="dxa"/>
            <w:vAlign w:val="bottom"/>
          </w:tcPr>
          <w:p>
            <w:pPr>
              <w:ind w:left="460"/>
              <w:spacing w:after="0"/>
              <w:rPr>
                <w:sz w:val="20"/>
                <w:szCs w:val="20"/>
                <w:color w:val="auto"/>
              </w:rPr>
            </w:pPr>
            <w:r>
              <w:rPr>
                <w:rFonts w:ascii="Arial" w:cs="Arial" w:eastAsia="Arial" w:hAnsi="Arial"/>
                <w:sz w:val="18"/>
                <w:szCs w:val="18"/>
                <w:color w:val="auto"/>
              </w:rPr>
              <w:t>and</w:t>
            </w:r>
          </w:p>
        </w:tc>
        <w:tc>
          <w:tcPr>
            <w:tcW w:w="6520" w:type="dxa"/>
            <w:vAlign w:val="bottom"/>
          </w:tcPr>
          <w:p>
            <w:pPr>
              <w:jc w:val="right"/>
              <w:spacing w:after="0"/>
              <w:rPr>
                <w:sz w:val="20"/>
                <w:szCs w:val="20"/>
                <w:color w:val="auto"/>
              </w:rPr>
            </w:pPr>
            <w:r>
              <w:rPr>
                <w:rFonts w:ascii="Arial" w:cs="Arial" w:eastAsia="Arial" w:hAnsi="Arial"/>
                <w:sz w:val="18"/>
                <w:szCs w:val="18"/>
                <w:color w:val="auto"/>
                <w:w w:val="98"/>
              </w:rPr>
              <w:t>, and their term will expire at the annual meeting of stockholders to be held in 2021;</w:t>
            </w:r>
          </w:p>
        </w:tc>
      </w:tr>
      <w:tr>
        <w:trPr>
          <w:trHeight w:val="222"/>
        </w:trPr>
        <w:tc>
          <w:tcPr>
            <w:tcW w:w="300" w:type="dxa"/>
            <w:vAlign w:val="bottom"/>
          </w:tcPr>
          <w:p>
            <w:pPr>
              <w:spacing w:after="0"/>
              <w:rPr>
                <w:sz w:val="19"/>
                <w:szCs w:val="19"/>
                <w:color w:val="auto"/>
              </w:rPr>
            </w:pPr>
          </w:p>
        </w:tc>
        <w:tc>
          <w:tcPr>
            <w:tcW w:w="2700" w:type="dxa"/>
            <w:vAlign w:val="bottom"/>
          </w:tcPr>
          <w:p>
            <w:pPr>
              <w:ind w:left="240"/>
              <w:spacing w:after="0"/>
              <w:rPr>
                <w:sz w:val="20"/>
                <w:szCs w:val="20"/>
                <w:color w:val="auto"/>
              </w:rPr>
            </w:pPr>
            <w:r>
              <w:rPr>
                <w:rFonts w:ascii="Arial" w:cs="Arial" w:eastAsia="Arial" w:hAnsi="Arial"/>
                <w:sz w:val="18"/>
                <w:szCs w:val="18"/>
                <w:color w:val="auto"/>
              </w:rPr>
              <w:t>and</w:t>
            </w:r>
          </w:p>
        </w:tc>
        <w:tc>
          <w:tcPr>
            <w:tcW w:w="1360" w:type="dxa"/>
            <w:vAlign w:val="bottom"/>
          </w:tcPr>
          <w:p>
            <w:pPr>
              <w:spacing w:after="0"/>
              <w:rPr>
                <w:sz w:val="19"/>
                <w:szCs w:val="19"/>
                <w:color w:val="auto"/>
              </w:rPr>
            </w:pPr>
          </w:p>
        </w:tc>
        <w:tc>
          <w:tcPr>
            <w:tcW w:w="6520" w:type="dxa"/>
            <w:vAlign w:val="bottom"/>
          </w:tcPr>
          <w:p>
            <w:pPr>
              <w:spacing w:after="0"/>
              <w:rPr>
                <w:sz w:val="19"/>
                <w:szCs w:val="19"/>
                <w:color w:val="auto"/>
              </w:rPr>
            </w:pPr>
          </w:p>
        </w:tc>
      </w:tr>
      <w:tr>
        <w:trPr>
          <w:trHeight w:val="44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tcPr>
          <w:p>
            <w:pPr>
              <w:ind w:left="240"/>
              <w:spacing w:after="0"/>
              <w:rPr>
                <w:sz w:val="20"/>
                <w:szCs w:val="20"/>
                <w:color w:val="auto"/>
              </w:rPr>
            </w:pPr>
            <w:r>
              <w:rPr>
                <w:rFonts w:ascii="Arial" w:cs="Arial" w:eastAsia="Arial" w:hAnsi="Arial"/>
                <w:sz w:val="18"/>
                <w:szCs w:val="18"/>
                <w:color w:val="auto"/>
              </w:rPr>
              <w:t>the class III directors will be</w:t>
            </w:r>
          </w:p>
        </w:tc>
        <w:tc>
          <w:tcPr>
            <w:tcW w:w="1360" w:type="dxa"/>
            <w:vAlign w:val="bottom"/>
          </w:tcPr>
          <w:p>
            <w:pPr>
              <w:ind w:left="620"/>
              <w:spacing w:after="0"/>
              <w:rPr>
                <w:sz w:val="20"/>
                <w:szCs w:val="20"/>
                <w:color w:val="auto"/>
              </w:rPr>
            </w:pPr>
            <w:r>
              <w:rPr>
                <w:rFonts w:ascii="Arial" w:cs="Arial" w:eastAsia="Arial" w:hAnsi="Arial"/>
                <w:sz w:val="18"/>
                <w:szCs w:val="18"/>
                <w:color w:val="auto"/>
              </w:rPr>
              <w:t>and</w:t>
            </w:r>
          </w:p>
        </w:tc>
        <w:tc>
          <w:tcPr>
            <w:tcW w:w="6520" w:type="dxa"/>
            <w:vAlign w:val="bottom"/>
          </w:tcPr>
          <w:p>
            <w:pPr>
              <w:jc w:val="right"/>
              <w:spacing w:after="0"/>
              <w:rPr>
                <w:sz w:val="20"/>
                <w:szCs w:val="20"/>
                <w:color w:val="auto"/>
              </w:rPr>
            </w:pPr>
            <w:r>
              <w:rPr>
                <w:rFonts w:ascii="Arial" w:cs="Arial" w:eastAsia="Arial" w:hAnsi="Arial"/>
                <w:sz w:val="18"/>
                <w:szCs w:val="18"/>
                <w:color w:val="auto"/>
                <w:w w:val="97"/>
              </w:rPr>
              <w:t>, and their term will expire at the annual meeting of stockholders to be held in 2022.</w:t>
            </w:r>
          </w:p>
        </w:tc>
      </w:tr>
    </w:tbl>
    <w:p>
      <w:pPr>
        <w:spacing w:after="0" w:line="210" w:lineRule="exact"/>
        <w:rPr>
          <w:sz w:val="20"/>
          <w:szCs w:val="20"/>
          <w:color w:val="auto"/>
        </w:rPr>
      </w:pPr>
    </w:p>
    <w:p>
      <w:pPr>
        <w:jc w:val="both"/>
        <w:ind w:firstLine="377"/>
        <w:spacing w:after="0" w:line="268" w:lineRule="auto"/>
        <w:rPr>
          <w:sz w:val="20"/>
          <w:szCs w:val="20"/>
          <w:color w:val="auto"/>
        </w:rPr>
      </w:pPr>
      <w:r>
        <w:rPr>
          <w:rFonts w:ascii="Arial" w:cs="Arial" w:eastAsia="Arial" w:hAnsi="Arial"/>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86"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8"/>
          <w:szCs w:val="18"/>
          <w:color w:val="auto"/>
        </w:rPr>
        <w:t>The classification of our board of directors may have the effect of delaying or preventing changes in our control or management. See "Description of Capital Stock—Delaware Anti-Takeover Law and Certain Charter and Bylaw Provisions."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jc w:val="both"/>
        <w:ind w:firstLine="406"/>
        <w:spacing w:after="0" w:line="285" w:lineRule="auto"/>
        <w:rPr>
          <w:sz w:val="20"/>
          <w:szCs w:val="20"/>
          <w:color w:val="auto"/>
        </w:rPr>
      </w:pPr>
      <w:r>
        <w:rPr>
          <w:rFonts w:ascii="Arial" w:cs="Arial" w:eastAsia="Arial" w:hAnsi="Arial"/>
          <w:sz w:val="16"/>
          <w:szCs w:val="16"/>
          <w:color w:val="auto"/>
        </w:rPr>
        <w:t>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under the Securities Exchange Act of 1934, as amended, or the Exchange Act. Audit committee members must also satisfy the independence criteria set forth in Rule 10A-3 under the Exchange Act and compensation committee members must also satisfy the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82" w:lineRule="exact"/>
        <w:rPr>
          <w:sz w:val="20"/>
          <w:szCs w:val="20"/>
          <w:color w:val="auto"/>
        </w:rPr>
      </w:pPr>
    </w:p>
    <w:p>
      <w:pPr>
        <w:jc w:val="both"/>
        <w:ind w:firstLine="389"/>
        <w:spacing w:after="0" w:line="289" w:lineRule="auto"/>
        <w:rPr>
          <w:sz w:val="20"/>
          <w:szCs w:val="20"/>
          <w:color w:val="auto"/>
        </w:rPr>
      </w:pPr>
      <w:r>
        <w:rPr>
          <w:rFonts w:ascii="Arial" w:cs="Arial" w:eastAsia="Arial" w:hAnsi="Arial"/>
          <w:sz w:val="16"/>
          <w:szCs w:val="16"/>
          <w:color w:val="auto"/>
        </w:rPr>
        <w:t>In 2019,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Dr. Gould,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Dr. Gould is not an independent director under these rules because he is our president and chief executive officer.</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firstLine="366"/>
        <w:spacing w:after="0" w:line="332"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each of which operates under a charter that has been approved by our board. The composition of each committee will be effective as of the date of this prospectus.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firstLine="365"/>
        <w:spacing w:after="0" w:line="268" w:lineRule="auto"/>
        <w:rPr>
          <w:sz w:val="20"/>
          <w:szCs w:val="20"/>
          <w:color w:val="auto"/>
        </w:rPr>
      </w:pPr>
      <w:r>
        <w:rPr>
          <w:rFonts w:ascii="Arial" w:cs="Arial" w:eastAsia="Arial" w:hAnsi="Arial"/>
          <w:sz w:val="18"/>
          <w:szCs w:val="18"/>
          <w:color w:val="auto"/>
        </w:rPr>
        <w:t>The members of our audit committee are , and . is the chair of the audit committee. Effective at the time of this offering, our audit committee's responsibilities will include:</w:t>
      </w:r>
    </w:p>
    <w:p>
      <w:pPr>
        <w:spacing w:after="0" w:line="199"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that firm;</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monitoring our internal control over financial reporting, disclosure controls and procedures and code of business conduct and ethics;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overseeing our internal audit function,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policies;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our independent registered public accounting firm and procedures for the receipt and retention of accounting related complaints and concerns;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our independent registered public accounting firm and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w:t>
      </w:r>
    </w:p>
    <w:p>
      <w:pPr>
        <w:spacing w:after="0" w:line="225" w:lineRule="exact"/>
        <w:rPr>
          <w:sz w:val="20"/>
          <w:szCs w:val="20"/>
          <w:color w:val="auto"/>
        </w:rPr>
      </w:pPr>
    </w:p>
    <w:p>
      <w:pPr>
        <w:jc w:val="both"/>
        <w:ind w:firstLine="349"/>
        <w:spacing w:after="0" w:line="268"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186" w:lineRule="exact"/>
        <w:rPr>
          <w:sz w:val="20"/>
          <w:szCs w:val="20"/>
          <w:color w:val="auto"/>
        </w:rPr>
      </w:pPr>
    </w:p>
    <w:p>
      <w:pPr>
        <w:jc w:val="both"/>
        <w:ind w:firstLine="403"/>
        <w:spacing w:after="0" w:line="259" w:lineRule="auto"/>
        <w:rPr>
          <w:sz w:val="20"/>
          <w:szCs w:val="20"/>
          <w:color w:val="auto"/>
        </w:rPr>
      </w:pPr>
      <w:r>
        <w:rPr>
          <w:rFonts w:ascii="Arial" w:cs="Arial" w:eastAsia="Arial" w:hAnsi="Arial"/>
          <w:sz w:val="18"/>
          <w:szCs w:val="18"/>
          <w:color w:val="auto"/>
        </w:rPr>
        <w:t>Our board of directors has determined that is an "audit committee financial expert" as defined in applicable SEC rules and that each of the members of our audit committee possesses the financial sophistication required for audit committee members under Nasdaq rules. We believe that the composition of our audit committee will meet the requirements for independence under current Nasdaq and SEC rules and regulations.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ind w:left="400"/>
        <w:spacing w:after="0"/>
        <w:tabs>
          <w:tab w:leader="none" w:pos="5100" w:val="left"/>
          <w:tab w:leader="none" w:pos="6400" w:val="left"/>
        </w:tabs>
        <w:rPr>
          <w:sz w:val="20"/>
          <w:szCs w:val="20"/>
          <w:color w:val="auto"/>
        </w:rPr>
      </w:pPr>
      <w:r>
        <w:rPr>
          <w:rFonts w:ascii="Arial" w:cs="Arial" w:eastAsia="Arial" w:hAnsi="Arial"/>
          <w:sz w:val="18"/>
          <w:szCs w:val="18"/>
          <w:color w:val="auto"/>
        </w:rPr>
        <w:t>The members of our compensation committee 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and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is the chair of the compensation</w:t>
      </w:r>
    </w:p>
    <w:p>
      <w:pPr>
        <w:spacing w:after="0" w:line="37" w:lineRule="exact"/>
        <w:rPr>
          <w:sz w:val="20"/>
          <w:szCs w:val="20"/>
          <w:color w:val="auto"/>
        </w:rPr>
      </w:pPr>
    </w:p>
    <w:p>
      <w:pPr>
        <w:sectPr>
          <w:pgSz w:w="11900" w:h="16838" w:orient="portrait"/>
          <w:cols w:equalWidth="0" w:num="3">
            <w:col w:w="7200" w:space="720"/>
            <w:col w:w="500" w:space="720"/>
            <w:col w:w="2280"/>
          </w:cols>
          <w:pgMar w:left="240" w:top="131"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committee. Effective at the time of this offering, our compensation committee's responsibilities will include:</w:t>
      </w:r>
    </w:p>
    <w:p>
      <w:pPr>
        <w:sectPr>
          <w:pgSz w:w="11900" w:h="16838" w:orient="portrait"/>
          <w:cols w:equalWidth="0" w:num="1">
            <w:col w:w="11420"/>
          </w:cols>
          <w:pgMar w:left="240" w:top="131" w:right="239" w:bottom="1440" w:gutter="0" w:footer="0" w:header="0"/>
          <w:type w:val="continuous"/>
        </w:sectPr>
      </w:pPr>
    </w:p>
    <w:p>
      <w:pPr>
        <w:spacing w:after="0" w:line="269" w:lineRule="exact"/>
        <w:rPr>
          <w:sz w:val="20"/>
          <w:szCs w:val="20"/>
          <w:color w:val="auto"/>
        </w:rPr>
      </w:pPr>
    </w:p>
    <w:p>
      <w:pPr>
        <w:ind w:left="1080" w:right="2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the compensation of our chief executive officer and our other executive officers;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disclosure if and to the extent then required by SEC rules;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preparing the compensation committee report if and to the extent then required by SEC rules.</w:t>
      </w:r>
    </w:p>
    <w:p>
      <w:pPr>
        <w:spacing w:after="0" w:line="225" w:lineRule="exact"/>
        <w:rPr>
          <w:sz w:val="20"/>
          <w:szCs w:val="20"/>
          <w:color w:val="auto"/>
        </w:rPr>
      </w:pPr>
    </w:p>
    <w:p>
      <w:pPr>
        <w:jc w:val="both"/>
        <w:ind w:firstLine="471"/>
        <w:spacing w:after="0" w:line="268" w:lineRule="auto"/>
        <w:rPr>
          <w:sz w:val="20"/>
          <w:szCs w:val="20"/>
          <w:color w:val="auto"/>
        </w:rPr>
      </w:pPr>
      <w:r>
        <w:rPr>
          <w:rFonts w:ascii="Arial" w:cs="Arial" w:eastAsia="Arial" w:hAnsi="Arial"/>
          <w:sz w:val="18"/>
          <w:szCs w:val="18"/>
          <w:color w:val="auto"/>
        </w:rPr>
        <w:t>We believe that the composition of our compensation committee will meet the requirements for independence under current Nasdaq and SEC rules and regulations.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350"/>
        <w:spacing w:after="0" w:line="266" w:lineRule="auto"/>
        <w:rPr>
          <w:sz w:val="20"/>
          <w:szCs w:val="20"/>
          <w:color w:val="auto"/>
        </w:rPr>
      </w:pPr>
      <w:r>
        <w:rPr>
          <w:rFonts w:ascii="Arial" w:cs="Arial" w:eastAsia="Arial" w:hAnsi="Arial"/>
          <w:sz w:val="18"/>
          <w:szCs w:val="18"/>
          <w:color w:val="auto"/>
        </w:rPr>
        <w:t>The members of our nominating and corporate governance committee are , and . is the chair of the nominating and corporate governance committee. Effective at the time of this offering, our nominating and corporate governance committee's responsibilities will include:</w:t>
      </w:r>
    </w:p>
    <w:p>
      <w:pPr>
        <w:spacing w:after="0" w:line="200" w:lineRule="exact"/>
        <w:rPr>
          <w:sz w:val="20"/>
          <w:szCs w:val="20"/>
          <w:color w:val="auto"/>
        </w:rPr>
      </w:pPr>
    </w:p>
    <w:p>
      <w:pPr>
        <w:spacing w:after="0" w:line="219"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recommending to our board of directors the persons to be nominated for election as directors and to each of our board's committees;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our board leadership 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management succession planning;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principles;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overseeing a periodic evaluation of our board of directors.</w:t>
      </w:r>
    </w:p>
    <w:p>
      <w:pPr>
        <w:spacing w:after="0" w:line="225" w:lineRule="exact"/>
        <w:rPr>
          <w:sz w:val="20"/>
          <w:szCs w:val="20"/>
          <w:color w:val="auto"/>
        </w:rPr>
      </w:pPr>
    </w:p>
    <w:p>
      <w:pPr>
        <w:jc w:val="both"/>
        <w:ind w:right="20" w:firstLine="379"/>
        <w:spacing w:after="0" w:line="268" w:lineRule="auto"/>
        <w:rPr>
          <w:sz w:val="20"/>
          <w:szCs w:val="20"/>
          <w:color w:val="auto"/>
        </w:rPr>
      </w:pPr>
      <w:r>
        <w:rPr>
          <w:rFonts w:ascii="Arial" w:cs="Arial" w:eastAsia="Arial" w:hAnsi="Arial"/>
          <w:sz w:val="18"/>
          <w:szCs w:val="18"/>
          <w:color w:val="auto"/>
        </w:rPr>
        <w:t>We believe that the composition of our nominating and corporate governance committee will meet the requirements for independence under current Nasdaq and SEC rules and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auto"/>
        </w:rPr>
        <w:t>None of our executive officers serves, or in the past year has served, as a member of the board of directors or compensation committee, or other committee serving an equivalent function, of any other entity that has one or more of its executive officers serving as a member of our board of directors or our compensation committee. None of the members of our compensation committee is, or has ever been, an officer or employee of our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Code of Conduct</w:t>
      </w:r>
    </w:p>
    <w:p>
      <w:pPr>
        <w:spacing w:after="0" w:line="23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intend to adopt a written code of business conduct and ethics that applies to our directors, officers and employees, including our principal executive officer, principal financial officer, principal accounting officer or controller, or persons performing similar functions. We intend to post a current copy of the code on our website, www.fulcrumtx.com. In addition, we intend to post on our website all disclosures that are required by law or Nasdaq listing standards concerning any amendments to, or waivers from, any provision of the code.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jc w:val="both"/>
        <w:ind w:firstLine="377"/>
        <w:spacing w:after="0" w:line="259" w:lineRule="auto"/>
        <w:rPr>
          <w:sz w:val="20"/>
          <w:szCs w:val="20"/>
          <w:color w:val="auto"/>
        </w:rPr>
      </w:pPr>
      <w:r>
        <w:rPr>
          <w:rFonts w:ascii="Arial" w:cs="Arial" w:eastAsia="Arial" w:hAnsi="Arial"/>
          <w:sz w:val="18"/>
          <w:szCs w:val="18"/>
          <w:color w:val="auto"/>
        </w:rPr>
        <w:t>The following discussion relates to the compensation of our president and chief executive officer, Robert J. Gould, our chief operating officer, Bryan Stuart, and our senior vice president, clinical development, Diego Cadavid, for fiscal year 2018. Dr. Gould, Mr. Stuart and Dr. Cadavid are collectively referred to in this prospectus as our named executive officers.</w:t>
      </w:r>
    </w:p>
    <w:p>
      <w:pPr>
        <w:spacing w:after="0" w:line="194" w:lineRule="exact"/>
        <w:rPr>
          <w:sz w:val="20"/>
          <w:szCs w:val="20"/>
          <w:color w:val="auto"/>
        </w:rPr>
      </w:pPr>
    </w:p>
    <w:p>
      <w:pPr>
        <w:jc w:val="both"/>
        <w:ind w:firstLine="383"/>
        <w:spacing w:after="0" w:line="256" w:lineRule="auto"/>
        <w:rPr>
          <w:sz w:val="20"/>
          <w:szCs w:val="20"/>
          <w:color w:val="auto"/>
        </w:rPr>
      </w:pPr>
      <w:r>
        <w:rPr>
          <w:rFonts w:ascii="Arial" w:cs="Arial" w:eastAsia="Arial" w:hAnsi="Arial"/>
          <w:sz w:val="18"/>
          <w:szCs w:val="18"/>
          <w:color w:val="auto"/>
        </w:rPr>
        <w:t>In preparing to become a public company, we have begun a thorough review of all elements of our executive compensation program, including the function and design of our equity incentive programs. We have begun, and expect to continue in the coming months, to evaluate the need for revisions to our executive compensation program to ensure that our program is competitive with the companies with which we compete for executive talent and is appropriate for a public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jc w:val="both"/>
        <w:ind w:firstLine="375"/>
        <w:spacing w:after="0" w:line="268" w:lineRule="auto"/>
        <w:rPr>
          <w:sz w:val="20"/>
          <w:szCs w:val="20"/>
          <w:color w:val="auto"/>
        </w:rPr>
      </w:pPr>
      <w:r>
        <w:rPr>
          <w:rFonts w:ascii="Arial" w:cs="Arial" w:eastAsia="Arial" w:hAnsi="Arial"/>
          <w:sz w:val="18"/>
          <w:szCs w:val="18"/>
          <w:color w:val="auto"/>
        </w:rPr>
        <w:t>The following table sets forth information regarding compensation awarded to, earned by or paid to each of our named executive officers for the year ended December 31, 2018.</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02"/>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3"/>
              </w:rPr>
              <w:t>Stock awards</w:t>
            </w:r>
          </w:p>
        </w:tc>
        <w:tc>
          <w:tcPr>
            <w:tcW w:w="160" w:type="dxa"/>
            <w:vAlign w:val="bottom"/>
          </w:tcPr>
          <w:p>
            <w:pPr>
              <w:spacing w:after="0"/>
              <w:rPr>
                <w:sz w:val="14"/>
                <w:szCs w:val="14"/>
                <w:color w:val="auto"/>
              </w:rPr>
            </w:pPr>
          </w:p>
        </w:tc>
        <w:tc>
          <w:tcPr>
            <w:tcW w:w="1040" w:type="dxa"/>
            <w:vAlign w:val="bottom"/>
          </w:tcPr>
          <w:p>
            <w:pPr>
              <w:jc w:val="right"/>
              <w:ind w:right="22"/>
              <w:spacing w:after="0"/>
              <w:rPr>
                <w:sz w:val="20"/>
                <w:szCs w:val="20"/>
                <w:color w:val="auto"/>
              </w:rPr>
            </w:pPr>
            <w:r>
              <w:rPr>
                <w:rFonts w:ascii="Arial" w:cs="Arial" w:eastAsia="Arial" w:hAnsi="Arial"/>
                <w:sz w:val="14"/>
                <w:szCs w:val="14"/>
                <w:b w:val="1"/>
                <w:bCs w:val="1"/>
                <w:color w:val="auto"/>
                <w:w w:val="94"/>
              </w:rPr>
              <w:t>Option awards</w:t>
            </w:r>
          </w:p>
        </w:tc>
        <w:tc>
          <w:tcPr>
            <w:tcW w:w="160" w:type="dxa"/>
            <w:vAlign w:val="bottom"/>
          </w:tcPr>
          <w:p>
            <w:pPr>
              <w:spacing w:after="0"/>
              <w:rPr>
                <w:sz w:val="14"/>
                <w:szCs w:val="14"/>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176"/>
        </w:trPr>
        <w:tc>
          <w:tcPr>
            <w:tcW w:w="336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5"/>
                <w:szCs w:val="15"/>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39"/>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w:t>
            </w:r>
          </w:p>
        </w:tc>
        <w:tc>
          <w:tcPr>
            <w:tcW w:w="1100" w:type="dxa"/>
            <w:vAlign w:val="bottom"/>
            <w:gridSpan w:val="2"/>
          </w:tcPr>
          <w:p>
            <w:pPr>
              <w:jc w:val="right"/>
              <w:ind w:right="259"/>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(2)</w:t>
            </w:r>
          </w:p>
        </w:tc>
        <w:tc>
          <w:tcPr>
            <w:tcW w:w="1200" w:type="dxa"/>
            <w:vAlign w:val="bottom"/>
            <w:gridSpan w:val="2"/>
          </w:tcPr>
          <w:p>
            <w:pPr>
              <w:jc w:val="right"/>
              <w:ind w:right="302"/>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(3)</w:t>
            </w:r>
          </w:p>
        </w:tc>
        <w:tc>
          <w:tcPr>
            <w:tcW w:w="10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Robert J. Gould</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442,900</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203,734</w:t>
            </w:r>
          </w:p>
        </w:tc>
        <w:tc>
          <w:tcPr>
            <w:tcW w:w="1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207,000</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853,634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3340" w:type="dxa"/>
            <w:vAlign w:val="bottom"/>
            <w:gridSpan w:val="3"/>
          </w:tcPr>
          <w:p>
            <w:pPr>
              <w:spacing w:after="0" w:line="249" w:lineRule="exact"/>
              <w:rPr>
                <w:sz w:val="20"/>
                <w:szCs w:val="20"/>
                <w:color w:val="auto"/>
              </w:rPr>
            </w:pPr>
            <w:r>
              <w:rPr>
                <w:rFonts w:ascii="Arial" w:cs="Arial" w:eastAsia="Arial" w:hAnsi="Arial"/>
                <w:sz w:val="17"/>
                <w:szCs w:val="17"/>
                <w:color w:val="auto"/>
              </w:rPr>
              <w:t>Bryan Stuart</w:t>
            </w:r>
            <w:r>
              <w:rPr>
                <w:rFonts w:ascii="Arial" w:cs="Arial" w:eastAsia="Arial" w:hAnsi="Arial"/>
                <w:sz w:val="28"/>
                <w:szCs w:val="28"/>
                <w:color w:val="auto"/>
                <w:vertAlign w:val="superscript"/>
              </w:rPr>
              <w:t>(4)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16,667</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1,685,290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1,701,957</w:t>
            </w:r>
          </w:p>
        </w:tc>
        <w:tc>
          <w:tcPr>
            <w:tcW w:w="16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3340" w:type="dxa"/>
            <w:vAlign w:val="bottom"/>
            <w:gridSpan w:val="3"/>
          </w:tcPr>
          <w:p>
            <w:pPr>
              <w:ind w:left="160"/>
              <w:spacing w:after="0"/>
              <w:rPr>
                <w:sz w:val="20"/>
                <w:szCs w:val="20"/>
                <w:color w:val="auto"/>
              </w:rPr>
            </w:pPr>
            <w:r>
              <w:rPr>
                <w:rFonts w:ascii="Arial" w:cs="Arial" w:eastAsia="Arial" w:hAnsi="Arial"/>
                <w:sz w:val="18"/>
                <w:szCs w:val="18"/>
                <w:i w:val="1"/>
                <w:iCs w:val="1"/>
                <w:color w:val="auto"/>
              </w:rPr>
              <w:t>Chief Operating Officer</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Diego Cadavid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348,383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111,825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550,364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w w:val="89"/>
              </w:rPr>
              <w:t>Senior Vice President, Clinical Development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20" w:hanging="531"/>
        <w:spacing w:after="0" w:line="268" w:lineRule="auto"/>
        <w:tabs>
          <w:tab w:leader="none" w:pos="1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Except where noted otherwise, the amounts reported in the "Bonus" column reflect discretionary annual cash bonuses paid to our named executive officers for their performance.</w:t>
      </w:r>
    </w:p>
    <w:p>
      <w:pPr>
        <w:spacing w:after="0" w:line="212" w:lineRule="exact"/>
        <w:rPr>
          <w:rFonts w:ascii="Arial" w:cs="Arial" w:eastAsia="Arial" w:hAnsi="Arial"/>
          <w:sz w:val="18"/>
          <w:szCs w:val="18"/>
          <w:color w:val="auto"/>
        </w:rPr>
      </w:pPr>
    </w:p>
    <w:p>
      <w:pPr>
        <w:jc w:val="both"/>
        <w:ind w:left="1680" w:hanging="531"/>
        <w:spacing w:after="0" w:line="256" w:lineRule="auto"/>
        <w:tabs>
          <w:tab w:leader="none" w:pos="1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amounts reported in the "Stock awards" column reflect the aggregate fair value of stock-based compensation awarded during the year computed in accordance with the provisions of Financial Accounting Standards Board, or FASB, Accounting Standards Codification, or ASC, Topic 718. See Note 8 to our consolidated financial statements appearing at the end of this prospectus regarding assumptions underlying the valuation of equity awards.</w:t>
      </w:r>
    </w:p>
    <w:p>
      <w:pPr>
        <w:spacing w:after="0" w:line="210" w:lineRule="exact"/>
        <w:rPr>
          <w:rFonts w:ascii="Arial" w:cs="Arial" w:eastAsia="Arial" w:hAnsi="Arial"/>
          <w:sz w:val="18"/>
          <w:szCs w:val="18"/>
          <w:color w:val="auto"/>
        </w:rPr>
      </w:pPr>
    </w:p>
    <w:p>
      <w:pPr>
        <w:jc w:val="both"/>
        <w:ind w:left="1680" w:hanging="531"/>
        <w:spacing w:after="0" w:line="294" w:lineRule="auto"/>
        <w:tabs>
          <w:tab w:leader="none" w:pos="16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reflect the aggregate fair value of stock-based compensation awarded during the year computed in accordance with the provisions of FASB ASC Topic 718. See Note 8 to our consolidated financial statements appearing at the end of this prospectus regarding assumptions underlying the valuation of equity awards. These amounts reflect the accounting cost for these stock options and do not reflect the actual economic value that may be realized by the named executive officer upon the vesting of the stock options, the exercise of the stock options or the sale of the common stock underlying such stock options.</w:t>
      </w:r>
    </w:p>
    <w:p>
      <w:pPr>
        <w:spacing w:after="0" w:line="183" w:lineRule="exact"/>
        <w:rPr>
          <w:rFonts w:ascii="Arial" w:cs="Arial" w:eastAsia="Arial" w:hAnsi="Arial"/>
          <w:sz w:val="16"/>
          <w:szCs w:val="16"/>
          <w:color w:val="auto"/>
        </w:rPr>
      </w:pPr>
    </w:p>
    <w:p>
      <w:pPr>
        <w:ind w:left="1680" w:hanging="531"/>
        <w:spacing w:after="0"/>
        <w:tabs>
          <w:tab w:leader="none" w:pos="1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Mr. Stuart commenced employment with us on December 17,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31"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In 2018, we paid Dr. Gould an annualized base salary of $442,900. In January 2019, our board of directors set Dr. Gould's 2019 annual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at $460,000. In 2018, we paid Mr. Stuart an annualized base salary of $400,000. In January 2019, our board of directors set Mr. Stuart's 2019 annual base salary at $400,000. In 2018, we paid Dr. Cadavid an annualized base salary of $342,784 until July 16, 2018, after which Dr. Cadavid was promoted to the position of senior vice president, clinical development,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we paid Dr. Cadavid an annualized base salary of $355,000. In January 2019, our board of directors set Dr. Cadavid's 2019 annual base salary at $366,000.</w:t>
      </w:r>
    </w:p>
    <w:p>
      <w:pPr>
        <w:spacing w:after="0" w:line="24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w:t>
      </w:r>
    </w:p>
    <w:p>
      <w:pPr>
        <w:spacing w:after="0" w:line="194" w:lineRule="exact"/>
        <w:rPr>
          <w:sz w:val="20"/>
          <w:szCs w:val="20"/>
          <w:color w:val="auto"/>
        </w:rPr>
      </w:pPr>
    </w:p>
    <w:p>
      <w:pPr>
        <w:jc w:val="both"/>
        <w:ind w:firstLine="372"/>
        <w:spacing w:after="0" w:line="294" w:lineRule="auto"/>
        <w:rPr>
          <w:sz w:val="20"/>
          <w:szCs w:val="20"/>
          <w:color w:val="auto"/>
        </w:rPr>
      </w:pPr>
      <w:r>
        <w:rPr>
          <w:rFonts w:ascii="Arial" w:cs="Arial" w:eastAsia="Arial" w:hAnsi="Arial"/>
          <w:sz w:val="16"/>
          <w:szCs w:val="16"/>
          <w:i w:val="1"/>
          <w:iCs w:val="1"/>
          <w:color w:val="auto"/>
        </w:rPr>
        <w:t xml:space="preserve">Annual Bonus. </w:t>
      </w:r>
      <w:r>
        <w:rPr>
          <w:rFonts w:ascii="Arial" w:cs="Arial" w:eastAsia="Arial" w:hAnsi="Arial"/>
          <w:sz w:val="16"/>
          <w:szCs w:val="16"/>
          <w:color w:val="auto"/>
        </w:rPr>
        <w:t>Our board of directors may, in its discretion, award bonuses to our named executive officers from time to time. Our letter agreements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our named executive officers provide that they will be eligible for annual performance-based bonuses up to a specified percentage of their salary, subject to approval by our board of directors. Performance-based bonuses, which are calculated as a percentage of base salary, are designed to motivate our employees to achieve annual goals based on our strategic, financial and operating performance objectives. From time to time, our board of directors has approved discretionary annual cash bonuses to our named executive officers with respect to their prior year performance.</w:t>
      </w:r>
    </w:p>
    <w:p>
      <w:pPr>
        <w:spacing w:after="0" w:line="170"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With respect to 2018 performance, our board of directors awarded bonuses of $203,734 and $111,825 to Dr. Gould and Dr. Cadavid, respectively. Because he joined us in December 2018, Mr. Stuart did not receive an annual bonus for 2018.</w:t>
      </w:r>
    </w:p>
    <w:p>
      <w:pPr>
        <w:spacing w:after="0" w:line="186" w:lineRule="exact"/>
        <w:rPr>
          <w:sz w:val="20"/>
          <w:szCs w:val="20"/>
          <w:color w:val="auto"/>
        </w:rPr>
      </w:pPr>
    </w:p>
    <w:p>
      <w:pPr>
        <w:jc w:val="both"/>
        <w:ind w:firstLine="411"/>
        <w:spacing w:after="0" w:line="254" w:lineRule="auto"/>
        <w:rPr>
          <w:sz w:val="20"/>
          <w:szCs w:val="20"/>
          <w:color w:val="auto"/>
        </w:rPr>
      </w:pPr>
      <w:r>
        <w:rPr>
          <w:rFonts w:ascii="Arial" w:cs="Arial" w:eastAsia="Arial" w:hAnsi="Arial"/>
          <w:sz w:val="18"/>
          <w:szCs w:val="18"/>
          <w:i w:val="1"/>
          <w:iCs w:val="1"/>
          <w:color w:val="auto"/>
        </w:rPr>
        <w:t xml:space="preserve">Equity Incentives. </w:t>
      </w:r>
      <w:r>
        <w:rPr>
          <w:rFonts w:ascii="Arial" w:cs="Arial" w:eastAsia="Arial" w:hAnsi="Arial"/>
          <w:sz w:val="18"/>
          <w:szCs w:val="18"/>
          <w:color w:val="auto"/>
        </w:rPr>
        <w:t>Although we do not have a formal policy with respect to the grant of equity incentive awards to our executive officers, or any formal</w:t>
      </w:r>
      <w:r>
        <w:rPr>
          <w:rFonts w:ascii="Arial" w:cs="Arial" w:eastAsia="Arial" w:hAnsi="Arial"/>
          <w:sz w:val="18"/>
          <w:szCs w:val="18"/>
          <w:i w:val="1"/>
          <w:iCs w:val="1"/>
          <w:color w:val="auto"/>
        </w:rPr>
        <w:t xml:space="preserve"> </w:t>
      </w:r>
      <w:r>
        <w:rPr>
          <w:rFonts w:ascii="Arial" w:cs="Arial" w:eastAsia="Arial" w:hAnsi="Arial"/>
          <w:sz w:val="18"/>
          <w:szCs w:val="18"/>
          <w:color w:val="auto"/>
        </w:rPr>
        <w:t>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w:t>
      </w:r>
    </w:p>
    <w:p>
      <w:pPr>
        <w:spacing w:after="0" w:line="198" w:lineRule="exact"/>
        <w:rPr>
          <w:sz w:val="20"/>
          <w:szCs w:val="20"/>
          <w:color w:val="auto"/>
        </w:rPr>
      </w:pPr>
    </w:p>
    <w:p>
      <w:pPr>
        <w:jc w:val="both"/>
        <w:ind w:firstLine="423"/>
        <w:spacing w:after="0" w:line="289" w:lineRule="auto"/>
        <w:rPr>
          <w:sz w:val="20"/>
          <w:szCs w:val="20"/>
          <w:color w:val="auto"/>
        </w:rPr>
      </w:pPr>
      <w:r>
        <w:rPr>
          <w:rFonts w:ascii="Arial" w:cs="Arial" w:eastAsia="Arial" w:hAnsi="Arial"/>
          <w:sz w:val="16"/>
          <w:szCs w:val="16"/>
          <w:color w:val="auto"/>
        </w:rPr>
        <w:t>Pursuant to their respective letter agreements with us, we granted a restricted stock award for 3,000,000 shares of our common stock to Dr. Gould in July 2016, an option to purchase 2,125,000 shares of our common stock to Mr. Stuart in December 2018, and a restricted stock award for 400,000 shares of our common stock to Dr. Cadavid in October 2016, in each case in connection with the commencement of employment with us. In addition, we granted a restricted stock award for 450,000 shares of our common stock to Dr. Gould in January 2018, a restricted stock award for 60,000 shares of our common stock to Dr. Cadavid in January 2018 and an option to purchase 125,000 shares of our common stock to Dr. Cadavid in July 2018. The equity awards granted in 2018 to Dr. Gould and Dr. Cadavid vest in equal quarterly installments over a term of four years from the applicable vesting commencement date. The options granted in 2018 to Mr. Stuart vest as to 25% of the shares underlying the option on the first anniversary of the vesting commencement date and as to an additional 6.25% of the original number of shares underlying the option quarterly thereafter.</w:t>
      </w:r>
    </w:p>
    <w:p>
      <w:pPr>
        <w:spacing w:after="0" w:line="172" w:lineRule="exact"/>
        <w:rPr>
          <w:sz w:val="20"/>
          <w:szCs w:val="20"/>
          <w:color w:val="auto"/>
        </w:rPr>
      </w:pPr>
    </w:p>
    <w:p>
      <w:pPr>
        <w:jc w:val="both"/>
        <w:ind w:firstLine="439"/>
        <w:spacing w:after="0" w:line="298" w:lineRule="auto"/>
        <w:rPr>
          <w:sz w:val="20"/>
          <w:szCs w:val="20"/>
          <w:color w:val="auto"/>
        </w:rPr>
      </w:pPr>
      <w:r>
        <w:rPr>
          <w:rFonts w:ascii="Arial" w:cs="Arial" w:eastAsia="Arial" w:hAnsi="Arial"/>
          <w:sz w:val="16"/>
          <w:szCs w:val="16"/>
          <w:color w:val="auto"/>
        </w:rPr>
        <w:t>In January 2019, we granted options to purchase 2,422,650, 412,500 and 566,500 shares of our common stock to Dr. Gould, Mr. Stuart and Dr. Cadavid, respectively. The options granted in January 2019 to Dr. Gould and to Dr. Cadavid vest in equal quarterly installments over a term of four years from the vesting commencement date. The options granted in January 2019 to Mr. Stuart vest as to 25% of the shares underlying the option on the first anniversary of the vesting commencement date and as to an additional 6.25% of the original number of shares underlying the option quarterly thereafter.</w:t>
      </w:r>
    </w:p>
    <w:p>
      <w:pPr>
        <w:spacing w:after="0" w:line="167" w:lineRule="exact"/>
        <w:rPr>
          <w:sz w:val="20"/>
          <w:szCs w:val="20"/>
          <w:color w:val="auto"/>
        </w:rPr>
      </w:pPr>
    </w:p>
    <w:p>
      <w:pPr>
        <w:jc w:val="both"/>
        <w:ind w:firstLine="466"/>
        <w:spacing w:after="0" w:line="332" w:lineRule="auto"/>
        <w:rPr>
          <w:sz w:val="20"/>
          <w:szCs w:val="20"/>
          <w:color w:val="auto"/>
        </w:rPr>
      </w:pPr>
      <w:r>
        <w:rPr>
          <w:rFonts w:ascii="Arial" w:cs="Arial" w:eastAsia="Arial" w:hAnsi="Arial"/>
          <w:sz w:val="16"/>
          <w:szCs w:val="16"/>
          <w:color w:val="auto"/>
        </w:rPr>
        <w:t>Prior to this offering, our executives were eligible to receive equity awards under our 2016 Stock Incentive Plan, as amended to date, or the 2016 Plan. During 2018 and 2019, all restricted stock awards and stock options were granted pursuant to the 2016 Plan. Following the closing of this offering, our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employees and executives will be eligible to receive stock options and other stock-based awards pursuant to our 2019 Stock Incentive Plan, or the 2019 Plan.</w:t>
      </w:r>
    </w:p>
    <w:p>
      <w:pPr>
        <w:spacing w:after="0" w:line="248" w:lineRule="exact"/>
        <w:rPr>
          <w:sz w:val="20"/>
          <w:szCs w:val="20"/>
          <w:color w:val="auto"/>
        </w:rPr>
      </w:pPr>
    </w:p>
    <w:p>
      <w:pPr>
        <w:jc w:val="both"/>
        <w:ind w:firstLine="382"/>
        <w:spacing w:after="0" w:line="306" w:lineRule="auto"/>
        <w:rPr>
          <w:sz w:val="20"/>
          <w:szCs w:val="20"/>
          <w:color w:val="auto"/>
        </w:rPr>
      </w:pPr>
      <w:r>
        <w:rPr>
          <w:rFonts w:ascii="Arial" w:cs="Arial" w:eastAsia="Arial" w:hAnsi="Arial"/>
          <w:sz w:val="16"/>
          <w:szCs w:val="16"/>
          <w:color w:val="auto"/>
        </w:rPr>
        <w:t>Prior to June 2018, we used restricted stock awards to compensate our executive officers in the form of initial grants in connection with the commencement of employment and also at various times, often but not necessarily annually, if we had performed as expected or better than expected. Since June 2018, we typically use stock options to compensate our executive officers in connection with the commencement of employment and also at various times.</w:t>
      </w:r>
    </w:p>
    <w:p>
      <w:pPr>
        <w:spacing w:after="0" w:line="161" w:lineRule="exact"/>
        <w:rPr>
          <w:sz w:val="20"/>
          <w:szCs w:val="20"/>
          <w:color w:val="auto"/>
        </w:rPr>
      </w:pPr>
    </w:p>
    <w:p>
      <w:pPr>
        <w:jc w:val="both"/>
        <w:ind w:firstLine="373"/>
        <w:spacing w:after="0" w:line="288" w:lineRule="auto"/>
        <w:rPr>
          <w:sz w:val="20"/>
          <w:szCs w:val="20"/>
          <w:color w:val="auto"/>
        </w:rPr>
      </w:pPr>
      <w:r>
        <w:rPr>
          <w:rFonts w:ascii="Arial" w:cs="Arial" w:eastAsia="Arial" w:hAnsi="Arial"/>
          <w:sz w:val="16"/>
          <w:szCs w:val="16"/>
          <w:color w:val="auto"/>
        </w:rPr>
        <w:t>Prior to this offering, awards of restricted stock and stock options to our executive officers have been made by our board of directors. None of our executive officers is currently party to an employment agreement that provides for the automatic award of restricted stock or stock options. We have granted restricted stock and option awards to our executive officers with time-based vesting. The restricted stock and option awards that we have granted to our executive officers in connection with commencement of employment typically become exercisable as to 25% of the shares underlying the option on the first anniversary of the grant date and as to an additional 6.25% of the original number of shares underlying the option quarterly thereafter. The restricted stock and option awards that we have granted to our executive officers at times other than in connection with employment typically become exercisable in equal quarterly installments over a term of four years from the applicable vesting commencement date. Vesting rights cease upon termination of employment and exercise rights for options cease shortly after termination. Prior to the exercise of an option, the holder has no rights as a stockholder with respect to the shares subject to such option, including no voting rights and no right to receive dividends or dividend equivalents.</w:t>
      </w:r>
    </w:p>
    <w:p>
      <w:pPr>
        <w:spacing w:after="0" w:line="174" w:lineRule="exact"/>
        <w:rPr>
          <w:sz w:val="20"/>
          <w:szCs w:val="20"/>
          <w:color w:val="auto"/>
        </w:rPr>
      </w:pPr>
    </w:p>
    <w:p>
      <w:pPr>
        <w:jc w:val="both"/>
        <w:ind w:firstLine="542"/>
        <w:spacing w:after="0" w:line="256" w:lineRule="auto"/>
        <w:rPr>
          <w:sz w:val="20"/>
          <w:szCs w:val="20"/>
          <w:color w:val="auto"/>
        </w:rPr>
      </w:pPr>
      <w:r>
        <w:rPr>
          <w:rFonts w:ascii="Arial" w:cs="Arial" w:eastAsia="Arial" w:hAnsi="Arial"/>
          <w:sz w:val="18"/>
          <w:szCs w:val="18"/>
          <w:color w:val="auto"/>
        </w:rPr>
        <w:t>We have historically granted stock options with exercise prices that are equal to the fair market value of our common stock on the date of grant as determined by our board of directors, based on a number of objective and subjective factors. The exercise price of all stock options granted after the closing of this offering will be equal to the fair market value of shares of our common stock on the date of grant, which will be determined by reference to the closing market price of our common stock on the date of grant.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2018</w:t>
      </w:r>
    </w:p>
    <w:p>
      <w:pPr>
        <w:spacing w:after="0" w:line="231" w:lineRule="exact"/>
        <w:rPr>
          <w:sz w:val="20"/>
          <w:szCs w:val="20"/>
          <w:color w:val="auto"/>
        </w:rPr>
      </w:pPr>
    </w:p>
    <w:p>
      <w:pPr>
        <w:jc w:val="both"/>
        <w:ind w:firstLine="435"/>
        <w:spacing w:after="0" w:line="268" w:lineRule="auto"/>
        <w:rPr>
          <w:sz w:val="20"/>
          <w:szCs w:val="20"/>
          <w:color w:val="auto"/>
        </w:rPr>
      </w:pPr>
      <w:r>
        <w:rPr>
          <w:rFonts w:ascii="Arial" w:cs="Arial" w:eastAsia="Arial" w:hAnsi="Arial"/>
          <w:sz w:val="18"/>
          <w:szCs w:val="18"/>
          <w:color w:val="auto"/>
        </w:rPr>
        <w:t>The following table sets forth information regarding all outstanding stock options and restricted stock held by each of our named executive officers as of December 31, 2018.</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Stock Awards</w:t>
            </w:r>
          </w:p>
        </w:tc>
        <w:tc>
          <w:tcPr>
            <w:tcW w:w="1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gridSpan w:val="3"/>
            <w:vMerge w:val="restart"/>
          </w:tcPr>
          <w:p>
            <w:pPr>
              <w:jc w:val="center"/>
              <w:ind w:right="1180"/>
              <w:spacing w:after="0"/>
              <w:rPr>
                <w:sz w:val="20"/>
                <w:szCs w:val="20"/>
                <w:color w:val="auto"/>
              </w:rPr>
            </w:pPr>
            <w:r>
              <w:rPr>
                <w:rFonts w:ascii="Arial" w:cs="Arial" w:eastAsia="Arial" w:hAnsi="Arial"/>
                <w:sz w:val="14"/>
                <w:szCs w:val="14"/>
                <w:b w:val="1"/>
                <w:bCs w:val="1"/>
                <w:color w:val="auto"/>
                <w:w w:val="90"/>
              </w:rPr>
              <w:t>Market value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2"/>
              </w:rPr>
              <w:t>securities</w:t>
            </w: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2"/>
              </w:rPr>
              <w:t>securities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1"/>
                <w:szCs w:val="11"/>
                <w:color w:val="auto"/>
              </w:rPr>
            </w:pPr>
          </w:p>
        </w:tc>
        <w:tc>
          <w:tcPr>
            <w:tcW w:w="22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underlying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shares or units</w:t>
            </w:r>
          </w:p>
        </w:tc>
        <w:tc>
          <w:tcPr>
            <w:tcW w:w="200" w:type="dxa"/>
            <w:vAlign w:val="bottom"/>
          </w:tcPr>
          <w:p>
            <w:pPr>
              <w:spacing w:after="0"/>
              <w:rPr>
                <w:sz w:val="12"/>
                <w:szCs w:val="12"/>
                <w:color w:val="auto"/>
              </w:rPr>
            </w:pPr>
          </w:p>
        </w:tc>
        <w:tc>
          <w:tcPr>
            <w:tcW w:w="226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83"/>
              </w:rPr>
              <w:t>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unexercised</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unexercised</w:t>
            </w:r>
          </w:p>
        </w:tc>
        <w:tc>
          <w:tcPr>
            <w:tcW w:w="1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of stock that</w:t>
            </w:r>
          </w:p>
        </w:tc>
        <w:tc>
          <w:tcPr>
            <w:tcW w:w="200" w:type="dxa"/>
            <w:vAlign w:val="bottom"/>
          </w:tcPr>
          <w:p>
            <w:pPr>
              <w:spacing w:after="0"/>
              <w:rPr>
                <w:sz w:val="12"/>
                <w:szCs w:val="12"/>
                <w:color w:val="auto"/>
              </w:rPr>
            </w:pPr>
          </w:p>
        </w:tc>
        <w:tc>
          <w:tcPr>
            <w:tcW w:w="226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of 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options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price</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expiration</w:t>
            </w:r>
          </w:p>
        </w:tc>
        <w:tc>
          <w:tcPr>
            <w:tcW w:w="16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have not vested</w:t>
            </w:r>
          </w:p>
        </w:tc>
        <w:tc>
          <w:tcPr>
            <w:tcW w:w="200" w:type="dxa"/>
            <w:vAlign w:val="bottom"/>
          </w:tcPr>
          <w:p>
            <w:pPr>
              <w:spacing w:after="0"/>
              <w:rPr>
                <w:sz w:val="12"/>
                <w:szCs w:val="12"/>
                <w:color w:val="auto"/>
              </w:rPr>
            </w:pPr>
          </w:p>
        </w:tc>
        <w:tc>
          <w:tcPr>
            <w:tcW w:w="226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83"/>
              </w:rPr>
              <w:t>have not vested</w:t>
            </w:r>
          </w:p>
        </w:tc>
        <w:tc>
          <w:tcPr>
            <w:tcW w:w="0" w:type="dxa"/>
            <w:vAlign w:val="bottom"/>
          </w:tcPr>
          <w:p>
            <w:pPr>
              <w:spacing w:after="0"/>
              <w:rPr>
                <w:sz w:val="1"/>
                <w:szCs w:val="1"/>
                <w:color w:val="auto"/>
              </w:rPr>
            </w:pPr>
          </w:p>
        </w:tc>
      </w:tr>
      <w:tr>
        <w:trPr>
          <w:trHeight w:val="176"/>
        </w:trPr>
        <w:tc>
          <w:tcPr>
            <w:tcW w:w="360" w:type="dxa"/>
            <w:vAlign w:val="bottom"/>
            <w:gridSpan w:val="2"/>
          </w:tcPr>
          <w:p>
            <w:pPr>
              <w:spacing w:after="0"/>
              <w:rPr>
                <w:sz w:val="20"/>
                <w:szCs w:val="20"/>
                <w:color w:val="auto"/>
              </w:rPr>
            </w:pPr>
            <w:r>
              <w:rPr>
                <w:rFonts w:ascii="Arial" w:cs="Arial" w:eastAsia="Arial" w:hAnsi="Arial"/>
                <w:sz w:val="14"/>
                <w:szCs w:val="14"/>
                <w:b w:val="1"/>
                <w:bCs w:val="1"/>
                <w:color w:val="auto"/>
                <w:w w:val="89"/>
              </w:rPr>
              <w:t>Name</w:t>
            </w: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1"/>
              </w:rPr>
              <w:t>exercisable</w:t>
            </w:r>
          </w:p>
        </w:tc>
        <w:tc>
          <w:tcPr>
            <w:tcW w:w="16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unexercisable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date</w:t>
            </w:r>
          </w:p>
        </w:tc>
        <w:tc>
          <w:tcPr>
            <w:tcW w:w="124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300" w:type="dxa"/>
            <w:vAlign w:val="bottom"/>
            <w:gridSpan w:val="2"/>
          </w:tcPr>
          <w:p>
            <w:pPr>
              <w:jc w:val="center"/>
              <w:ind w:left="105"/>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J. Gould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1,125,000</w:t>
            </w:r>
            <w:r>
              <w:rPr>
                <w:rFonts w:ascii="Arial" w:cs="Arial" w:eastAsia="Arial" w:hAnsi="Arial"/>
                <w:sz w:val="14"/>
                <w:szCs w:val="14"/>
                <w:color w:val="auto"/>
              </w:rPr>
              <w:t>(2)</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150,000</w:t>
            </w:r>
            <w:r>
              <w:rPr>
                <w:rFonts w:ascii="Arial" w:cs="Arial" w:eastAsia="Arial" w:hAnsi="Arial"/>
                <w:sz w:val="14"/>
                <w:szCs w:val="14"/>
                <w:color w:val="auto"/>
              </w:rPr>
              <w:t>(3)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337,500</w:t>
            </w:r>
            <w:r>
              <w:rPr>
                <w:rFonts w:ascii="Arial" w:cs="Arial" w:eastAsia="Arial" w:hAnsi="Arial"/>
                <w:sz w:val="14"/>
                <w:szCs w:val="14"/>
                <w:color w:val="auto"/>
              </w:rPr>
              <w:t>(4)</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Bryan Stuart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2,125,000</w:t>
            </w:r>
            <w:r>
              <w:rPr>
                <w:rFonts w:ascii="Arial" w:cs="Arial" w:eastAsia="Arial" w:hAnsi="Arial"/>
                <w:sz w:val="14"/>
                <w:szCs w:val="14"/>
                <w:color w:val="auto"/>
              </w:rPr>
              <w:t>(5)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1.12</w:t>
            </w:r>
          </w:p>
        </w:tc>
        <w:tc>
          <w:tcPr>
            <w:tcW w:w="100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12/17/2028</w:t>
            </w: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Diego Cadavid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7,812</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117,188</w:t>
            </w:r>
            <w:r>
              <w:rPr>
                <w:rFonts w:ascii="Arial" w:cs="Arial" w:eastAsia="Arial" w:hAnsi="Arial"/>
                <w:sz w:val="14"/>
                <w:szCs w:val="14"/>
                <w:color w:val="auto"/>
              </w:rPr>
              <w:t>(6)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7/10/2028</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175,000</w:t>
            </w:r>
            <w:r>
              <w:rPr>
                <w:rFonts w:ascii="Arial" w:cs="Arial" w:eastAsia="Arial" w:hAnsi="Arial"/>
                <w:sz w:val="14"/>
                <w:szCs w:val="14"/>
                <w:color w:val="auto"/>
              </w:rPr>
              <w:t>(7)</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18,750</w:t>
            </w:r>
            <w:r>
              <w:rPr>
                <w:rFonts w:ascii="Arial" w:cs="Arial" w:eastAsia="Arial" w:hAnsi="Arial"/>
                <w:sz w:val="14"/>
                <w:szCs w:val="14"/>
                <w:color w:val="auto"/>
              </w:rPr>
              <w:t>(8)</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45,000</w:t>
            </w:r>
            <w:r>
              <w:rPr>
                <w:rFonts w:ascii="Arial" w:cs="Arial" w:eastAsia="Arial" w:hAnsi="Arial"/>
                <w:sz w:val="14"/>
                <w:szCs w:val="14"/>
                <w:color w:val="auto"/>
              </w:rPr>
              <w:t>(9)</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140" w:type="dxa"/>
            <w:vAlign w:val="bottom"/>
            <w:gridSpan w:val="14"/>
          </w:tcPr>
          <w:p>
            <w:pPr>
              <w:spacing w:after="0"/>
              <w:rPr>
                <w:sz w:val="9"/>
                <w:szCs w:val="9"/>
                <w:color w:val="auto"/>
              </w:rPr>
            </w:pPr>
          </w:p>
        </w:tc>
        <w:tc>
          <w:tcPr>
            <w:tcW w:w="246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431"/>
        </w:trPr>
        <w:tc>
          <w:tcPr>
            <w:tcW w:w="360" w:type="dxa"/>
            <w:vAlign w:val="bottom"/>
            <w:gridSpan w:val="2"/>
          </w:tcPr>
          <w:p>
            <w:pPr>
              <w:spacing w:after="0"/>
              <w:rPr>
                <w:sz w:val="20"/>
                <w:szCs w:val="20"/>
                <w:color w:val="auto"/>
              </w:rPr>
            </w:pPr>
            <w:r>
              <w:rPr>
                <w:rFonts w:ascii="Arial" w:cs="Arial" w:eastAsia="Arial" w:hAnsi="Arial"/>
                <w:sz w:val="18"/>
                <w:szCs w:val="18"/>
                <w:color w:val="auto"/>
              </w:rPr>
              <w:t>(1)</w:t>
            </w:r>
          </w:p>
        </w:tc>
        <w:tc>
          <w:tcPr>
            <w:tcW w:w="7440" w:type="dxa"/>
            <w:vAlign w:val="bottom"/>
            <w:gridSpan w:val="15"/>
          </w:tcPr>
          <w:p>
            <w:pPr>
              <w:ind w:left="180"/>
              <w:spacing w:after="0"/>
              <w:rPr>
                <w:sz w:val="20"/>
                <w:szCs w:val="20"/>
                <w:color w:val="auto"/>
              </w:rPr>
            </w:pPr>
            <w:r>
              <w:rPr>
                <w:rFonts w:ascii="Arial" w:cs="Arial" w:eastAsia="Arial" w:hAnsi="Arial"/>
                <w:sz w:val="18"/>
                <w:szCs w:val="18"/>
                <w:color w:val="auto"/>
                <w:w w:val="96"/>
              </w:rPr>
              <w:t>The market price of our common stock is based on an assumed initial public offering price of $</w:t>
            </w:r>
          </w:p>
        </w:tc>
        <w:tc>
          <w:tcPr>
            <w:tcW w:w="2460" w:type="dxa"/>
            <w:vAlign w:val="bottom"/>
            <w:gridSpan w:val="4"/>
          </w:tcPr>
          <w:p>
            <w:pPr>
              <w:ind w:left="20"/>
              <w:spacing w:after="0"/>
              <w:rPr>
                <w:sz w:val="20"/>
                <w:szCs w:val="20"/>
                <w:color w:val="auto"/>
              </w:rPr>
            </w:pPr>
            <w:r>
              <w:rPr>
                <w:rFonts w:ascii="Arial" w:cs="Arial" w:eastAsia="Arial" w:hAnsi="Arial"/>
                <w:sz w:val="18"/>
                <w:szCs w:val="18"/>
                <w:color w:val="auto"/>
                <w:w w:val="88"/>
              </w:rPr>
              <w:t>per share, which is the midpoint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20" w:type="dxa"/>
            <w:vAlign w:val="bottom"/>
            <w:gridSpan w:val="9"/>
          </w:tcPr>
          <w:p>
            <w:pPr>
              <w:ind w:left="180"/>
              <w:spacing w:after="0"/>
              <w:rPr>
                <w:sz w:val="20"/>
                <w:szCs w:val="20"/>
                <w:color w:val="auto"/>
              </w:rPr>
            </w:pPr>
            <w:r>
              <w:rPr>
                <w:rFonts w:ascii="Arial" w:cs="Arial" w:eastAsia="Arial" w:hAnsi="Arial"/>
                <w:sz w:val="18"/>
                <w:szCs w:val="18"/>
                <w:color w:val="auto"/>
                <w:w w:val="88"/>
              </w:rPr>
              <w:t>the price range set forth on the cover page of this prospectus.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1680" w:right="20" w:hanging="531"/>
        <w:spacing w:after="0" w:line="370" w:lineRule="auto"/>
        <w:tabs>
          <w:tab w:leader="none" w:pos="16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Dr. Gould's restricted stock award for 3,000,000 shares vests over four years, with 25% of the shares vested on June 20, 2017, and 6.25% of the original number of shares vesting thereafter in equal quarterly installments through June 20, 2020, subject to continued service.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20" w:hanging="531"/>
        <w:spacing w:after="0" w:line="268" w:lineRule="auto"/>
        <w:tabs>
          <w:tab w:leader="none" w:pos="1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Dr. Gould's restricted stock award for 300,000 shares vests over four years, in equal quarterly installments through January 1, 2021, subject to continued service.</w:t>
      </w:r>
    </w:p>
    <w:p>
      <w:pPr>
        <w:spacing w:after="0" w:line="212"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Dr. Gould's restricted stock award for 450,000 shares vests over four years, in equal quarterly installments through January 1, 2022, subject to continued service.</w:t>
      </w:r>
    </w:p>
    <w:p>
      <w:pPr>
        <w:spacing w:after="0" w:line="199" w:lineRule="exact"/>
        <w:rPr>
          <w:rFonts w:ascii="Arial" w:cs="Arial" w:eastAsia="Arial" w:hAnsi="Arial"/>
          <w:sz w:val="18"/>
          <w:szCs w:val="18"/>
          <w:color w:val="auto"/>
        </w:rPr>
      </w:pPr>
    </w:p>
    <w:p>
      <w:pPr>
        <w:ind w:left="1680" w:hanging="531"/>
        <w:spacing w:after="0" w:line="370" w:lineRule="auto"/>
        <w:tabs>
          <w:tab w:leader="none" w:pos="16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Mr. Stuart's option award for 2,125,000 shares vests over four years, with 25% of the shares vesting on December 17, 2019, and 6.25% of the original number of shares vesting thereafter in equal quarterly installments through December 17, 2022, subject to continued service.</w:t>
      </w:r>
    </w:p>
    <w:p>
      <w:pPr>
        <w:spacing w:after="0" w:line="129" w:lineRule="exact"/>
        <w:rPr>
          <w:rFonts w:ascii="Arial" w:cs="Arial" w:eastAsia="Arial" w:hAnsi="Arial"/>
          <w:sz w:val="15"/>
          <w:szCs w:val="15"/>
          <w:color w:val="auto"/>
        </w:rPr>
      </w:pPr>
    </w:p>
    <w:p>
      <w:pPr>
        <w:ind w:left="1680" w:hanging="531"/>
        <w:spacing w:after="0" w:line="268" w:lineRule="auto"/>
        <w:tabs>
          <w:tab w:leader="none" w:pos="1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Dr. Cadavid's option award for 125,000 shares vests over four years, in equal quarterly installments through July 16, 2022, subject to continued service.</w:t>
      </w:r>
    </w:p>
    <w:p>
      <w:pPr>
        <w:spacing w:after="0" w:line="212" w:lineRule="exact"/>
        <w:rPr>
          <w:rFonts w:ascii="Arial" w:cs="Arial" w:eastAsia="Arial" w:hAnsi="Arial"/>
          <w:sz w:val="18"/>
          <w:szCs w:val="18"/>
          <w:color w:val="auto"/>
        </w:rPr>
      </w:pPr>
    </w:p>
    <w:p>
      <w:pPr>
        <w:jc w:val="both"/>
        <w:ind w:left="1680" w:right="20" w:hanging="531"/>
        <w:spacing w:after="0" w:line="259" w:lineRule="auto"/>
        <w:tabs>
          <w:tab w:leader="none" w:pos="1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Dr. Cadavid's restricted stock award for 400,000 shares vests over four years, with 25% of the shares vested on September 19, 2017, and 6.25% of the orginal number of shares vesting thereafter in equal quarterly installments through September 19, 2020, subject to continued service.</w:t>
      </w:r>
    </w:p>
    <w:p>
      <w:pPr>
        <w:spacing w:after="0" w:line="207"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Dr. Cadavid's restricted stock award for 37,500 shares vests over four years, in equal quarterly installments through January 1, 2021, subject to continued service.</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Dr. Cadavid's restricted stock award for 60,000 shares vests over four years, in equal quarterly installments through January 1, 2022, subject to continued service.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Agreement with Robert Gould</w:t>
      </w:r>
    </w:p>
    <w:p>
      <w:pPr>
        <w:spacing w:after="0" w:line="225" w:lineRule="exact"/>
        <w:rPr>
          <w:sz w:val="20"/>
          <w:szCs w:val="20"/>
          <w:color w:val="auto"/>
        </w:rPr>
      </w:pPr>
    </w:p>
    <w:p>
      <w:pPr>
        <w:jc w:val="both"/>
        <w:ind w:firstLine="377"/>
        <w:spacing w:after="0" w:line="256" w:lineRule="auto"/>
        <w:rPr>
          <w:sz w:val="20"/>
          <w:szCs w:val="20"/>
          <w:color w:val="auto"/>
        </w:rPr>
      </w:pPr>
      <w:r>
        <w:rPr>
          <w:rFonts w:ascii="Arial" w:cs="Arial" w:eastAsia="Arial" w:hAnsi="Arial"/>
          <w:sz w:val="18"/>
          <w:szCs w:val="18"/>
          <w:color w:val="auto"/>
        </w:rPr>
        <w:t>In connection with our initial hiring of Dr. Gould as our president and chief executive officer, we entered into a letter agreement with him effective June 13, 2016. Under the letter agreement, Dr. Gould is an at will employee, and his employment with us can be terminated by him or us at any time and for any reason, provided that Dr. Gould's letter agreement provides that Dr. Gould may terminate his employment voluntarily with us other than for good reason (as defined in the letter agreement) upon at least thirty (30) days' prior written notice to us.</w:t>
      </w:r>
    </w:p>
    <w:p>
      <w:pPr>
        <w:spacing w:after="0" w:line="197" w:lineRule="exact"/>
        <w:rPr>
          <w:sz w:val="20"/>
          <w:szCs w:val="20"/>
          <w:color w:val="auto"/>
        </w:rPr>
      </w:pPr>
    </w:p>
    <w:p>
      <w:pPr>
        <w:jc w:val="both"/>
        <w:ind w:firstLine="425"/>
        <w:spacing w:after="0" w:line="298" w:lineRule="auto"/>
        <w:rPr>
          <w:sz w:val="20"/>
          <w:szCs w:val="20"/>
          <w:color w:val="auto"/>
        </w:rPr>
      </w:pPr>
      <w:r>
        <w:rPr>
          <w:rFonts w:ascii="Arial" w:cs="Arial" w:eastAsia="Arial" w:hAnsi="Arial"/>
          <w:sz w:val="16"/>
          <w:szCs w:val="16"/>
          <w:color w:val="auto"/>
        </w:rPr>
        <w:t>The letter agreement provides that Dr. Gould is entitled to an annualized base salary of $420,000, and that he is eligible, at our sole discretion, to earn an annual bonus of 35% of his base salary based upon the achievement of corporate and individual goals, as agreed by the board of directors. Dr. Gould's letter agreement also provided that in connection with our consummation of a Series A preferred stock financing, he was entitled to the grant of a restricted stock award for 3,000,000 shares of our common stock, subject to a four-year vesting schedule, which restricted stock award was granted to Dr. Gould in July 2016.</w:t>
      </w:r>
    </w:p>
    <w:p>
      <w:pPr>
        <w:spacing w:after="0" w:line="167" w:lineRule="exact"/>
        <w:rPr>
          <w:sz w:val="20"/>
          <w:szCs w:val="20"/>
          <w:color w:val="auto"/>
        </w:rPr>
      </w:pPr>
    </w:p>
    <w:p>
      <w:pPr>
        <w:jc w:val="both"/>
        <w:ind w:firstLine="364"/>
        <w:spacing w:after="0" w:line="291" w:lineRule="auto"/>
        <w:rPr>
          <w:sz w:val="20"/>
          <w:szCs w:val="20"/>
          <w:color w:val="auto"/>
        </w:rPr>
      </w:pPr>
      <w:r>
        <w:rPr>
          <w:rFonts w:ascii="Arial" w:cs="Arial" w:eastAsia="Arial" w:hAnsi="Arial"/>
          <w:sz w:val="16"/>
          <w:szCs w:val="16"/>
          <w:color w:val="auto"/>
        </w:rPr>
        <w:t>Under the letter agreement, Dr. Gould is entitled, subject to his execution and nonrevocation of a separation agreement and a general release of claims in our favor, in the event of the termination of his employment by us without cause, as defined in his letter agreement with us, to (i) receive 12 months of his then-current annual base salary, payable in equal installments during the six month period following the date his employment with us is terminated, and (ii) our continuing to pay COBRA premiums for health benefit coverage on his behalf, for a period of 12 months following the date his employment with us is terminated, at the same rate as we pay for active employees, subject to applicable COBRA terms and in compliance with applicable non-discrimination or other requirements under the Internal Revenue Code of 1986, as amended, or the Code or the ACA.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Agreement with Bryan Stuart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our initial hiring of Mr. Stuart as our chief operating officer, we entered into a letter agreement with him effective December 6, 2018.</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Under the letter agreement, Mr. Stuart is an at will employee, and his employment with us can be terminated by him or us at any time and for any reason.</w:t>
      </w:r>
    </w:p>
    <w:p>
      <w:pPr>
        <w:spacing w:after="0" w:line="242" w:lineRule="exact"/>
        <w:rPr>
          <w:sz w:val="20"/>
          <w:szCs w:val="20"/>
          <w:color w:val="auto"/>
        </w:rPr>
      </w:pPr>
    </w:p>
    <w:p>
      <w:pPr>
        <w:jc w:val="both"/>
        <w:ind w:firstLine="425"/>
        <w:spacing w:after="0" w:line="255" w:lineRule="auto"/>
        <w:rPr>
          <w:sz w:val="20"/>
          <w:szCs w:val="20"/>
          <w:color w:val="auto"/>
        </w:rPr>
      </w:pPr>
      <w:r>
        <w:rPr>
          <w:rFonts w:ascii="Arial" w:cs="Arial" w:eastAsia="Arial" w:hAnsi="Arial"/>
          <w:sz w:val="18"/>
          <w:szCs w:val="18"/>
          <w:color w:val="auto"/>
        </w:rPr>
        <w:t>The letter agreement provides that Mr. Stuart is entitled to an annualized base salary of $400,000, and that he is eligible, at our sole discretion, to earn an annual bonus of 35% of his base salary based upon the achievement of corporate and individual goals, as agreed by the board of directors. Mr. Stuart's letter agreement also provided that he was entitled to the grant of an option to purchase 2,125,000 shares of our common stock, with an exercise price per share price equal to the fair market value of a share of our common stock on the grant date, subject to a four-year vesting schedule, which option award was granted to Mr. Stuart in December 2018.</w:t>
      </w:r>
    </w:p>
    <w:p>
      <w:pPr>
        <w:spacing w:after="0" w:line="197" w:lineRule="exact"/>
        <w:rPr>
          <w:sz w:val="20"/>
          <w:szCs w:val="20"/>
          <w:color w:val="auto"/>
        </w:rPr>
      </w:pPr>
    </w:p>
    <w:p>
      <w:pPr>
        <w:jc w:val="both"/>
        <w:ind w:firstLine="361"/>
        <w:spacing w:after="0" w:line="284" w:lineRule="auto"/>
        <w:rPr>
          <w:sz w:val="20"/>
          <w:szCs w:val="20"/>
          <w:color w:val="auto"/>
        </w:rPr>
      </w:pPr>
      <w:r>
        <w:rPr>
          <w:rFonts w:ascii="Arial" w:cs="Arial" w:eastAsia="Arial" w:hAnsi="Arial"/>
          <w:sz w:val="16"/>
          <w:szCs w:val="16"/>
          <w:color w:val="auto"/>
        </w:rPr>
        <w:t>Under the letter agreement, Mr. Stuart is entitled, subject to his execution and nonrevocation of a separation agreement and a general release of claims in our favor, in the event of the termination of his employment by us without cause, as defined in his letter agreement with us, to (i) receive six months of his then-current annual base salary, payable in equal installments during the six month period following the date his employment with us is terminated, provided that the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first installment shall be made on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date his employment with us is terminated and will include payment of any installment that was otherwise due prior thereto, and (ii) our continuing to pay our share of COBRA premiums for health benefit coverage on his behalf to the same extent we were paying such premiums immediately prior to his termination, for a period of six months following the date that his employment with us is terminated, provided he is eligible for and elects COBRA coverage and continues to pay his share of the COBRA premiums.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Agreement with Diego Cadavid</w:t>
      </w:r>
    </w:p>
    <w:p>
      <w:pPr>
        <w:spacing w:after="0" w:line="225" w:lineRule="exact"/>
        <w:rPr>
          <w:sz w:val="20"/>
          <w:szCs w:val="20"/>
          <w:color w:val="auto"/>
        </w:rPr>
      </w:pPr>
    </w:p>
    <w:p>
      <w:pPr>
        <w:jc w:val="both"/>
        <w:ind w:firstLine="511"/>
        <w:spacing w:after="0" w:line="259" w:lineRule="auto"/>
        <w:rPr>
          <w:sz w:val="20"/>
          <w:szCs w:val="20"/>
          <w:color w:val="auto"/>
        </w:rPr>
      </w:pPr>
      <w:r>
        <w:rPr>
          <w:rFonts w:ascii="Arial" w:cs="Arial" w:eastAsia="Arial" w:hAnsi="Arial"/>
          <w:sz w:val="18"/>
          <w:szCs w:val="18"/>
          <w:color w:val="auto"/>
        </w:rPr>
        <w:t>In connection with our initial hiring of Dr. Cadavid as our vice president, clinical development, we entered into a letter agreement with him effective August 10, 2016. Under the letter agreement, Dr. Cadavid is an at will employee, and his employment with us can be terminated by him or us at any time and for any reason.</w:t>
      </w:r>
    </w:p>
    <w:p>
      <w:pPr>
        <w:spacing w:after="0" w:line="194"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auto"/>
        </w:rPr>
        <w:t>The letter agreement provides that Dr. Cadavid is entitled to an annualized base salary of $333,000, and that he is eligible, at our sole discretion, to earn an annual bonus of 25% of his base salary based upon the achievement of corporate and individual goals, as agreed by the board of directors. Dr. Cadavid's letter agreement also provided that he was entitled to (i) a $150,000 cash bonus in connection with the commencement of his employment, of which $125,000 was paid in September 2016 and $25,000 was paid in September 2017 and (ii) the grant of a restricted stock award for 400,000 shares of our common stock, with a purchase price per share price equal to the fair market value of a share of our common stock on the grant date, subject to a four-year vesting schedule, which restricted stock award was granted to Dr. Cadavid in October 2016.</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Dr. Cadavid was promoted to the position of senior vice president, clinical development on July 16,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Non-Competition, Non-Solicitation, Confidentiality and Assignment of Inventions Agreements</w:t>
      </w:r>
    </w:p>
    <w:p>
      <w:pPr>
        <w:spacing w:after="0" w:line="225" w:lineRule="exact"/>
        <w:rPr>
          <w:sz w:val="20"/>
          <w:szCs w:val="20"/>
          <w:color w:val="auto"/>
        </w:rPr>
      </w:pPr>
    </w:p>
    <w:p>
      <w:pPr>
        <w:jc w:val="both"/>
        <w:ind w:firstLine="375"/>
        <w:spacing w:after="0" w:line="332" w:lineRule="auto"/>
        <w:rPr>
          <w:sz w:val="20"/>
          <w:szCs w:val="20"/>
          <w:color w:val="auto"/>
        </w:rPr>
      </w:pPr>
      <w:r>
        <w:rPr>
          <w:rFonts w:ascii="Arial" w:cs="Arial" w:eastAsia="Arial" w:hAnsi="Arial"/>
          <w:sz w:val="16"/>
          <w:szCs w:val="16"/>
          <w:color w:val="auto"/>
        </w:rPr>
        <w:t>Each of our named executive officers has entered into a standard form agreement with respect to non-competition, non-solicitation, confidential information and assignment of inventions. In addition, certain of our named executive officers are subject to non-competition restrictions.</w:t>
      </w:r>
    </w:p>
    <w:p>
      <w:pPr>
        <w:spacing w:after="0" w:line="139" w:lineRule="exact"/>
        <w:rPr>
          <w:sz w:val="20"/>
          <w:szCs w:val="20"/>
          <w:color w:val="auto"/>
        </w:rPr>
      </w:pPr>
    </w:p>
    <w:p>
      <w:pPr>
        <w:jc w:val="both"/>
        <w:ind w:firstLine="398"/>
        <w:spacing w:after="0" w:line="268" w:lineRule="auto"/>
        <w:rPr>
          <w:sz w:val="20"/>
          <w:szCs w:val="20"/>
          <w:color w:val="auto"/>
        </w:rPr>
      </w:pPr>
      <w:r>
        <w:rPr>
          <w:rFonts w:ascii="Arial" w:cs="Arial" w:eastAsia="Arial" w:hAnsi="Arial"/>
          <w:sz w:val="18"/>
          <w:szCs w:val="18"/>
          <w:color w:val="auto"/>
        </w:rPr>
        <w:t>Under their respective agreements, each named executive officer has agreed that we own all inventions that are developed by such executive officer during his employment with us that (i) are related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our business or our customers or suppliers or any of our products or services being researched, developed, manufactured or sold by us or which may be used with such products or services, (ii) result from tasks assigned to the executive officer by us or (iii) result from the use of our premises or personal property (whether tangible or intangible) owned, leased or contracted for by us. Each named executive officer also agreed to provide us with a non-exclusive, royalty-free, paid-up, irrevocable, worldwide license for any prior inventions that such executive officer incorporates into any of our products, processes, machines or other works, in the course of such executive officer's employment with us. Under their respective agreements, each of Dr. Gould and Dr. Cadavid has further agreed not to compete with us during his employment and for a period of one year after the termination of his employment, not to solicit our employees, consultants, customers, business or prospective customers during his employment and for a period of one year after the termination of his employment, and to protect our confidential and proprietary information indefinitely. Under his agreement, Mr. Stuart agreed not to solicit our employees, consultants, customers, business or prospective customers during his employment and for a period of one year after the termination of his employment and to protect our confidential and proprietary information indefinitely.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and Other Compensation Plans</w:t>
      </w:r>
    </w:p>
    <w:p>
      <w:pPr>
        <w:spacing w:after="0" w:line="231" w:lineRule="exact"/>
        <w:rPr>
          <w:sz w:val="20"/>
          <w:szCs w:val="20"/>
          <w:color w:val="auto"/>
        </w:rPr>
      </w:pPr>
    </w:p>
    <w:p>
      <w:pPr>
        <w:jc w:val="both"/>
        <w:ind w:firstLine="394"/>
        <w:spacing w:after="0" w:line="259" w:lineRule="auto"/>
        <w:rPr>
          <w:sz w:val="20"/>
          <w:szCs w:val="20"/>
          <w:color w:val="auto"/>
        </w:rPr>
      </w:pPr>
      <w:r>
        <w:rPr>
          <w:rFonts w:ascii="Arial" w:cs="Arial" w:eastAsia="Arial" w:hAnsi="Arial"/>
          <w:sz w:val="18"/>
          <w:szCs w:val="18"/>
          <w:color w:val="auto"/>
        </w:rPr>
        <w:t>In this section we describe our 2016 Plan, our 2019 Plan and our 2019 Employee Stock Purchase Plan, or the 2019 ESPP. Prior to this offering, we granted awards to eligible participants under the 2016 Plan. Following the effectiveness of the 2019 Plan, we expect to grant awards to eligible participants from time to time only under the 2019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225" w:lineRule="exact"/>
        <w:rPr>
          <w:sz w:val="20"/>
          <w:szCs w:val="20"/>
          <w:color w:val="auto"/>
        </w:rPr>
      </w:pPr>
    </w:p>
    <w:p>
      <w:pPr>
        <w:jc w:val="both"/>
        <w:ind w:firstLine="423"/>
        <w:spacing w:after="0" w:line="253" w:lineRule="auto"/>
        <w:rPr>
          <w:sz w:val="20"/>
          <w:szCs w:val="20"/>
          <w:color w:val="auto"/>
        </w:rPr>
      </w:pPr>
      <w:r>
        <w:rPr>
          <w:rFonts w:ascii="Arial" w:cs="Arial" w:eastAsia="Arial" w:hAnsi="Arial"/>
          <w:sz w:val="18"/>
          <w:szCs w:val="18"/>
          <w:color w:val="auto"/>
        </w:rPr>
        <w:t>The 2016 Plan was initially approved by our board of directors and stockholders in July 2016 and was subsequently amended in 2017, 2018 and 2019, in each case to increase the total number of shares reserved for issuance under the plan. The 2016 Plan provides for the grant of incentive stock options, nonstatutory options, stock appreciation rights, awards of restricted stock, restricted stock units and other stock-based awards. Our employees, officers, directors, consultants and advisors are eligible to receive awards under the 2016 Plan; however, incentive stock options may only be granted to our employees. The type of award granted under the 2016 Plan and the terms of such award are set forth in the applicable award agreement. Pursuant to the terms of the 2016 Plan, our board of directors (or a committee delegated by our board of directors) will administer the plan and, subject to any limitations in the plan, will select the recipients of awards and determine:</w:t>
      </w:r>
    </w:p>
    <w:p>
      <w:pPr>
        <w:spacing w:after="0" w:line="215"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number of shares of our common stock covered by options and the dates upon which the options become exercisable;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type of options to be granted;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duration of options, which may not be in excess of ten years;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exercise price of options, which must be at least equal to the fair market value of our common stock on the date of grant; and</w:t>
      </w:r>
    </w:p>
    <w:p>
      <w:pPr>
        <w:spacing w:after="0" w:line="252"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number of shares of our common stock subject to and the terms of any stock appreciation rights, restricted stock awards, restricted stock units or other stock-based awards and the terms and conditions of such awards, including conditions for repurchase, issue price and repurchase price (though the measurement price of stock appreciation rights must be at least equal to the fair market value of our common stock on the date of grant and the duration of such awards may not be in excess of ten years).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439"/>
        <w:spacing w:after="0" w:line="332" w:lineRule="auto"/>
        <w:rPr>
          <w:sz w:val="20"/>
          <w:szCs w:val="20"/>
          <w:color w:val="auto"/>
        </w:rPr>
      </w:pPr>
      <w:r>
        <w:rPr>
          <w:rFonts w:ascii="Arial" w:cs="Arial" w:eastAsia="Arial" w:hAnsi="Arial"/>
          <w:sz w:val="16"/>
          <w:szCs w:val="16"/>
          <w:color w:val="auto"/>
        </w:rPr>
        <w:t>The maximum number of shares of common stock authorized for issuance under the 2016 Plan is 24,965,000 shares. Our board of directors may amend, suspend or terminate the 2016 Plan at any time, except that stockholder approval may be required to comply with applicable law.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Changes in Capitalization</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Upon the occurrence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under the terms of the 2016 Plan, we are required to equitably adjust (or make substitute awards, if applicable), in the manner determined by our board of directors:</w:t>
      </w:r>
    </w:p>
    <w:p>
      <w:pPr>
        <w:spacing w:after="0" w:line="174"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and class of securities available under the 2016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and class of securities and exercise price per share of each outstanding option;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share and per-share provisions and the measurement price of each outstanding stock appreciation right;</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of shares subject to and the repurchase price per share subject to each outstanding restricted stock award or restricted stock unit award;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share and per-share-related provisions and the purchase price, if any, of each outstanding other stock-based award.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Corporate Transactions</w:t>
      </w:r>
    </w:p>
    <w:p>
      <w:pPr>
        <w:spacing w:after="0" w:line="225" w:lineRule="exact"/>
        <w:rPr>
          <w:sz w:val="20"/>
          <w:szCs w:val="20"/>
          <w:color w:val="auto"/>
        </w:rPr>
      </w:pPr>
    </w:p>
    <w:p>
      <w:pPr>
        <w:jc w:val="both"/>
        <w:ind w:firstLine="510"/>
        <w:spacing w:after="0" w:line="306" w:lineRule="auto"/>
        <w:rPr>
          <w:sz w:val="20"/>
          <w:szCs w:val="20"/>
          <w:color w:val="auto"/>
        </w:rPr>
      </w:pPr>
      <w:r>
        <w:rPr>
          <w:rFonts w:ascii="Arial" w:cs="Arial" w:eastAsia="Arial" w:hAnsi="Arial"/>
          <w:sz w:val="16"/>
          <w:szCs w:val="16"/>
          <w:color w:val="auto"/>
        </w:rPr>
        <w:t>Upon the occurrence of a merger or other reorganization event (as defined in the 2016 Plan), our board of directors may, on such terms as our board determines (except to the extent specifically provided otherwise in an applicable award agreement or other agreement between the participant and us), take any one or more of the following actions pursuant to the 2016 Plan as to all or any (or any portion of) outstanding awards, other than awards of restricted stock:</w:t>
      </w:r>
    </w:p>
    <w:p>
      <w:pPr>
        <w:spacing w:after="0" w:line="174" w:lineRule="exact"/>
        <w:rPr>
          <w:sz w:val="20"/>
          <w:szCs w:val="20"/>
          <w:color w:val="auto"/>
        </w:rPr>
      </w:pPr>
    </w:p>
    <w:p>
      <w:pPr>
        <w:ind w:left="108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that outstanding awards will be assumed, or substantially equivalent awards will be substituted, by the acquiring or succeeding corporation (or an affiliate thereof);</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all of the participant's unexercised awards will terminate immediately prior to the consummation of the reorganization event unless exercised by the participant (to the extent then exercisable) within a specified period following the date of the notice;</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that outstanding awards will become exercisable, realizable or deliverable, or restrictions applicable to an award will lapse, in whole or in part, prior to or upon such reorganization event;</w:t>
      </w:r>
    </w:p>
    <w:p>
      <w:pPr>
        <w:spacing w:after="0" w:line="199"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event of a reorganization event pursuant to which holders of shares of our common stock will receive a cash payment for each share surrendered in the reorganization event, make or provide for a cash payment to participants with respect to each award held by a participant equal to (1) the number of shares of our common stock subject to the vested portion of the award (after giving effect to any acceleration of vesting that occurs upon or immediately prior to the reorganization event) multiplied by (2) the excess, if any, of the cash payment for each share surrendered in the reorganization event over the exercise, measurement or purchase price of such award and any applicable tax withholdings, in exchange for the termination of the award;</w:t>
      </w:r>
    </w:p>
    <w:p>
      <w:pPr>
        <w:spacing w:after="0" w:line="21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that, in connection with our liquidation or dissolution, awards will convert into the right to receive liquidation proceeds (if applicable, net of the exercise measurement or purchase price thereof and any applicable tax withholdings);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is not obligated under the 2016 Plan to treat all awards, all awards held by a participant, or all awards of the same type, identically.</w:t>
      </w:r>
    </w:p>
    <w:p>
      <w:pPr>
        <w:spacing w:after="0" w:line="248"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8"/>
          <w:szCs w:val="18"/>
          <w:color w:val="auto"/>
        </w:rPr>
        <w:t>In the case of certain restricted stock units, no assumption or substitution is permitted, and the restricted stock units will instead be settled in accordance with the terms of the applicable restricted stock unit agreement.</w:t>
      </w:r>
    </w:p>
    <w:p>
      <w:pPr>
        <w:spacing w:after="0" w:line="186" w:lineRule="exact"/>
        <w:rPr>
          <w:sz w:val="20"/>
          <w:szCs w:val="20"/>
          <w:color w:val="auto"/>
        </w:rPr>
      </w:pPr>
    </w:p>
    <w:p>
      <w:pPr>
        <w:jc w:val="both"/>
        <w:ind w:firstLine="369"/>
        <w:spacing w:after="0" w:line="312" w:lineRule="auto"/>
        <w:rPr>
          <w:sz w:val="20"/>
          <w:szCs w:val="20"/>
          <w:color w:val="auto"/>
        </w:rPr>
      </w:pPr>
      <w:r>
        <w:rPr>
          <w:rFonts w:ascii="Arial" w:cs="Arial" w:eastAsia="Arial" w:hAnsi="Arial"/>
          <w:sz w:val="15"/>
          <w:szCs w:val="15"/>
          <w:color w:val="auto"/>
        </w:rPr>
        <w:t>Upon the occurrence of a reorganization event other than our liquidation or dissolution, the repurchase and other rights with respect to outstanding restricted stock awards will continue for the benefit of the succeeding company and will, unless our board of directors determines otherwise, apply to the cash, securities, or other property which our common stock was converted into or exchanged for in the reorganization event in the same manner and to the same extent as they applied to the common stock subject to the restricted stock award. However, the board may provide for the termination or deemed satisfaction of such repurchase or other rights under the restricted stock award agreement or any other agreement between a participant and us, either initially or by amendment. Upon our liquidation or dissolution, except to the extent specifically provided to the contrary in the restricted stock award agreement or any other agreement between the plan participant and us, all restrictions and conditions on all restricted stock awards then outstanding will automatically be deemed terminated or satisfied.</w:t>
      </w:r>
    </w:p>
    <w:p>
      <w:pPr>
        <w:spacing w:after="0" w:line="159"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auto"/>
        </w:rPr>
        <w:t>Our board of directors may at any time provide that any award under the 2016 Plan will become immediately exercisable in whole or in part, free of some or all restrictions or conditions, or otherwise realizable in whole or in part, as the case may be.</w:t>
      </w:r>
    </w:p>
    <w:p>
      <w:pPr>
        <w:spacing w:after="0" w:line="186" w:lineRule="exact"/>
        <w:rPr>
          <w:sz w:val="20"/>
          <w:szCs w:val="20"/>
          <w:color w:val="auto"/>
        </w:rPr>
      </w:pPr>
    </w:p>
    <w:p>
      <w:pPr>
        <w:jc w:val="both"/>
        <w:ind w:firstLine="397"/>
        <w:spacing w:after="0" w:line="294" w:lineRule="auto"/>
        <w:rPr>
          <w:sz w:val="20"/>
          <w:szCs w:val="20"/>
          <w:color w:val="auto"/>
        </w:rPr>
      </w:pPr>
      <w:r>
        <w:rPr>
          <w:rFonts w:ascii="Arial" w:cs="Arial" w:eastAsia="Arial" w:hAnsi="Arial"/>
          <w:sz w:val="16"/>
          <w:szCs w:val="16"/>
          <w:color w:val="auto"/>
        </w:rPr>
        <w:t>As of March 31, 2019, there were 11,700,125 shares of restricted common stock outstanding under the 2016 Plan. In addition, as of March 31, 2019, there were options to purchase 10,698,963 shares of common stock outstanding under the 2016 Plan at a weighted average exercise price of $1.09 per share, no options to purchase any shares of our common stock had been exercised under the 2016 Plan and 2,565,912 shares of common stock were available for future issuance under the 2016 Plan. No further awards will be made under the 2016 Plan on or after the effectiveness of the registration statement for this offering; however, awards outstanding under the 2016 Plan will continue to be governed by their existing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225" w:lineRule="exact"/>
        <w:rPr>
          <w:sz w:val="20"/>
          <w:szCs w:val="20"/>
          <w:color w:val="auto"/>
        </w:rPr>
      </w:pPr>
    </w:p>
    <w:p>
      <w:pPr>
        <w:jc w:val="both"/>
        <w:ind w:firstLine="362"/>
        <w:spacing w:after="0" w:line="303" w:lineRule="auto"/>
        <w:rPr>
          <w:sz w:val="20"/>
          <w:szCs w:val="20"/>
          <w:color w:val="auto"/>
        </w:rPr>
      </w:pPr>
      <w:r>
        <w:rPr>
          <w:rFonts w:ascii="Arial" w:cs="Arial" w:eastAsia="Arial" w:hAnsi="Arial"/>
          <w:sz w:val="15"/>
          <w:szCs w:val="15"/>
          <w:color w:val="auto"/>
        </w:rPr>
        <w:t>We expect our board of directors to adopt and our stockholders to approve the 2019 Plan, which will become effective immediately prior to the effectiveness of the registration statement for this offering. The 2019 Plan provides for the grant of incentive stock options, non-qualified options, stock appreciation rights, restricted stock awards, restricted stock units and other stock-based awards. Upon effectiveness of the 2019 Plan, the number of shares of our common stock that</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will be reserved for issuance under the 2019 Plan will be the sum of: (1) ; plus (2) the number of shares (up to shares) equal to the sum of (x) the number of shares of our common stock reserved for issuance under the 2016 Plan that remain available for grant under the 2016 Plan immediately prior to the effectiveness of the registration statement for this offering and (y) the number of shares of our common stock subject to outstanding awards under the 2016 Plan that expire, terminate or are otherwise surrendered, cancelled, forfeited or repurchased by us at their original issuance price pursuant to a contractual repurchase right; plus (3) an annual increase, to be added on the first day of each fiscal year, beginning with the fiscal year ending December 31, 2020 and</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continuing until, and including, the fiscal year ending December 31, 2029, equal to the lowest of (i) shares of our common stock, (ii) % of the number of shares of our common stock outstanding on the first day of such fiscal year and (iii) an amount determined by our board of directors.</w:t>
      </w:r>
    </w:p>
    <w:p>
      <w:pPr>
        <w:spacing w:after="0" w:line="192" w:lineRule="exact"/>
        <w:rPr>
          <w:sz w:val="20"/>
          <w:szCs w:val="20"/>
          <w:color w:val="auto"/>
        </w:rPr>
      </w:pPr>
    </w:p>
    <w:p>
      <w:pPr>
        <w:ind w:firstLine="418"/>
        <w:spacing w:after="0" w:line="268" w:lineRule="auto"/>
        <w:rPr>
          <w:sz w:val="20"/>
          <w:szCs w:val="20"/>
          <w:color w:val="auto"/>
        </w:rPr>
      </w:pPr>
      <w:r>
        <w:rPr>
          <w:rFonts w:ascii="Arial" w:cs="Arial" w:eastAsia="Arial" w:hAnsi="Arial"/>
          <w:sz w:val="18"/>
          <w:szCs w:val="18"/>
          <w:color w:val="auto"/>
        </w:rPr>
        <w:t>Our employees, officers, directors, consultants and advisors will be eligible to receive awards under the 2019 Plan. Incentive stock options, however, may only be granted to our employees.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13"/>
        <w:spacing w:after="0" w:line="268" w:lineRule="auto"/>
        <w:rPr>
          <w:sz w:val="20"/>
          <w:szCs w:val="20"/>
          <w:color w:val="auto"/>
        </w:rPr>
      </w:pPr>
      <w:r>
        <w:rPr>
          <w:rFonts w:ascii="Arial" w:cs="Arial" w:eastAsia="Arial" w:hAnsi="Arial"/>
          <w:sz w:val="18"/>
          <w:szCs w:val="18"/>
          <w:color w:val="auto"/>
        </w:rPr>
        <w:t>Pursuant to the terms of the 2019 Plan, our board of directors (or a committee delegated by our board of directors) will administer the plan and, subject to any limitations in the plan, will select the recipients of awards and determine:</w:t>
      </w:r>
    </w:p>
    <w:p>
      <w:pPr>
        <w:spacing w:after="0" w:line="19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number of shares of our common stock covered by options and the dates upon which the options become exercisable;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type of options to be granted;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duration of options, which may not be in excess of ten years;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exercise price of options, which must be at least equal to the fair market value of our common stock on the date of grant; and</w:t>
      </w:r>
    </w:p>
    <w:p>
      <w:pPr>
        <w:spacing w:after="0" w:line="252"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number of shares of our common stock subject to and the terms of any stock appreciation rights, restricted stock awards, restricted stock units or other stock-based awards and the terms and conditions of such awards, including conditions for repurchase, issue price and repurchase price (though the measurement price of stock appreciation rights must be at least equal to the fair market value of our common stock on the date of grant and the duration of such awards may not be in excess of ten years).</w:t>
      </w:r>
    </w:p>
    <w:p>
      <w:pPr>
        <w:spacing w:after="0" w:line="167" w:lineRule="exact"/>
        <w:rPr>
          <w:sz w:val="20"/>
          <w:szCs w:val="20"/>
          <w:color w:val="auto"/>
        </w:rPr>
      </w:pPr>
    </w:p>
    <w:p>
      <w:pPr>
        <w:jc w:val="both"/>
        <w:ind w:firstLine="435"/>
        <w:spacing w:after="0" w:line="306" w:lineRule="auto"/>
        <w:rPr>
          <w:sz w:val="20"/>
          <w:szCs w:val="20"/>
          <w:color w:val="auto"/>
        </w:rPr>
      </w:pPr>
      <w:r>
        <w:rPr>
          <w:rFonts w:ascii="Arial" w:cs="Arial" w:eastAsia="Arial" w:hAnsi="Arial"/>
          <w:sz w:val="16"/>
          <w:szCs w:val="16"/>
          <w:color w:val="auto"/>
        </w:rPr>
        <w:t>If our board of directors delegates authority to one or more of our officers to grant awards under the 2019 Plan, the officers will have the power to make awards to all of our employees, except executive officers. Our board of directors will fix the terms of the awards to be granted by such any such officer, the maximum number of shares subject to awards that such officer may make, and the time period in which such awards may be granted.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Changes in Capitalization</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Upon the occurrence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under the terms of the 2019 Plan, we are required to equitably adjust (or make substitute awards, if applicable), in the manner determined by our board of directors:</w:t>
      </w:r>
    </w:p>
    <w:p>
      <w:pPr>
        <w:spacing w:after="0" w:line="174"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number and class of securities available under the 2019 Plan;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share counting rules under the 2019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number and class of securities and exercise price per share of each outstanding option;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share and per-share provisions and the measurement price of each outstanding stock appreciation right;</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number of shares subject to, and the repurchase price per share subject to, each outstanding award of restricted stock and restricted stock units;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share and per-share related provisions and the purchase price, if any, of each other stock-based award.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Corporate Transactions</w:t>
      </w:r>
    </w:p>
    <w:p>
      <w:pPr>
        <w:spacing w:after="0" w:line="225" w:lineRule="exact"/>
        <w:rPr>
          <w:sz w:val="20"/>
          <w:szCs w:val="20"/>
          <w:color w:val="auto"/>
        </w:rPr>
      </w:pPr>
    </w:p>
    <w:p>
      <w:pPr>
        <w:ind w:firstLine="510"/>
        <w:spacing w:after="0" w:line="332" w:lineRule="auto"/>
        <w:rPr>
          <w:sz w:val="20"/>
          <w:szCs w:val="20"/>
          <w:color w:val="auto"/>
        </w:rPr>
      </w:pPr>
      <w:r>
        <w:rPr>
          <w:rFonts w:ascii="Arial" w:cs="Arial" w:eastAsia="Arial" w:hAnsi="Arial"/>
          <w:sz w:val="16"/>
          <w:szCs w:val="16"/>
          <w:color w:val="auto"/>
        </w:rPr>
        <w:t>Upon the occurrence of a merger or other reorganization event (as defined in the 2019 Plan), our board of directors may, on such terms as our board determines (except to the extent specifically provided otherwise in an applicable award agreement or other agreement between the participant and us), take 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one or more of the following actions pursuant to the 2019 Plan as to all or any (or any portion of) outstanding awards, other than awards of restricted stock:</w:t>
      </w:r>
    </w:p>
    <w:p>
      <w:pPr>
        <w:spacing w:after="0" w:line="262" w:lineRule="exact"/>
        <w:rPr>
          <w:sz w:val="20"/>
          <w:szCs w:val="20"/>
          <w:color w:val="auto"/>
        </w:rPr>
      </w:pPr>
    </w:p>
    <w:p>
      <w:pPr>
        <w:ind w:left="108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 that outstanding awards will be assumed, or substantially equivalent awards will be substituted, by the acquiring or succeeding corporation (or an affiliate thereof);</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all of the participant's unvested awards will be forfeited, and/or vested but unexercised awards will terminate, immediately prior to the consummation of the reorganization event unless exercised by the participant (to the extent then exercisable) within a specified period following the date of the notice;</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 that outstanding awards will become exercisable, realizable or deliverable, or restrictions applicable to an award will lapse, in whole or in part, prior to or upon such reorganization event;</w:t>
      </w:r>
    </w:p>
    <w:p>
      <w:pPr>
        <w:spacing w:after="0" w:line="199"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the event of a reorganization event pursuant to which holders of shares of our common stock will receive a cash payment for each share surrendered in the reorganization event, make or provide for a cash payment to participants with respect to each award held by a participant equal to (1) the number of shares of our common stock subject to the vested portion of the award (after giving effect to any acceleration of vesting that occurs upon or immediately prior to such reorganization event) multiplied by (2) the excess, if any, of the cash payment for each share surrendered in the reorganization event over the exercise, measurement or purchase price of such award and any applicable tax withholdings, in exchange for the termination of such award;</w:t>
      </w:r>
    </w:p>
    <w:p>
      <w:pPr>
        <w:spacing w:after="0" w:line="20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 that, in connection with our liquidation or dissolution, awards will convert into the right to receive liquidation proceeds (if applicable, net of the exercise, measurement or purchase price thereof and any applicable tax withholdings);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is not obligated under the 2019 Plan to treat all awards, all awards held by a participant, or all awards of the same type, identically.</w:t>
      </w:r>
    </w:p>
    <w:p>
      <w:pPr>
        <w:spacing w:after="0" w:line="248"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8"/>
          <w:szCs w:val="18"/>
          <w:color w:val="auto"/>
        </w:rPr>
        <w:t>In the case of certain restricted stock units, no assumption or substitution is permitted, and the restricted stock units will instead be settled in accordance with the terms of the applicable restricted stock unit agreement.</w:t>
      </w:r>
    </w:p>
    <w:p>
      <w:pPr>
        <w:spacing w:after="0" w:line="186" w:lineRule="exact"/>
        <w:rPr>
          <w:sz w:val="20"/>
          <w:szCs w:val="20"/>
          <w:color w:val="auto"/>
        </w:rPr>
      </w:pPr>
    </w:p>
    <w:p>
      <w:pPr>
        <w:jc w:val="both"/>
        <w:ind w:firstLine="355"/>
        <w:spacing w:after="0" w:line="312" w:lineRule="auto"/>
        <w:rPr>
          <w:sz w:val="20"/>
          <w:szCs w:val="20"/>
          <w:color w:val="auto"/>
        </w:rPr>
      </w:pPr>
      <w:r>
        <w:rPr>
          <w:rFonts w:ascii="Arial" w:cs="Arial" w:eastAsia="Arial" w:hAnsi="Arial"/>
          <w:sz w:val="15"/>
          <w:szCs w:val="15"/>
          <w:color w:val="auto"/>
        </w:rPr>
        <w:t>Upon the occurrence of a reorganization event other than our liquidation or dissolution, our repurchase and other rights with respect to outstanding awards of restricted stock will continue for the benefit of the succeeding company and will, unless our board of directors determines otherwise, apply to the cash, securities, or other property which our common stock was converted into or exchanged for pursuant to the reorganization event in the same manner and to the same extent as they applied to the common stock subject to the restricted stock award. However, the board may provide for the termination or deemed satisfaction of such repurchase or other rights under the restricted stock award agreement or in any other agreement between a participant and us, either initially or by amendment. Upon our liquidation or dissolution, except to the extent specifically provided to the contrary in the restricted stock award agreement or any other agreement between the participant and us, all restrictions and conditions on all restricted stock awards then outstanding will automatically be deemed terminated or satisfied.</w:t>
      </w:r>
    </w:p>
    <w:p>
      <w:pPr>
        <w:spacing w:after="0" w:line="159"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8"/>
          <w:szCs w:val="18"/>
          <w:color w:val="auto"/>
        </w:rPr>
        <w:t>At any time, our board of directors may provide that any award under the 2019 Plan will become immediately exercisable in full or in part, free of some or all restrictions or conditions, or otherwise realizable in whole or in part as the case may be.</w:t>
      </w:r>
    </w:p>
    <w:p>
      <w:pPr>
        <w:spacing w:after="0" w:line="186" w:lineRule="exact"/>
        <w:rPr>
          <w:sz w:val="20"/>
          <w:szCs w:val="20"/>
          <w:color w:val="auto"/>
        </w:rPr>
      </w:pPr>
    </w:p>
    <w:p>
      <w:pPr>
        <w:jc w:val="both"/>
        <w:ind w:firstLine="425"/>
        <w:spacing w:after="0" w:line="259" w:lineRule="auto"/>
        <w:rPr>
          <w:sz w:val="20"/>
          <w:szCs w:val="20"/>
          <w:color w:val="auto"/>
        </w:rPr>
      </w:pPr>
      <w:r>
        <w:rPr>
          <w:rFonts w:ascii="Arial" w:cs="Arial" w:eastAsia="Arial" w:hAnsi="Arial"/>
          <w:sz w:val="18"/>
          <w:szCs w:val="18"/>
          <w:color w:val="auto"/>
        </w:rPr>
        <w:t>No award may be granted under the 2019 Plan on or after the date that is ten years following the effectiveness of the registration statement related to this offering. Our board of directors may amend, suspend or terminate the 2019 Plan at any time, except that stockholder approval may be required to comply with applicable law or stock market requirements.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jc w:val="both"/>
        <w:ind w:firstLine="592"/>
        <w:spacing w:after="0" w:line="286" w:lineRule="auto"/>
        <w:rPr>
          <w:sz w:val="20"/>
          <w:szCs w:val="20"/>
          <w:color w:val="auto"/>
        </w:rPr>
      </w:pPr>
      <w:r>
        <w:rPr>
          <w:rFonts w:ascii="Arial" w:cs="Arial" w:eastAsia="Arial" w:hAnsi="Arial"/>
          <w:sz w:val="16"/>
          <w:szCs w:val="16"/>
          <w:color w:val="auto"/>
        </w:rPr>
        <w:t>We expect our board of directors to adopt and our stockholders to approve the 2019 ESPP, which will become effective immediately prior to the effectiveness of the registration statement for this offering. The 2019 ESPP will be administered by our board of directors or by a committee appointed by our</w:t>
      </w:r>
    </w:p>
    <w:p>
      <w:pPr>
        <w:jc w:val="both"/>
        <w:spacing w:after="0" w:line="281" w:lineRule="auto"/>
        <w:rPr>
          <w:sz w:val="20"/>
          <w:szCs w:val="20"/>
          <w:color w:val="auto"/>
        </w:rPr>
      </w:pPr>
      <w:r>
        <w:rPr>
          <w:rFonts w:ascii="Arial" w:cs="Arial" w:eastAsia="Arial" w:hAnsi="Arial"/>
          <w:sz w:val="16"/>
          <w:szCs w:val="16"/>
          <w:color w:val="auto"/>
        </w:rPr>
        <w:t>board of directors. The 2019 ESPP initially provides participating employees with the opportunity to purchase up to an aggregate of shares of our common stock. The number of shares of our common stock reserved for issuance under the 2019 ESPP will automatically increase on the first day of each fiscal year, beginning with the fiscal year commencing on January 1, 2020 and continuing until, and including, the fiscal year commencing on January 1, 2030, in an</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amount equal to the lowest of (i) shares of our common stock, (ii) % of the number of shares of our common stock outstanding on the first day of such fiscal year and (iii) an amount determined by our board of directors.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of our employees and employees of any designated subsidiary, as defined in the 2019 ESPP, are eligible to participate in the 2019 ESPP, provided that:</w:t>
      </w:r>
    </w:p>
    <w:p>
      <w:pPr>
        <w:spacing w:after="0" w:line="262" w:lineRule="exact"/>
        <w:rPr>
          <w:sz w:val="20"/>
          <w:szCs w:val="20"/>
          <w:color w:val="auto"/>
        </w:rPr>
      </w:pPr>
    </w:p>
    <w:p>
      <w:pPr>
        <w:ind w:left="1080" w:right="2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such person is customarily employed by us or a designated subsidiary for more than 20 hours a week and for more than five months in a calendar year;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such person has been employed by us or by a designated subsidiary for at least three months prior to enrolling in the 2019 ESPP; and</w:t>
      </w:r>
    </w:p>
    <w:p>
      <w:pPr>
        <w:spacing w:after="0" w:line="261" w:lineRule="exact"/>
        <w:rPr>
          <w:rFonts w:ascii="Arial" w:cs="Arial" w:eastAsia="Arial" w:hAnsi="Arial"/>
          <w:sz w:val="16"/>
          <w:szCs w:val="16"/>
          <w:color w:val="auto"/>
        </w:rPr>
      </w:pPr>
    </w:p>
    <w:p>
      <w:pPr>
        <w:ind w:left="360" w:right="200" w:firstLine="188"/>
        <w:spacing w:after="0" w:line="563" w:lineRule="auto"/>
        <w:tabs>
          <w:tab w:leader="none" w:pos="1092" w:val="left"/>
        </w:tabs>
        <w:numPr>
          <w:ilvl w:val="0"/>
          <w:numId w:val="88"/>
        </w:numPr>
        <w:rPr>
          <w:rFonts w:ascii="Arial" w:cs="Arial" w:eastAsia="Arial" w:hAnsi="Arial"/>
          <w:sz w:val="16"/>
          <w:szCs w:val="16"/>
          <w:color w:val="auto"/>
        </w:rPr>
      </w:pPr>
      <w:r>
        <w:rPr>
          <w:rFonts w:ascii="Arial" w:cs="Arial" w:eastAsia="Arial" w:hAnsi="Arial"/>
          <w:sz w:val="16"/>
          <w:szCs w:val="16"/>
          <w:color w:val="auto"/>
        </w:rPr>
        <w:t>such person was our employee or an employee of a designated subsidiary on the first day of the applicable offering period under the 2019 ESPP. We retain the discretion to determine which eligible employees may participate in an offering under applicable regulations.</w:t>
      </w:r>
    </w:p>
    <w:p>
      <w:pPr>
        <w:spacing w:after="0" w:line="1"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color w:val="auto"/>
        </w:rPr>
        <w:t>We expect to make one or more offerings to our eligible employees to purchase stock under the 2019 ESPP beginning at such time and on such dates as our board of directors may determine, or on the first business day thereafter. Each offering will consist of a six-month offering period during which payroll deductions will be made and held for the purchase of our common stock at the end of the offering period. Our board of directors or a committee designated by the board of directors may, at its discretion, choose a different period of not more than 12 months for offerings.</w:t>
      </w:r>
    </w:p>
    <w:p>
      <w:pPr>
        <w:spacing w:after="0" w:line="167" w:lineRule="exact"/>
        <w:rPr>
          <w:sz w:val="20"/>
          <w:szCs w:val="20"/>
          <w:color w:val="auto"/>
        </w:rPr>
      </w:pPr>
    </w:p>
    <w:p>
      <w:pPr>
        <w:jc w:val="both"/>
        <w:ind w:firstLine="386"/>
        <w:spacing w:after="0" w:line="290" w:lineRule="auto"/>
        <w:rPr>
          <w:sz w:val="20"/>
          <w:szCs w:val="20"/>
          <w:color w:val="auto"/>
        </w:rPr>
      </w:pPr>
      <w:r>
        <w:rPr>
          <w:rFonts w:ascii="Arial" w:cs="Arial" w:eastAsia="Arial" w:hAnsi="Arial"/>
          <w:sz w:val="16"/>
          <w:szCs w:val="16"/>
          <w:color w:val="auto"/>
        </w:rPr>
        <w:t>On each offering commencement date, each participant will be granted the right to purchase, on the last business day of the offering period, up to a number of shares of our common stock determined by multiplying $2,083 by the number of full months in the offering period and dividing that product by the closing price of our common stock on the first day of the offering period. No employee may be granted an option under the 2019 ESPP that permits the employee's rights to purchase shares under the 2019 ESPP and any other employee stock purchase plan of ours or of any of our subsidiaries to accrue at a rate that exceeds $25,000 of the fair market value of our common stock (determined as of the first day of each offering period) for each calendar year in which the option is outstanding. In addition, no employee may purchase shares of our common stock under the 2019 ESPP that would result in the employee owning 5% or more of the total combined voting power or value of our stock or the stock of any of our subsidiaries.</w:t>
      </w:r>
    </w:p>
    <w:p>
      <w:pPr>
        <w:spacing w:after="0" w:line="172" w:lineRule="exact"/>
        <w:rPr>
          <w:sz w:val="20"/>
          <w:szCs w:val="20"/>
          <w:color w:val="auto"/>
        </w:rPr>
      </w:pPr>
    </w:p>
    <w:p>
      <w:pPr>
        <w:jc w:val="both"/>
        <w:ind w:firstLine="482"/>
        <w:spacing w:after="0" w:line="291" w:lineRule="auto"/>
        <w:rPr>
          <w:sz w:val="20"/>
          <w:szCs w:val="20"/>
          <w:color w:val="auto"/>
        </w:rPr>
      </w:pPr>
      <w:r>
        <w:rPr>
          <w:rFonts w:ascii="Arial" w:cs="Arial" w:eastAsia="Arial" w:hAnsi="Arial"/>
          <w:sz w:val="16"/>
          <w:szCs w:val="16"/>
          <w:color w:val="auto"/>
        </w:rPr>
        <w:t>On the commencement date of each offering period, each eligible employee may authorize up to a maximum of 15% of his or her compensation to be deducted by us during the offering period. Each employee who continues to be a participant in the 2019 ESPP on the last business day of the offering period will be deemed to have exercised an option to purchase from us the number of whole shares of our common stock that his or her accumulated payroll deductions on such date will pay for, not in excess of the maximum numbers set forth above. Under the terms of the 2019 ESPP, the purchase price will be determined by our board of directors or the committee for each offering period and will be at least 85% of the applicable closing price of our common stock. If our board of directors or the committee does not make a determination of the purchase price, the purchase price will be 85% of the lesser of the closing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of our common stock on the first business day of the offering period or on the last business day of the offering period.</w:t>
      </w:r>
    </w:p>
    <w:p>
      <w:pPr>
        <w:spacing w:after="0" w:line="225" w:lineRule="exact"/>
        <w:rPr>
          <w:sz w:val="20"/>
          <w:szCs w:val="20"/>
          <w:color w:val="auto"/>
        </w:rPr>
      </w:pPr>
    </w:p>
    <w:p>
      <w:pPr>
        <w:jc w:val="both"/>
        <w:ind w:firstLine="516"/>
        <w:spacing w:after="0" w:line="254" w:lineRule="auto"/>
        <w:rPr>
          <w:sz w:val="20"/>
          <w:szCs w:val="20"/>
          <w:color w:val="auto"/>
        </w:rPr>
      </w:pPr>
      <w:r>
        <w:rPr>
          <w:rFonts w:ascii="Arial" w:cs="Arial" w:eastAsia="Arial" w:hAnsi="Arial"/>
          <w:sz w:val="18"/>
          <w:szCs w:val="18"/>
          <w:color w:val="auto"/>
        </w:rPr>
        <w:t>An employee may at any time prior to the close of business on the fifteenth business day prior to the end of an offering period, and for any reason, permanently withdraw from participating in an offering prior to the end of an offering period and permanently withdraw the balance accumulated in the employee's account. If an employee elects to discontinue his or her payroll deductions during an offering period but does not elect to withdraw his or her funds, funds previously deducted will be applied to the purchase of common stock at the end of the offering period. If a participating employee's employment ends before the last business day of an offering period, no additional payroll deductions will be taken and the balance in the employee's account will be paid to the employee.</w:t>
      </w:r>
    </w:p>
    <w:p>
      <w:pPr>
        <w:spacing w:after="0" w:line="198" w:lineRule="exact"/>
        <w:rPr>
          <w:sz w:val="20"/>
          <w:szCs w:val="20"/>
          <w:color w:val="auto"/>
        </w:rPr>
      </w:pPr>
    </w:p>
    <w:p>
      <w:pPr>
        <w:jc w:val="both"/>
        <w:ind w:firstLine="450"/>
        <w:spacing w:after="0" w:line="298" w:lineRule="auto"/>
        <w:rPr>
          <w:sz w:val="20"/>
          <w:szCs w:val="20"/>
          <w:color w:val="auto"/>
        </w:rPr>
      </w:pPr>
      <w:r>
        <w:rPr>
          <w:rFonts w:ascii="Arial" w:cs="Arial" w:eastAsia="Arial" w:hAnsi="Arial"/>
          <w:sz w:val="16"/>
          <w:szCs w:val="16"/>
          <w:color w:val="auto"/>
        </w:rPr>
        <w:t>We will be required to make equitable adjustments to the extent determined by our board of directors or a committee thereof to the number and class of securities available under the 2019 ESPP, the share limitations under the 2019 ESPP, and the purchase price for an offering period under the 2019 ESPP to reflect stock splits, reverse stock splits, stock dividends, recapitalizations, combinations of shares, reclassifications of shares, spin-offs and other similar changes in capitalization or events or any dividends or distributions to holders of our common stock other than ordinary cash dividends.</w:t>
      </w:r>
    </w:p>
    <w:p>
      <w:pPr>
        <w:spacing w:after="0" w:line="167"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In connection with a merger or other reorganization event, as defined in the 2019 ESPP, our board of directors or a committee of our board of directors may take any one or more of the following actions as to outstanding options to purchase shares of our common stock under the 2019 ESPP on such terms as our board of directors or committee thereof determines:</w:t>
      </w:r>
    </w:p>
    <w:p>
      <w:pPr>
        <w:spacing w:after="0" w:line="208" w:lineRule="exact"/>
        <w:rPr>
          <w:sz w:val="20"/>
          <w:szCs w:val="20"/>
          <w:color w:val="auto"/>
        </w:rPr>
      </w:pPr>
    </w:p>
    <w:p>
      <w:pPr>
        <w:ind w:left="108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 that options will be assumed, or substantially equivalent options will be substituted, by the acquiring or succeeding corporation (or an affiliate thereof);</w:t>
      </w:r>
    </w:p>
    <w:p>
      <w:pPr>
        <w:spacing w:after="0" w:line="212"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upon written notice to employees, provide that all outstanding options will be terminated immediately prior to the consummation of such reorganization event and that all such outstanding options will become exercisable to the extent of accumulated payroll deductions as of a date specified by board of directors or committee thereof in such notice, which date will not be less than ten days preceding the effective date of the reorganization event;</w:t>
      </w:r>
    </w:p>
    <w:p>
      <w:pPr>
        <w:spacing w:after="0" w:line="210"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upon written notice to employees, provide that all outstanding options will be cancelled as of a date prior to the effective date of the reorganization event and that all accumulated payroll deductions will be returned to participating employees on such date;</w:t>
      </w:r>
    </w:p>
    <w:p>
      <w:pPr>
        <w:spacing w:after="0" w:line="199" w:lineRule="exact"/>
        <w:rPr>
          <w:rFonts w:ascii="Arial" w:cs="Arial" w:eastAsia="Arial" w:hAnsi="Arial"/>
          <w:sz w:val="18"/>
          <w:szCs w:val="18"/>
          <w:color w:val="auto"/>
        </w:rPr>
      </w:pPr>
    </w:p>
    <w:p>
      <w:pPr>
        <w:jc w:val="both"/>
        <w:ind w:left="1080" w:hanging="532"/>
        <w:spacing w:after="0" w:line="289"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the event of a reorganization event under the terms of which holders of our common stock will receive upon consummation thereof a cash payment for each share surrendered in the reorganization event, change the last day of the offering period to be the date of the consummation of the reorganization event and make or provide for a cash payment to each employee equal to (1) the cash payment for each share surrendered in the reorganization event times the number of shares of our common stock that the employee's accumulated payroll deductions as of immediately prior to the reorganization event could purchase at the applicable purchase price, where the cash payment for each share surrendered in the reorganization event is treated as the fair market value of our common stock on the last day of the applicable offering period for purposes of determining the purchase price and where the number of shares that could be purchased is subject to the applicable limitations under the 2019 ESPP minus (2) the result of multiplying such number of shares by the purchase price; and/or</w:t>
      </w:r>
    </w:p>
    <w:p>
      <w:pPr>
        <w:spacing w:after="0" w:line="199"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 that, in connection with our liquidation or dissolution, options will convert into the right to receive liquidation proceeds (net of the purchase price thereof).</w:t>
      </w:r>
    </w:p>
    <w:p>
      <w:pPr>
        <w:spacing w:after="0" w:line="186" w:lineRule="exact"/>
        <w:rPr>
          <w:sz w:val="20"/>
          <w:szCs w:val="20"/>
          <w:color w:val="auto"/>
        </w:rPr>
      </w:pPr>
    </w:p>
    <w:p>
      <w:pPr>
        <w:ind w:firstLine="534"/>
        <w:spacing w:after="0" w:line="268" w:lineRule="auto"/>
        <w:rPr>
          <w:sz w:val="20"/>
          <w:szCs w:val="20"/>
          <w:color w:val="auto"/>
        </w:rPr>
      </w:pPr>
      <w:r>
        <w:rPr>
          <w:rFonts w:ascii="Arial" w:cs="Arial" w:eastAsia="Arial" w:hAnsi="Arial"/>
          <w:sz w:val="18"/>
          <w:szCs w:val="18"/>
          <w:color w:val="auto"/>
        </w:rPr>
        <w:t>Our board of directors may at any time, and from time to time, amend or suspend the 2019 ESPP or any portion of the 2019 ESPP. We will obtain stockholder approval for any amendment if such approval 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required by Section 423 of the Code. Further, our board of directors may not make any amendment that would cause the 2019 ESPP to fail to comply with Section 423 of the Internal Revenue Code. The 2019 ESPP may be terminated at any time by our board of directors. Upon termination, we will refund all amounts in the accounts of participating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jc w:val="both"/>
        <w:ind w:firstLine="355"/>
        <w:spacing w:after="0" w:line="254" w:lineRule="auto"/>
        <w:rPr>
          <w:sz w:val="20"/>
          <w:szCs w:val="20"/>
          <w:color w:val="auto"/>
        </w:rPr>
      </w:pPr>
      <w:r>
        <w:rPr>
          <w:rFonts w:ascii="Arial" w:cs="Arial" w:eastAsia="Arial" w:hAnsi="Arial"/>
          <w:sz w:val="18"/>
          <w:szCs w:val="18"/>
          <w:color w:val="auto"/>
        </w:rPr>
        <w:t>We maintain a defined contribution employee retirement plan for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 deferred salary contributions and our discretionary match. Employee contributions are held and invested by the plan's trustee as directed by participants. The 401(k) plan provides us with the discretion to match employee contributions, but to date we have not provided any employer matching contributions.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31" w:lineRule="exact"/>
        <w:rPr>
          <w:sz w:val="20"/>
          <w:szCs w:val="20"/>
          <w:color w:val="auto"/>
        </w:rPr>
      </w:pPr>
    </w:p>
    <w:p>
      <w:pPr>
        <w:jc w:val="both"/>
        <w:ind w:firstLine="358"/>
        <w:spacing w:after="0" w:line="256" w:lineRule="auto"/>
        <w:rPr>
          <w:sz w:val="20"/>
          <w:szCs w:val="20"/>
          <w:color w:val="auto"/>
        </w:rPr>
      </w:pPr>
      <w:r>
        <w:rPr>
          <w:rFonts w:ascii="Arial" w:cs="Arial" w:eastAsia="Arial" w:hAnsi="Arial"/>
          <w:sz w:val="18"/>
          <w:szCs w:val="18"/>
          <w:color w:val="auto"/>
        </w:rPr>
        <w:t>Our certificate of incorporation, which will become effective upon the closing of this offering, limits the personal liability of directors for breach of fiduciary duty to the maximum extent permitted by the Delaware General Corporation Law, or the DGCL, and provides that no director will have personal liability to us or to our stockholders for monetary damages for breach of fiduciary duty as a director. However, these provisions do not eliminate or limit the liability of any of our directors:</w:t>
      </w:r>
    </w:p>
    <w:p>
      <w:pPr>
        <w:spacing w:after="0" w:line="211"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voting for or assenting to unlawful payments of dividends, stock repurchases or other distributions;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jc w:val="both"/>
        <w:ind w:firstLine="465"/>
        <w:spacing w:after="0" w:line="306"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61"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In addition, our certificate of incorporation, which will become effective upon the closing of this offering, provides that we must indemnify our directors and officers and we must advance expenses, including attorneys' fees, to our directors and officers in connection with legal proceedings, subject to very limited exceptions.</w:t>
      </w:r>
    </w:p>
    <w:p>
      <w:pPr>
        <w:spacing w:after="0" w:line="194"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8"/>
          <w:szCs w:val="18"/>
          <w:color w:val="auto"/>
        </w:rPr>
        <w:t>We maintain a general liability insurance policy that covers specified liabilities of our directors and officers arising out of claims based on acts or omissions in their capacities as directors or officers. In addition, we intend to enter into indemnification agreements with all of our executive officers and directors prior to the completion of this offering. These indemnification agreements may require us, among other things, to indemnify each such executive officer or director for some expenses, including attorneys' fees, judgments, fines and settlement amounts incurred by him or her in any action or proceeding arising out of his or her service as one of our executive officers or directors.</w:t>
      </w:r>
    </w:p>
    <w:p>
      <w:pPr>
        <w:spacing w:after="0" w:line="197" w:lineRule="exact"/>
        <w:rPr>
          <w:sz w:val="20"/>
          <w:szCs w:val="20"/>
          <w:color w:val="auto"/>
        </w:rPr>
      </w:pPr>
    </w:p>
    <w:p>
      <w:pPr>
        <w:jc w:val="both"/>
        <w:ind w:right="20" w:firstLine="374"/>
        <w:spacing w:after="0" w:line="268" w:lineRule="auto"/>
        <w:rPr>
          <w:sz w:val="20"/>
          <w:szCs w:val="20"/>
          <w:color w:val="auto"/>
        </w:rPr>
      </w:pPr>
      <w:r>
        <w:rPr>
          <w:rFonts w:ascii="Arial" w:cs="Arial" w:eastAsia="Arial" w:hAnsi="Arial"/>
          <w:sz w:val="18"/>
          <w:szCs w:val="18"/>
          <w:color w:val="auto"/>
        </w:rPr>
        <w:t>Some of our non-employee directors may, through their relationships with their employers, be insured or indemnified against specified liabilities incurred in their capacities as members of our board of directors.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7"/>
        <w:spacing w:after="0" w:line="332" w:lineRule="auto"/>
        <w:rPr>
          <w:sz w:val="20"/>
          <w:szCs w:val="20"/>
          <w:color w:val="auto"/>
        </w:rPr>
      </w:pPr>
      <w:r>
        <w:rPr>
          <w:rFonts w:ascii="Arial" w:cs="Arial" w:eastAsia="Arial" w:hAnsi="Arial"/>
          <w:sz w:val="16"/>
          <w:szCs w:val="16"/>
          <w:color w:val="auto"/>
        </w:rPr>
        <w:t>Insofar as indemnification for liabilities arising under the Securities Act of 1933, or the Securities Act, may be permitted to directors, executive officers or persons controlling us, in the opinion of the SEC, such indemnification is against public policy as expressed in the Securities Act and is therefore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231"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6"/>
          <w:szCs w:val="16"/>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It also is possible that the director or officer could amend or terminate the plan when not in possession of material, nonpublic information. In addition, our directors and executive officers may buy or sell additional shares outside of a Rule 10b5-1 plan when they are not in possession of material, nonpublic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shows all compensation to our non-employee directors during the year ended December 31, 2018.</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Fees earned or</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4"/>
                <w:szCs w:val="14"/>
                <w:color w:val="auto"/>
              </w:rPr>
            </w:pPr>
          </w:p>
        </w:tc>
        <w:tc>
          <w:tcPr>
            <w:tcW w:w="620" w:type="dxa"/>
            <w:vAlign w:val="bottom"/>
          </w:tcPr>
          <w:p>
            <w:pPr>
              <w:jc w:val="right"/>
              <w:ind w:right="42"/>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paid in cash</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62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2"/>
                <w:szCs w:val="12"/>
                <w:color w:val="auto"/>
              </w:rPr>
            </w:pPr>
          </w:p>
        </w:tc>
        <w:tc>
          <w:tcPr>
            <w:tcW w:w="7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6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40" w:type="dxa"/>
            <w:vAlign w:val="bottom"/>
            <w:gridSpan w:val="2"/>
          </w:tcPr>
          <w:p>
            <w:pPr>
              <w:jc w:val="center"/>
              <w:ind w:left="97"/>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780" w:type="dxa"/>
            <w:vAlign w:val="bottom"/>
            <w:gridSpan w:val="2"/>
          </w:tcPr>
          <w:p>
            <w:pPr>
              <w:jc w:val="right"/>
              <w:ind w:right="22"/>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(2)(3)</w:t>
            </w:r>
          </w:p>
        </w:tc>
        <w:tc>
          <w:tcPr>
            <w:tcW w:w="78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J. Collins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Alan Ezekowitz</w:t>
            </w:r>
          </w:p>
        </w:tc>
        <w:tc>
          <w:tcPr>
            <w:tcW w:w="1020" w:type="dxa"/>
            <w:vAlign w:val="bottom"/>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11,549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46,549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Geraghty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gridSpan w:val="3"/>
          </w:tcPr>
          <w:p>
            <w:pPr>
              <w:spacing w:after="0" w:line="256" w:lineRule="exact"/>
              <w:rPr>
                <w:sz w:val="20"/>
                <w:szCs w:val="20"/>
                <w:color w:val="auto"/>
              </w:rPr>
            </w:pPr>
            <w:r>
              <w:rPr>
                <w:rFonts w:ascii="Arial" w:cs="Arial" w:eastAsia="Arial" w:hAnsi="Arial"/>
                <w:sz w:val="18"/>
                <w:szCs w:val="18"/>
                <w:color w:val="auto"/>
              </w:rPr>
              <w:t>Kate Haviland</w:t>
            </w:r>
            <w:r>
              <w:rPr>
                <w:rFonts w:ascii="Arial" w:cs="Arial" w:eastAsia="Arial" w:hAnsi="Arial"/>
                <w:sz w:val="29"/>
                <w:szCs w:val="29"/>
                <w:color w:val="auto"/>
                <w:vertAlign w:val="superscript"/>
              </w:rPr>
              <w:t>(4)</w:t>
            </w:r>
          </w:p>
        </w:tc>
        <w:tc>
          <w:tcPr>
            <w:tcW w:w="1020" w:type="dxa"/>
            <w:vAlign w:val="bottom"/>
          </w:tcPr>
          <w:p>
            <w:pPr>
              <w:jc w:val="right"/>
              <w:spacing w:after="0"/>
              <w:rPr>
                <w:sz w:val="20"/>
                <w:szCs w:val="20"/>
                <w:color w:val="auto"/>
              </w:rPr>
            </w:pPr>
            <w:r>
              <w:rPr>
                <w:rFonts w:ascii="Arial" w:cs="Arial" w:eastAsia="Arial" w:hAnsi="Arial"/>
                <w:sz w:val="18"/>
                <w:szCs w:val="18"/>
                <w:color w:val="auto"/>
              </w:rPr>
              <w:t>17,500</w:t>
            </w:r>
          </w:p>
        </w:tc>
        <w:tc>
          <w:tcPr>
            <w:tcW w:w="160" w:type="dxa"/>
            <w:vAlign w:val="bottom"/>
          </w:tcPr>
          <w:p>
            <w:pPr>
              <w:spacing w:after="0"/>
              <w:rPr>
                <w:sz w:val="22"/>
                <w:szCs w:val="22"/>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82,459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99,959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Levin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James Tananbaum</w:t>
            </w:r>
            <w:r>
              <w:rPr>
                <w:rFonts w:ascii="Arial" w:cs="Arial" w:eastAsia="Arial" w:hAnsi="Arial"/>
                <w:sz w:val="29"/>
                <w:szCs w:val="29"/>
                <w:color w:val="auto"/>
                <w:vertAlign w:val="superscript"/>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left="1680" w:hanging="531"/>
        <w:spacing w:after="0" w:line="259" w:lineRule="auto"/>
        <w:tabs>
          <w:tab w:leader="none" w:pos="1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of December 31, 2018, the aggregate number of shares of our common stock held pursuant to restricted stock awards by each non-employee director was as follows: Dr. Collins, 165,000 shares; Mr. Ezekowitz, 165,000 shares; Mr. Geraghty, 565,000 shares; Ms. Haviland, 0 shares; Mr. Levin, 0 shares and Mr. Tananbaum, 0 shares.</w:t>
      </w:r>
    </w:p>
    <w:p>
      <w:pPr>
        <w:spacing w:after="0" w:line="221" w:lineRule="exact"/>
        <w:rPr>
          <w:rFonts w:ascii="Arial" w:cs="Arial" w:eastAsia="Arial" w:hAnsi="Arial"/>
          <w:sz w:val="18"/>
          <w:szCs w:val="18"/>
          <w:color w:val="auto"/>
        </w:rPr>
      </w:pPr>
    </w:p>
    <w:p>
      <w:pPr>
        <w:jc w:val="both"/>
        <w:ind w:left="1680" w:hanging="531"/>
        <w:spacing w:after="0" w:line="294" w:lineRule="auto"/>
        <w:tabs>
          <w:tab w:leader="none" w:pos="16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reflect the aggregate fair value of stock-based compensation awarded during the year computed in accordance with the provisions of ASC 718. See Note 8 to our consolidated financial statements appearing at the end of this prospectus regarding assumptions underlying the valuation of equity awards. These amounts reflect the accounting cost for these stock options and do not reflect the actual economic value that may be realized by the directors upon the vesting of the stock options, the exercise of the stock options or the sale of the common underlying such stock options.</w:t>
      </w:r>
    </w:p>
    <w:p>
      <w:pPr>
        <w:spacing w:after="0" w:line="183" w:lineRule="exact"/>
        <w:rPr>
          <w:rFonts w:ascii="Arial" w:cs="Arial" w:eastAsia="Arial" w:hAnsi="Arial"/>
          <w:sz w:val="16"/>
          <w:szCs w:val="16"/>
          <w:color w:val="auto"/>
        </w:rPr>
      </w:pPr>
    </w:p>
    <w:p>
      <w:pPr>
        <w:jc w:val="both"/>
        <w:ind w:left="1680" w:hanging="531"/>
        <w:spacing w:after="0" w:line="259" w:lineRule="auto"/>
        <w:tabs>
          <w:tab w:leader="none" w:pos="1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of December 31, 2018, the aggregate number of shares of our common stock subject to outstanding option awards for each non-employee director was as follows: Dr. Collins, 25,000 shares; Mr. Ezekowitz, 25,000 shares; Mr. Geraghty, 25,000 shares; Ms. Haviland, 165,000 shares; Mr. Levin, 0 shares and Mr. Tananbaum, 0 shares.</w:t>
      </w:r>
    </w:p>
    <w:p>
      <w:pPr>
        <w:spacing w:after="0" w:line="207" w:lineRule="exact"/>
        <w:rPr>
          <w:rFonts w:ascii="Arial" w:cs="Arial" w:eastAsia="Arial" w:hAnsi="Arial"/>
          <w:sz w:val="18"/>
          <w:szCs w:val="18"/>
          <w:color w:val="auto"/>
        </w:rPr>
      </w:pPr>
    </w:p>
    <w:p>
      <w:pPr>
        <w:ind w:left="1680" w:hanging="531"/>
        <w:spacing w:after="0"/>
        <w:tabs>
          <w:tab w:leader="none" w:pos="1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Kate Haviland joined our board of directors in June 2018.</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James Tananbaum resigned from our board of directors effective as of April 3, 2019.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January 2019, Mr. Collins and Mr. Ezekowitz were each granted options to purchase 25,000 shares of our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Prior to this offering, we paid cash fees and granted restricted stock awards and options to purchase shares of our common stock to certain of our non-employee directors for their service on our board of directors pursuant to a non-employee and non-affiliate director compensation policy. We have historically reimbursed our non-employee directors for reasonable travel and out-of-pocket expenses incurred in connection with attending board of director and committee meetings.</w:t>
      </w:r>
    </w:p>
    <w:p>
      <w:pPr>
        <w:spacing w:after="0" w:line="197"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Dr. Gould, one of our directors who also serves as our president and chief executive officer, does not receive any additional compensation for his service as a director. Dr. Gould is one of our named executive officers and, accordingly, the compensation that we pay to Dr. Gould is discussed above under "—Summary Compensation Table" and "—Narrative to Summary Compensation Table."</w:t>
      </w:r>
    </w:p>
    <w:p>
      <w:pPr>
        <w:spacing w:after="0" w:line="194" w:lineRule="exact"/>
        <w:rPr>
          <w:sz w:val="20"/>
          <w:szCs w:val="20"/>
          <w:color w:val="auto"/>
        </w:rPr>
      </w:pPr>
    </w:p>
    <w:p>
      <w:pPr>
        <w:jc w:val="both"/>
        <w:ind w:firstLine="367"/>
        <w:spacing w:after="0" w:line="290" w:lineRule="auto"/>
        <w:rPr>
          <w:sz w:val="20"/>
          <w:szCs w:val="20"/>
          <w:color w:val="auto"/>
        </w:rPr>
      </w:pPr>
      <w:r>
        <w:rPr>
          <w:rFonts w:ascii="Arial" w:cs="Arial" w:eastAsia="Arial" w:hAnsi="Arial"/>
          <w:sz w:val="16"/>
          <w:szCs w:val="16"/>
          <w:color w:val="auto"/>
        </w:rPr>
        <w:t>In , 2019, our board of directors approved a director compensation program that will become effective on the effective date of the registration statements of which this prospectus is a part. Under this director compensation program, we will pay our non-employee directors a cash retainer for service on the board of directors and for service on each committee on which the director is a member. The chairman of the board and of each committee will receive higher retainers for such service. These fees are payable in arrears in four equal quarterly installments on the last day of each quarter, provided that the amount of such payment will be prorated for any portion of such quarter that the director is not serving on our board of directors and no fee will be payable in respect of any period prior to the completion of this offering. The fees paid to non-employee directors for service on the board of directors and for service on each committee of the board of directors on which the director is a member are as follows:</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b w:val="1"/>
                <w:bCs w:val="1"/>
                <w:color w:val="auto"/>
              </w:rPr>
              <w:t>Member</w:t>
            </w:r>
          </w:p>
        </w:tc>
        <w:tc>
          <w:tcPr>
            <w:tcW w:w="16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Chairman</w:t>
            </w:r>
          </w:p>
        </w:tc>
      </w:tr>
      <w:tr>
        <w:trPr>
          <w:trHeight w:val="161"/>
        </w:trPr>
        <w:tc>
          <w:tcPr>
            <w:tcW w:w="4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5"/>
              </w:rPr>
              <w:t>Annual Fee</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5"/>
              </w:rPr>
              <w:t>Annual Fee</w:t>
            </w:r>
          </w:p>
        </w:tc>
        <w:tc>
          <w:tcPr>
            <w:tcW w:w="160" w:type="dxa"/>
            <w:vAlign w:val="bottom"/>
          </w:tcPr>
          <w:p>
            <w:pPr>
              <w:spacing w:after="0"/>
              <w:rPr>
                <w:sz w:val="14"/>
                <w:szCs w:val="14"/>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204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Audit Committee</w:t>
            </w:r>
          </w:p>
        </w:tc>
        <w:tc>
          <w:tcPr>
            <w:tcW w:w="204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204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204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bl>
    <w:p>
      <w:pPr>
        <w:spacing w:after="0" w:line="201" w:lineRule="exact"/>
        <w:rPr>
          <w:sz w:val="20"/>
          <w:szCs w:val="20"/>
          <w:color w:val="auto"/>
        </w:rPr>
      </w:pPr>
    </w:p>
    <w:p>
      <w:pPr>
        <w:ind w:firstLine="408"/>
        <w:spacing w:after="0" w:line="268" w:lineRule="auto"/>
        <w:rPr>
          <w:sz w:val="20"/>
          <w:szCs w:val="20"/>
          <w:color w:val="auto"/>
        </w:rPr>
      </w:pPr>
      <w:r>
        <w:rPr>
          <w:rFonts w:ascii="Arial" w:cs="Arial" w:eastAsia="Arial" w:hAnsi="Arial"/>
          <w:sz w:val="18"/>
          <w:szCs w:val="18"/>
          <w:color w:val="auto"/>
        </w:rPr>
        <w:t>We also will continue to reimburse our non-employee directors for reasonable travel and other expenses incurred in connection with attending meetings of our board of directors and any committee of our board of directors on which he or she serves.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under our director compensation program to be effective on the effective date of the registration statement of which this prospectus is a part,</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each non-employee director will receive, upon his or her initial election or appointment to our board of directors, an option to purchase shares of our common stock under the 2019 Plan. Each of these options will vest as to of the shares of our common stock underlying such option on the first anniversary of the grant, with the remainder vesting in equal monthly installments until the anniversary of the date of grant, subject to the non-employee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director's continued service as a director. Further, on the date of the first board meeting held after each annual meeting of stockholders, each non-employee</w:t>
      </w:r>
    </w:p>
    <w:p>
      <w:pPr>
        <w:spacing w:after="0" w:line="3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director that has served on our board of directors for at least six months will receive, under the 2019 Plan, an option to purchase shares of our common stock under the 2019 Plan. Each of these options will vest , subject to the non-employee director's continued service as a director. All</w:t>
      </w:r>
    </w:p>
    <w:p>
      <w:pPr>
        <w:ind w:right="20"/>
        <w:spacing w:after="0" w:line="261" w:lineRule="auto"/>
        <w:rPr>
          <w:sz w:val="20"/>
          <w:szCs w:val="20"/>
          <w:color w:val="auto"/>
        </w:rPr>
      </w:pPr>
      <w:r>
        <w:rPr>
          <w:rFonts w:ascii="Arial" w:cs="Arial" w:eastAsia="Arial" w:hAnsi="Arial"/>
          <w:sz w:val="18"/>
          <w:szCs w:val="18"/>
          <w:color w:val="auto"/>
        </w:rPr>
        <w:t>options issued to our non-employee directors under our director compensation program will be issued at exercise prices equal to the fair market value of our common stock on the date of grant and will become exercisable in full upon specified change in control events.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TRANSACTIONS WITH RELATED PERSONS</w:t>
      </w:r>
    </w:p>
    <w:p>
      <w:pPr>
        <w:spacing w:after="0" w:line="231" w:lineRule="exact"/>
        <w:rPr>
          <w:sz w:val="20"/>
          <w:szCs w:val="20"/>
          <w:color w:val="auto"/>
        </w:rPr>
      </w:pPr>
    </w:p>
    <w:p>
      <w:pPr>
        <w:jc w:val="both"/>
        <w:ind w:firstLine="369"/>
        <w:spacing w:after="0" w:line="256" w:lineRule="auto"/>
        <w:rPr>
          <w:sz w:val="20"/>
          <w:szCs w:val="20"/>
          <w:color w:val="auto"/>
        </w:rPr>
      </w:pPr>
      <w:r>
        <w:rPr>
          <w:rFonts w:ascii="Arial" w:cs="Arial" w:eastAsia="Arial" w:hAnsi="Arial"/>
          <w:sz w:val="18"/>
          <w:szCs w:val="18"/>
          <w:color w:val="auto"/>
        </w:rPr>
        <w:t>Since January 1, 2016, we have engaged in the following transactions in which the amounts involved exceeded $120,000 and any of our directors, executive officers or holders of more than 5% of our voting securities, or any member of the immediate family of, or person sharing the household with, the foregoing persons, had or will have a direct or indirect material interest. We believe that all of these transactions were on terms as favorable as could have been obtained from unrelated third parties.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Promissory Note</w:t>
      </w:r>
    </w:p>
    <w:p>
      <w:pPr>
        <w:spacing w:after="0" w:line="231"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On April 14, 2016, we issued and sold a convertible promissory note to Third Rock Ventures III, L.P. in the aggregate principal amount of $3,500,000. The note accrued interest at a rate of 6% per annum. All principal and interest under the note was converted into shares of Series A preferred stock in connection with our initial closing of our Series A preferred stock financing in July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 Financing</w:t>
      </w:r>
    </w:p>
    <w:p>
      <w:pPr>
        <w:spacing w:after="0" w:line="231" w:lineRule="exact"/>
        <w:rPr>
          <w:sz w:val="20"/>
          <w:szCs w:val="20"/>
          <w:color w:val="auto"/>
        </w:rPr>
      </w:pPr>
    </w:p>
    <w:p>
      <w:pPr>
        <w:jc w:val="both"/>
        <w:ind w:firstLine="462"/>
        <w:spacing w:after="0" w:line="294" w:lineRule="auto"/>
        <w:rPr>
          <w:sz w:val="20"/>
          <w:szCs w:val="20"/>
          <w:color w:val="auto"/>
        </w:rPr>
      </w:pPr>
      <w:r>
        <w:rPr>
          <w:rFonts w:ascii="Arial" w:cs="Arial" w:eastAsia="Arial" w:hAnsi="Arial"/>
          <w:sz w:val="16"/>
          <w:szCs w:val="16"/>
          <w:color w:val="auto"/>
        </w:rPr>
        <w:t>From July 18, 2016 to June 6, 2018, we issued and sold an aggregate of 60,000,000 shares of our Series A preferred stock, consisting of (i) 53,313,014 shares sold at a price per share of $1.00 in cash, for an aggregate purchase price of $53,313,014 and (ii) 6,686,986 shares issued upon conversion of $6,868,986 in outstanding principal and accrued and unpaid interest under the notes issued on October 15, 2015 and April 14, 2016, at a price per share of $1.00 in cash. The following table sets forth the aggregate numbers of shares of our Series A preferred stock that we issued and sold to our 5% stockholders and their affiliates in this transaction and the aggregate amount of consideration for such shares: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1"/>
              </w:rPr>
              <w:t>Shares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Purchase 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 Series 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Cash</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Received upon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Funded by</w:t>
            </w:r>
          </w:p>
        </w:tc>
        <w:tc>
          <w:tcPr>
            <w:tcW w:w="0" w:type="dxa"/>
            <w:vAlign w:val="bottom"/>
          </w:tcPr>
          <w:p>
            <w:pPr>
              <w:spacing w:after="0"/>
              <w:rPr>
                <w:sz w:val="1"/>
                <w:szCs w:val="1"/>
                <w:color w:val="auto"/>
              </w:rPr>
            </w:pPr>
          </w:p>
        </w:tc>
      </w:tr>
      <w:tr>
        <w:trPr>
          <w:trHeight w:val="149"/>
        </w:trPr>
        <w:tc>
          <w:tcPr>
            <w:tcW w:w="3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Purchaser</w:t>
            </w:r>
            <w:r>
              <w:rPr>
                <w:rFonts w:ascii="Arial" w:cs="Arial" w:eastAsia="Arial" w:hAnsi="Arial"/>
                <w:sz w:val="22"/>
                <w:szCs w:val="22"/>
                <w:b w:val="1"/>
                <w:bCs w:val="1"/>
                <w:color w:val="auto"/>
                <w:vertAlign w:val="superscript"/>
              </w:rPr>
              <w:t>(1)(2)</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Purchase</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Conversion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Conversion of</w:t>
            </w:r>
          </w:p>
        </w:tc>
        <w:tc>
          <w:tcPr>
            <w:tcW w:w="0" w:type="dxa"/>
            <w:vAlign w:val="bottom"/>
          </w:tcPr>
          <w:p>
            <w:pPr>
              <w:spacing w:after="0"/>
              <w:rPr>
                <w:sz w:val="1"/>
                <w:szCs w:val="1"/>
                <w:color w:val="auto"/>
              </w:rPr>
            </w:pPr>
          </w:p>
        </w:tc>
      </w:tr>
      <w:tr>
        <w:trPr>
          <w:trHeight w:val="161"/>
        </w:trPr>
        <w:tc>
          <w:tcPr>
            <w:tcW w:w="3140" w:type="dxa"/>
            <w:vAlign w:val="bottom"/>
            <w:gridSpan w:val="4"/>
            <w:vMerge w:val="continue"/>
          </w:tcPr>
          <w:p>
            <w:pPr>
              <w:spacing w:after="0"/>
              <w:rPr>
                <w:sz w:val="14"/>
                <w:szCs w:val="14"/>
                <w:color w:val="auto"/>
              </w:rPr>
            </w:pPr>
          </w:p>
        </w:tc>
        <w:tc>
          <w:tcPr>
            <w:tcW w:w="840" w:type="dxa"/>
            <w:vAlign w:val="bottom"/>
          </w:tcPr>
          <w:p>
            <w:pPr>
              <w:ind w:left="280"/>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Sold for Cash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Promissory Note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Promissory Note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7/18/2016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5,156,507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5,156,507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6,686,986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6,686,986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11/15/2016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5,156,507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5,156,507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2/17/2017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6,333,333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6,333,333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5/3/2017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5/3/2017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3,166,666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3,166,666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1/4/2018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3/13/2018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3/13/2018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3,166,666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3,166,666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5/9/2018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3,166,666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3,166,666</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6/6/2018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See "Principal Stockholders" for additional information about shares held by these entities.</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Mr. Levin, a member of our board of directors, is a partner of Third Rock Ventures.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 Financing</w:t>
      </w:r>
    </w:p>
    <w:p>
      <w:pPr>
        <w:spacing w:after="0" w:line="231" w:lineRule="exact"/>
        <w:rPr>
          <w:sz w:val="20"/>
          <w:szCs w:val="20"/>
          <w:color w:val="auto"/>
        </w:rPr>
      </w:pPr>
    </w:p>
    <w:p>
      <w:pPr>
        <w:ind w:firstLine="383"/>
        <w:spacing w:after="0" w:line="332" w:lineRule="auto"/>
        <w:rPr>
          <w:sz w:val="20"/>
          <w:szCs w:val="20"/>
          <w:color w:val="auto"/>
        </w:rPr>
      </w:pPr>
      <w:r>
        <w:rPr>
          <w:rFonts w:ascii="Arial" w:cs="Arial" w:eastAsia="Arial" w:hAnsi="Arial"/>
          <w:sz w:val="16"/>
          <w:szCs w:val="16"/>
          <w:color w:val="auto"/>
        </w:rPr>
        <w:t>In August 2018, we issued and sold an aggregate of 40,000,000 shares of our Series B preferred stock at a price per share of $2.00 in cash, for an aggregate purchase price of $80,000,000. The following table sets forth the aggregate numbers of shares of our Series B preferred stock that we sold to our 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their affiliates in this transaction and the aggregate amount of consideration for such shares: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1"/>
              </w:rPr>
              <w:t>Shares of</w:t>
            </w:r>
          </w:p>
        </w:tc>
        <w:tc>
          <w:tcPr>
            <w:tcW w:w="1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49"/>
        </w:trPr>
        <w:tc>
          <w:tcPr>
            <w:tcW w:w="66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Purchaser</w:t>
            </w:r>
            <w:r>
              <w:rPr>
                <w:rFonts w:ascii="Arial" w:cs="Arial" w:eastAsia="Arial" w:hAnsi="Arial"/>
                <w:sz w:val="22"/>
                <w:szCs w:val="22"/>
                <w:b w:val="1"/>
                <w:bCs w:val="1"/>
                <w:color w:val="auto"/>
                <w:vertAlign w:val="superscript"/>
              </w:rPr>
              <w:t>(1)</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1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1"/>
        </w:trPr>
        <w:tc>
          <w:tcPr>
            <w:tcW w:w="6640" w:type="dxa"/>
            <w:vAlign w:val="bottom"/>
            <w:gridSpan w:val="4"/>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62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Foresite Capital Fund IV, L.P.</w:t>
            </w:r>
            <w:r>
              <w:rPr>
                <w:rFonts w:ascii="Arial" w:cs="Arial" w:eastAsia="Arial" w:hAnsi="Arial"/>
                <w:sz w:val="28"/>
                <w:szCs w:val="28"/>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10,500,000</w:t>
            </w:r>
          </w:p>
        </w:tc>
        <w:tc>
          <w:tcPr>
            <w:tcW w:w="11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2"/>
              </w:rPr>
              <w:t>$  21,000,000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See "Principal Stockholders" for additional information about shares held by these entities.</w:t>
      </w:r>
    </w:p>
    <w:p>
      <w:pPr>
        <w:spacing w:after="0" w:line="25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Mr. Tananbaum, a former member of our board of directors who served during this transaction, is founder and chief executive officer of Foresite Capital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GSK</w:t>
      </w:r>
    </w:p>
    <w:p>
      <w:pPr>
        <w:spacing w:after="0" w:line="231" w:lineRule="exact"/>
        <w:rPr>
          <w:sz w:val="20"/>
          <w:szCs w:val="20"/>
          <w:color w:val="auto"/>
        </w:rPr>
      </w:pPr>
    </w:p>
    <w:p>
      <w:pPr>
        <w:jc w:val="both"/>
        <w:ind w:firstLine="432"/>
        <w:spacing w:after="0" w:line="294" w:lineRule="auto"/>
        <w:rPr>
          <w:sz w:val="20"/>
          <w:szCs w:val="20"/>
          <w:color w:val="auto"/>
        </w:rPr>
      </w:pPr>
      <w:r>
        <w:rPr>
          <w:rFonts w:ascii="Arial" w:cs="Arial" w:eastAsia="Arial" w:hAnsi="Arial"/>
          <w:sz w:val="16"/>
          <w:szCs w:val="16"/>
          <w:color w:val="auto"/>
        </w:rPr>
        <w:t>On February 8, 2019, we entered into a right of reference and license agreement with affiliates of GlaxoSmithKline plc, or GSK, pursuant to which GSK granted us a right of reference to certain INDs filed with the FDA and controlled by GSK or its affiliates relating to losmapimod and an exclusive worldwide license under certain patent rights related to losmapimod. The agreement also provides us with an exclusive worldwide license to certain of GSK's preclinical and clinical data with respect to losmapimod. As partial consideration for the right of reference and licenses granted under the agreement, we issued 12,500,000 shares of our Series B preferred stock to GSK at the time we entered into the right of reference and license agreement.</w:t>
      </w:r>
    </w:p>
    <w:p>
      <w:pPr>
        <w:spacing w:after="0" w:line="170"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We also agreed to provide GSK the opportunity to purchase shares of common stock in connection with this offering equal to the proportion that the shares of common stock held by GSK (assuming conversion of all preferred stock into common stock upon consummation of this offering) bear to the total number of shares of common stock immediately prior to the closing of this offering (assuming conversion of all preferred stock into common stock upon consummation of this offering and all outstanding options). If GSK exercises its rights to purchase shares of common stock in connection with this offering, subject to certain conditions, GSK may purchase shares offered in this offering or may purchase shares of common stock in a private placement that is expected to close concurrently with this offering, in each case at the initial per share public offering price.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"Business—Right of Reference and License Agreement with GlaxoSmithKline" for additional information regarding this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Services Provided by Third Rock Ventures, LLC</w:t>
      </w:r>
    </w:p>
    <w:p>
      <w:pPr>
        <w:spacing w:after="0" w:line="231" w:lineRule="exact"/>
        <w:rPr>
          <w:sz w:val="20"/>
          <w:szCs w:val="20"/>
          <w:color w:val="auto"/>
        </w:rPr>
      </w:pPr>
    </w:p>
    <w:p>
      <w:pPr>
        <w:jc w:val="both"/>
        <w:ind w:firstLine="355"/>
        <w:spacing w:after="0" w:line="289" w:lineRule="auto"/>
        <w:rPr>
          <w:sz w:val="20"/>
          <w:szCs w:val="20"/>
          <w:color w:val="auto"/>
        </w:rPr>
      </w:pPr>
      <w:r>
        <w:rPr>
          <w:rFonts w:ascii="Arial" w:cs="Arial" w:eastAsia="Arial" w:hAnsi="Arial"/>
          <w:sz w:val="16"/>
          <w:szCs w:val="16"/>
          <w:color w:val="auto"/>
        </w:rPr>
        <w:t>Since inception, we have received consulting and management services from Third Rock Ventures LLC, or Third Rock Ventures, which through its affiliates, has a significant interest in us. We have paid Third Rock Ventures $1.9 million for these services since January 1, 2016, including the reimbursement of expenses. We do not have a written agreement in place with Third Rock Ventures with respect to the provision of consulting and management services. The consulting and management services fees are payable to Third Rock Ventures pursuant to invoices submitted to us by Third Rock Ventures quarterly. The consulting and management services fees paid to Third Rock Ventures did not exceed 5% of the consolidated gross revenue of Third Rock Ventures during any of the past three fiscal years. From time to time and at our request, partners and associates of Third Rock Ventures provide us with certain strategic and ordinary course business operations consulting services. We have issued an aggregate of 996,000 shares of our common stock to these consultants in exchange for their continuing consulting services.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We are a party to an investor rights agreement with the holders of our preferred stock, including our 5% stockholders and their affiliates and entities affiliated with some of our directors. This investor rights agreement provides these holders the right, subject to certain conditions, beginning six months following the completion of this offering, to demand that we file a registration statement or to request that their shares be covered by a registration statement that we are otherwise filing.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"Description of Capital Stock—Registration Rights" for additional information regarding these registration rights.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jc w:val="both"/>
        <w:ind w:firstLine="393"/>
        <w:spacing w:after="0" w:line="255" w:lineRule="auto"/>
        <w:rPr>
          <w:sz w:val="20"/>
          <w:szCs w:val="20"/>
          <w:color w:val="auto"/>
        </w:rPr>
      </w:pPr>
      <w:r>
        <w:rPr>
          <w:rFonts w:ascii="Arial" w:cs="Arial" w:eastAsia="Arial" w:hAnsi="Arial"/>
          <w:sz w:val="18"/>
          <w:szCs w:val="18"/>
          <w:color w:val="auto"/>
        </w:rPr>
        <w:t>Our certificate of incorporation, which will become effective upon the closing of this offering, provides that we will indemnify our directors and officers to the fullest extent permitted by Delaware law. In addition, we intend to enter into indemnification agreements with all of our directors and executive officers prior to the completion of this offering. These indemnification agreements may require us, among other things, to indemnify each such director or executive officer for some expenses, including attorneys' fees, judgments, fines and settlement amounts incurred by him or her in any action or proceeding arising out of his or her service as one of our directors or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31"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Our board of directors intends to adopt written policies and procedures for the review of any transaction, arrangement or relationship in which our company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94" w:lineRule="exact"/>
        <w:rPr>
          <w:sz w:val="20"/>
          <w:szCs w:val="20"/>
          <w:color w:val="auto"/>
        </w:rPr>
      </w:pPr>
    </w:p>
    <w:p>
      <w:pPr>
        <w:jc w:val="both"/>
        <w:ind w:firstLine="463"/>
        <w:spacing w:after="0" w:line="253" w:lineRule="auto"/>
        <w:rPr>
          <w:sz w:val="20"/>
          <w:szCs w:val="20"/>
          <w:color w:val="auto"/>
        </w:rPr>
      </w:pPr>
      <w:r>
        <w:rPr>
          <w:rFonts w:ascii="Arial" w:cs="Arial" w:eastAsia="Arial" w:hAnsi="Arial"/>
          <w:sz w:val="18"/>
          <w:szCs w:val="18"/>
          <w:color w:val="auto"/>
        </w:rPr>
        <w:t>If a related person proposes to enter into such a transaction, arrangement or relationship, which we refer to as a "related person transaction," the related person must report the proposed related person transaction to our chief financial officer.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committee will review, and, in its discretion, may ratify the related person transaction. The policy also permits the chairman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201" w:lineRule="exact"/>
        <w:rPr>
          <w:sz w:val="20"/>
          <w:szCs w:val="20"/>
          <w:color w:val="auto"/>
        </w:rPr>
      </w:pPr>
    </w:p>
    <w:p>
      <w:pPr>
        <w:jc w:val="both"/>
        <w:ind w:right="20" w:firstLine="379"/>
        <w:spacing w:after="0" w:line="332" w:lineRule="auto"/>
        <w:rPr>
          <w:sz w:val="20"/>
          <w:szCs w:val="20"/>
          <w:color w:val="auto"/>
        </w:rPr>
      </w:pPr>
      <w:r>
        <w:rPr>
          <w:rFonts w:ascii="Arial" w:cs="Arial" w:eastAsia="Arial" w:hAnsi="Arial"/>
          <w:sz w:val="16"/>
          <w:szCs w:val="16"/>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153"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whether the terms of the transaction are no less favorable to us than terms that could have been reached with an unrelated third party;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audit committee may approve or ratify the transaction only if it determines that, under all of the circumstances, the transaction is in our best interests.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may impose any conditions on the related person transaction that it deems appropriate.</w:t>
      </w:r>
    </w:p>
    <w:p>
      <w:pPr>
        <w:spacing w:after="0" w:line="219" w:lineRule="exact"/>
        <w:rPr>
          <w:sz w:val="20"/>
          <w:szCs w:val="20"/>
          <w:color w:val="auto"/>
        </w:rPr>
      </w:pPr>
    </w:p>
    <w:p>
      <w:pPr>
        <w:jc w:val="both"/>
        <w:ind w:firstLine="522"/>
        <w:spacing w:after="0" w:line="259"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221" w:lineRule="exact"/>
        <w:rPr>
          <w:sz w:val="20"/>
          <w:szCs w:val="20"/>
          <w:color w:val="auto"/>
        </w:rPr>
      </w:pPr>
    </w:p>
    <w:p>
      <w:pPr>
        <w:jc w:val="both"/>
        <w:ind w:left="1080" w:hanging="532"/>
        <w:spacing w:after="0" w:line="294"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w:t>
      </w:r>
    </w:p>
    <w:p>
      <w:pPr>
        <w:spacing w:after="0" w:line="183" w:lineRule="exact"/>
        <w:rPr>
          <w:rFonts w:ascii="Arial" w:cs="Arial" w:eastAsia="Arial" w:hAnsi="Arial"/>
          <w:sz w:val="16"/>
          <w:szCs w:val="16"/>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transaction that is specifically contemplated by provisions of our certificate of incorporation or bylaws.</w:t>
      </w:r>
    </w:p>
    <w:p>
      <w:pPr>
        <w:spacing w:after="0" w:line="225" w:lineRule="exact"/>
        <w:rPr>
          <w:sz w:val="20"/>
          <w:szCs w:val="20"/>
          <w:color w:val="auto"/>
        </w:rPr>
      </w:pPr>
    </w:p>
    <w:p>
      <w:pPr>
        <w:jc w:val="both"/>
        <w:ind w:firstLine="417"/>
        <w:spacing w:after="0" w:line="268" w:lineRule="auto"/>
        <w:rPr>
          <w:sz w:val="20"/>
          <w:szCs w:val="20"/>
          <w:color w:val="auto"/>
        </w:rPr>
      </w:pPr>
      <w:r>
        <w:rPr>
          <w:rFonts w:ascii="Arial" w:cs="Arial" w:eastAsia="Arial" w:hAnsi="Arial"/>
          <w:sz w:val="18"/>
          <w:szCs w:val="18"/>
          <w:color w:val="auto"/>
        </w:rPr>
        <w:t>The policy provides that transactions involving compensation of executive officers shall be reviewed and approved by our compensation committee in the manner specified in the compensation committee's charter.</w:t>
      </w:r>
    </w:p>
    <w:p>
      <w:pPr>
        <w:spacing w:after="0" w:line="186" w:lineRule="exact"/>
        <w:rPr>
          <w:sz w:val="20"/>
          <w:szCs w:val="20"/>
          <w:color w:val="auto"/>
        </w:rPr>
      </w:pPr>
    </w:p>
    <w:p>
      <w:pPr>
        <w:jc w:val="both"/>
        <w:ind w:firstLine="412"/>
        <w:spacing w:after="0" w:line="256" w:lineRule="auto"/>
        <w:rPr>
          <w:sz w:val="20"/>
          <w:szCs w:val="20"/>
          <w:color w:val="auto"/>
        </w:rPr>
      </w:pPr>
      <w:r>
        <w:rPr>
          <w:rFonts w:ascii="Arial" w:cs="Arial" w:eastAsia="Arial" w:hAnsi="Arial"/>
          <w:sz w:val="18"/>
          <w:szCs w:val="18"/>
          <w:color w:val="auto"/>
        </w:rPr>
        <w:t>We did not have a written policy regarding the review and approval of related person transactions prior to this offering. Nevertheless, with respect to such transactions, it has been the practice of our board of directors to consider the nature of and business reasons for such transactions, how the terms of such transactions compared to those which might be obtained from unaffiliated third parties and whether such transactions were otherwise fair to and in the best interests of, or not contrary to, our best interests.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March 31, 2019 by:</w:t>
      </w:r>
    </w:p>
    <w:p>
      <w:pPr>
        <w:spacing w:after="0" w:line="239"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225" w:lineRule="exact"/>
        <w:rPr>
          <w:sz w:val="20"/>
          <w:szCs w:val="20"/>
          <w:color w:val="auto"/>
        </w:rPr>
      </w:pPr>
    </w:p>
    <w:p>
      <w:pPr>
        <w:jc w:val="both"/>
        <w:ind w:firstLine="576"/>
        <w:spacing w:after="0" w:line="305" w:lineRule="auto"/>
        <w:rPr>
          <w:sz w:val="20"/>
          <w:szCs w:val="20"/>
          <w:color w:val="auto"/>
        </w:rPr>
      </w:pPr>
      <w:r>
        <w:rPr>
          <w:rFonts w:ascii="Arial" w:cs="Arial" w:eastAsia="Arial" w:hAnsi="Arial"/>
          <w:sz w:val="15"/>
          <w:szCs w:val="15"/>
          <w:color w:val="auto"/>
        </w:rPr>
        <w:t>The column entitled "Percentage of Shares Beneficially Owned—Before Offering" is based on a total of 131,735,125 shares of our common stock outstanding as of March 31, 2019, assuming the automatic conversion of all outstanding shares of our preferred stock into an aggregate of 112,500,000 shares of</w:t>
      </w:r>
    </w:p>
    <w:p>
      <w:pPr>
        <w:jc w:val="both"/>
        <w:spacing w:after="0" w:line="250" w:lineRule="auto"/>
        <w:rPr>
          <w:sz w:val="20"/>
          <w:szCs w:val="20"/>
          <w:color w:val="auto"/>
        </w:rPr>
      </w:pPr>
      <w:r>
        <w:rPr>
          <w:rFonts w:ascii="Arial" w:cs="Arial" w:eastAsia="Arial" w:hAnsi="Arial"/>
          <w:sz w:val="18"/>
          <w:szCs w:val="18"/>
          <w:color w:val="auto"/>
        </w:rPr>
        <w:t>our common stock upon the closing of this offering. The column entitled "Percentage of Shares Beneficially Owned—After Offering" is based on shares of our common stock to be outstanding after this offering, including the shares of our common stock that we are selling in this offering,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but not including any additional shares issuable upon exercise of outstanding options.</w:t>
      </w:r>
    </w:p>
    <w:p>
      <w:pPr>
        <w:spacing w:after="0" w:line="219" w:lineRule="exact"/>
        <w:rPr>
          <w:sz w:val="20"/>
          <w:szCs w:val="20"/>
          <w:color w:val="auto"/>
        </w:rPr>
      </w:pPr>
    </w:p>
    <w:p>
      <w:pPr>
        <w:jc w:val="both"/>
        <w:ind w:firstLine="442"/>
        <w:spacing w:after="0" w:line="254" w:lineRule="auto"/>
        <w:rPr>
          <w:sz w:val="20"/>
          <w:szCs w:val="20"/>
          <w:color w:val="auto"/>
        </w:rPr>
      </w:pPr>
      <w:r>
        <w:rPr>
          <w:rFonts w:ascii="Arial" w:cs="Arial" w:eastAsia="Arial" w:hAnsi="Arial"/>
          <w:sz w:val="18"/>
          <w:szCs w:val="18"/>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March 31, 2019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set forth below,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of each beneficial owner is c/o Fulcrum Therapeutics, Inc., 26 Landsdowne Street, Cambridge, MA 02139.</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Shares Beneficially</w:t>
            </w: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Number of</w:t>
            </w:r>
          </w:p>
        </w:tc>
        <w:tc>
          <w:tcPr>
            <w:tcW w:w="16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Owned</w:t>
            </w: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0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Shares</w:t>
            </w:r>
          </w:p>
        </w:tc>
        <w:tc>
          <w:tcPr>
            <w:tcW w:w="80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Before</w:t>
            </w: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After</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Offering</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Offering</w:t>
            </w:r>
          </w:p>
        </w:tc>
      </w:tr>
      <w:tr>
        <w:trPr>
          <w:trHeight w:val="161"/>
        </w:trPr>
        <w:tc>
          <w:tcPr>
            <w:tcW w:w="644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Owned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4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tcPr>
          <w:p>
            <w:pPr>
              <w:spacing w:after="0" w:line="256" w:lineRule="exact"/>
              <w:rPr>
                <w:sz w:val="20"/>
                <w:szCs w:val="20"/>
                <w:color w:val="auto"/>
              </w:rPr>
            </w:pPr>
            <w:r>
              <w:rPr>
                <w:rFonts w:ascii="Arial" w:cs="Arial" w:eastAsia="Arial" w:hAnsi="Arial"/>
                <w:sz w:val="18"/>
                <w:szCs w:val="18"/>
                <w:color w:val="auto"/>
              </w:rPr>
              <w:t>Entities affiliated with Third Rock Ventures</w:t>
            </w:r>
            <w:r>
              <w:rPr>
                <w:rFonts w:ascii="Arial" w:cs="Arial" w:eastAsia="Arial" w:hAnsi="Arial"/>
                <w:sz w:val="29"/>
                <w:szCs w:val="29"/>
                <w:color w:val="auto"/>
                <w:vertAlign w:val="superscript"/>
              </w:rPr>
              <w:t>(1)</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57,000,000</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Glaxo Group Limited</w:t>
            </w:r>
            <w:r>
              <w:rPr>
                <w:rFonts w:ascii="Arial" w:cs="Arial" w:eastAsia="Arial" w:hAnsi="Arial"/>
                <w:sz w:val="29"/>
                <w:szCs w:val="29"/>
                <w:color w:val="auto"/>
                <w:vertAlign w:val="superscript"/>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12,500,000</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tcPr>
          <w:p>
            <w:pPr>
              <w:spacing w:after="0" w:line="256" w:lineRule="exact"/>
              <w:rPr>
                <w:sz w:val="20"/>
                <w:szCs w:val="20"/>
                <w:color w:val="auto"/>
              </w:rPr>
            </w:pPr>
            <w:r>
              <w:rPr>
                <w:rFonts w:ascii="Arial" w:cs="Arial" w:eastAsia="Arial" w:hAnsi="Arial"/>
                <w:sz w:val="18"/>
                <w:szCs w:val="18"/>
                <w:color w:val="auto"/>
              </w:rPr>
              <w:t>Foresite Capital Fund IV, L.P.</w:t>
            </w:r>
            <w:r>
              <w:rPr>
                <w:rFonts w:ascii="Arial" w:cs="Arial" w:eastAsia="Arial" w:hAnsi="Arial"/>
                <w:sz w:val="29"/>
                <w:szCs w:val="29"/>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10,500,000</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432"/>
        </w:trPr>
        <w:tc>
          <w:tcPr>
            <w:tcW w:w="20" w:type="dxa"/>
            <w:vAlign w:val="bottom"/>
          </w:tcPr>
          <w:p>
            <w:pPr>
              <w:spacing w:after="0"/>
              <w:rPr>
                <w:sz w:val="24"/>
                <w:szCs w:val="24"/>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tcPr>
          <w:p>
            <w:pPr>
              <w:spacing w:after="0" w:line="256" w:lineRule="exact"/>
              <w:rPr>
                <w:sz w:val="20"/>
                <w:szCs w:val="20"/>
                <w:color w:val="auto"/>
              </w:rPr>
            </w:pPr>
            <w:r>
              <w:rPr>
                <w:rFonts w:ascii="Arial" w:cs="Arial" w:eastAsia="Arial" w:hAnsi="Arial"/>
                <w:sz w:val="18"/>
                <w:szCs w:val="18"/>
                <w:color w:val="auto"/>
              </w:rPr>
              <w:t>Robert J. Gould</w:t>
            </w:r>
            <w:r>
              <w:rPr>
                <w:rFonts w:ascii="Arial" w:cs="Arial" w:eastAsia="Arial" w:hAnsi="Arial"/>
                <w:sz w:val="29"/>
                <w:szCs w:val="29"/>
                <w:color w:val="auto"/>
                <w:vertAlign w:val="superscript"/>
              </w:rPr>
              <w:t>(4)</w:t>
            </w:r>
          </w:p>
        </w:tc>
        <w:tc>
          <w:tcPr>
            <w:tcW w:w="900" w:type="dxa"/>
            <w:vAlign w:val="bottom"/>
          </w:tcPr>
          <w:p>
            <w:pPr>
              <w:jc w:val="right"/>
              <w:spacing w:after="0"/>
              <w:rPr>
                <w:sz w:val="20"/>
                <w:szCs w:val="20"/>
                <w:color w:val="auto"/>
              </w:rPr>
            </w:pPr>
            <w:r>
              <w:rPr>
                <w:rFonts w:ascii="Arial" w:cs="Arial" w:eastAsia="Arial" w:hAnsi="Arial"/>
                <w:sz w:val="18"/>
                <w:szCs w:val="18"/>
                <w:color w:val="auto"/>
              </w:rPr>
              <w:t>3,901,415</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Bryan Stuart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tcPr>
          <w:p>
            <w:pPr>
              <w:spacing w:after="0" w:line="256" w:lineRule="exact"/>
              <w:rPr>
                <w:sz w:val="20"/>
                <w:szCs w:val="20"/>
                <w:color w:val="auto"/>
              </w:rPr>
            </w:pPr>
            <w:r>
              <w:rPr>
                <w:rFonts w:ascii="Arial" w:cs="Arial" w:eastAsia="Arial" w:hAnsi="Arial"/>
                <w:sz w:val="18"/>
                <w:szCs w:val="18"/>
                <w:color w:val="auto"/>
              </w:rPr>
              <w:t>Diego Cadavid</w:t>
            </w:r>
            <w:r>
              <w:rPr>
                <w:rFonts w:ascii="Arial" w:cs="Arial" w:eastAsia="Arial" w:hAnsi="Arial"/>
                <w:sz w:val="29"/>
                <w:szCs w:val="29"/>
                <w:color w:val="auto"/>
                <w:vertAlign w:val="superscript"/>
              </w:rPr>
              <w:t>(5)</w:t>
            </w:r>
          </w:p>
        </w:tc>
        <w:tc>
          <w:tcPr>
            <w:tcW w:w="900" w:type="dxa"/>
            <w:vAlign w:val="bottom"/>
          </w:tcPr>
          <w:p>
            <w:pPr>
              <w:jc w:val="right"/>
              <w:spacing w:after="0"/>
              <w:rPr>
                <w:sz w:val="20"/>
                <w:szCs w:val="20"/>
                <w:color w:val="auto"/>
              </w:rPr>
            </w:pPr>
            <w:r>
              <w:rPr>
                <w:rFonts w:ascii="Arial" w:cs="Arial" w:eastAsia="Arial" w:hAnsi="Arial"/>
                <w:sz w:val="18"/>
                <w:szCs w:val="18"/>
                <w:color w:val="auto"/>
              </w:rPr>
              <w:t>556,343</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Mark Levin</w:t>
            </w:r>
            <w:r>
              <w:rPr>
                <w:rFonts w:ascii="Arial" w:cs="Arial" w:eastAsia="Arial" w:hAnsi="Arial"/>
                <w:sz w:val="29"/>
                <w:szCs w:val="29"/>
                <w:color w:val="auto"/>
                <w:vertAlign w:val="superscript"/>
              </w:rPr>
              <w:t>(6)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41,166,667</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tcPr>
          <w:p>
            <w:pPr>
              <w:spacing w:after="0" w:line="256" w:lineRule="exact"/>
              <w:rPr>
                <w:sz w:val="20"/>
                <w:szCs w:val="20"/>
                <w:color w:val="auto"/>
              </w:rPr>
            </w:pPr>
            <w:r>
              <w:rPr>
                <w:rFonts w:ascii="Arial" w:cs="Arial" w:eastAsia="Arial" w:hAnsi="Arial"/>
                <w:sz w:val="18"/>
                <w:szCs w:val="18"/>
                <w:color w:val="auto"/>
              </w:rPr>
              <w:t>James J. Collins</w:t>
            </w:r>
            <w:r>
              <w:rPr>
                <w:rFonts w:ascii="Arial" w:cs="Arial" w:eastAsia="Arial" w:hAnsi="Arial"/>
                <w:sz w:val="29"/>
                <w:szCs w:val="29"/>
                <w:color w:val="auto"/>
                <w:vertAlign w:val="superscript"/>
              </w:rPr>
              <w:t>(7)</w:t>
            </w:r>
          </w:p>
        </w:tc>
        <w:tc>
          <w:tcPr>
            <w:tcW w:w="900" w:type="dxa"/>
            <w:vAlign w:val="bottom"/>
          </w:tcPr>
          <w:p>
            <w:pPr>
              <w:jc w:val="right"/>
              <w:spacing w:after="0"/>
              <w:rPr>
                <w:sz w:val="20"/>
                <w:szCs w:val="20"/>
                <w:color w:val="auto"/>
              </w:rPr>
            </w:pPr>
            <w:r>
              <w:rPr>
                <w:rFonts w:ascii="Arial" w:cs="Arial" w:eastAsia="Arial" w:hAnsi="Arial"/>
                <w:sz w:val="18"/>
                <w:szCs w:val="18"/>
                <w:color w:val="auto"/>
              </w:rPr>
              <w:t>196,250</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Alan Ezekowitz</w:t>
            </w:r>
            <w:r>
              <w:rPr>
                <w:rFonts w:ascii="Arial" w:cs="Arial" w:eastAsia="Arial" w:hAnsi="Arial"/>
                <w:sz w:val="29"/>
                <w:szCs w:val="29"/>
                <w:color w:val="auto"/>
                <w:vertAlign w:val="superscript"/>
              </w:rPr>
              <w:t>(8)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196,250</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tcPr>
          <w:p>
            <w:pPr>
              <w:spacing w:after="0" w:line="256" w:lineRule="exact"/>
              <w:rPr>
                <w:sz w:val="20"/>
                <w:szCs w:val="20"/>
                <w:color w:val="auto"/>
              </w:rPr>
            </w:pPr>
            <w:r>
              <w:rPr>
                <w:rFonts w:ascii="Arial" w:cs="Arial" w:eastAsia="Arial" w:hAnsi="Arial"/>
                <w:sz w:val="18"/>
                <w:szCs w:val="18"/>
                <w:color w:val="auto"/>
              </w:rPr>
              <w:t>James Geraghty</w:t>
            </w:r>
            <w:r>
              <w:rPr>
                <w:rFonts w:ascii="Arial" w:cs="Arial" w:eastAsia="Arial" w:hAnsi="Arial"/>
                <w:sz w:val="29"/>
                <w:szCs w:val="29"/>
                <w:color w:val="auto"/>
                <w:vertAlign w:val="superscript"/>
              </w:rPr>
              <w:t>(9)</w:t>
            </w:r>
          </w:p>
        </w:tc>
        <w:tc>
          <w:tcPr>
            <w:tcW w:w="900" w:type="dxa"/>
            <w:vAlign w:val="bottom"/>
          </w:tcPr>
          <w:p>
            <w:pPr>
              <w:jc w:val="right"/>
              <w:spacing w:after="0"/>
              <w:rPr>
                <w:sz w:val="20"/>
                <w:szCs w:val="20"/>
                <w:color w:val="auto"/>
              </w:rPr>
            </w:pPr>
            <w:r>
              <w:rPr>
                <w:rFonts w:ascii="Arial" w:cs="Arial" w:eastAsia="Arial" w:hAnsi="Arial"/>
                <w:sz w:val="18"/>
                <w:szCs w:val="18"/>
                <w:color w:val="auto"/>
              </w:rPr>
              <w:t>590,000</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Kate Haviland</w:t>
            </w:r>
            <w:r>
              <w:rPr>
                <w:rFonts w:ascii="Arial" w:cs="Arial" w:eastAsia="Arial" w:hAnsi="Arial"/>
                <w:sz w:val="29"/>
                <w:szCs w:val="29"/>
                <w:color w:val="auto"/>
                <w:vertAlign w:val="superscript"/>
              </w:rPr>
              <w:t>(10)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30,937</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tcPr>
          <w:p>
            <w:pPr>
              <w:spacing w:after="0" w:line="256" w:lineRule="exact"/>
              <w:rPr>
                <w:sz w:val="20"/>
                <w:szCs w:val="20"/>
                <w:color w:val="auto"/>
              </w:rPr>
            </w:pPr>
            <w:r>
              <w:rPr>
                <w:rFonts w:ascii="Arial" w:cs="Arial" w:eastAsia="Arial" w:hAnsi="Arial"/>
                <w:sz w:val="18"/>
                <w:szCs w:val="18"/>
                <w:color w:val="auto"/>
              </w:rPr>
              <w:t>James Tananbaum</w:t>
            </w:r>
            <w:r>
              <w:rPr>
                <w:rFonts w:ascii="Arial" w:cs="Arial" w:eastAsia="Arial" w:hAnsi="Arial"/>
                <w:sz w:val="29"/>
                <w:szCs w:val="29"/>
                <w:color w:val="auto"/>
                <w:vertAlign w:val="superscript"/>
              </w:rPr>
              <w:t>(11)</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10,500,000</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All executive officers and directors as a group (10 persons)</w:t>
            </w:r>
            <w:r>
              <w:rPr>
                <w:rFonts w:ascii="Arial" w:cs="Arial" w:eastAsia="Arial" w:hAnsi="Arial"/>
                <w:sz w:val="29"/>
                <w:szCs w:val="29"/>
                <w:color w:val="auto"/>
                <w:vertAlign w:val="superscript"/>
              </w:rPr>
              <w:t>(12)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58,027,481</w:t>
            </w: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108"/>
        </w:trPr>
        <w:tc>
          <w:tcPr>
            <w:tcW w:w="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4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jc w:val="both"/>
        <w:ind w:left="1680" w:hanging="531"/>
        <w:spacing w:after="0" w:line="286" w:lineRule="auto"/>
        <w:tabs>
          <w:tab w:leader="none" w:pos="16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(i) (a) 2,000,000 shares of common stock and (b) 39,166,667 shares of common stock issuable upon the conversion of preferred stock held by Third Rock Ventures III, L.P., or TRV III LP, and (ii) 15,833,333 shares of common stock issuable upon the conversion of preferred stock held by Third Rock Ventures IV, L.P., or TRV IV LP. Third Rock Ventures GP III, L.P., or TRV GP III, is the sole general partner of TRV III LP. TRV GP III, LLC, or TRV III LLC, is the sole general partner of TRV GP III. Each of TRV GP III, TRV III LLC, and Mark Levin, Kevin Starr and Robert Tepper, the managers of TRV III LLC, may be deemed to share voting and dispositive power over the shares of record held by TRV III LP. Each of TRV GP III, TRV III LLC, and Mark Levin, Kevin Starr and Robert Tepper disclaims beneficial ownership of all shares held by TRV III LP except to the extent of their pecuniary interest therein. Third Rock Ventures GP IV, L.P., or TRV GP IV, is the sole general partner of TRV IV LP. TRV GP IV, LLC, or TRV IV LLC, is the sole general partner of TRV GP IV. Abbie Celniker, Ph.D., Robert Tepper, M.D., Craig Muir and Cary Pfeffer, M.D. are the managing members of TRV IV LLC who collectively make voting and investment decisions with respect to shares held by TRV IV LP. The address of TRV III LP and TRV IV LP is 29 Newbury Street, Boston, MA 02116.</w:t>
      </w:r>
    </w:p>
    <w:p>
      <w:pPr>
        <w:spacing w:after="0" w:line="194"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12,500,000 shares of common stock issuable upon the conversion of preferred stock held by Glaxo Group Limited. The address of Glaxo Group Limited is 980 Great West Road, Brentford, Middlesex TW8 9GS England.</w:t>
      </w:r>
    </w:p>
    <w:p>
      <w:pPr>
        <w:spacing w:after="0" w:line="199" w:lineRule="exact"/>
        <w:rPr>
          <w:rFonts w:ascii="Arial" w:cs="Arial" w:eastAsia="Arial" w:hAnsi="Arial"/>
          <w:sz w:val="18"/>
          <w:szCs w:val="18"/>
          <w:color w:val="auto"/>
        </w:rPr>
      </w:pPr>
    </w:p>
    <w:p>
      <w:pPr>
        <w:jc w:val="both"/>
        <w:ind w:left="1680" w:hanging="531"/>
        <w:spacing w:after="0" w:line="255" w:lineRule="auto"/>
        <w:tabs>
          <w:tab w:leader="none" w:pos="1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10,500,000 shares of common stock issuable upon the conversion of preferred stock held by Foresite Capital Fund, IV, L.P., or FCF IV. Foresite Capital Management IV, LLC, or FCM IV, the general partner of FCF IV, may be deemed to have sole voting and dispositive power over these shares. James B. Tananbaum, in his capacity as managing member of FCM IV, may be deemed to have sole voting and dispositive power over these shares. Each of FCM IV and its members and Mr. Tananbaum disclaims beneficial ownership of any of these shares except to the extent of 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pecuniary interest therein. The address of FCF IV is 600 Montgomery Street, Suite 4500, San Francisco, CA 94111.</w:t>
      </w:r>
    </w:p>
    <w:p>
      <w:pPr>
        <w:spacing w:after="0" w:line="239" w:lineRule="exact"/>
        <w:rPr>
          <w:sz w:val="20"/>
          <w:szCs w:val="20"/>
          <w:color w:val="auto"/>
        </w:rPr>
      </w:pPr>
    </w:p>
    <w:p>
      <w:pPr>
        <w:jc w:val="both"/>
        <w:ind w:left="1680" w:hanging="531"/>
        <w:spacing w:after="0" w:line="259" w:lineRule="auto"/>
        <w:tabs>
          <w:tab w:leader="none" w:pos="1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3,750,000 shares of common stock held by Dr. Gould and 151,415 shares of common stock underlying options held by Dr. Gould that are exercisable as of March 31, 2019 or will become exercisable within 60 days after such date. Since March 31, 2019, Dr. Gould exercised options for an aggregate of 151,415 shares of common stock.</w:t>
      </w:r>
    </w:p>
    <w:p>
      <w:pPr>
        <w:spacing w:after="0" w:line="221"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497,500 shares of common stock held by Dr. Cadavid and 58,843 shares of common stock underlying options held by Dr. Cadavid that are exercisable as of March 31, 2019 or will become exercisable within 60 days after such date.</w:t>
      </w:r>
    </w:p>
    <w:p>
      <w:pPr>
        <w:spacing w:after="0" w:line="199" w:lineRule="exact"/>
        <w:rPr>
          <w:rFonts w:ascii="Arial" w:cs="Arial" w:eastAsia="Arial" w:hAnsi="Arial"/>
          <w:sz w:val="18"/>
          <w:szCs w:val="18"/>
          <w:color w:val="auto"/>
        </w:rPr>
      </w:pPr>
    </w:p>
    <w:p>
      <w:pPr>
        <w:jc w:val="both"/>
        <w:ind w:left="1680" w:hanging="531"/>
        <w:spacing w:after="0" w:line="256" w:lineRule="auto"/>
        <w:tabs>
          <w:tab w:leader="none" w:pos="1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the shares described in Note 1 above held by TRV III LP. Mr. Levin, a member of our board of directors, is a manager of TRV III LLC, which is the sole general partner of TRV GP III, which is the sole general partner of TRV III LP and may be deemed to be the indirect beneficial owner of such shares. Mr. Levin disclaims beneficial ownership over such shares, except to the extent of his proportionate pecuniary interest therein.</w:t>
      </w:r>
    </w:p>
    <w:p>
      <w:pPr>
        <w:spacing w:after="0" w:line="210"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165,000 shares of common stock held by Dr. Collins and 31,250 shares of common stock underlying options held by Dr. Collins that are exercisable as of March 31, 2019 or will become exercisable within 60 days after such date.</w:t>
      </w:r>
    </w:p>
    <w:p>
      <w:pPr>
        <w:spacing w:after="0" w:line="212" w:lineRule="exact"/>
        <w:rPr>
          <w:rFonts w:ascii="Arial" w:cs="Arial" w:eastAsia="Arial" w:hAnsi="Arial"/>
          <w:sz w:val="18"/>
          <w:szCs w:val="18"/>
          <w:color w:val="auto"/>
        </w:rPr>
      </w:pPr>
    </w:p>
    <w:p>
      <w:pPr>
        <w:ind w:left="1680" w:right="20" w:hanging="531"/>
        <w:spacing w:after="0" w:line="332" w:lineRule="auto"/>
        <w:tabs>
          <w:tab w:leader="none" w:pos="16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165,000 shares of common stock held by Dr. Ezekowitz and 31,250 shares of common stock underlying options held by Dr. Ezekowitz that are exercisable as of March 31, 2019 or will become exercisable within 60 days after such date.</w:t>
      </w:r>
    </w:p>
    <w:p>
      <w:pPr>
        <w:spacing w:after="0" w:line="152" w:lineRule="exact"/>
        <w:rPr>
          <w:rFonts w:ascii="Arial" w:cs="Arial" w:eastAsia="Arial" w:hAnsi="Arial"/>
          <w:sz w:val="16"/>
          <w:szCs w:val="16"/>
          <w:color w:val="auto"/>
        </w:rPr>
      </w:pPr>
    </w:p>
    <w:p>
      <w:pPr>
        <w:ind w:left="1680" w:hanging="531"/>
        <w:spacing w:after="0" w:line="332" w:lineRule="auto"/>
        <w:tabs>
          <w:tab w:leader="none" w:pos="16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565,000 shares of common stock held by Mr. Geraghty and 25,000 shares of common stock underlying options held by Mr. Geraghty that are exercisable as of March 31, 2019 or will become exercisable within 60 days after such date.</w:t>
      </w:r>
    </w:p>
    <w:p>
      <w:pPr>
        <w:spacing w:after="0" w:line="152" w:lineRule="exact"/>
        <w:rPr>
          <w:rFonts w:ascii="Arial" w:cs="Arial" w:eastAsia="Arial" w:hAnsi="Arial"/>
          <w:sz w:val="16"/>
          <w:szCs w:val="16"/>
          <w:color w:val="auto"/>
        </w:rPr>
      </w:pPr>
    </w:p>
    <w:p>
      <w:pPr>
        <w:ind w:left="1680" w:right="20" w:hanging="531"/>
        <w:spacing w:after="0" w:line="268" w:lineRule="auto"/>
        <w:tabs>
          <w:tab w:leader="none" w:pos="1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30,937 shares of common stock underlying options held by Ms. Haviland that are exercisable as of March 31, 2019 or will become exercisable within 60 days after such date.</w:t>
      </w:r>
    </w:p>
    <w:p>
      <w:pPr>
        <w:spacing w:after="0" w:line="212" w:lineRule="exact"/>
        <w:rPr>
          <w:rFonts w:ascii="Arial" w:cs="Arial" w:eastAsia="Arial" w:hAnsi="Arial"/>
          <w:sz w:val="18"/>
          <w:szCs w:val="18"/>
          <w:color w:val="auto"/>
        </w:rPr>
      </w:pPr>
    </w:p>
    <w:p>
      <w:pPr>
        <w:jc w:val="both"/>
        <w:ind w:left="1680" w:hanging="531"/>
        <w:spacing w:after="0" w:line="298" w:lineRule="auto"/>
        <w:tabs>
          <w:tab w:leader="none" w:pos="16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the shares described in Note 3 above held by FCF IV. Mr. Tananbaum, a member of our board of directors as of March 31, 2019, is a managing member of FCM IV, which is the general partner of FCF IV, and may be deemed to be the indirect beneficial owner of such shares. Mr. Tananbaum disclaims beneficial ownership over such shares, except to the extent of his proportionate pecuniary interest therein. Mr. Tananbaum resigned from our board of directors effective as of April 3, 2019.</w:t>
      </w:r>
    </w:p>
    <w:p>
      <w:pPr>
        <w:spacing w:after="0" w:line="180"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372,661 shares of common stock underlying options that are exercisable as of March 31, 2019 or will become exercisable within 60 days after such date.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jc w:val="both"/>
        <w:ind w:firstLine="386"/>
        <w:spacing w:after="0" w:line="256" w:lineRule="auto"/>
        <w:rPr>
          <w:sz w:val="20"/>
          <w:szCs w:val="20"/>
          <w:color w:val="auto"/>
        </w:rPr>
      </w:pPr>
      <w:r>
        <w:rPr>
          <w:rFonts w:ascii="Arial" w:cs="Arial" w:eastAsia="Arial" w:hAnsi="Arial"/>
          <w:sz w:val="18"/>
          <w:szCs w:val="18"/>
          <w:color w:val="auto"/>
        </w:rPr>
        <w:t>The following description of our capital stock and provisions of our certificate of incorporation and bylaws are summaries and are qualified by reference to the certificate of incorporation and the bylaws that will be in effect upon the closing of this offering. We will file copies of these documents with the SEC as exhibits to our registration statement of which this prospectus is a part. The description of the capital stock reflects changes to our capital structure that will occur upon the closing of this offering.</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0" w:hanging="855"/>
        <w:spacing w:after="0" w:line="268" w:lineRule="auto"/>
        <w:rPr>
          <w:sz w:val="20"/>
          <w:szCs w:val="20"/>
          <w:color w:val="auto"/>
        </w:rPr>
      </w:pPr>
      <w:r>
        <w:rPr>
          <w:rFonts w:ascii="Arial" w:cs="Arial" w:eastAsia="Arial" w:hAnsi="Arial"/>
          <w:sz w:val="18"/>
          <w:szCs w:val="18"/>
          <w:color w:val="auto"/>
        </w:rPr>
        <w:t>Upon the closing of this offering, our authorized capital stock will consist of</w:t>
      </w:r>
      <w:r>
        <w:rPr>
          <w:sz w:val="20"/>
          <w:szCs w:val="20"/>
          <w:color w:val="auto"/>
        </w:rPr>
        <w:t xml:space="preserve"> </w:t>
      </w:r>
      <w:r>
        <w:rPr>
          <w:rFonts w:ascii="Arial" w:cs="Arial" w:eastAsia="Arial" w:hAnsi="Arial"/>
          <w:sz w:val="18"/>
          <w:szCs w:val="18"/>
          <w:color w:val="auto"/>
        </w:rPr>
        <w:t>shares of our common stock, par value $0.001 per share, shares of our preferred stock, par value $0.001 per share, all of which preferred stock will be undesignated.</w:t>
      </w:r>
    </w:p>
    <w:p>
      <w:pPr>
        <w:spacing w:after="0" w:line="186" w:lineRule="exact"/>
        <w:rPr>
          <w:sz w:val="20"/>
          <w:szCs w:val="20"/>
          <w:color w:val="auto"/>
        </w:rPr>
      </w:pPr>
    </w:p>
    <w:p>
      <w:pPr>
        <w:sectPr>
          <w:pgSz w:w="11900" w:h="16838" w:orient="portrait"/>
          <w:cols w:equalWidth="0" w:num="2">
            <w:col w:w="600" w:space="720"/>
            <w:col w:w="10100"/>
          </w:cols>
          <w:pgMar w:left="240" w:top="131" w:right="2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As of March 31, 2019, we had issued and outstanding:</w:t>
      </w:r>
    </w:p>
    <w:p>
      <w:pPr>
        <w:spacing w:after="0" w:line="239"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19,235,125 shares of our common stock held by 77 stockholders of record;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60,000,000 shares of our Series A preferred stock held by 3 stockholders of record, convertible into 60,000,000 shares of our common stock;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52,500,000 shares of our Series B preferred stock held by 21 stockholders of record, convertible into 52,500,000 shares of our common stock;</w:t>
      </w:r>
    </w:p>
    <w:p>
      <w:pPr>
        <w:spacing w:after="0" w:line="24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Upon the closing of this offering, all of the outstanding shares of our preferred stock will automatically convert into an aggregate of 112,500,000 shares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jc w:val="both"/>
        <w:ind w:firstLine="453"/>
        <w:spacing w:after="0" w:line="256"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Holders of common stock are entitled to receive proportionately any dividends as may be declared by our board of directors, subject to any preferential dividend rights of outstanding preferred stock.</w:t>
      </w:r>
    </w:p>
    <w:p>
      <w:pPr>
        <w:spacing w:after="0" w:line="197" w:lineRule="exact"/>
        <w:rPr>
          <w:sz w:val="20"/>
          <w:szCs w:val="20"/>
          <w:color w:val="auto"/>
        </w:rPr>
      </w:pPr>
    </w:p>
    <w:p>
      <w:pPr>
        <w:jc w:val="both"/>
        <w:ind w:firstLine="409"/>
        <w:spacing w:after="0" w:line="298" w:lineRule="auto"/>
        <w:rPr>
          <w:sz w:val="20"/>
          <w:szCs w:val="20"/>
          <w:color w:val="auto"/>
        </w:rPr>
      </w:pPr>
      <w:r>
        <w:rPr>
          <w:rFonts w:ascii="Arial" w:cs="Arial" w:eastAsia="Arial" w:hAnsi="Arial"/>
          <w:sz w:val="16"/>
          <w:szCs w:val="16"/>
          <w:color w:val="auto"/>
        </w:rPr>
        <w:t>In the event of our liquidation or dissolution, the holders of our common stock are entitled to receive proportionately all assets available for distribution to stockholders after the payment of all debts and other liabilities and subject to the prior rights of any of our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jc w:val="both"/>
        <w:ind w:firstLine="407"/>
        <w:spacing w:after="0" w:line="256" w:lineRule="auto"/>
        <w:rPr>
          <w:sz w:val="20"/>
          <w:szCs w:val="20"/>
          <w:color w:val="auto"/>
        </w:rPr>
      </w:pPr>
      <w:r>
        <w:rPr>
          <w:rFonts w:ascii="Arial" w:cs="Arial" w:eastAsia="Arial" w:hAnsi="Arial"/>
          <w:sz w:val="18"/>
          <w:szCs w:val="18"/>
          <w:color w:val="auto"/>
        </w:rPr>
        <w:t>Under the terms of our certificate of incorporation that will become effective upon the closing of this offering,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97" w:lineRule="exact"/>
        <w:rPr>
          <w:sz w:val="20"/>
          <w:szCs w:val="20"/>
          <w:color w:val="auto"/>
        </w:rPr>
      </w:pPr>
    </w:p>
    <w:p>
      <w:pPr>
        <w:jc w:val="both"/>
        <w:ind w:firstLine="419"/>
        <w:spacing w:after="0" w:line="255"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83" w:name="page184"/>
    <w:bookmarkEnd w:id="1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Unvested Restricted Stock</w:t>
      </w:r>
    </w:p>
    <w:p>
      <w:pPr>
        <w:spacing w:after="0" w:line="231" w:lineRule="exact"/>
        <w:rPr>
          <w:sz w:val="20"/>
          <w:szCs w:val="20"/>
          <w:color w:val="auto"/>
        </w:rPr>
      </w:pPr>
    </w:p>
    <w:p>
      <w:pPr>
        <w:jc w:val="both"/>
        <w:ind w:right="20" w:firstLine="364"/>
        <w:spacing w:after="0" w:line="268" w:lineRule="auto"/>
        <w:rPr>
          <w:sz w:val="20"/>
          <w:szCs w:val="20"/>
          <w:color w:val="auto"/>
        </w:rPr>
      </w:pPr>
      <w:r>
        <w:rPr>
          <w:rFonts w:ascii="Arial" w:cs="Arial" w:eastAsia="Arial" w:hAnsi="Arial"/>
          <w:sz w:val="18"/>
          <w:szCs w:val="18"/>
          <w:color w:val="auto"/>
        </w:rPr>
        <w:t>As of March 31, 2019, options to purchase an aggregate of 10,698,963 shares of our common stock, at a weighted average exercise price of $1.09 per share, were outstanding, and 7,180,890 shares of unvested restricted common stock were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Law and Certain Charter and Bylaw Provisions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jc w:val="both"/>
        <w:ind w:firstLine="422"/>
        <w:spacing w:after="0" w:line="289" w:lineRule="auto"/>
        <w:rPr>
          <w:sz w:val="20"/>
          <w:szCs w:val="20"/>
          <w:color w:val="auto"/>
        </w:rPr>
      </w:pPr>
      <w:r>
        <w:rPr>
          <w:rFonts w:ascii="Arial" w:cs="Arial" w:eastAsia="Arial" w:hAnsi="Arial"/>
          <w:sz w:val="16"/>
          <w:szCs w:val="16"/>
          <w:color w:val="auto"/>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The restrictions contained in Section 203 are not applicable to any of our existing stockholders that will own 15% or more of our outstanding voting stock upon the closing of this offering.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225" w:lineRule="exact"/>
        <w:rPr>
          <w:sz w:val="20"/>
          <w:szCs w:val="20"/>
          <w:color w:val="auto"/>
        </w:rPr>
      </w:pPr>
    </w:p>
    <w:p>
      <w:pPr>
        <w:jc w:val="both"/>
        <w:ind w:firstLine="358"/>
        <w:spacing w:after="0" w:line="289" w:lineRule="auto"/>
        <w:rPr>
          <w:sz w:val="20"/>
          <w:szCs w:val="20"/>
          <w:color w:val="auto"/>
        </w:rPr>
      </w:pPr>
      <w:r>
        <w:rPr>
          <w:rFonts w:ascii="Arial" w:cs="Arial" w:eastAsia="Arial" w:hAnsi="Arial"/>
          <w:sz w:val="16"/>
          <w:szCs w:val="16"/>
          <w:color w:val="auto"/>
        </w:rPr>
        <w:t>Our certificate of incorporation and our bylaws to be effective upon the closing of this offering divide our board of directors into three classes with staggered three-year terms. In addition, our certificate of incorporation and our bylaws to be effective upon the closing of this offering provide that directors may be removed only for cause and only by the affirmative vote of the holders of 75% of our shares of capital stock present in person or by proxy and entitled to vote. Under our certificate of incorporation and our bylaws to be effective upon the closing of this offering, any vacancy on our board of directors, including a vacancy resulting from an enlargement of our board of directors, may be filled only by vote of a majority of our directors then in office. Furthermore, our certificate of incorporation to be effective upon the closing of this offering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248"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Our certificate of incorporation and our bylaws to be effective upon the closing of this offering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to be effective upon the closing of this offering also provide that, except as otherwise required by law, special meetings of the stockholders can only be called by our board of directors. In addition, our bylaws to be effective upon the closing of this offering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225" w:lineRule="exact"/>
        <w:rPr>
          <w:sz w:val="20"/>
          <w:szCs w:val="20"/>
          <w:color w:val="auto"/>
        </w:rPr>
      </w:pPr>
    </w:p>
    <w:p>
      <w:pPr>
        <w:jc w:val="both"/>
        <w:ind w:firstLine="502"/>
        <w:spacing w:after="0" w:line="291" w:lineRule="auto"/>
        <w:rPr>
          <w:sz w:val="20"/>
          <w:szCs w:val="20"/>
          <w:color w:val="auto"/>
        </w:rPr>
      </w:pPr>
      <w:r>
        <w:rPr>
          <w:rFonts w:ascii="Arial" w:cs="Arial" w:eastAsia="Arial" w:hAnsi="Arial"/>
          <w:sz w:val="16"/>
          <w:szCs w:val="16"/>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to be effective upon the closing of this offering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225" w:lineRule="exact"/>
        <w:rPr>
          <w:sz w:val="20"/>
          <w:szCs w:val="20"/>
          <w:color w:val="auto"/>
        </w:rPr>
      </w:pPr>
    </w:p>
    <w:p>
      <w:pPr>
        <w:jc w:val="both"/>
        <w:ind w:firstLine="394"/>
        <w:spacing w:after="0" w:line="289" w:lineRule="auto"/>
        <w:rPr>
          <w:sz w:val="20"/>
          <w:szCs w:val="20"/>
          <w:color w:val="auto"/>
        </w:rPr>
      </w:pPr>
      <w:r>
        <w:rPr>
          <w:rFonts w:ascii="Arial" w:cs="Arial" w:eastAsia="Arial" w:hAnsi="Arial"/>
          <w:sz w:val="16"/>
          <w:szCs w:val="16"/>
          <w:color w:val="auto"/>
        </w:rPr>
        <w:t>Our certificate of incorporation to be effective upon the closing of this offering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firstLine="397"/>
        <w:spacing w:after="0" w:line="298" w:lineRule="auto"/>
        <w:rPr>
          <w:sz w:val="20"/>
          <w:szCs w:val="20"/>
          <w:color w:val="auto"/>
        </w:rPr>
      </w:pPr>
      <w:r>
        <w:rPr>
          <w:rFonts w:ascii="Arial" w:cs="Arial" w:eastAsia="Arial" w:hAnsi="Arial"/>
          <w:sz w:val="16"/>
          <w:szCs w:val="16"/>
          <w:color w:val="auto"/>
        </w:rPr>
        <w:t>We have entered into an amended and restated investor rights agreement dated as of August 24, 2018, or the investor rights agreement, with holders of our preferred stock. Beginning six months following the closing of this offering, holders of a total of 114,500,000 shares of our common stock will have the right to require us to register these shares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and Form S-3 Registration Rights</w:t>
      </w:r>
    </w:p>
    <w:p>
      <w:pPr>
        <w:spacing w:after="0" w:line="225" w:lineRule="exact"/>
        <w:rPr>
          <w:sz w:val="20"/>
          <w:szCs w:val="20"/>
          <w:color w:val="auto"/>
        </w:rPr>
      </w:pPr>
    </w:p>
    <w:p>
      <w:pPr>
        <w:jc w:val="both"/>
        <w:ind w:firstLine="408"/>
        <w:spacing w:after="0" w:line="256" w:lineRule="auto"/>
        <w:rPr>
          <w:sz w:val="20"/>
          <w:szCs w:val="20"/>
          <w:color w:val="auto"/>
        </w:rPr>
      </w:pPr>
      <w:r>
        <w:rPr>
          <w:rFonts w:ascii="Arial" w:cs="Arial" w:eastAsia="Arial" w:hAnsi="Arial"/>
          <w:sz w:val="18"/>
          <w:szCs w:val="18"/>
          <w:color w:val="auto"/>
        </w:rPr>
        <w:t>Beginning 180 days after this offering, subject to specified limitations set forth in the investor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 $5.0 million. We are not obligated to file a registration statement pursuant to this provision on more than two occasions.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0"/>
        <w:spacing w:after="0" w:line="298" w:lineRule="auto"/>
        <w:rPr>
          <w:sz w:val="20"/>
          <w:szCs w:val="20"/>
          <w:color w:val="auto"/>
        </w:rPr>
      </w:pPr>
      <w:r>
        <w:rPr>
          <w:rFonts w:ascii="Arial" w:cs="Arial" w:eastAsia="Arial" w:hAnsi="Arial"/>
          <w:sz w:val="16"/>
          <w:szCs w:val="16"/>
          <w:color w:val="auto"/>
        </w:rPr>
        <w:t>In addition, subject to specified limitations set forth in the investor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225" w:lineRule="exact"/>
        <w:rPr>
          <w:sz w:val="20"/>
          <w:szCs w:val="20"/>
          <w:color w:val="auto"/>
        </w:rPr>
      </w:pPr>
    </w:p>
    <w:p>
      <w:pPr>
        <w:jc w:val="both"/>
        <w:ind w:firstLine="447"/>
        <w:spacing w:after="0" w:line="259" w:lineRule="auto"/>
        <w:rPr>
          <w:sz w:val="20"/>
          <w:szCs w:val="20"/>
          <w:color w:val="auto"/>
        </w:rPr>
      </w:pPr>
      <w:r>
        <w:rPr>
          <w:rFonts w:ascii="Arial" w:cs="Arial" w:eastAsia="Arial" w:hAnsi="Arial"/>
          <w:sz w:val="18"/>
          <w:szCs w:val="18"/>
          <w:color w:val="auto"/>
        </w:rPr>
        <w:t>If, at any time after the closing of this offering, we propose to register for our own account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94" w:lineRule="exact"/>
        <w:rPr>
          <w:sz w:val="20"/>
          <w:szCs w:val="20"/>
          <w:color w:val="auto"/>
        </w:rPr>
      </w:pPr>
    </w:p>
    <w:p>
      <w:pPr>
        <w:jc w:val="both"/>
        <w:ind w:firstLine="379"/>
        <w:spacing w:after="0" w:line="332" w:lineRule="auto"/>
        <w:rPr>
          <w:sz w:val="20"/>
          <w:szCs w:val="20"/>
          <w:color w:val="auto"/>
        </w:rPr>
      </w:pPr>
      <w:r>
        <w:rPr>
          <w:rFonts w:ascii="Arial" w:cs="Arial" w:eastAsia="Arial" w:hAnsi="Arial"/>
          <w:sz w:val="16"/>
          <w:szCs w:val="16"/>
          <w:color w:val="auto"/>
        </w:rPr>
        <w:t>In the event that any registration in which the holders of registrable securities participate pursuant to our investor rights agreement is an underwritten public offering, we have agreed to enter into an underwriting agreement in usual and customary form and use our reasonable best efforts to facilitate such offering.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firstLine="434"/>
        <w:spacing w:after="0" w:line="254" w:lineRule="auto"/>
        <w:rPr>
          <w:sz w:val="20"/>
          <w:szCs w:val="20"/>
          <w:color w:val="auto"/>
        </w:rPr>
      </w:pPr>
      <w:r>
        <w:rPr>
          <w:rFonts w:ascii="Arial" w:cs="Arial" w:eastAsia="Arial" w:hAnsi="Arial"/>
          <w:sz w:val="18"/>
          <w:szCs w:val="18"/>
          <w:color w:val="auto"/>
        </w:rPr>
        <w:t>Pursuant to the investor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98"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investor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tabs>
          <w:tab w:leader="none" w:pos="5720" w:val="left"/>
        </w:tabs>
        <w:rPr>
          <w:sz w:val="20"/>
          <w:szCs w:val="20"/>
          <w:color w:val="auto"/>
        </w:rPr>
      </w:pPr>
      <w:r>
        <w:rPr>
          <w:rFonts w:ascii="Arial" w:cs="Arial" w:eastAsia="Arial" w:hAnsi="Arial"/>
          <w:sz w:val="18"/>
          <w:szCs w:val="18"/>
          <w:color w:val="auto"/>
        </w:rPr>
        <w:t>The transfer agent and registrar for our common stock will be</w:t>
      </w:r>
      <w:r>
        <w:rPr>
          <w:sz w:val="20"/>
          <w:szCs w:val="20"/>
          <w:color w:val="auto"/>
        </w:rPr>
        <w:tab/>
      </w:r>
      <w:r>
        <w:rPr>
          <w:rFonts w:ascii="Arial" w:cs="Arial" w:eastAsia="Arial" w:hAnsi="Arial"/>
          <w:sz w:val="14"/>
          <w:szCs w:val="14"/>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apply to have our common stock listed on the Nasdaq Global Market under the symbol "FULC."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jc w:val="both"/>
        <w:ind w:firstLine="462"/>
        <w:spacing w:after="0" w:line="256" w:lineRule="auto"/>
        <w:rPr>
          <w:sz w:val="20"/>
          <w:szCs w:val="20"/>
          <w:color w:val="auto"/>
        </w:rPr>
      </w:pPr>
      <w:r>
        <w:rPr>
          <w:rFonts w:ascii="Arial" w:cs="Arial" w:eastAsia="Arial" w:hAnsi="Arial"/>
          <w:sz w:val="18"/>
          <w:szCs w:val="18"/>
          <w:color w:val="auto"/>
        </w:rPr>
        <w:t>Prior to this offering, there has been no public market for our common stock, and a liquid trading market for our common stock may not develop or be sustained after this offering. Future sales of substantial amounts of our common stock in the public market, including shares issued upon exercise of outstanding options, or the anticipation of these sales, could adversely affect market prices prevailing from time to time and could impair our ability to raise capital through sales of equity securities.</w:t>
      </w:r>
    </w:p>
    <w:p>
      <w:pPr>
        <w:spacing w:after="0" w:line="197"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6"/>
          <w:szCs w:val="16"/>
          <w:color w:val="auto"/>
        </w:rPr>
        <w:t>Upon the closing of this offering, we will have outstanding shares of our common stock, based on the 19,235,125 shares of our common stock that were outstanding on March 31, 2019, after giving effect to the issuance of shares of our common stock in this offering, assuming no exercise by</w:t>
      </w:r>
    </w:p>
    <w:p>
      <w:pPr>
        <w:jc w:val="both"/>
        <w:spacing w:after="0" w:line="281" w:lineRule="auto"/>
        <w:rPr>
          <w:sz w:val="20"/>
          <w:szCs w:val="20"/>
          <w:color w:val="auto"/>
        </w:rPr>
      </w:pPr>
      <w:r>
        <w:rPr>
          <w:rFonts w:ascii="Arial" w:cs="Arial" w:eastAsia="Arial" w:hAnsi="Arial"/>
          <w:sz w:val="16"/>
          <w:szCs w:val="16"/>
          <w:color w:val="auto"/>
        </w:rPr>
        <w:t>the underwriters of their option to purchase additional shares of our common stock, and the conversion of all outstanding shares of our preferred stock into an aggregate of 112,500,000 shares of our common stock upon the closing of this offering. Of these shares, all shares sold in this offering will be freely tradable without restriction under the Securities Act of 1933, as amended, or the Securities Act, unless purchased by our "affiliates," as that term is defined in Rule 144</w:t>
      </w:r>
    </w:p>
    <w:p>
      <w:pPr>
        <w:spacing w:after="0" w:line="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under the Securities Act. The remaining shares of our common stock will be "restricted securities" under Rule 144, and we expect that substantially all of these restricted securities will be subject to the 180-day lock-up period under the lock-up agreements as described below. These restricted securities may be sold in the public market upon release or waiver of any applicable lock-up agreements and only if registered or pursuant to an exemption from registration, such as Rule 144 or Rule 701 under the Securities Act.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In general, under Rule 144, beginning 90 days after the date of this prospectus, any person who is not our affiliate and has held their shares for at least six months, including the holding period of any prior owner other than one of our affiliates, may sell those shares without restriction, subject to the availability of current public information about us. In addition, under Rule 144, any person who is not our affiliate and has not been our affiliate at any time during the preceding three months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70" w:lineRule="exact"/>
        <w:rPr>
          <w:sz w:val="20"/>
          <w:szCs w:val="20"/>
          <w:color w:val="auto"/>
        </w:rPr>
      </w:pPr>
    </w:p>
    <w:p>
      <w:pPr>
        <w:jc w:val="both"/>
        <w:ind w:right="20" w:firstLine="384"/>
        <w:spacing w:after="0" w:line="259"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ectPr>
          <w:pgSz w:w="11900" w:h="16838" w:orient="portrait"/>
          <w:cols w:equalWidth="0" w:num="1">
            <w:col w:w="11420"/>
          </w:cols>
          <w:pgMar w:left="240" w:top="131" w:right="23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1% of the number of shares of our common stock then outstanding, which will equal approximately and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this offering;</w:t>
      </w:r>
    </w:p>
    <w:p>
      <w:pPr>
        <w:spacing w:after="0" w:line="478" w:lineRule="exact"/>
        <w:rPr>
          <w:sz w:val="20"/>
          <w:szCs w:val="20"/>
          <w:color w:val="auto"/>
        </w:rPr>
      </w:pPr>
    </w:p>
    <w:p>
      <w:pPr>
        <w:sectPr>
          <w:pgSz w:w="11900" w:h="16838" w:orient="portrait"/>
          <w:cols w:equalWidth="0" w:num="3">
            <w:col w:w="600" w:space="480"/>
            <w:col w:w="7060" w:space="580"/>
            <w:col w:w="2700"/>
          </w:cols>
          <w:pgMar w:left="240" w:top="131" w:right="239" w:bottom="1440" w:gutter="0" w:footer="0" w:header="0"/>
          <w:type w:val="continuous"/>
        </w:sectPr>
      </w:pPr>
    </w:p>
    <w:p>
      <w:pPr>
        <w:spacing w:after="0" w:line="13" w:lineRule="exact"/>
        <w:rPr>
          <w:sz w:val="20"/>
          <w:szCs w:val="20"/>
          <w:color w:val="auto"/>
        </w:rPr>
      </w:pPr>
    </w:p>
    <w:p>
      <w:pPr>
        <w:ind w:left="108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the Nasdaq Global Market during the four calendar weeks preceding the date of filing of a Notice of Proposed Sale of Securities Pursuant to Rule 144 with respect to the sale.</w:t>
      </w:r>
    </w:p>
    <w:p>
      <w:pPr>
        <w:spacing w:after="0" w:line="186" w:lineRule="exact"/>
        <w:rPr>
          <w:sz w:val="20"/>
          <w:szCs w:val="20"/>
          <w:color w:val="auto"/>
        </w:rPr>
      </w:pPr>
    </w:p>
    <w:p>
      <w:pPr>
        <w:ind w:firstLine="533"/>
        <w:spacing w:after="0" w:line="268"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86" w:lineRule="exact"/>
        <w:rPr>
          <w:sz w:val="20"/>
          <w:szCs w:val="20"/>
          <w:color w:val="auto"/>
        </w:rPr>
      </w:pPr>
    </w:p>
    <w:p>
      <w:pPr>
        <w:ind w:firstLine="364"/>
        <w:spacing w:after="0" w:line="332" w:lineRule="auto"/>
        <w:rPr>
          <w:sz w:val="20"/>
          <w:szCs w:val="20"/>
          <w:color w:val="auto"/>
        </w:rPr>
      </w:pPr>
      <w:r>
        <w:rPr>
          <w:rFonts w:ascii="Arial" w:cs="Arial" w:eastAsia="Arial" w:hAnsi="Arial"/>
          <w:sz w:val="16"/>
          <w:szCs w:val="16"/>
          <w:color w:val="auto"/>
        </w:rPr>
        <w:t>Upon waiver or expiration of the 180-day lock-up period described below, approximately shares of our common stock will be eligible for sale under Rule 144. We cannot estimate the number of shares of our common stock that our existing stockholders will elect to sell under Rule 144.</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87" w:name="page188"/>
    <w:bookmarkEnd w:id="1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jc w:val="both"/>
        <w:ind w:firstLine="417"/>
        <w:spacing w:after="0" w:line="284" w:lineRule="auto"/>
        <w:rPr>
          <w:sz w:val="20"/>
          <w:szCs w:val="20"/>
          <w:color w:val="auto"/>
        </w:rPr>
      </w:pPr>
      <w:r>
        <w:rPr>
          <w:rFonts w:ascii="Arial" w:cs="Arial" w:eastAsia="Arial" w:hAnsi="Arial"/>
          <w:sz w:val="16"/>
          <w:szCs w:val="16"/>
          <w:color w:val="auto"/>
        </w:rPr>
        <w:t>In general, under Rule 701 of the Securities Act, any of our employees, consultants or advisors, other than our affiliates, who purchased shares from us in connection with a qualified compensatory stock plan or other written agreement is eligible to resell these shares 90 days after the date of this prospectus in reliance on Rule 144, but without compliance with the various restrictions, including the availability of public information about us, holding period and volume</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limitations, contained in Rule 144. Subject to the 180-day lock-up period described below, approximately shares of our common stock, based on shares outstanding as of , 2019 will be eligible for sale in accordance with Rule 701.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We, each of our executive officers and directors and the holders of a majority of our outstanding securities have agreed that, without the prior written consent of Morgan Stanley &amp; Co. LLC, BofA Securities, Inc. and SVB Leerink LLC, on behalf of the underwriters, we and they will not, subject to limited exceptions, during the period ending 180 days after the date of this prospectus:</w:t>
      </w:r>
    </w:p>
    <w:p>
      <w:pPr>
        <w:spacing w:after="0" w:line="208" w:lineRule="exact"/>
        <w:rPr>
          <w:sz w:val="20"/>
          <w:szCs w:val="20"/>
          <w:color w:val="auto"/>
        </w:rPr>
      </w:pPr>
    </w:p>
    <w:p>
      <w:pPr>
        <w:jc w:val="both"/>
        <w:ind w:left="1080" w:hanging="532"/>
        <w:spacing w:after="0" w:line="306"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make any public announcement of an intention to do any of the foregoing;</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file, or demand filing of, any registration statement with the SEC relating to the offering of any shares of common stock or any securities convertible into or exercisable or exchangeable for common stock; or</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the common stock, whether any such transaction is to be settled by delivery of common stock or such other securities, in cash or otherwise.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agreements are subject to certain exceptions, as described in the section of this prospectus entitled "Underwriters."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firstLine="407"/>
        <w:spacing w:after="0" w:line="298" w:lineRule="auto"/>
        <w:rPr>
          <w:sz w:val="20"/>
          <w:szCs w:val="20"/>
          <w:color w:val="auto"/>
        </w:rPr>
      </w:pPr>
      <w:r>
        <w:rPr>
          <w:rFonts w:ascii="Arial" w:cs="Arial" w:eastAsia="Arial" w:hAnsi="Arial"/>
          <w:sz w:val="16"/>
          <w:szCs w:val="16"/>
          <w:color w:val="auto"/>
        </w:rPr>
        <w:t>Beginning six months after the closing of this offering, the holders of an aggregate of 114,500,000 shares of our common stock will have rights, subject to certain conditions, to require us to file registration statements covering their shares or to include their shares in registration statements that we may file for ourselves or other stockholders. After registration pursuant to these rights, these shares will become freely tradable without restriction under the Securities Act. See "Description of Capital Stock—Registration Rights" for additional information regarding these registration rights.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Form S-8 Registration Statement</w:t>
      </w:r>
    </w:p>
    <w:p>
      <w:pPr>
        <w:spacing w:after="0" w:line="231" w:lineRule="exact"/>
        <w:rPr>
          <w:sz w:val="20"/>
          <w:szCs w:val="20"/>
          <w:color w:val="auto"/>
        </w:rPr>
      </w:pPr>
    </w:p>
    <w:p>
      <w:pPr>
        <w:jc w:val="both"/>
        <w:ind w:firstLine="466"/>
        <w:spacing w:after="0" w:line="291" w:lineRule="auto"/>
        <w:rPr>
          <w:sz w:val="20"/>
          <w:szCs w:val="20"/>
          <w:color w:val="auto"/>
        </w:rPr>
      </w:pPr>
      <w:r>
        <w:rPr>
          <w:rFonts w:ascii="Arial" w:cs="Arial" w:eastAsia="Arial" w:hAnsi="Arial"/>
          <w:sz w:val="16"/>
          <w:szCs w:val="16"/>
          <w:color w:val="auto"/>
        </w:rPr>
        <w:t>As of March 31, 2019, we had outstanding options to purchase an aggregate of 10,698,963 shares of our common stock under the 2016 Plan, of which options to purchase 522,930 shares were vested. Following this offering, we intend to file a registration statement on Form S-8 under the Securities Act to register all of the shares of our common stock subject to outstanding options and reserved for future options and other awards under the 2016 Plan, the 2019 Plan and the 2019 ESPP. See "Executive Compensation—Stock Option and Other Compensation Plans" for additional information regarding these plans. Accordingly, shares of our common stock registered under the registration statements will be available for sale in the open market, subject to Rule 144 volume limitations applicable to affiliates, and subject to any vesting restrictions and lock-up agreements applicable to these shares.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AND ESTATE TAX CONSIDERATIONS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NON-U.S. HOLDERS OF COMMON STOCK</w:t>
      </w:r>
    </w:p>
    <w:p>
      <w:pPr>
        <w:spacing w:after="0" w:line="219" w:lineRule="exact"/>
        <w:rPr>
          <w:sz w:val="20"/>
          <w:szCs w:val="20"/>
          <w:color w:val="auto"/>
        </w:rPr>
      </w:pPr>
    </w:p>
    <w:p>
      <w:pPr>
        <w:jc w:val="both"/>
        <w:ind w:firstLine="512"/>
        <w:spacing w:after="0" w:line="259" w:lineRule="auto"/>
        <w:rPr>
          <w:sz w:val="20"/>
          <w:szCs w:val="20"/>
          <w:color w:val="auto"/>
        </w:rPr>
      </w:pPr>
      <w:r>
        <w:rPr>
          <w:rFonts w:ascii="Arial" w:cs="Arial" w:eastAsia="Arial" w:hAnsi="Arial"/>
          <w:sz w:val="18"/>
          <w:szCs w:val="18"/>
          <w:color w:val="auto"/>
        </w:rPr>
        <w:t>The following is a discussion of material U.S. federal income and estate tax considerations relating to the ownership and disposition of shares of our common stock acquired in this offering by a non-U.S. holder. For purposes of this discussion, the term "non-U.S. holder" means a beneficial owner (other than a partnership or other pass-through entity) of our common stock that is not, for U.S. federal income tax purposes:</w:t>
      </w:r>
    </w:p>
    <w:p>
      <w:pPr>
        <w:spacing w:after="0" w:line="208"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in effect under applicable U.S. Treasury Regulations to be treated as a U.S. person.</w:t>
      </w:r>
    </w:p>
    <w:p>
      <w:pPr>
        <w:spacing w:after="0" w:line="19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This discussion does not address the tax treatment of partnerships or other entities that are pass-through entities for U.S. federal income tax purposes or persons who hold shares of our common stock through partnerships or such other pass-through entities. The tax treatment of a partner in a partnership or other entity that is treated as a pass-through entity for U.S. federal income tax purposes generally will depend upon the status of the partner and the activities of the partnership. A partner in a partnership or other pass-through entity that will hold our common stock should consult his, her or its own tax advisor regarding the tax consequences of the ownership and disposition of our common stock through a partnership or other pass-through entity, as applicable.</w:t>
      </w:r>
    </w:p>
    <w:p>
      <w:pPr>
        <w:spacing w:after="0" w:line="170"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change or differing interpretation could alter the tax consequences to non-U.S. holders described in this prospectus. There can be no assurance that the Internal Revenue Service, or the IRS, will not challenge one or more of the tax consequences described in this prospectus.</w:t>
      </w:r>
    </w:p>
    <w:p>
      <w:pPr>
        <w:spacing w:after="0" w:line="197" w:lineRule="exact"/>
        <w:rPr>
          <w:sz w:val="20"/>
          <w:szCs w:val="20"/>
          <w:color w:val="auto"/>
        </w:rPr>
      </w:pPr>
    </w:p>
    <w:p>
      <w:pPr>
        <w:jc w:val="both"/>
        <w:ind w:firstLine="418"/>
        <w:spacing w:after="0" w:line="294" w:lineRule="auto"/>
        <w:rPr>
          <w:sz w:val="20"/>
          <w:szCs w:val="20"/>
          <w:color w:val="auto"/>
        </w:rPr>
      </w:pPr>
      <w:r>
        <w:rPr>
          <w:rFonts w:ascii="Arial" w:cs="Arial" w:eastAsia="Arial" w:hAnsi="Arial"/>
          <w:sz w:val="16"/>
          <w:szCs w:val="16"/>
          <w:color w:val="auto"/>
        </w:rPr>
        <w:t>This discussion addresses only non-U.S. holders that hold shares of our common stock as a capital asset (generally, property held for investment) for U.S. federal income tax purposes.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197"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owners that hold our common stock as part of a straddle, hedge, conversion transaction, synthetic security or other integrated investment or who have elected to mark securities to market;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non-U.S. governments;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19" w:lineRule="exact"/>
        <w:rPr>
          <w:sz w:val="20"/>
          <w:szCs w:val="20"/>
          <w:color w:val="auto"/>
        </w:rPr>
      </w:pPr>
    </w:p>
    <w:p>
      <w:pPr>
        <w:jc w:val="both"/>
        <w:ind w:firstLine="702"/>
        <w:spacing w:after="0" w:line="258" w:lineRule="auto"/>
        <w:rPr>
          <w:sz w:val="20"/>
          <w:szCs w:val="20"/>
          <w:color w:val="auto"/>
        </w:rPr>
      </w:pPr>
      <w:r>
        <w:rPr>
          <w:rFonts w:ascii="Arial" w:cs="Arial" w:eastAsia="Arial" w:hAnsi="Arial"/>
          <w:sz w:val="18"/>
          <w:szCs w:val="18"/>
          <w:b w:val="1"/>
          <w:bCs w:val="1"/>
          <w:color w:val="auto"/>
        </w:rPr>
        <w:t>THIS DISCUSSION IS FOR INFORMATION ONLY AND IS NOT, AND IS NOT INTENDED TO BE, LEGAL OR TAX ADVICE. PROSPECTIVE INVESTORS SHOULD CONSULT THEIR OWN TAX ADVISORS REGARDING THE U.S. FEDERAL, STATE, LOCAL, ESTATE AND NON-U.S. INCOME AND OTHER TAX CONSIDERATIONS OF ACQUIRING, HOLDING AND DISPOSING OF OUR COMMON STOCK, INCLUDING THE CONSEQUENCES OF ANY PROPOSED CHANGES IN APPLICABLE LAWS.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As discussed under the heading "Dividend Policy" above, we do not expect to pay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the non-U.S. holder's tax basis in the common stock. Any remaining excess will be treated as capital gain, subject to the tax treatment described below under the heading "Gain on Sale, Exchange or Other Taxable Disposition of Our Common Stock."</w:t>
      </w:r>
    </w:p>
    <w:p>
      <w:pPr>
        <w:spacing w:after="0" w:line="198" w:lineRule="exact"/>
        <w:rPr>
          <w:sz w:val="20"/>
          <w:szCs w:val="20"/>
          <w:color w:val="auto"/>
        </w:rPr>
      </w:pPr>
    </w:p>
    <w:p>
      <w:pPr>
        <w:jc w:val="both"/>
        <w:ind w:firstLine="413"/>
        <w:spacing w:after="0" w:line="289" w:lineRule="auto"/>
        <w:rPr>
          <w:sz w:val="20"/>
          <w:szCs w:val="20"/>
          <w:color w:val="auto"/>
        </w:rPr>
      </w:pPr>
      <w:r>
        <w:rPr>
          <w:rFonts w:ascii="Arial" w:cs="Arial" w:eastAsia="Arial" w:hAnsi="Arial"/>
          <w:sz w:val="16"/>
          <w:szCs w:val="16"/>
          <w:color w:val="auto"/>
        </w:rPr>
        <w:t>Subject to the discussions below under the headings "Information Reporting and Backup Withholding" and "FATCA", dividends paid to a non-U.S. holder generally will be subject to withholding of U.S. federal income tax at a 30% rate or such lower rate as may be specified by an applicable income tax treaty between the United States and such holder's country of residence. 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 urged to consult their own tax advisors regarding their entitlement to benefits under a relevant income tax treaty and the specific methods available to them to satisfy these requirements.</w:t>
      </w:r>
    </w:p>
    <w:p>
      <w:pPr>
        <w:spacing w:after="0" w:line="172" w:lineRule="exact"/>
        <w:rPr>
          <w:sz w:val="20"/>
          <w:szCs w:val="20"/>
          <w:color w:val="auto"/>
        </w:rPr>
      </w:pPr>
    </w:p>
    <w:p>
      <w:pPr>
        <w:jc w:val="both"/>
        <w:ind w:firstLine="422"/>
        <w:spacing w:after="0" w:line="289" w:lineRule="auto"/>
        <w:rPr>
          <w:sz w:val="20"/>
          <w:szCs w:val="20"/>
          <w:color w:val="auto"/>
        </w:rPr>
      </w:pPr>
      <w:r>
        <w:rPr>
          <w:rFonts w:ascii="Arial" w:cs="Arial" w:eastAsia="Arial" w:hAnsi="Arial"/>
          <w:sz w:val="16"/>
          <w:szCs w:val="16"/>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properly executed IRS Form W-8ECI (or applicable successor form) certifying that the dividends are effectively connected with the non-U.S. holder's conduct of a trade or business within the United States). However, such U.S. effectively connected income is taxed on a net income basis at the same U.S. federal income tax rates applicable to U.S. persons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Our Common Stock</w:t>
      </w:r>
    </w:p>
    <w:p>
      <w:pPr>
        <w:spacing w:after="0" w:line="231" w:lineRule="exact"/>
        <w:rPr>
          <w:sz w:val="20"/>
          <w:szCs w:val="20"/>
          <w:color w:val="auto"/>
        </w:rPr>
      </w:pPr>
    </w:p>
    <w:p>
      <w:pPr>
        <w:ind w:firstLine="355"/>
        <w:spacing w:after="0" w:line="268" w:lineRule="auto"/>
        <w:rPr>
          <w:sz w:val="20"/>
          <w:szCs w:val="20"/>
          <w:color w:val="auto"/>
        </w:rPr>
      </w:pPr>
      <w:r>
        <w:rPr>
          <w:rFonts w:ascii="Arial" w:cs="Arial" w:eastAsia="Arial" w:hAnsi="Arial"/>
          <w:sz w:val="18"/>
          <w:szCs w:val="18"/>
          <w:color w:val="auto"/>
        </w:rPr>
        <w:t>A non-U.S. holder generally will not be subject to U.S. federal income tax on gain recognized on the non-U.S. holder's sale, exchange or other disposition of our common stock unless:</w:t>
      </w:r>
    </w:p>
    <w:p>
      <w:pPr>
        <w:spacing w:after="0" w:line="199" w:lineRule="exact"/>
        <w:rPr>
          <w:sz w:val="20"/>
          <w:szCs w:val="20"/>
          <w:color w:val="auto"/>
        </w:rPr>
      </w:pPr>
    </w:p>
    <w:p>
      <w:pPr>
        <w:jc w:val="both"/>
        <w:ind w:left="1080" w:hanging="532"/>
        <w:spacing w:after="0" w:line="294"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which case, the non-U.S. holder generally will be taxed on a net income basis at the U.S. federal income tax rates applicable to U.S. persons (as defined in the Code) and, if the non-U.S. holder is a foreign corporation, an additional branch profits tax at a rate of 30% (or a lower rate as may be specified by an applicable income tax treaty between the United States and such holder's country of residence) may also apply;</w:t>
      </w:r>
    </w:p>
    <w:p>
      <w:pPr>
        <w:spacing w:after="0" w:line="196"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w:t>
      </w:r>
    </w:p>
    <w:p>
      <w:pPr>
        <w:spacing w:after="0" w:line="210" w:lineRule="exact"/>
        <w:rPr>
          <w:rFonts w:ascii="Arial" w:cs="Arial" w:eastAsia="Arial" w:hAnsi="Arial"/>
          <w:sz w:val="18"/>
          <w:szCs w:val="18"/>
          <w:color w:val="auto"/>
        </w:rPr>
      </w:pPr>
    </w:p>
    <w:p>
      <w:pPr>
        <w:jc w:val="both"/>
        <w:ind w:left="1080" w:hanging="532"/>
        <w:spacing w:after="0" w:line="286"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If we are determined to be a "U.S. real property holding corporation" and the foregoing exception does not apply, then the non-U.S. holder generally will be taxed on its net gain derived from the disposition at the U.S. federal income tax rates applicable to U.S. persons (as defined in the Code). Generally, a corporation is a "U.S. real property holding corporation" only if the fair market value of its "U.S. real property interests" (as defined in the Code and applicable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 No assurance can be provided that our common stock will be regularly traded on an established securities market for purposes of the rule described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231" w:lineRule="exact"/>
        <w:rPr>
          <w:sz w:val="20"/>
          <w:szCs w:val="20"/>
          <w:color w:val="auto"/>
        </w:rPr>
      </w:pPr>
    </w:p>
    <w:p>
      <w:pPr>
        <w:jc w:val="both"/>
        <w:ind w:firstLine="351"/>
        <w:spacing w:after="0" w:line="335" w:lineRule="auto"/>
        <w:rPr>
          <w:sz w:val="20"/>
          <w:szCs w:val="20"/>
          <w:color w:val="auto"/>
        </w:rPr>
      </w:pPr>
      <w:r>
        <w:rPr>
          <w:rFonts w:ascii="Arial" w:cs="Arial" w:eastAsia="Arial" w:hAnsi="Arial"/>
          <w:sz w:val="15"/>
          <w:szCs w:val="15"/>
          <w:color w:val="auto"/>
        </w:rPr>
        <w:t>Shares of our common stock that are owned or treated as owned by an individual who is not a citizen or resident of the United States (as specially defined for U.S. federal estate tax purposes) at the time of such individual's death are considered U.S.-situs assets and will be included in the individual's gross estate for U.S. federal estate tax purposes. Such shares, therefore, may be subject to U.S. federal estate tax, unless an applicable estate tax or other treaty provides otherwise.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jc w:val="both"/>
        <w:ind w:firstLine="387"/>
        <w:spacing w:after="0" w:line="298" w:lineRule="auto"/>
        <w:rPr>
          <w:sz w:val="20"/>
          <w:szCs w:val="20"/>
          <w:color w:val="auto"/>
        </w:rPr>
      </w:pPr>
      <w:r>
        <w:rPr>
          <w:rFonts w:ascii="Arial" w:cs="Arial" w:eastAsia="Arial" w:hAnsi="Arial"/>
          <w:sz w:val="16"/>
          <w:szCs w:val="16"/>
          <w:color w:val="auto"/>
        </w:rPr>
        <w:t>We must report annually to the IRS and to each non-U.S. holder the gross amount of the distributions on our common stock paid to such holder and the tax withheld, if any, with respect to such distributions. Non-U.S. holders generally will have to comply with specific certification procedures to establish that the holder is not a U.S. person (as defined in the Code) in order to avoid backup withholding at the applicable rate with respect to dividends on our common stock. Generally, a non-U.S. holder will comply with such procedures if it provides a properly executed IRS Form W-8BEN or W-8BEN-E (or other applicable IRS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Form W-8), or otherwise meets documentary evidence requirements for establishing that it is a non-U.S. holder, or otherwise establishes an exemption. Dividends paid to non-U.S. holders subject to withholding of U.S. federal income tax, as described above under the heading "—Distributions," will generally be exempt from U.S. backup withholding.</w:t>
      </w:r>
    </w:p>
    <w:p>
      <w:pPr>
        <w:spacing w:after="0" w:line="194" w:lineRule="exact"/>
        <w:rPr>
          <w:sz w:val="20"/>
          <w:szCs w:val="20"/>
          <w:color w:val="auto"/>
        </w:rPr>
      </w:pPr>
    </w:p>
    <w:p>
      <w:pPr>
        <w:jc w:val="both"/>
        <w:ind w:firstLine="361"/>
        <w:spacing w:after="0" w:line="253" w:lineRule="auto"/>
        <w:rPr>
          <w:sz w:val="20"/>
          <w:szCs w:val="20"/>
          <w:color w:val="auto"/>
        </w:rPr>
      </w:pPr>
      <w:r>
        <w:rPr>
          <w:rFonts w:ascii="Arial" w:cs="Arial" w:eastAsia="Arial" w:hAnsi="Arial"/>
          <w:sz w:val="18"/>
          <w:szCs w:val="18"/>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201"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86" w:lineRule="exact"/>
        <w:rPr>
          <w:sz w:val="20"/>
          <w:szCs w:val="20"/>
          <w:color w:val="auto"/>
        </w:rPr>
      </w:pPr>
    </w:p>
    <w:p>
      <w:pPr>
        <w:jc w:val="both"/>
        <w:ind w:right="20" w:firstLine="385"/>
        <w:spacing w:after="0" w:line="332" w:lineRule="auto"/>
        <w:rPr>
          <w:sz w:val="20"/>
          <w:szCs w:val="20"/>
          <w:color w:val="auto"/>
        </w:rPr>
      </w:pPr>
      <w:r>
        <w:rPr>
          <w:rFonts w:ascii="Arial" w:cs="Arial" w:eastAsia="Arial" w:hAnsi="Arial"/>
          <w:sz w:val="16"/>
          <w:szCs w:val="16"/>
          <w:color w:val="auto"/>
        </w:rPr>
        <w:t>Backup withholding is not an additional tax. Rather,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231"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Provisions of the Code commonly referred to as the Foreign Account Tax Compliance Act, or FATCA, generally impose a 30% withholding tax on dividends on, and, subject to the discussion below with respect to proposed U.S. Treasury Regulations excluding gross proceeds from such required withholding, gross proceeds from the sale or other disposition of, our common stock if paid to a foreign entity unless (i) if the foreign entity is a "foreign financial institution," the foreign entity undertakes certain due diligence, reporting, withholding and certification obligations, (ii) if the foreign entity is not a "foreign financial institution," the foreign entity identifies certain of its U.S. investors, if any, or (iii) the foreign entity is otherwise excepted under FATCA.</w:t>
      </w:r>
    </w:p>
    <w:p>
      <w:pPr>
        <w:spacing w:after="0" w:line="170" w:lineRule="exact"/>
        <w:rPr>
          <w:sz w:val="20"/>
          <w:szCs w:val="20"/>
          <w:color w:val="auto"/>
        </w:rPr>
      </w:pPr>
    </w:p>
    <w:p>
      <w:pPr>
        <w:jc w:val="both"/>
        <w:ind w:firstLine="408"/>
        <w:spacing w:after="0" w:line="256" w:lineRule="auto"/>
        <w:rPr>
          <w:sz w:val="20"/>
          <w:szCs w:val="20"/>
          <w:color w:val="auto"/>
        </w:rPr>
      </w:pPr>
      <w:r>
        <w:rPr>
          <w:rFonts w:ascii="Arial" w:cs="Arial" w:eastAsia="Arial" w:hAnsi="Arial"/>
          <w:sz w:val="18"/>
          <w:szCs w:val="18"/>
          <w:color w:val="auto"/>
        </w:rPr>
        <w:t>Withholding under FATCA generally applies to payments of dividends on our common stock. While withholding under FATCA may apply to payments of gross proceeds from a sale or other disposition of our common stock, under recently proposed U.S. Treasury Regulations withholding on payments of gross proceeds is not required. Although such regulations are not final, applicable withholding agents may rely on the proposed regulations until final regulations are issued.</w:t>
      </w:r>
    </w:p>
    <w:p>
      <w:pPr>
        <w:spacing w:after="0" w:line="19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92" w:lineRule="exact"/>
        <w:rPr>
          <w:sz w:val="20"/>
          <w:szCs w:val="20"/>
          <w:color w:val="auto"/>
        </w:rPr>
      </w:pPr>
    </w:p>
    <w:p>
      <w:pPr>
        <w:jc w:val="both"/>
        <w:ind w:firstLine="392"/>
        <w:spacing w:after="0" w:line="339" w:lineRule="auto"/>
        <w:rPr>
          <w:sz w:val="20"/>
          <w:szCs w:val="20"/>
          <w:color w:val="auto"/>
        </w:rPr>
      </w:pPr>
      <w:r>
        <w:rPr>
          <w:rFonts w:ascii="Arial" w:cs="Arial" w:eastAsia="Arial" w:hAnsi="Arial"/>
          <w:sz w:val="15"/>
          <w:szCs w:val="15"/>
          <w:b w:val="1"/>
          <w:bCs w:val="1"/>
          <w:color w:val="auto"/>
        </w:rPr>
        <w:t>The preceding discussion of material U.S. federal tax considerations is for information only. It is not, and is not intended to be, legal or tax advice. Prospective investors should consult their own tax advisors regarding the particular U.S. federal, state, local, estate and non-U.S. income and other tax consequences of acquiring, holding and disposing of our common stock, including the consequences of any proposed changes in applicable laws.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UNDERWRITERS</w:t>
      </w:r>
    </w:p>
    <w:p>
      <w:pPr>
        <w:spacing w:after="0" w:line="231" w:lineRule="exact"/>
        <w:rPr>
          <w:sz w:val="20"/>
          <w:szCs w:val="20"/>
          <w:color w:val="auto"/>
        </w:rPr>
      </w:pPr>
    </w:p>
    <w:p>
      <w:pPr>
        <w:jc w:val="both"/>
        <w:ind w:firstLine="371"/>
        <w:spacing w:after="0" w:line="259" w:lineRule="auto"/>
        <w:rPr>
          <w:sz w:val="20"/>
          <w:szCs w:val="20"/>
          <w:color w:val="auto"/>
        </w:rPr>
      </w:pPr>
      <w:r>
        <w:rPr>
          <w:rFonts w:ascii="Arial" w:cs="Arial" w:eastAsia="Arial" w:hAnsi="Arial"/>
          <w:sz w:val="18"/>
          <w:szCs w:val="18"/>
          <w:color w:val="auto"/>
        </w:rPr>
        <w:t>Under the terms and subject to the conditions in an underwriting agreement to be dated the date of this prospectus, the underwriters named below, for whom Morgan Stanley &amp; Co. LLC, BofA Securities, Inc. and SVB Leerink LLC are acting as representatives, will severally agreed to purchase, and we will agree to sell to them, severally, the number of shares indicated below:</w:t>
      </w:r>
    </w:p>
    <w:p>
      <w:pPr>
        <w:spacing w:after="0" w:line="190" w:lineRule="exact"/>
        <w:rPr>
          <w:sz w:val="20"/>
          <w:szCs w:val="20"/>
          <w:color w:val="auto"/>
        </w:rPr>
      </w:pPr>
    </w:p>
    <w:p>
      <w:pPr>
        <w:ind w:left="1720"/>
        <w:spacing w:after="0"/>
        <w:tabs>
          <w:tab w:leader="none" w:pos="838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0</wp:posOffset>
            </wp:positionV>
            <wp:extent cx="7975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SVB Leerink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Total:</w:t>
      </w:r>
    </w:p>
    <w:p>
      <w:pPr>
        <w:spacing w:after="0" w:line="219" w:lineRule="exact"/>
        <w:rPr>
          <w:sz w:val="20"/>
          <w:szCs w:val="20"/>
          <w:color w:val="auto"/>
        </w:rPr>
      </w:pPr>
    </w:p>
    <w:p>
      <w:pPr>
        <w:jc w:val="both"/>
        <w:ind w:firstLine="368"/>
        <w:spacing w:after="0" w:line="254"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will offer the shares of common stock subject to their acceptance of the shares from us and subject to prior sale. The underwriting agreement will provide that the obligations of the several underwriters to pay for and accept delivery of the shares of common stock offered by this prospectus are subject to the approval of certain legal matters by their counsel and to certain other conditions. The underwriters will be obligated to take and pay for all of the shares of common stock offered by this prospectus if any such shares are taken. However, the underwriters will not be required to take or pay for the shares covered by the underwriters' over-allotment option described below.</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 this</w:t>
      </w:r>
    </w:p>
    <w:p>
      <w:pPr>
        <w:spacing w:after="0" w:line="38"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47" w:lineRule="exact"/>
        <w:rPr>
          <w:sz w:val="20"/>
          <w:szCs w:val="20"/>
          <w:color w:val="auto"/>
        </w:rPr>
      </w:pPr>
    </w:p>
    <w:p>
      <w:pPr>
        <w:jc w:val="both"/>
        <w:ind w:firstLine="385"/>
        <w:spacing w:after="0" w:line="291" w:lineRule="auto"/>
        <w:rPr>
          <w:sz w:val="20"/>
          <w:szCs w:val="20"/>
          <w:color w:val="auto"/>
        </w:rPr>
      </w:pPr>
      <w:r>
        <w:rPr>
          <w:rFonts w:ascii="Arial" w:cs="Arial" w:eastAsia="Arial" w:hAnsi="Arial"/>
          <w:sz w:val="16"/>
          <w:szCs w:val="16"/>
          <w:color w:val="auto"/>
        </w:rPr>
        <w:t>We will grant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table shows the per share and total public offering price, underwriting discounts and commissions, and proceeds before expenses to us. These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80" w:type="dxa"/>
            <w:vAlign w:val="bottom"/>
            <w:gridSpan w:val="5"/>
          </w:tcPr>
          <w:p>
            <w:pPr>
              <w:spacing w:after="0"/>
              <w:rPr>
                <w:sz w:val="20"/>
                <w:szCs w:val="20"/>
                <w:color w:val="auto"/>
              </w:rPr>
            </w:pPr>
            <w:r>
              <w:rPr>
                <w:rFonts w:ascii="Arial" w:cs="Arial" w:eastAsia="Arial" w:hAnsi="Arial"/>
                <w:sz w:val="18"/>
                <w:szCs w:val="18"/>
                <w:color w:val="auto"/>
                <w:w w:val="88"/>
              </w:rPr>
              <w:t>amounts are shown assuming both no exercise and full exercise of the underwriters' option to purchase up to an additional</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20" w:type="dxa"/>
            <w:vAlign w:val="bottom"/>
            <w:gridSpan w:val="3"/>
          </w:tcPr>
          <w:p>
            <w:pPr>
              <w:ind w:left="200"/>
              <w:spacing w:after="0"/>
              <w:rPr>
                <w:sz w:val="20"/>
                <w:szCs w:val="20"/>
                <w:color w:val="auto"/>
              </w:rPr>
            </w:pPr>
            <w:r>
              <w:rPr>
                <w:rFonts w:ascii="Arial" w:cs="Arial" w:eastAsia="Arial" w:hAnsi="Arial"/>
                <w:sz w:val="18"/>
                <w:szCs w:val="18"/>
                <w:color w:val="auto"/>
              </w:rPr>
              <w:t>shares of common stock.</w:t>
            </w: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Per</w:t>
            </w:r>
          </w:p>
        </w:tc>
        <w:tc>
          <w:tcPr>
            <w:tcW w:w="56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Total</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60" w:type="dxa"/>
            <w:vAlign w:val="bottom"/>
            <w:tcBorders>
              <w:top w:val="single" w:sz="8" w:color="auto"/>
            </w:tcBorders>
          </w:tcPr>
          <w:p>
            <w:pPr>
              <w:jc w:val="right"/>
              <w:ind w:right="88"/>
              <w:spacing w:after="0" w:line="129" w:lineRule="exact"/>
              <w:rPr>
                <w:sz w:val="20"/>
                <w:szCs w:val="20"/>
                <w:color w:val="auto"/>
              </w:rPr>
            </w:pPr>
            <w:r>
              <w:rPr>
                <w:rFonts w:ascii="Arial" w:cs="Arial" w:eastAsia="Arial" w:hAnsi="Arial"/>
                <w:sz w:val="14"/>
                <w:szCs w:val="14"/>
                <w:b w:val="1"/>
                <w:bCs w:val="1"/>
                <w:color w:val="auto"/>
              </w:rPr>
              <w:t>No</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Full</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Exercise</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3"/>
              </w:rPr>
              <w:t>Exercise</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46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46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9700" w:type="dxa"/>
            <w:vAlign w:val="bottom"/>
            <w:gridSpan w:val="9"/>
          </w:tcPr>
          <w:p>
            <w:pPr>
              <w:ind w:left="400"/>
              <w:spacing w:after="0"/>
              <w:rPr>
                <w:sz w:val="20"/>
                <w:szCs w:val="20"/>
                <w:color w:val="auto"/>
              </w:rPr>
            </w:pPr>
            <w:r>
              <w:rPr>
                <w:rFonts w:ascii="Arial" w:cs="Arial" w:eastAsia="Arial" w:hAnsi="Arial"/>
                <w:sz w:val="18"/>
                <w:szCs w:val="18"/>
                <w:color w:val="auto"/>
                <w:w w:val="92"/>
              </w:rPr>
              <w:t>The estimated offering expenses payable by us, exclusive of the underwriting discounts and commissions, are approximately $</w:t>
            </w:r>
          </w:p>
        </w:tc>
        <w:tc>
          <w:tcPr>
            <w:tcW w:w="1720" w:type="dxa"/>
            <w:vAlign w:val="bottom"/>
          </w:tcPr>
          <w:p>
            <w:pPr>
              <w:jc w:val="right"/>
              <w:spacing w:after="0"/>
              <w:rPr>
                <w:sz w:val="20"/>
                <w:szCs w:val="20"/>
                <w:color w:val="auto"/>
              </w:rPr>
            </w:pPr>
            <w:r>
              <w:rPr>
                <w:rFonts w:ascii="Arial" w:cs="Arial" w:eastAsia="Arial" w:hAnsi="Arial"/>
                <w:sz w:val="18"/>
                <w:szCs w:val="18"/>
                <w:color w:val="auto"/>
              </w:rPr>
              <w:t>. We have agreed to</w:t>
            </w:r>
          </w:p>
        </w:tc>
        <w:tc>
          <w:tcPr>
            <w:tcW w:w="0" w:type="dxa"/>
            <w:vAlign w:val="bottom"/>
          </w:tcPr>
          <w:p>
            <w:pPr>
              <w:spacing w:after="0"/>
              <w:rPr>
                <w:sz w:val="1"/>
                <w:szCs w:val="1"/>
                <w:color w:val="auto"/>
              </w:rPr>
            </w:pPr>
          </w:p>
        </w:tc>
      </w:tr>
      <w:tr>
        <w:trPr>
          <w:trHeight w:val="222"/>
        </w:trPr>
        <w:tc>
          <w:tcPr>
            <w:tcW w:w="9700" w:type="dxa"/>
            <w:vAlign w:val="bottom"/>
            <w:gridSpan w:val="9"/>
          </w:tcPr>
          <w:p>
            <w:pPr>
              <w:spacing w:after="0"/>
              <w:rPr>
                <w:sz w:val="20"/>
                <w:szCs w:val="20"/>
                <w:color w:val="auto"/>
              </w:rPr>
            </w:pPr>
            <w:r>
              <w:rPr>
                <w:rFonts w:ascii="Arial" w:cs="Arial" w:eastAsia="Arial" w:hAnsi="Arial"/>
                <w:sz w:val="18"/>
                <w:szCs w:val="18"/>
                <w:color w:val="auto"/>
                <w:w w:val="92"/>
              </w:rPr>
              <w:t>reimburse the underwriters for expenses relating to clearance of this offering with the Financial Industry Regulatory Authority up to $</w:t>
            </w:r>
          </w:p>
        </w:tc>
        <w:tc>
          <w:tcPr>
            <w:tcW w:w="1720" w:type="dxa"/>
            <w:vAlign w:val="bottom"/>
          </w:tcPr>
          <w:p>
            <w:pPr>
              <w:jc w:val="right"/>
              <w:ind w:right="13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7360" w:type="dxa"/>
            <w:vAlign w:val="bottom"/>
            <w:gridSpan w:val="2"/>
          </w:tcPr>
          <w:p>
            <w:pPr>
              <w:jc w:val="right"/>
              <w:ind w:right="1432"/>
              <w:spacing w:after="0"/>
              <w:rPr>
                <w:sz w:val="20"/>
                <w:szCs w:val="20"/>
                <w:color w:val="auto"/>
              </w:rPr>
            </w:pPr>
            <w:r>
              <w:rPr>
                <w:rFonts w:ascii="Arial" w:cs="Arial" w:eastAsia="Arial" w:hAnsi="Arial"/>
                <w:sz w:val="18"/>
                <w:szCs w:val="18"/>
                <w:color w:val="auto"/>
              </w:rPr>
              <w:t>189</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63"/>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apply to list our common stock on the Nasdaq Global Market under the symbol "FULC".</w:t>
      </w:r>
    </w:p>
    <w:p>
      <w:pPr>
        <w:spacing w:after="0" w:line="225" w:lineRule="exact"/>
        <w:rPr>
          <w:sz w:val="20"/>
          <w:szCs w:val="20"/>
          <w:color w:val="auto"/>
        </w:rPr>
      </w:pPr>
    </w:p>
    <w:p>
      <w:pPr>
        <w:ind w:firstLine="516"/>
        <w:spacing w:after="0" w:line="332" w:lineRule="auto"/>
        <w:rPr>
          <w:sz w:val="20"/>
          <w:szCs w:val="20"/>
          <w:color w:val="auto"/>
        </w:rPr>
      </w:pPr>
      <w:r>
        <w:rPr>
          <w:rFonts w:ascii="Arial" w:cs="Arial" w:eastAsia="Arial" w:hAnsi="Arial"/>
          <w:sz w:val="16"/>
          <w:szCs w:val="16"/>
          <w:color w:val="auto"/>
        </w:rPr>
        <w:t>We and all of our directors and officers and the holders of all of our outstanding securities have agreed that, without the prior written consent of the representatives on behalf of the underwriters, we and they will not, during the period ending 180 days after the date of this prospectus (the "restricted period"):</w:t>
      </w:r>
    </w:p>
    <w:p>
      <w:pPr>
        <w:spacing w:after="0" w:line="153" w:lineRule="exact"/>
        <w:rPr>
          <w:sz w:val="20"/>
          <w:szCs w:val="20"/>
          <w:color w:val="auto"/>
        </w:rPr>
      </w:pPr>
    </w:p>
    <w:p>
      <w:pPr>
        <w:jc w:val="both"/>
        <w:ind w:left="1080" w:hanging="532"/>
        <w:spacing w:after="0" w:line="306"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make any public announcement of an intention to do any of the foregoing;</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file, or demand filing of, any registration statement with the SEC relating to the offering of any shares of common stock or any securities convertible into or exercisable or exchangeable for common stock; or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restrictions on transfers or other dispositions by holders of our outstanding securities described in the immediately preceding paragraph do not apply to:</w:t>
      </w:r>
    </w:p>
    <w:p>
      <w:pPr>
        <w:spacing w:after="0" w:line="262" w:lineRule="exact"/>
        <w:rPr>
          <w:sz w:val="20"/>
          <w:szCs w:val="20"/>
          <w:color w:val="auto"/>
        </w:rPr>
      </w:pPr>
    </w:p>
    <w:p>
      <w:pPr>
        <w:jc w:val="both"/>
        <w:ind w:left="1080" w:hanging="532"/>
        <w:spacing w:after="0" w:line="306"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transactions relating to shares of common stock or other securities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such open market transactions;</w:t>
      </w:r>
    </w:p>
    <w:p>
      <w:pPr>
        <w:spacing w:after="0" w:line="18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as a bona fide gift or gifts, or to a charitable organization or educational institution in a transaction not involving a disposition for value;</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to any member of the immediate family of the signatory or any trust for the direct or indirect benefit of the signatory or the immediate family of the signatory in a transaction not involving a disposition for value;</w:t>
      </w:r>
    </w:p>
    <w:p>
      <w:pPr>
        <w:spacing w:after="0" w:line="207"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security convertible into or exercisable or exchangeable for common stock (i) by will, other testamentary document or intestate succession to the legal representative, heir, beneficiary or a member of the immediate family of the signatory upon the death of the signatory or (ii) solely by operation of law pursuant to a qualified domestic order or in connection with a divorce settlement;</w:t>
      </w:r>
    </w:p>
    <w:p>
      <w:pPr>
        <w:spacing w:after="0" w:line="187" w:lineRule="exact"/>
        <w:rPr>
          <w:rFonts w:ascii="Arial" w:cs="Arial" w:eastAsia="Arial" w:hAnsi="Arial"/>
          <w:sz w:val="16"/>
          <w:szCs w:val="16"/>
          <w:color w:val="auto"/>
        </w:rPr>
      </w:pPr>
    </w:p>
    <w:p>
      <w:pPr>
        <w:jc w:val="both"/>
        <w:ind w:left="1080" w:right="20" w:hanging="532"/>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the signatory is an entity, transfers or distributions of shares of common stock or any security convertible into common stock to general or limited partners, members or stockholders of the signatory, the signatory's direct and indirect affiliates, or to an investment fund or other entity that controls or manages, or is under common control with, the signatory;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4"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any security convertible into or exercisable or exchangeable for common stock to us pursuant to any contractual arrangement in effect on the date of the lock-up agreement and disclosed to the underwriters that provides for the repurchase of the signatory's common stock or other securities by us or in connection with the termination of the signatory's employment with or service to us; provided that, subject to certain limited exceptions, no filing under Section 16(a) of the Exchange Act reporting a reduction in beneficial ownership of shares of common stock shall be required or shall be voluntarily made during the restricted period in connection with any such transfers or dispositions;</w:t>
      </w:r>
    </w:p>
    <w:p>
      <w:pPr>
        <w:spacing w:after="0" w:line="225"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conversion of outstanding shares of preferred stock described in this prospectus and outstanding as of the date of this prospectus into shares of common stock as described in this prospectus, provided that the shares of common stock received upon conversion shall be subject to the restrictions set forth in the lock-up agreement;</w:t>
      </w:r>
    </w:p>
    <w:p>
      <w:pPr>
        <w:spacing w:after="0" w:line="207"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exercise of stock options to purchase shares of common stock granted under plans described in this prospectus and any related transfer to us of shares of common stock, subject to certain limitations, including that any shares of common stock received upon exercise shall be subject to the restrictions on transfer set forth in the lock-up agreement; provided that, subject to certain limited exceptions, no filing under Section 16(a) of the Exchange Act reporting a reduction in beneficial ownership of shares of common stock shall be required or shall be voluntarily made during the restricted period;</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w:t>
      </w:r>
    </w:p>
    <w:p>
      <w:pPr>
        <w:spacing w:after="0" w:line="38" w:lineRule="exact"/>
        <w:rPr>
          <w:rFonts w:ascii="Arial" w:cs="Arial" w:eastAsia="Arial" w:hAnsi="Arial"/>
          <w:sz w:val="16"/>
          <w:szCs w:val="16"/>
          <w:color w:val="auto"/>
        </w:rPr>
      </w:pPr>
    </w:p>
    <w:p>
      <w:pPr>
        <w:jc w:val="both"/>
        <w:ind w:left="1080"/>
        <w:spacing w:after="0" w:line="302" w:lineRule="auto"/>
        <w:rPr>
          <w:rFonts w:ascii="Arial" w:cs="Arial" w:eastAsia="Arial" w:hAnsi="Arial"/>
          <w:sz w:val="16"/>
          <w:szCs w:val="16"/>
          <w:color w:val="auto"/>
        </w:rPr>
      </w:pPr>
      <w:r>
        <w:rPr>
          <w:rFonts w:ascii="Arial" w:cs="Arial" w:eastAsia="Arial" w:hAnsi="Arial"/>
          <w:sz w:val="16"/>
          <w:szCs w:val="16"/>
          <w:color w:val="auto"/>
        </w:rPr>
        <w:t>(i) such plan does not provide for the transfer of common stock during the restricted period and (ii) to the extent a public announcement or filing under the Exchange Act, if any, is required of or voluntarily made regarding the establishment of such plan, such announcement or filing shall include a statement to the effect that no transfer of common stock may be made under such plan during the restricted period; or</w:t>
      </w:r>
    </w:p>
    <w:p>
      <w:pPr>
        <w:spacing w:after="0" w:line="190" w:lineRule="exact"/>
        <w:rPr>
          <w:rFonts w:ascii="Arial" w:cs="Arial" w:eastAsia="Arial" w:hAnsi="Arial"/>
          <w:sz w:val="16"/>
          <w:szCs w:val="16"/>
          <w:color w:val="auto"/>
        </w:rPr>
      </w:pPr>
    </w:p>
    <w:p>
      <w:pPr>
        <w:jc w:val="both"/>
        <w:ind w:left="1080" w:hanging="532"/>
        <w:spacing w:after="0" w:line="255"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transfers of shares of common stock (or any securities convertible into or exercisable or exchangeable for common stock) pursuant to a bona fide third-party tender offer for shares of our capital stock made to all holders of securities, merger, consolidation or other similar transaction approved by our board of directors the result of which is a change of control or (ii) entry into any lock-up, voting or similar agreement pursuant to which the signatory may agree to transfer, sell, tender or otherwise dispose of shares of common stock or such other securities in connection with such a change of control;</w:t>
      </w:r>
    </w:p>
    <w:p>
      <w:pPr>
        <w:spacing w:after="0" w:line="196" w:lineRule="exact"/>
        <w:rPr>
          <w:rFonts w:ascii="Arial" w:cs="Arial" w:eastAsia="Arial" w:hAnsi="Arial"/>
          <w:sz w:val="18"/>
          <w:szCs w:val="18"/>
          <w:color w:val="auto"/>
        </w:rPr>
      </w:pPr>
    </w:p>
    <w:p>
      <w:pPr>
        <w:jc w:val="both"/>
        <w:ind w:left="1080"/>
        <w:spacing w:after="0" w:line="291" w:lineRule="auto"/>
        <w:rPr>
          <w:rFonts w:ascii="Arial" w:cs="Arial" w:eastAsia="Arial" w:hAnsi="Arial"/>
          <w:sz w:val="18"/>
          <w:szCs w:val="18"/>
          <w:color w:val="auto"/>
        </w:rPr>
      </w:pPr>
      <w:r>
        <w:rPr>
          <w:rFonts w:ascii="Arial" w:cs="Arial" w:eastAsia="Arial" w:hAnsi="Arial"/>
          <w:sz w:val="16"/>
          <w:szCs w:val="16"/>
          <w:color w:val="auto"/>
        </w:rPr>
        <w:t>provided that in the case of any transfer, disposition or distribution pursuant to the second, third, fourth or fifth bullet (i) each transferee, donee or distributee shall agree to be subject to the restrictions described in the immediately preceding paragraph and (ii) no filing under Section 16(a) of the Exchange Act, reporting a reduction in beneficial ownership of shares of common stock, shall be required or shall be voluntarily made during the restricted period (other than, in the case of a transfer or other disposition pursuant to the third bullet above, any Form 4 or Form 5 required to be filed under the Exchange Act if the signatory is subject to Section 16 reporting with respect to us under the Exchange Act and indicating by footnote disclosure or otherwise the nature of the transfer or disposition).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restrictions on transfers or other dispositions by us described in the paragraph above do not apply to:</w:t>
      </w:r>
    </w:p>
    <w:p>
      <w:pPr>
        <w:spacing w:after="0" w:line="239"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shares to be sold in this offering; or</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a warrant or the conversion of a security outstanding on the date of this prospectus pursuant to stock plans disclosed in this prospectus.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8"/>
          <w:szCs w:val="18"/>
          <w:color w:val="auto"/>
        </w:rPr>
        <w:t>The representatives, in their sole discretion, may release the common stock and other securities subject to the lock-up agreements described above in whole or in part at any time.</w:t>
      </w:r>
    </w:p>
    <w:p>
      <w:pPr>
        <w:spacing w:after="0" w:line="186" w:lineRule="exact"/>
        <w:rPr>
          <w:sz w:val="20"/>
          <w:szCs w:val="20"/>
          <w:color w:val="auto"/>
        </w:rPr>
      </w:pPr>
    </w:p>
    <w:p>
      <w:pPr>
        <w:jc w:val="both"/>
        <w:ind w:firstLine="412"/>
        <w:spacing w:after="0" w:line="286"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and the underwriters will agree to indemnify each other against certain liabilities, including liabilities under the Securities Act.</w:t>
      </w:r>
    </w:p>
    <w:p>
      <w:pPr>
        <w:spacing w:after="0" w:line="225" w:lineRule="exact"/>
        <w:rPr>
          <w:sz w:val="20"/>
          <w:szCs w:val="20"/>
          <w:color w:val="auto"/>
        </w:rPr>
      </w:pPr>
    </w:p>
    <w:p>
      <w:pPr>
        <w:jc w:val="both"/>
        <w:ind w:firstLine="583"/>
        <w:spacing w:after="0" w:line="256"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97" w:lineRule="exact"/>
        <w:rPr>
          <w:sz w:val="20"/>
          <w:szCs w:val="20"/>
          <w:color w:val="auto"/>
        </w:rPr>
      </w:pPr>
    </w:p>
    <w:p>
      <w:pPr>
        <w:jc w:val="both"/>
        <w:ind w:firstLine="480"/>
        <w:spacing w:after="0" w:line="298"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67" w:lineRule="exact"/>
        <w:rPr>
          <w:sz w:val="20"/>
          <w:szCs w:val="20"/>
          <w:color w:val="auto"/>
        </w:rPr>
      </w:pPr>
    </w:p>
    <w:p>
      <w:pPr>
        <w:jc w:val="both"/>
        <w:ind w:firstLine="463"/>
        <w:spacing w:after="0" w:line="254"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231" w:lineRule="exact"/>
        <w:rPr>
          <w:sz w:val="20"/>
          <w:szCs w:val="20"/>
          <w:color w:val="auto"/>
        </w:rPr>
      </w:pPr>
    </w:p>
    <w:p>
      <w:pPr>
        <w:jc w:val="both"/>
        <w:ind w:firstLine="371"/>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are our future prospects and those of our industry in general, our sales, earnings and certain other financial and operating information in recent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periods, and the price-earnings ratios, price-sales ratios, market prices of securities, and certain financial and operating information of companies engaged in activities similar to ours.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211"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207"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39"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39" w:lineRule="exact"/>
        <w:rPr>
          <w:sz w:val="20"/>
          <w:szCs w:val="20"/>
          <w:color w:val="auto"/>
        </w:rPr>
      </w:pPr>
    </w:p>
    <w:p>
      <w:pPr>
        <w:jc w:val="both"/>
        <w:ind w:left="1080" w:hanging="532"/>
        <w:spacing w:after="0" w:line="256"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ind w:firstLine="381"/>
        <w:spacing w:after="0" w:line="33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73"/>
        <w:spacing w:after="0" w:line="298" w:lineRule="auto"/>
        <w:rPr>
          <w:sz w:val="20"/>
          <w:szCs w:val="20"/>
          <w:color w:val="auto"/>
        </w:rPr>
      </w:pPr>
      <w:r>
        <w:rPr>
          <w:rFonts w:ascii="Arial" w:cs="Arial" w:eastAsia="Arial" w:hAnsi="Arial"/>
          <w:sz w:val="16"/>
          <w:szCs w:val="16"/>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225" w:lineRule="exact"/>
        <w:rPr>
          <w:sz w:val="20"/>
          <w:szCs w:val="20"/>
          <w:color w:val="auto"/>
        </w:rPr>
      </w:pPr>
    </w:p>
    <w:p>
      <w:pPr>
        <w:jc w:val="both"/>
        <w:ind w:firstLine="373"/>
        <w:spacing w:after="0" w:line="298"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Non-QII Investors</w:t>
      </w:r>
    </w:p>
    <w:p>
      <w:pPr>
        <w:spacing w:after="0" w:line="225" w:lineRule="exact"/>
        <w:rPr>
          <w:sz w:val="20"/>
          <w:szCs w:val="20"/>
          <w:color w:val="auto"/>
        </w:rPr>
      </w:pPr>
    </w:p>
    <w:p>
      <w:pPr>
        <w:jc w:val="both"/>
        <w:ind w:right="20" w:firstLine="373"/>
        <w:spacing w:after="0" w:line="298"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jc w:val="both"/>
        <w:ind w:firstLine="371"/>
        <w:spacing w:after="0" w:line="298" w:lineRule="auto"/>
        <w:rPr>
          <w:sz w:val="20"/>
          <w:szCs w:val="20"/>
          <w:color w:val="auto"/>
        </w:rPr>
      </w:pPr>
      <w:r>
        <w:rPr>
          <w:rFonts w:ascii="Arial" w:cs="Arial" w:eastAsia="Arial" w:hAnsi="Arial"/>
          <w:sz w:val="16"/>
          <w:szCs w:val="16"/>
          <w:color w:val="auto"/>
        </w:rPr>
        <w:t xml:space="preserve">Shares of our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shares of our common stock must be made in accordance with an exemption from, or in a transaction not subject to, the prospectus requirements of applicable securities laws.</w:t>
      </w:r>
    </w:p>
    <w:p>
      <w:pPr>
        <w:spacing w:after="0" w:line="167" w:lineRule="exact"/>
        <w:rPr>
          <w:sz w:val="20"/>
          <w:szCs w:val="20"/>
          <w:color w:val="auto"/>
        </w:rPr>
      </w:pPr>
    </w:p>
    <w:p>
      <w:pPr>
        <w:jc w:val="both"/>
        <w:ind w:firstLine="515"/>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w:t>
      </w:r>
    </w:p>
    <w:p>
      <w:pPr>
        <w:spacing w:after="0" w:line="225" w:lineRule="exact"/>
        <w:rPr>
          <w:sz w:val="20"/>
          <w:szCs w:val="20"/>
          <w:color w:val="auto"/>
        </w:rPr>
      </w:pPr>
    </w:p>
    <w:p>
      <w:pPr>
        <w:jc w:val="both"/>
        <w:ind w:firstLine="358"/>
        <w:spacing w:after="0" w:line="256" w:lineRule="auto"/>
        <w:rPr>
          <w:sz w:val="20"/>
          <w:szCs w:val="20"/>
          <w:color w:val="auto"/>
        </w:rPr>
      </w:pPr>
      <w:r>
        <w:rPr>
          <w:rFonts w:ascii="Arial" w:cs="Arial" w:eastAsia="Arial" w:hAnsi="Arial"/>
          <w:sz w:val="18"/>
          <w:szCs w:val="18"/>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underwriters purchasing for their own account, venture capital funds, and entities with shareholders' equity in excess of NIS 50 million, each as defined in the Addendum (as it may be amended from time to time, collectively referred to as institutional investors). Institutional investors may be required to submit written confirmation that they fall within the scope of the Addendum. In addition, we may distribute and direct this prospectus in Israel, at our sole discretion, to certain other exempt investors or to investors who do not qualify as institutional or exempt investors, provided that the number of such non-qualified investors in Israel shall be no greater than 35 in any 12-month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225"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this offering may be publicly distributed or otherwise made publicly available in Switzerland. Neither this prospectus nor any other offering or marketing material relating to this offering, us, or the shares have been or will be filed with or approved by any Swiss regulatory authority. In particular, this prospectus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225" w:lineRule="exact"/>
        <w:rPr>
          <w:sz w:val="20"/>
          <w:szCs w:val="20"/>
          <w:color w:val="auto"/>
        </w:rPr>
      </w:pPr>
    </w:p>
    <w:p>
      <w:pPr>
        <w:jc w:val="both"/>
        <w:ind w:firstLine="496"/>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225" w:lineRule="exact"/>
        <w:rPr>
          <w:sz w:val="20"/>
          <w:szCs w:val="20"/>
          <w:color w:val="auto"/>
        </w:rPr>
      </w:pPr>
    </w:p>
    <w:p>
      <w:pPr>
        <w:jc w:val="both"/>
        <w:ind w:firstLine="404"/>
        <w:spacing w:after="0" w:line="294"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or ASIC, in relation to this offering. This prospectus does not constitute a prospectus, product disclosure statement or other disclosure document under the Corporations Act 2001, or the Corporations Act, and does not purport to include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for a prospectus, product disclosure statement or other disclosure document under the Corporations Act.</w:t>
      </w:r>
    </w:p>
    <w:p>
      <w:pPr>
        <w:spacing w:after="0" w:line="225" w:lineRule="exact"/>
        <w:rPr>
          <w:sz w:val="20"/>
          <w:szCs w:val="20"/>
          <w:color w:val="auto"/>
        </w:rPr>
      </w:pPr>
    </w:p>
    <w:p>
      <w:pPr>
        <w:jc w:val="both"/>
        <w:ind w:firstLine="500"/>
        <w:spacing w:after="0" w:line="256"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7" w:lineRule="exact"/>
        <w:rPr>
          <w:sz w:val="20"/>
          <w:szCs w:val="20"/>
          <w:color w:val="auto"/>
        </w:rPr>
      </w:pPr>
    </w:p>
    <w:p>
      <w:pPr>
        <w:jc w:val="both"/>
        <w:ind w:firstLine="366"/>
        <w:spacing w:after="0" w:line="298"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67"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 or their needs, objectives and circumstances, and, if necessary, seek expert advice on those matters.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jc w:val="both"/>
        <w:ind w:firstLine="366"/>
        <w:spacing w:after="0" w:line="289"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shares which are or are intended to be disposed of only to persons outside Hong Kong or only to "professional investors" as defined in the Securities and Futures Ordinance and any rules made under that Ordinance.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our shares may not be circulated or distributed, nor may our shares be offered or sold, or be made the subject of an invitation for subscription or purchase, whether directly or indirectly, to persons in Singapore other than (1) to an institutional investor under Section 274 of the Securities and Futures Act, Chapter 289 of Singapore, or the SFA, (2) to a relevant person or any person pursuant to Section 275(1A), and in accordance with the conditions specified in Section 275 of the SFA, or (3) otherwise pursuant to, and in accordance with the conditions of, any other applicable provision of the SFA, in each case subject to compliance with conditions set forth in the SFA.</w:t>
      </w:r>
    </w:p>
    <w:p>
      <w:pPr>
        <w:spacing w:after="0" w:line="174"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Where our shares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accredited investor; shares, debentures and units of shares and debentures of that corporation or the beneficiaries' rights and interest (howsoever described) in that trust shall not be transferred within six months after that corporation or that trust has acquired the shares under Section 275 of the SFA, except: (1) 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 (2) where no consideration is or will be given for the transfer; or (3) where the transfer is by operation of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Saudi Arabia</w:t>
      </w:r>
    </w:p>
    <w:p>
      <w:pPr>
        <w:spacing w:after="0" w:line="225"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auto"/>
        </w:rPr>
        <w:t>This prospectus may not be distributed in the Kingdom of Saudi Arabia except to such persons as are permitted under the Offers of Securities Regulations as issued by the board of the Saudi Arabian Capital Market Authority, or the CMA pursuant to resolution number 2-11-2004 dated 4 October 2004 as amended by resolution number 1-28-2008, as amended, or the CMA Regulations. The CMA does not make any representation as to the accuracy or completeness of this prospectus and expressly disclaims any liability whatsoever for any loss arising from, or incurred in reliance upon, any part of this prospectus. Prospective purchasers of the shares offered hereby should conduct their own due diligence on the accuracy of the information relating to the shares. If you do not understand the contents of this prospectus, you should consult an authorized financial adviser.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w:t>
      </w:r>
    </w:p>
    <w:p>
      <w:pPr>
        <w:spacing w:after="0" w:line="225"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color w:val="auto"/>
        </w:rPr>
        <w:t>This prospectus does not constitute a public offer of shares, whether by sale or subscription, in the People's Republic of China, or the PRC. The shares are not being offered or sold directly or indirectly in the PRC to or for the benefit of, legal or natural persons of the PRC.</w:t>
      </w:r>
    </w:p>
    <w:p>
      <w:pPr>
        <w:spacing w:after="0" w:line="186" w:lineRule="exact"/>
        <w:rPr>
          <w:sz w:val="20"/>
          <w:szCs w:val="20"/>
          <w:color w:val="auto"/>
        </w:rPr>
      </w:pPr>
    </w:p>
    <w:p>
      <w:pPr>
        <w:jc w:val="both"/>
        <w:ind w:firstLine="404"/>
        <w:spacing w:after="0" w:line="259" w:lineRule="auto"/>
        <w:rPr>
          <w:sz w:val="20"/>
          <w:szCs w:val="20"/>
          <w:color w:val="auto"/>
        </w:rPr>
      </w:pPr>
      <w:r>
        <w:rPr>
          <w:rFonts w:ascii="Arial" w:cs="Arial" w:eastAsia="Arial" w:hAnsi="Arial"/>
          <w:sz w:val="18"/>
          <w:szCs w:val="18"/>
          <w:color w:val="auto"/>
        </w:rPr>
        <w:t>Further, no legal or natural persons of the PRC may directly or indirectly purchase any of the shares or any beneficial interest therein without obtaining all prior PRC's governmental approvals that are required, whether statutorily or otherwise. Persons who come into possession of this prospectus are required by the issuer and its representatives to observe these restrictions.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Korea</w:t>
      </w:r>
    </w:p>
    <w:p>
      <w:pPr>
        <w:spacing w:after="0" w:line="225" w:lineRule="exact"/>
        <w:rPr>
          <w:sz w:val="20"/>
          <w:szCs w:val="20"/>
          <w:color w:val="auto"/>
        </w:rPr>
      </w:pPr>
    </w:p>
    <w:p>
      <w:pPr>
        <w:jc w:val="both"/>
        <w:ind w:firstLine="517"/>
        <w:spacing w:after="0" w:line="289"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Taiwan</w:t>
      </w:r>
    </w:p>
    <w:p>
      <w:pPr>
        <w:spacing w:after="0" w:line="225" w:lineRule="exact"/>
        <w:rPr>
          <w:sz w:val="20"/>
          <w:szCs w:val="20"/>
          <w:color w:val="auto"/>
        </w:rPr>
      </w:pPr>
    </w:p>
    <w:p>
      <w:pPr>
        <w:jc w:val="both"/>
        <w:ind w:firstLine="550"/>
        <w:spacing w:after="0" w:line="298"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this offering and sale of the shares in Taiwan.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firstLine="594"/>
        <w:spacing w:after="0" w:line="268" w:lineRule="auto"/>
        <w:rPr>
          <w:sz w:val="20"/>
          <w:szCs w:val="20"/>
          <w:color w:val="auto"/>
        </w:rPr>
      </w:pPr>
      <w:r>
        <w:rPr>
          <w:rFonts w:ascii="Arial" w:cs="Arial" w:eastAsia="Arial" w:hAnsi="Arial"/>
          <w:sz w:val="18"/>
          <w:szCs w:val="18"/>
          <w:color w:val="auto"/>
        </w:rPr>
        <w:t>The validity of the shares of common stock offered hereby is being passed upon for us by Wilmer Cutler Pickering Hale and Dorr LLP, Boston, Massachusetts. Ropes &amp; Gray LLP, Boston, Massachusetts is acting as counsel for the underwriters in connection with this offering.</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at December 31, 2017 and 2018, and for each of the two years in the period ended December 31, 2018, as set forth in their report (which contains an explanatory paragraph describing conditions that raise substantial doubt about the company's ability to continue as a going concern as described in Note 1 to the consolidated financial statements). We have included our financial statements in the prospectus and elsewhere in the registration statement in reliance on Ernst &amp; Young LLP's report, given on their authority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we are offering to sell. This prospectus, which constitutes part of the registration statement, does not include all of the information contained in the registration statement and the exhibits, schedules and amendments to the registration statement. For further information with respect to us and our common stock, we refer you to the registration statement and to the exhibits and schedules to the registration statement. Statements contained in this prospectus about the contents of any contract, agreement or other document are not necessarily complete, and, in each instance, we refer you to the copy of the contract, agreement or other document filed as an exhibit to the registration statement. Each of these statements is qualified in all respects by this reference to such contract, agreement or document.</w:t>
      </w:r>
    </w:p>
    <w:p>
      <w:pPr>
        <w:spacing w:after="0" w:line="174" w:lineRule="exact"/>
        <w:rPr>
          <w:sz w:val="20"/>
          <w:szCs w:val="20"/>
          <w:color w:val="auto"/>
        </w:rPr>
      </w:pPr>
    </w:p>
    <w:p>
      <w:pPr>
        <w:jc w:val="both"/>
        <w:ind w:firstLine="600"/>
        <w:spacing w:after="0" w:line="290" w:lineRule="auto"/>
        <w:rPr>
          <w:sz w:val="20"/>
          <w:szCs w:val="20"/>
          <w:color w:val="auto"/>
        </w:rPr>
      </w:pPr>
      <w:r>
        <w:rPr>
          <w:rFonts w:ascii="Arial" w:cs="Arial" w:eastAsia="Arial" w:hAnsi="Arial"/>
          <w:sz w:val="16"/>
          <w:szCs w:val="16"/>
          <w:color w:val="auto"/>
        </w:rPr>
        <w:t>The SEC maintains an Internet website, which is located at http://www.sec.gov, that contains reports, proxy and information statements and other information regarding issuers that file electronically with the SEC. You may access the registration statement of which this prospectus is a part at the SEC's Internet website. Upon completion of this offering, we will be subject to the information reporting requirements of the Securities Exchange Act of 1934, as amended, and we will file reports, proxy statements and other information with the SEC. We plan to fulfill our obligations with respect to such requirements by filing periodic reports and other information with the SEC. We intend to furnish our stockholders with annual reports containing financial statements certified by an independent registered public accounting firm. Our website address is www.fulcrumtx.com. The information contained on, or that can be accessed through, our website is not a part of this prospectus. We have included our website address in this prospectus solely as an inactive textual reference.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07"/>
        </w:trPr>
        <w:tc>
          <w:tcPr>
            <w:tcW w:w="988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6700" w:type="dxa"/>
            <w:vAlign w:val="bottom"/>
            <w:gridSpan w:val="6"/>
          </w:tcPr>
          <w:p>
            <w:pPr>
              <w:jc w:val="center"/>
              <w:ind w:right="168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740" w:type="dxa"/>
            <w:vAlign w:val="bottom"/>
            <w:gridSpan w:val="8"/>
          </w:tcPr>
          <w:p>
            <w:pPr>
              <w:spacing w:after="0"/>
              <w:rPr>
                <w:rFonts w:ascii="Arial" w:cs="Arial" w:eastAsia="Arial" w:hAnsi="Arial"/>
                <w:sz w:val="18"/>
                <w:szCs w:val="18"/>
                <w:color w:val="0000EE"/>
              </w:rPr>
            </w:pPr>
            <w:hyperlink w:anchor="page205">
              <w:r>
                <w:rPr>
                  <w:rFonts w:ascii="Arial" w:cs="Arial" w:eastAsia="Arial" w:hAnsi="Arial"/>
                  <w:sz w:val="18"/>
                  <w:szCs w:val="18"/>
                  <w:color w:val="0000EE"/>
                </w:rPr>
                <w:t>Report of Independent Registered Public Accounting Firm</w:t>
              </w:r>
            </w:hyperlink>
          </w:p>
        </w:tc>
        <w:tc>
          <w:tcPr>
            <w:tcW w:w="1540" w:type="dxa"/>
            <w:vAlign w:val="bottom"/>
            <w:gridSpan w:val="2"/>
          </w:tcPr>
          <w:p>
            <w:pPr>
              <w:spacing w:after="0"/>
              <w:rPr>
                <w:rFonts w:ascii="Arial" w:cs="Arial" w:eastAsia="Arial" w:hAnsi="Arial"/>
                <w:sz w:val="18"/>
                <w:szCs w:val="18"/>
                <w:color w:val="0000EE"/>
              </w:rPr>
            </w:pPr>
            <w:hyperlink w:anchor="page205">
              <w:r>
                <w:rPr>
                  <w:rFonts w:ascii="Arial" w:cs="Arial" w:eastAsia="Arial" w:hAnsi="Arial"/>
                  <w:sz w:val="18"/>
                  <w:szCs w:val="18"/>
                  <w:color w:val="0000EE"/>
                </w:rPr>
                <w:t>F-2</w:t>
              </w:r>
            </w:hyperlink>
          </w:p>
        </w:tc>
      </w:tr>
      <w:tr>
        <w:trPr>
          <w:trHeight w:val="196"/>
        </w:trPr>
        <w:tc>
          <w:tcPr>
            <w:tcW w:w="1140" w:type="dxa"/>
            <w:vAlign w:val="bottom"/>
          </w:tcPr>
          <w:p>
            <w:pPr>
              <w:spacing w:after="0"/>
              <w:rPr>
                <w:sz w:val="17"/>
                <w:szCs w:val="17"/>
                <w:color w:val="auto"/>
              </w:rPr>
            </w:pPr>
          </w:p>
        </w:tc>
        <w:tc>
          <w:tcPr>
            <w:tcW w:w="41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Consolidated Balance Sheets</w:t>
              </w:r>
            </w:hyperlink>
          </w:p>
        </w:tc>
        <w:tc>
          <w:tcPr>
            <w:tcW w:w="4620" w:type="dxa"/>
            <w:vAlign w:val="bottom"/>
            <w:gridSpan w:val="3"/>
          </w:tcPr>
          <w:p>
            <w:pPr>
              <w:spacing w:after="0"/>
              <w:rPr>
                <w:sz w:val="17"/>
                <w:szCs w:val="17"/>
                <w:color w:val="auto"/>
              </w:rPr>
            </w:pPr>
          </w:p>
        </w:tc>
        <w:tc>
          <w:tcPr>
            <w:tcW w:w="240" w:type="dxa"/>
            <w:vAlign w:val="bottom"/>
            <w:tcBorders>
              <w:top w:val="single" w:sz="8" w:color="0000EE"/>
            </w:tcBorders>
          </w:tcPr>
          <w:p>
            <w:pPr>
              <w:spacing w:after="0" w:line="196" w:lineRule="exact"/>
              <w:rPr>
                <w:rFonts w:ascii="Arial" w:cs="Arial" w:eastAsia="Arial" w:hAnsi="Arial"/>
                <w:sz w:val="18"/>
                <w:szCs w:val="18"/>
                <w:color w:val="0000EE"/>
                <w:w w:val="81"/>
              </w:rPr>
            </w:pPr>
            <w:hyperlink w:anchor="page206">
              <w:r>
                <w:rPr>
                  <w:rFonts w:ascii="Arial" w:cs="Arial" w:eastAsia="Arial" w:hAnsi="Arial"/>
                  <w:sz w:val="18"/>
                  <w:szCs w:val="18"/>
                  <w:color w:val="0000EE"/>
                  <w:w w:val="81"/>
                </w:rPr>
                <w:t>F-3</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5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07">
              <w:r>
                <w:rPr>
                  <w:rFonts w:ascii="Arial" w:cs="Arial" w:eastAsia="Arial" w:hAnsi="Arial"/>
                  <w:sz w:val="18"/>
                  <w:szCs w:val="18"/>
                  <w:color w:val="0000EE"/>
                  <w:w w:val="87"/>
                </w:rPr>
                <w:t>Consolidated Statements of Operations and Comprehensive Loss</w:t>
              </w:r>
            </w:hyperlink>
          </w:p>
        </w:tc>
        <w:tc>
          <w:tcPr>
            <w:tcW w:w="4160" w:type="dxa"/>
            <w:vAlign w:val="bottom"/>
            <w:gridSpan w:val="2"/>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207">
              <w:r>
                <w:rPr>
                  <w:rFonts w:ascii="Arial" w:cs="Arial" w:eastAsia="Arial" w:hAnsi="Arial"/>
                  <w:sz w:val="18"/>
                  <w:szCs w:val="18"/>
                  <w:color w:val="0000EE"/>
                  <w:w w:val="81"/>
                </w:rPr>
                <w:t>F-4</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740" w:type="dxa"/>
            <w:vAlign w:val="bottom"/>
            <w:gridSpan w:val="8"/>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Consolidated Statements of Convertible Preferred Stock and Stockholders' (Deficit) Equity</w:t>
              </w:r>
            </w:hyperlink>
          </w:p>
        </w:tc>
        <w:tc>
          <w:tcPr>
            <w:tcW w:w="1540" w:type="dxa"/>
            <w:vAlign w:val="bottom"/>
            <w:gridSpan w:val="2"/>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F-5</w:t>
              </w:r>
            </w:hyperlink>
          </w:p>
        </w:tc>
      </w:tr>
      <w:tr>
        <w:trPr>
          <w:trHeight w:val="196"/>
        </w:trPr>
        <w:tc>
          <w:tcPr>
            <w:tcW w:w="1140" w:type="dxa"/>
            <w:vAlign w:val="bottom"/>
          </w:tcPr>
          <w:p>
            <w:pPr>
              <w:spacing w:after="0"/>
              <w:rPr>
                <w:sz w:val="17"/>
                <w:szCs w:val="17"/>
                <w:color w:val="auto"/>
              </w:rPr>
            </w:pPr>
          </w:p>
        </w:tc>
        <w:tc>
          <w:tcPr>
            <w:tcW w:w="6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Consolidated Statements of Cash Flows</w:t>
              </w:r>
            </w:hyperlink>
          </w:p>
        </w:tc>
        <w:tc>
          <w:tcPr>
            <w:tcW w:w="2340" w:type="dxa"/>
            <w:vAlign w:val="bottom"/>
          </w:tcPr>
          <w:p>
            <w:pPr>
              <w:spacing w:after="0"/>
              <w:rPr>
                <w:sz w:val="17"/>
                <w:szCs w:val="17"/>
                <w:color w:val="auto"/>
              </w:rPr>
            </w:pPr>
          </w:p>
        </w:tc>
        <w:tc>
          <w:tcPr>
            <w:tcW w:w="240" w:type="dxa"/>
            <w:vAlign w:val="bottom"/>
            <w:tcBorders>
              <w:top w:val="single" w:sz="8" w:color="0000EE"/>
            </w:tcBorders>
          </w:tcPr>
          <w:p>
            <w:pPr>
              <w:spacing w:after="0" w:line="196" w:lineRule="exact"/>
              <w:rPr>
                <w:rFonts w:ascii="Arial" w:cs="Arial" w:eastAsia="Arial" w:hAnsi="Arial"/>
                <w:sz w:val="18"/>
                <w:szCs w:val="18"/>
                <w:color w:val="0000EE"/>
                <w:w w:val="81"/>
              </w:rPr>
            </w:pPr>
            <w:hyperlink w:anchor="page209">
              <w:r>
                <w:rPr>
                  <w:rFonts w:ascii="Arial" w:cs="Arial" w:eastAsia="Arial" w:hAnsi="Arial"/>
                  <w:sz w:val="18"/>
                  <w:szCs w:val="18"/>
                  <w:color w:val="0000EE"/>
                  <w:w w:val="81"/>
                </w:rPr>
                <w:t>F-6</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740" w:type="dxa"/>
            <w:vAlign w:val="bottom"/>
            <w:gridSpan w:val="8"/>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Notes to Consolidated Financial Statements</w:t>
              </w:r>
            </w:hyperlink>
          </w:p>
        </w:tc>
        <w:tc>
          <w:tcPr>
            <w:tcW w:w="1540" w:type="dxa"/>
            <w:vAlign w:val="bottom"/>
            <w:gridSpan w:val="2"/>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F-7</w:t>
              </w:r>
            </w:hyperlink>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620" w:type="dxa"/>
            <w:vAlign w:val="bottom"/>
            <w:gridSpan w:val="3"/>
          </w:tcPr>
          <w:p>
            <w:pPr>
              <w:jc w:val="center"/>
              <w:ind w:right="3700"/>
              <w:spacing w:after="0"/>
              <w:rPr>
                <w:sz w:val="20"/>
                <w:szCs w:val="20"/>
                <w:color w:val="auto"/>
              </w:rPr>
            </w:pPr>
            <w:r>
              <w:rPr>
                <w:rFonts w:ascii="Arial" w:cs="Arial" w:eastAsia="Arial" w:hAnsi="Arial"/>
                <w:sz w:val="18"/>
                <w:szCs w:val="18"/>
                <w:color w:val="auto"/>
                <w:w w:val="88"/>
              </w:rPr>
              <w:t>F-1</w:t>
            </w:r>
          </w:p>
        </w:tc>
        <w:tc>
          <w:tcPr>
            <w:tcW w:w="2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Fulcrum Therapeutics,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We have audited the accompanying consolidated balance sheets of Fulcrum Therapeutics, Inc. (the Company) as of December 31, 2018 and 2017, the related consolidated statements of operations and comprehensive loss, convertible preferred stock and stockholders' (deficit)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the years then ended, in conformity with U.S. generally accepted accounting principles.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231" w:lineRule="exact"/>
        <w:rPr>
          <w:sz w:val="20"/>
          <w:szCs w:val="20"/>
          <w:color w:val="auto"/>
        </w:rPr>
      </w:pPr>
    </w:p>
    <w:p>
      <w:pPr>
        <w:jc w:val="both"/>
        <w:ind w:firstLine="471"/>
        <w:spacing w:after="0" w:line="294"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a history of losses and negative operating cash flows, will require additional capital to fund its current operating plan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jc w:val="both"/>
        <w:ind w:firstLine="471"/>
        <w:spacing w:after="0" w:line="25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ind w:firstLine="383"/>
        <w:spacing w:after="0" w:line="314" w:lineRule="auto"/>
        <w:rPr>
          <w:sz w:val="20"/>
          <w:szCs w:val="20"/>
          <w:color w:val="auto"/>
        </w:rPr>
      </w:pPr>
      <w:r>
        <w:rPr>
          <w:rFonts w:ascii="Arial" w:cs="Arial" w:eastAsia="Arial" w:hAnsi="Arial"/>
          <w:sz w:val="15"/>
          <w:szCs w:val="15"/>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 2019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72,797</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74,095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74,095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10,546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10,546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Total assets</w:t>
            </w:r>
          </w:p>
        </w:tc>
        <w:tc>
          <w:tcPr>
            <w:tcW w:w="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4,340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85,771</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85,771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convertible preferred stock, and stockholders' (deficit) equity</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1,673</w:t>
            </w:r>
          </w:p>
        </w:tc>
        <w:tc>
          <w:tcPr>
            <w:tcW w:w="1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1,263</w:t>
            </w:r>
          </w:p>
        </w:tc>
        <w:tc>
          <w:tcPr>
            <w:tcW w:w="10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1,263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rPr>
              <w:t>Deferred lease incentive, current portion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2,785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4,229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Deferred rent, excluding current portion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lease incentive, excluding current portion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Other liabilities, excluding current portion</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9,771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 (Note 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Series A convertible preferred stock, $0.001 par value; 60,000,000 shares authorized as of</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3"/>
              </w:rPr>
              <w:t>December 31, 2017 and 2018; 34,666,666 and 60,000,000 shares issued and outstanding as of</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1"/>
              </w:rPr>
              <w:t>December 31, 2017 and 2018, respectively (liquidation preference of $67,187 as of December 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2018); no shares issued or outstanding, pro forma as of December 31, 2018 (unaudited)</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34,587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59,909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00" w:type="dxa"/>
            <w:vAlign w:val="bottom"/>
          </w:tcPr>
          <w:p>
            <w:pPr>
              <w:spacing w:after="0" w:line="138" w:lineRule="exact"/>
              <w:rPr>
                <w:sz w:val="20"/>
                <w:szCs w:val="20"/>
                <w:color w:val="auto"/>
              </w:rPr>
            </w:pPr>
            <w:r>
              <w:rPr>
                <w:rFonts w:ascii="Arial" w:cs="Arial" w:eastAsia="Arial" w:hAnsi="Arial"/>
                <w:sz w:val="14"/>
                <w:szCs w:val="14"/>
                <w:color w:val="auto"/>
                <w:w w:val="86"/>
              </w:rPr>
              <w:t>Series B convertible preferred stock, $0.001 par value; no shares and 40,000,000 shares authorized as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40"/>
              <w:spacing w:after="0" w:line="149" w:lineRule="exact"/>
              <w:rPr>
                <w:sz w:val="20"/>
                <w:szCs w:val="20"/>
                <w:color w:val="auto"/>
              </w:rPr>
            </w:pPr>
            <w:r>
              <w:rPr>
                <w:rFonts w:ascii="Arial" w:cs="Arial" w:eastAsia="Arial" w:hAnsi="Arial"/>
                <w:sz w:val="14"/>
                <w:szCs w:val="14"/>
                <w:color w:val="auto"/>
                <w:w w:val="87"/>
              </w:rPr>
              <w:t>December 31, 2017 and 2018, respectively; no shares and 40,000,000 shares issued and outstanding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40"/>
              <w:spacing w:after="0" w:line="149" w:lineRule="exact"/>
              <w:rPr>
                <w:sz w:val="20"/>
                <w:szCs w:val="20"/>
                <w:color w:val="auto"/>
              </w:rPr>
            </w:pPr>
            <w:r>
              <w:rPr>
                <w:rFonts w:ascii="Arial" w:cs="Arial" w:eastAsia="Arial" w:hAnsi="Arial"/>
                <w:sz w:val="14"/>
                <w:szCs w:val="14"/>
                <w:color w:val="auto"/>
              </w:rPr>
              <w:t>as of December 31, 2017 and 2018, respectively (liquidation preference of $82,261 as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40"/>
              <w:spacing w:after="0" w:line="149" w:lineRule="exact"/>
              <w:rPr>
                <w:sz w:val="20"/>
                <w:szCs w:val="20"/>
                <w:color w:val="auto"/>
              </w:rPr>
            </w:pPr>
            <w:r>
              <w:rPr>
                <w:rFonts w:ascii="Arial" w:cs="Arial" w:eastAsia="Arial" w:hAnsi="Arial"/>
                <w:sz w:val="14"/>
                <w:szCs w:val="14"/>
                <w:color w:val="auto"/>
                <w:w w:val="98"/>
              </w:rPr>
              <w:t>December 31, 2018); no shares issued or outstanding, pro forma as of December 31, 2018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tcPr>
          <w:p>
            <w:pPr>
              <w:ind w:left="140"/>
              <w:spacing w:after="0" w:line="159" w:lineRule="exact"/>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79,761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Stockholders' (deficit) equity:</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00" w:type="dxa"/>
            <w:vAlign w:val="bottom"/>
          </w:tcPr>
          <w:p>
            <w:pPr>
              <w:ind w:left="140"/>
              <w:spacing w:after="0" w:line="138" w:lineRule="exact"/>
              <w:rPr>
                <w:sz w:val="20"/>
                <w:szCs w:val="20"/>
                <w:color w:val="auto"/>
              </w:rPr>
            </w:pPr>
            <w:r>
              <w:rPr>
                <w:rFonts w:ascii="Arial" w:cs="Arial" w:eastAsia="Arial" w:hAnsi="Arial"/>
                <w:sz w:val="14"/>
                <w:szCs w:val="14"/>
                <w:color w:val="auto"/>
                <w:w w:val="87"/>
              </w:rPr>
              <w:t>Common stock, $0.001 par value; 80,000,000 and 135,000,000 shares authorized as of 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w w:val="89"/>
              </w:rPr>
              <w:t>2017 and 2018, respectively; 18,401,555 and 19,542,588 shares issued as of December 31, 2017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w w:val="86"/>
              </w:rPr>
              <w:t>and 2018, respectively; 6,806,102 and 11,116,085 shares outstanding as of December 31, 2017 and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w w:val="89"/>
              </w:rPr>
              <w:t>2018, respectively; 119,542,588 and 111,116,085 shares issued and outstanding, pro forma as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tcPr>
          <w:p>
            <w:pPr>
              <w:ind w:left="280"/>
              <w:spacing w:after="0" w:line="159" w:lineRule="exact"/>
              <w:rPr>
                <w:sz w:val="20"/>
                <w:szCs w:val="20"/>
                <w:color w:val="auto"/>
              </w:rPr>
            </w:pPr>
            <w:r>
              <w:rPr>
                <w:rFonts w:ascii="Arial" w:cs="Arial" w:eastAsia="Arial" w:hAnsi="Arial"/>
                <w:sz w:val="14"/>
                <w:szCs w:val="14"/>
                <w:color w:val="auto"/>
              </w:rPr>
              <w:t>December 31, 2018 (unaudited)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0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w w:val="88"/>
              </w:rPr>
              <w:t>Treasury stock, at cost; 56,250 and 469,169 shares as of December 31, 2017 and 2018, respectively;</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469,169 shares, pro forma as of December 31, 2018 (unaudited)</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40"/>
              <w:spacing w:after="0" w:line="149" w:lineRule="exact"/>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2,264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4,443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144,013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Accumulated deficit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(35,536)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(68,124)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(68,124)</w:t>
            </w:r>
          </w:p>
        </w:tc>
        <w:tc>
          <w:tcPr>
            <w:tcW w:w="0" w:type="dxa"/>
            <w:vAlign w:val="bottom"/>
          </w:tcPr>
          <w:p>
            <w:pPr>
              <w:spacing w:after="0"/>
              <w:rPr>
                <w:sz w:val="1"/>
                <w:szCs w:val="1"/>
                <w:color w:val="auto"/>
              </w:rPr>
            </w:pPr>
          </w:p>
        </w:tc>
      </w:tr>
      <w:tr>
        <w:trPr>
          <w:trHeight w:val="142"/>
        </w:trPr>
        <w:tc>
          <w:tcPr>
            <w:tcW w:w="5720" w:type="dxa"/>
            <w:vAlign w:val="bottom"/>
            <w:gridSpan w:val="2"/>
          </w:tcPr>
          <w:p>
            <w:pPr>
              <w:spacing w:after="0" w:line="142" w:lineRule="exact"/>
              <w:rPr>
                <w:sz w:val="20"/>
                <w:szCs w:val="20"/>
                <w:color w:val="auto"/>
              </w:rPr>
            </w:pPr>
            <w:r>
              <w:rPr>
                <w:rFonts w:ascii="Arial" w:cs="Arial" w:eastAsia="Arial" w:hAnsi="Arial"/>
                <w:sz w:val="14"/>
                <w:szCs w:val="14"/>
                <w:color w:val="auto"/>
              </w:rPr>
              <w:t>Total stockholders' (deficit) equity</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(33,265)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(63,670)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liabilities, convertible preferred stock, and stockholders' (deficit) equity</w:t>
            </w:r>
          </w:p>
        </w:tc>
        <w:tc>
          <w:tcPr>
            <w:tcW w:w="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4,340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85,771</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85,771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59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53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18,494</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(22,993)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(33,498)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(22,964)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(32,588)</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Cumulative convertible preferred stock dividends</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(6,559)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(25,371)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(39,147)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(5.09</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(4.45</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Weighted average number of common shares used in net loss per share attributable to common</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basic and diluted</w:t>
            </w: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w w:val="91"/>
              </w:rPr>
              <w:t>Pro forma net loss per share attributable to common stockholders, basic and diluted (unaudited)</w:t>
            </w: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(0.43</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Pro forma weighted average number of common shares used in net loss per share attributable to</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stockholders, basic and diluted (unaudited)</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76,655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 Equity</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share amounts)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5"/>
              </w:rPr>
              <w:t>Series A</w:t>
            </w:r>
          </w:p>
        </w:tc>
        <w:tc>
          <w:tcPr>
            <w:tcW w:w="900" w:type="dxa"/>
            <w:vAlign w:val="bottom"/>
            <w:gridSpan w:val="4"/>
          </w:tcPr>
          <w:p>
            <w:pPr>
              <w:jc w:val="center"/>
              <w:ind w:left="332"/>
              <w:spacing w:after="0"/>
              <w:rPr>
                <w:sz w:val="20"/>
                <w:szCs w:val="20"/>
                <w:color w:val="auto"/>
              </w:rPr>
            </w:pPr>
            <w:r>
              <w:rPr>
                <w:rFonts w:ascii="Arial" w:cs="Arial" w:eastAsia="Arial" w:hAnsi="Arial"/>
                <w:sz w:val="14"/>
                <w:szCs w:val="14"/>
                <w:b w:val="1"/>
                <w:bCs w:val="1"/>
                <w:color w:val="auto"/>
                <w:w w:val="82"/>
              </w:rPr>
              <w:t>Series B</w:t>
            </w:r>
          </w:p>
        </w:tc>
        <w:tc>
          <w:tcPr>
            <w:tcW w:w="4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60" w:type="dxa"/>
            <w:vAlign w:val="bottom"/>
            <w:gridSpan w:val="6"/>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460" w:type="dxa"/>
            <w:vAlign w:val="bottom"/>
            <w:tcBorders>
              <w:right w:val="single" w:sz="8" w:color="auto"/>
            </w:tcBorders>
            <w:gridSpan w:val="6"/>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60" w:type="dxa"/>
            <w:vAlign w:val="bottom"/>
            <w:gridSpan w:val="6"/>
            <w:vMerge w:val="continue"/>
          </w:tcPr>
          <w:p>
            <w:pPr>
              <w:spacing w:after="0"/>
              <w:rPr>
                <w:sz w:val="4"/>
                <w:szCs w:val="4"/>
                <w:color w:val="auto"/>
              </w:rPr>
            </w:pPr>
          </w:p>
        </w:tc>
        <w:tc>
          <w:tcPr>
            <w:tcW w:w="1460" w:type="dxa"/>
            <w:vAlign w:val="bottom"/>
            <w:tcBorders>
              <w:right w:val="single" w:sz="8" w:color="auto"/>
            </w:tcBorders>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6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w w:val="88"/>
              </w:rPr>
              <w:t>Preferred Stock</w:t>
            </w:r>
          </w:p>
        </w:tc>
        <w:tc>
          <w:tcPr>
            <w:tcW w:w="1460" w:type="dxa"/>
            <w:vAlign w:val="bottom"/>
            <w:tcBorders>
              <w:right w:val="single" w:sz="8" w:color="auto"/>
            </w:tcBorders>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88"/>
              </w:rPr>
              <w:t>Preferred Stock</w:t>
            </w:r>
          </w:p>
        </w:tc>
        <w:tc>
          <w:tcPr>
            <w:tcW w:w="60" w:type="dxa"/>
            <w:vAlign w:val="bottom"/>
          </w:tcPr>
          <w:p>
            <w:pPr>
              <w:spacing w:after="0"/>
              <w:rPr>
                <w:sz w:val="8"/>
                <w:szCs w:val="8"/>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8"/>
              </w:rPr>
              <w:t>Treasury Stock</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360" w:type="dxa"/>
            <w:vAlign w:val="bottom"/>
            <w:gridSpan w:val="6"/>
            <w:vMerge w:val="continue"/>
          </w:tcPr>
          <w:p>
            <w:pPr>
              <w:spacing w:after="0"/>
              <w:rPr>
                <w:sz w:val="5"/>
                <w:szCs w:val="5"/>
                <w:color w:val="auto"/>
              </w:rPr>
            </w:pPr>
          </w:p>
        </w:tc>
        <w:tc>
          <w:tcPr>
            <w:tcW w:w="1460" w:type="dxa"/>
            <w:vAlign w:val="bottom"/>
            <w:tcBorders>
              <w:right w:val="single" w:sz="8" w:color="auto"/>
            </w:tcBorders>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jc w:val="right"/>
              <w:ind w:right="72"/>
              <w:spacing w:after="0" w:line="149"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5"/>
                <w:szCs w:val="5"/>
                <w:color w:val="auto"/>
              </w:rPr>
            </w:pPr>
          </w:p>
        </w:tc>
        <w:tc>
          <w:tcPr>
            <w:tcW w:w="880" w:type="dxa"/>
            <w:vAlign w:val="bottom"/>
            <w:gridSpan w:val="3"/>
            <w:vMerge w:val="restart"/>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66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Shares</w:t>
            </w:r>
          </w:p>
        </w:tc>
        <w:tc>
          <w:tcPr>
            <w:tcW w:w="2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2016</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17,000,000</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16,962</w:t>
            </w:r>
          </w:p>
        </w:tc>
        <w:tc>
          <w:tcPr>
            <w:tcW w:w="6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3,559,520</w:t>
            </w:r>
          </w:p>
        </w:tc>
        <w:tc>
          <w:tcPr>
            <w:tcW w:w="380" w:type="dxa"/>
            <w:vAlign w:val="bottom"/>
            <w:gridSpan w:val="2"/>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rPr>
              <w:t>— $</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887</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(12,572)</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(11,681)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Series A</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89"/>
              </w:rPr>
              <w:t>stock at $1.00</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90"/>
              </w:rPr>
              <w:t>per share, net</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of issuance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costs of $42</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6"/>
              </w:rPr>
              <w:t>17,666,666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3"/>
              </w:rPr>
              <w:t>17,625</w:t>
            </w:r>
          </w:p>
        </w:tc>
        <w:tc>
          <w:tcPr>
            <w:tcW w:w="6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stock</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3,246,582</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w w:val="98"/>
              </w:rPr>
              <w:t>Repurchase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unvested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w w:val="95"/>
              </w:rPr>
              <w:t>stock awards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56,250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9"/>
              </w:rPr>
              <w:t>compensation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expense</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1,371</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(22,964)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(22,964)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34,666,666</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34,587</w:t>
            </w:r>
          </w:p>
        </w:tc>
        <w:tc>
          <w:tcPr>
            <w:tcW w:w="6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6,806,102</w:t>
            </w:r>
          </w:p>
        </w:tc>
        <w:tc>
          <w:tcPr>
            <w:tcW w:w="380" w:type="dxa"/>
            <w:vAlign w:val="bottom"/>
            <w:gridSpan w:val="2"/>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56,250</w:t>
            </w: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w w:val="76"/>
              </w:rPr>
              <w:t>$</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2,264</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(35,536)</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(33,265)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vMerge w:val="restart"/>
          </w:tcPr>
          <w:p>
            <w:pPr>
              <w:ind w:left="120"/>
              <w:spacing w:after="0" w:line="158" w:lineRule="exact"/>
              <w:rPr>
                <w:sz w:val="20"/>
                <w:szCs w:val="20"/>
                <w:color w:val="auto"/>
              </w:rPr>
            </w:pPr>
            <w:r>
              <w:rPr>
                <w:rFonts w:ascii="Arial" w:cs="Arial" w:eastAsia="Arial" w:hAnsi="Arial"/>
                <w:sz w:val="14"/>
                <w:szCs w:val="14"/>
                <w:color w:val="auto"/>
              </w:rPr>
              <w:t>Issuance of</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Series A</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89"/>
              </w:rPr>
              <w:t>stock at $1.00</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90"/>
              </w:rPr>
              <w:t>per share, net</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of issuance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costs of $11</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6"/>
              </w:rPr>
              <w:t>25,333,334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3"/>
              </w:rPr>
              <w:t>25,322</w:t>
            </w:r>
          </w:p>
        </w:tc>
        <w:tc>
          <w:tcPr>
            <w:tcW w:w="6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Series B</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9"/>
              </w:rPr>
              <w:t>stock at $2.00</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0"/>
              </w:rPr>
              <w:t>per share, net</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of issuance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w w:val="93"/>
              </w:rPr>
              <w:t>costs of $239</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40,000,000</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79,761</w:t>
            </w:r>
          </w:p>
        </w:tc>
        <w:tc>
          <w:tcPr>
            <w:tcW w:w="1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stock</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4,309,983</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20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8"/>
              </w:rPr>
              <w:t>Repurchase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unvested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w w:val="95"/>
              </w:rPr>
              <w:t>stock awards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655,980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Retirement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treasury</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shares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(243,061)</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9"/>
              </w:rPr>
              <w:t>compensation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expense</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2,159</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(32,588)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(32,588)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2018</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60,000,000</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59,909</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40,000,000</w:t>
            </w:r>
          </w:p>
        </w:tc>
        <w:tc>
          <w:tcPr>
            <w:tcW w:w="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79,761</w:t>
            </w:r>
          </w:p>
        </w:tc>
        <w:tc>
          <w:tcPr>
            <w:tcW w:w="1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11,116,085</w:t>
            </w:r>
          </w:p>
        </w:tc>
        <w:tc>
          <w:tcPr>
            <w:tcW w:w="380" w:type="dxa"/>
            <w:vAlign w:val="bottom"/>
            <w:gridSpan w:val="2"/>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469,169</w:t>
            </w: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w w:val="76"/>
              </w:rPr>
              <w:t>$</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4,443</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(68,124)</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(63,670)</w:t>
            </w: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line="158" w:lineRule="exact"/>
              <w:rPr>
                <w:sz w:val="20"/>
                <w:szCs w:val="20"/>
                <w:color w:val="auto"/>
              </w:rPr>
            </w:pPr>
            <w:r>
              <w:rPr>
                <w:rFonts w:ascii="Arial" w:cs="Arial" w:eastAsia="Arial" w:hAnsi="Arial"/>
                <w:sz w:val="14"/>
                <w:szCs w:val="14"/>
                <w:color w:val="auto"/>
              </w:rPr>
              <w:t>Pro forma</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06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w w:val="96"/>
              </w:rPr>
              <w:t>preferred 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and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stockholders'</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equity</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auto"/>
              </w:rPr>
              <w:t>(unaudited):</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Conversion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stock into</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stock</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(unaudited)</w:t>
            </w:r>
          </w:p>
        </w:tc>
        <w:tc>
          <w:tcPr>
            <w:tcW w:w="7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0"/>
              </w:rPr>
              <w:t>(60,000,000)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88"/>
              </w:rPr>
              <w:t>(59,909)</w:t>
            </w:r>
          </w:p>
        </w:tc>
        <w:tc>
          <w:tcPr>
            <w:tcW w:w="7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3"/>
              </w:rPr>
              <w:t>(40,000,000)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4"/>
              </w:rPr>
              <w:t>(79,761)</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100,000,000</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100</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139,570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139,670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060" w:type="dxa"/>
            <w:vAlign w:val="bottom"/>
            <w:gridSpan w:val="2"/>
          </w:tcPr>
          <w:p>
            <w:pPr>
              <w:spacing w:after="0" w:line="131" w:lineRule="exact"/>
              <w:rPr>
                <w:sz w:val="20"/>
                <w:szCs w:val="20"/>
                <w:color w:val="auto"/>
              </w:rPr>
            </w:pPr>
            <w:r>
              <w:rPr>
                <w:rFonts w:ascii="Arial" w:cs="Arial" w:eastAsia="Arial" w:hAnsi="Arial"/>
                <w:sz w:val="14"/>
                <w:szCs w:val="14"/>
                <w:color w:val="auto"/>
                <w:w w:val="90"/>
              </w:rPr>
              <w:t>Pro forma balance</w:t>
            </w: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at</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2018</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auto"/>
              </w:rPr>
              <w:t>(unaudited)</w:t>
            </w:r>
          </w:p>
        </w:tc>
        <w:tc>
          <w:tcPr>
            <w:tcW w:w="8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 $</w:t>
            </w: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 $</w:t>
            </w: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w w:val="89"/>
              </w:rPr>
              <w:t>111,116,085</w:t>
            </w:r>
          </w:p>
        </w:tc>
        <w:tc>
          <w:tcPr>
            <w:tcW w:w="38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w w:val="85"/>
              </w:rPr>
              <w:t>111</w:t>
            </w: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469,169</w:t>
            </w:r>
          </w:p>
        </w:tc>
        <w:tc>
          <w:tcPr>
            <w:tcW w:w="40" w:type="dxa"/>
            <w:vAlign w:val="bottom"/>
          </w:tcPr>
          <w:p>
            <w:pPr>
              <w:spacing w:after="0"/>
              <w:rPr>
                <w:sz w:val="13"/>
                <w:szCs w:val="13"/>
                <w:color w:val="auto"/>
              </w:rPr>
            </w:pPr>
          </w:p>
        </w:tc>
        <w:tc>
          <w:tcPr>
            <w:tcW w:w="420" w:type="dxa"/>
            <w:vAlign w:val="bottom"/>
            <w:gridSpan w:val="2"/>
          </w:tcPr>
          <w:p>
            <w:pPr>
              <w:jc w:val="right"/>
              <w:ind w:right="272"/>
              <w:spacing w:after="0" w:line="159" w:lineRule="exact"/>
              <w:rPr>
                <w:sz w:val="20"/>
                <w:szCs w:val="20"/>
                <w:color w:val="auto"/>
              </w:rPr>
            </w:pPr>
            <w:r>
              <w:rPr>
                <w:rFonts w:ascii="Arial" w:cs="Arial" w:eastAsia="Arial" w:hAnsi="Arial"/>
                <w:sz w:val="14"/>
                <w:szCs w:val="14"/>
                <w:color w:val="auto"/>
                <w:w w:val="76"/>
              </w:rPr>
              <w:t>$</w:t>
            </w: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144,013</w:t>
            </w:r>
          </w:p>
        </w:tc>
        <w:tc>
          <w:tcPr>
            <w:tcW w:w="2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(68,124)</w:t>
            </w:r>
          </w:p>
        </w:tc>
        <w:tc>
          <w:tcPr>
            <w:tcW w:w="16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76,000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2" w:right="1259" w:bottom="1147"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(22,964)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 and deferred lease incentive</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(20,074)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(22,562)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(8,981)</w:t>
            </w:r>
          </w:p>
        </w:tc>
        <w:tc>
          <w:tcPr>
            <w:tcW w:w="0" w:type="dxa"/>
            <w:vAlign w:val="bottom"/>
          </w:tcPr>
          <w:p>
            <w:pPr>
              <w:spacing w:after="0"/>
              <w:rPr>
                <w:sz w:val="1"/>
                <w:szCs w:val="1"/>
                <w:color w:val="auto"/>
              </w:rPr>
            </w:pPr>
          </w:p>
        </w:tc>
      </w:tr>
      <w:tr>
        <w:trPr>
          <w:trHeight w:val="430"/>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w w:val="96"/>
              </w:rPr>
              <w:t>Proceeds from issuance of Series A convertible preferred stock, net of issuance costs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w w:val="96"/>
              </w:rPr>
              <w:t>Proceeds from issuance of Series B convertible preferred stock, net of issuance costs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79,761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73,482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66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660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8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Property and equipment purchases unpaid at end of period</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provides a reconciliation of the cash, cash equivalents, and restricted cash balances as of each of the periods shown above:</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Restricted cash</w:t>
            </w:r>
          </w:p>
        </w:tc>
        <w:tc>
          <w:tcPr>
            <w:tcW w:w="1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73,889</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31" w:lineRule="exact"/>
        <w:rPr>
          <w:sz w:val="20"/>
          <w:szCs w:val="20"/>
          <w:color w:val="auto"/>
        </w:rPr>
      </w:pPr>
    </w:p>
    <w:p>
      <w:pPr>
        <w:jc w:val="both"/>
        <w:ind w:firstLine="426"/>
        <w:spacing w:after="0" w:line="268" w:lineRule="auto"/>
        <w:rPr>
          <w:sz w:val="20"/>
          <w:szCs w:val="20"/>
          <w:color w:val="auto"/>
        </w:rPr>
      </w:pPr>
      <w:r>
        <w:rPr>
          <w:rFonts w:ascii="Arial" w:cs="Arial" w:eastAsia="Arial" w:hAnsi="Arial"/>
          <w:sz w:val="18"/>
          <w:szCs w:val="18"/>
          <w:color w:val="auto"/>
        </w:rPr>
        <w:t>Fulcrum Therapeutics, Inc. (the "Company" or "Fulcrum") was incorporated in Delaware on August 18, 2015. The Company is focused on improving the lives of patients with genetically defined diseases in areas of high unmet medical need, with an initial focus on rare diseases.</w:t>
      </w:r>
    </w:p>
    <w:p>
      <w:pPr>
        <w:spacing w:after="0" w:line="186" w:lineRule="exact"/>
        <w:rPr>
          <w:sz w:val="20"/>
          <w:szCs w:val="20"/>
          <w:color w:val="auto"/>
        </w:rPr>
      </w:pPr>
    </w:p>
    <w:p>
      <w:pPr>
        <w:jc w:val="both"/>
        <w:ind w:firstLine="479"/>
        <w:spacing w:after="0" w:line="290"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64"/>
        <w:spacing w:after="0" w:line="306" w:lineRule="auto"/>
        <w:rPr>
          <w:sz w:val="20"/>
          <w:szCs w:val="20"/>
          <w:color w:val="auto"/>
        </w:rPr>
      </w:pPr>
      <w:r>
        <w:rPr>
          <w:rFonts w:ascii="Arial" w:cs="Arial" w:eastAsia="Arial" w:hAnsi="Arial"/>
          <w:sz w:val="16"/>
          <w:szCs w:val="16"/>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ind w:firstLine="404"/>
        <w:spacing w:after="0" w:line="291" w:lineRule="auto"/>
        <w:rPr>
          <w:sz w:val="20"/>
          <w:szCs w:val="20"/>
          <w:color w:val="auto"/>
        </w:rPr>
      </w:pPr>
      <w:r>
        <w:rPr>
          <w:rFonts w:ascii="Arial" w:cs="Arial" w:eastAsia="Arial" w:hAnsi="Arial"/>
          <w:sz w:val="16"/>
          <w:szCs w:val="16"/>
          <w:color w:val="auto"/>
        </w:rPr>
        <w:t>The Company has incurred recurring losses and negative cash flows from operations since inception and has primarily funded its operations with proceeds from the issuance of convertible notes and convertible preferred stock. As of December 31, 2018, the Company had an accumulated deficit of $68.1 million. The Company expects its operating losses and negative operating cash flows to continue into the foreseeable future as it continues to expand its research and development efforts. As of May 1, 2019, the issuance date of the consolidated financial statements for the year ended December 31, 2018, the Company expected that its cash and cash equivalents as of December 31, 2018 will be sufficient to fund its operating expenses and capital expenditure requirements into the first quarter of 2020. The future viability of the Company beyond that point is dependent on its ability to raise additional capital to finance its operations.</w:t>
      </w:r>
    </w:p>
    <w:p>
      <w:pPr>
        <w:spacing w:after="0" w:line="174" w:lineRule="exact"/>
        <w:rPr>
          <w:sz w:val="20"/>
          <w:szCs w:val="20"/>
          <w:color w:val="auto"/>
        </w:rPr>
      </w:pPr>
    </w:p>
    <w:p>
      <w:pPr>
        <w:jc w:val="both"/>
        <w:ind w:firstLine="577"/>
        <w:spacing w:after="0" w:line="291" w:lineRule="auto"/>
        <w:rPr>
          <w:sz w:val="20"/>
          <w:szCs w:val="20"/>
          <w:color w:val="auto"/>
        </w:rPr>
      </w:pPr>
      <w:r>
        <w:rPr>
          <w:rFonts w:ascii="Arial" w:cs="Arial" w:eastAsia="Arial" w:hAnsi="Arial"/>
          <w:sz w:val="16"/>
          <w:szCs w:val="16"/>
          <w:color w:val="auto"/>
        </w:rPr>
        <w:t>If the Company is unable to obtain additional funding, the Company could be forced to delay, reduce or eliminate some or all of its research and development programs, product portfolio expansion, or commercialization efforts, which could adversely affect its business prospects, or the Company may be unable to continue operations. The Company is seeking to complete an initial public offering ("IPO") of its common stock ("Common Stock"). In the event the Company does not complete an IPO, the Company expects to seek additional funding through private equity financings, debt financings, or other capital sources, including collaborations with other companies or other strategic transactions. Although management plans to pursue additional funding, there is no assurance that the Company will be successful in obtaining sufficient funding on terms acceptable to the Company to fund continuing operations, if at all.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 (Continued)</w:t>
      </w:r>
    </w:p>
    <w:p>
      <w:pPr>
        <w:spacing w:after="0" w:line="231" w:lineRule="exact"/>
        <w:rPr>
          <w:sz w:val="20"/>
          <w:szCs w:val="20"/>
          <w:color w:val="auto"/>
        </w:rPr>
      </w:pPr>
    </w:p>
    <w:p>
      <w:pPr>
        <w:jc w:val="both"/>
        <w:ind w:firstLine="429"/>
        <w:spacing w:after="0" w:line="256" w:lineRule="auto"/>
        <w:rPr>
          <w:sz w:val="20"/>
          <w:szCs w:val="20"/>
          <w:color w:val="auto"/>
        </w:rPr>
      </w:pPr>
      <w:r>
        <w:rPr>
          <w:rFonts w:ascii="Arial" w:cs="Arial" w:eastAsia="Arial" w:hAnsi="Arial"/>
          <w:sz w:val="18"/>
          <w:szCs w:val="18"/>
          <w:color w:val="auto"/>
        </w:rPr>
        <w:t>Based on its recurring losses and negative cash flows from operations since inception, expectation of continuing operating losses and negative cash flows from operations for the foreseeable future, and the need to raise additional capital to finance its future operations, management concluded that there is substantial doubt about the Company's ability to continue as a going concern within one year after the date that the consolidated financial statements for the year ended December 31, 2018 were issued.</w:t>
      </w:r>
    </w:p>
    <w:p>
      <w:pPr>
        <w:spacing w:after="0" w:line="197" w:lineRule="exact"/>
        <w:rPr>
          <w:sz w:val="20"/>
          <w:szCs w:val="20"/>
          <w:color w:val="auto"/>
        </w:rPr>
      </w:pPr>
    </w:p>
    <w:p>
      <w:pPr>
        <w:jc w:val="both"/>
        <w:ind w:firstLine="367"/>
        <w:spacing w:after="0" w:line="259" w:lineRule="auto"/>
        <w:rPr>
          <w:sz w:val="20"/>
          <w:szCs w:val="20"/>
          <w:color w:val="auto"/>
        </w:rPr>
      </w:pPr>
      <w:r>
        <w:rPr>
          <w:rFonts w:ascii="Arial" w:cs="Arial" w:eastAsia="Arial" w:hAnsi="Arial"/>
          <w:sz w:val="18"/>
          <w:szCs w:val="18"/>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52"/>
        <w:spacing w:after="0" w:line="33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6"/>
        <w:spacing w:after="0" w:line="290"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accrued expenses, stock-based compensation expense, the fair value of the Common Stock and convertible preferred stock,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225"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auto"/>
        </w:rPr>
        <w:t>The accompanying unaudited pro forma balance sheet and statement of stockholders' (deficit) equity as of December 31, 2018 has been prepared to give effect, upon the closing of a qualified IPO, to the automatic conversion of all shares of convertible preferred stock outstanding as of December 31, 2018 into 100,000,000 shares of Common Stock. In the accompanying consolidated statements of operations and comprehensive loss, the unaudited pro forma basic and diluted net loss per share attributable to common stockholders for the year ended December 31, 2018 have been prepared to give effect, upon the closing of a qualified IPO, to the automatic conversion of all outstanding shares of convertible preferred stock as if the proposed IPO had occurred on the later of January 1, 2018 or the issuance date of the convertible preferred stock (see Note 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auto"/>
        </w:rPr>
        <w:t>Cash equivalents are highly liquid investments that are readily convertible into cash with original maturities of three months or less when purchased. These assets include investments in money market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funds that invest in U.S. Treasury obligations. The Company maintains its bank accounts at major financial institutions. The Company had no cash equivalents as of December 31,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cash represents the cash held to secure a letter of credit associated with the Company's facility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8" w:lineRule="exact"/>
        <w:rPr>
          <w:sz w:val="20"/>
          <w:szCs w:val="20"/>
          <w:color w:val="auto"/>
        </w:rPr>
      </w:pPr>
    </w:p>
    <w:p>
      <w:pPr>
        <w:ind w:left="540" w:firstLine="390"/>
        <w:spacing w:after="0" w:line="268"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86" w:lineRule="exact"/>
        <w:rPr>
          <w:sz w:val="20"/>
          <w:szCs w:val="20"/>
          <w:color w:val="auto"/>
        </w:rPr>
      </w:pPr>
    </w:p>
    <w:p>
      <w:pPr>
        <w:ind w:left="540" w:right="20" w:firstLine="501"/>
        <w:spacing w:after="0" w:line="268"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86" w:lineRule="exact"/>
        <w:rPr>
          <w:sz w:val="20"/>
          <w:szCs w:val="20"/>
          <w:color w:val="auto"/>
        </w:rPr>
      </w:pPr>
    </w:p>
    <w:p>
      <w:pPr>
        <w:ind w:left="540" w:right="20" w:firstLine="485"/>
        <w:spacing w:after="0" w:line="268"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cash equivalents are carried at fair value, determined according to the fair value hierarchy described above (see Note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firstLine="390"/>
        <w:spacing w:after="0" w:line="332" w:lineRule="auto"/>
        <w:rPr>
          <w:sz w:val="20"/>
          <w:szCs w:val="20"/>
          <w:color w:val="auto"/>
        </w:rPr>
      </w:pPr>
      <w:r>
        <w:rPr>
          <w:rFonts w:ascii="Arial" w:cs="Arial" w:eastAsia="Arial" w:hAnsi="Arial"/>
          <w:sz w:val="16"/>
          <w:szCs w:val="16"/>
          <w:color w:val="auto"/>
        </w:rPr>
        <w:t>Property and equipment are recorded at cost, net of accumulated depreciation. Maintenance and repairs to an asset that do not improve or extend its life are charged to operations. Depreciation expense is recorded using the straight-line method over the estimated useful life of the related asset as follows: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Estimated Useful Life (in years)</w:t>
            </w: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5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00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5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Software</w:t>
            </w:r>
          </w:p>
        </w:tc>
        <w:tc>
          <w:tcPr>
            <w:tcW w:w="50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Shorter of useful life or remaining lease term</w:t>
            </w:r>
          </w:p>
        </w:tc>
      </w:tr>
    </w:tbl>
    <w:p>
      <w:pPr>
        <w:spacing w:after="0" w:line="208" w:lineRule="exact"/>
        <w:rPr>
          <w:sz w:val="20"/>
          <w:szCs w:val="20"/>
          <w:color w:val="auto"/>
        </w:rPr>
      </w:pPr>
    </w:p>
    <w:p>
      <w:pPr>
        <w:ind w:firstLine="355"/>
        <w:spacing w:after="0" w:line="268" w:lineRule="auto"/>
        <w:rPr>
          <w:sz w:val="20"/>
          <w:szCs w:val="20"/>
          <w:color w:val="auto"/>
        </w:rPr>
      </w:pPr>
      <w:r>
        <w:rPr>
          <w:rFonts w:ascii="Arial" w:cs="Arial" w:eastAsia="Arial" w:hAnsi="Arial"/>
          <w:sz w:val="18"/>
          <w:szCs w:val="18"/>
          <w:color w:val="auto"/>
        </w:rPr>
        <w:t>Construction-in-progress is stated at cost, which includes direct costs attributable to the setup or construction of the related asset. Depreciation expense is not recorded on construction-in-progress until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relevant assets are completed and put into use. When assets are retired or otherwise disposed of, the assets and related accumulated depreciation are eliminated from the accounts and any resulting gain or loss is reflected in the Company's consolidated statements of operations and comprehensive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403"/>
        <w:spacing w:after="0" w:line="294" w:lineRule="auto"/>
        <w:rPr>
          <w:sz w:val="20"/>
          <w:szCs w:val="20"/>
          <w:color w:val="auto"/>
        </w:rPr>
      </w:pPr>
      <w:r>
        <w:rPr>
          <w:rFonts w:ascii="Arial" w:cs="Arial" w:eastAsia="Arial" w:hAnsi="Arial"/>
          <w:sz w:val="16"/>
          <w:szCs w:val="16"/>
          <w:color w:val="auto"/>
        </w:rPr>
        <w:t>Long-lived assets consist of property and equipment.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2017 or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225" w:lineRule="exact"/>
        <w:rPr>
          <w:sz w:val="20"/>
          <w:szCs w:val="20"/>
          <w:color w:val="auto"/>
        </w:rPr>
      </w:pPr>
    </w:p>
    <w:p>
      <w:pPr>
        <w:jc w:val="both"/>
        <w:ind w:firstLine="444"/>
        <w:spacing w:after="0" w:line="294"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issuances as deferred issuance costs until such equity issuances are consummated. After consummation of the equity issuance, these costs are recorded as a reduction in the capitalized amount associated with the equity issuance. Should the planned financing be abandoned, the deferred issuance costs will be expensed immediately as a charge to operating expenses in the consolidated statement of operations and comprehensive loss. Deferred issuance costs as of December 31, 2018 were less than $0.1 million. No deferred issuance costs were capitalized as of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375"/>
        <w:spacing w:after="0" w:line="323" w:lineRule="auto"/>
        <w:rPr>
          <w:sz w:val="20"/>
          <w:szCs w:val="20"/>
          <w:color w:val="auto"/>
        </w:rPr>
      </w:pPr>
      <w:r>
        <w:rPr>
          <w:rFonts w:ascii="Arial" w:cs="Arial" w:eastAsia="Arial" w:hAnsi="Arial"/>
          <w:sz w:val="15"/>
          <w:szCs w:val="15"/>
          <w:color w:val="auto"/>
        </w:rPr>
        <w:t>Leases are classified at their inception as either operating or capital leases. The Company recognizes rent expense for its facility lease, which is classified as an operating lease, on a straight-line basis over the respective lease term, inclusive of rent escalation provisions and rent holidays. The difference between rent payments made and straight-line rent expense is recorded as deferred rent. Additionally, the Company recognizes tenant improvement allowances for its operating leases as a deferred lease incentive and amortizes the lease incentive as a reduction to rent expense on a straight-line basis over the respective lease term.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auto"/>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Contract Costs and Accruals</w:t>
      </w:r>
    </w:p>
    <w:p>
      <w:pPr>
        <w:spacing w:after="0" w:line="225" w:lineRule="exact"/>
        <w:rPr>
          <w:sz w:val="20"/>
          <w:szCs w:val="20"/>
          <w:color w:val="auto"/>
        </w:rPr>
      </w:pPr>
    </w:p>
    <w:p>
      <w:pPr>
        <w:jc w:val="both"/>
        <w:ind w:firstLine="412"/>
        <w:spacing w:after="0" w:line="256"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The Company records accruals for estimated ongoing research costs. When evaluating the adequacy of the accrued liabilities, the Company analyzes progress of the studies or trials, including invoices received and contracted costs. Significant judgments and estimates are made in determining the accrued balances at each reporting period. Actual results could differ from the Company's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Patent-Related Costs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Patent-related costs incurred in connection with patent applications are expensed as incurred due to the uncertainty about the recovery of the expenditure.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Amounts incurred are classified as general and administrative expenses in the accompanying statements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Common Stock and Series B Convertible Preferred Stock</w:t>
      </w:r>
    </w:p>
    <w:p>
      <w:pPr>
        <w:spacing w:after="0" w:line="225" w:lineRule="exact"/>
        <w:rPr>
          <w:sz w:val="20"/>
          <w:szCs w:val="20"/>
          <w:color w:val="auto"/>
        </w:rPr>
      </w:pPr>
    </w:p>
    <w:p>
      <w:pPr>
        <w:jc w:val="both"/>
        <w:ind w:firstLine="414"/>
        <w:spacing w:after="0" w:line="287" w:lineRule="auto"/>
        <w:rPr>
          <w:sz w:val="20"/>
          <w:szCs w:val="20"/>
          <w:color w:val="auto"/>
        </w:rPr>
      </w:pPr>
      <w:r>
        <w:rPr>
          <w:rFonts w:ascii="Arial" w:cs="Arial" w:eastAsia="Arial" w:hAnsi="Arial"/>
          <w:sz w:val="16"/>
          <w:szCs w:val="16"/>
          <w:color w:val="auto"/>
        </w:rPr>
        <w:t>The Company determined the estimated fair value of Common Stock and Series B convertible preferred stock (the "Series B Preferred Stock") based on a number of objective and subjective factors, including, but not limited to, external market conditions affecting the biotechnology industry sector, the prices at which the Company sold shares of convertible preferred stock and the superior rights and preferences of securities senior to the Company's Common Stock at the time, and the likelihood and potential timing of achieving a liquidity event, such as an IPO, in light of prevailing market conditions. The Company utilized valuation methodologies in accordance with the guidance outlined in the American Institute of Certified Public Accountants' Accounting and Valuation Guide, Valuation of Privately-Held-Company Equity Securities Issued as Compensation, to estimate the fair value of Common Stock and the Series B Preferred Stock. The methodologies utilized to estimate the fair value of Common Stock included the guideline public company method and/or the precedent transaction method to estimate the equity value, and the option-pricing method ("OPM") or the hybrid method, which is a probability-weighted expected return method ("PWERM"), to allocate equity value to the Common Stock and Preferred Stock. The Company utilized the hybrid method to estimate the fair value of the Series B Preferred Stock. Significant changes to the key assumptions used in the valuations could result in different fair values of Common Stock and the Series B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67"/>
        <w:spacing w:after="0" w:line="314" w:lineRule="auto"/>
        <w:rPr>
          <w:sz w:val="20"/>
          <w:szCs w:val="20"/>
          <w:color w:val="auto"/>
        </w:rPr>
      </w:pPr>
      <w:r>
        <w:rPr>
          <w:rFonts w:ascii="Arial" w:cs="Arial" w:eastAsia="Arial" w:hAnsi="Arial"/>
          <w:sz w:val="15"/>
          <w:szCs w:val="15"/>
          <w:color w:val="auto"/>
        </w:rPr>
        <w:t>The Company measures stock-based awards based on the fair value on the date of grant. Compensation expense of those awards is recognized over the requisite service period, which is generally the vesting period of the respective award. Generally, the Company issues awards with only service-based vesting conditions and records the expense for these awards using the straight-line method. The Company has also granted certain stock-based awards with performance-based vesting conditions. The Company records the expense for stock-based awards with performance-based vesting conditions over the remaining service period using an accelerated attribution method when management determines that achievement of the performance condition is probable. At each reporting date, the Company evaluates if the achievement of a performance-based milestone is probable based on the expected satisfaction of the performance conditions.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ind w:firstLine="447"/>
        <w:spacing w:after="0" w:line="288" w:lineRule="auto"/>
        <w:rPr>
          <w:sz w:val="20"/>
          <w:szCs w:val="20"/>
          <w:color w:val="auto"/>
        </w:rPr>
      </w:pPr>
      <w:r>
        <w:rPr>
          <w:rFonts w:ascii="Arial" w:cs="Arial" w:eastAsia="Arial" w:hAnsi="Arial"/>
          <w:sz w:val="16"/>
          <w:szCs w:val="16"/>
          <w:color w:val="auto"/>
        </w:rPr>
        <w:t>The fair value of each restricted stock award is based on the fair value of the Company's Common Stock on the grant date, less any applicable purchase price. The fair value of each stock option is estimated on the grant date using the Black-Scholes option-pricing model, which requires inputs based on certain subjective assumptions, including the fair value of the Company's Common Stock,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historical volatility is calculated based on a period of time commensurate with the assumption used for the expected 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stock-based awards. The expected dividend yield is assumed to be zero as the Company has never paid dividends and has no current plans to pay any dividends on Common Stock.</w:t>
      </w:r>
    </w:p>
    <w:p>
      <w:pPr>
        <w:spacing w:after="0" w:line="174" w:lineRule="exact"/>
        <w:rPr>
          <w:sz w:val="20"/>
          <w:szCs w:val="20"/>
          <w:color w:val="auto"/>
        </w:rPr>
      </w:pPr>
    </w:p>
    <w:p>
      <w:pPr>
        <w:jc w:val="both"/>
        <w:ind w:firstLine="412"/>
        <w:spacing w:after="0" w:line="332" w:lineRule="auto"/>
        <w:rPr>
          <w:sz w:val="20"/>
          <w:szCs w:val="20"/>
          <w:color w:val="auto"/>
        </w:rPr>
      </w:pPr>
      <w:r>
        <w:rPr>
          <w:rFonts w:ascii="Arial" w:cs="Arial" w:eastAsia="Arial" w:hAnsi="Arial"/>
          <w:sz w:val="16"/>
          <w:szCs w:val="16"/>
          <w:color w:val="auto"/>
        </w:rPr>
        <w:t>The Company accounts for forfeitures as they occur (refer to the "Recently Adopted Accounting Pronouncements" below). The Company classifies stock-based compensation expense in its statements of operations in the same manner in which the award recipient's payroll or service costs are classified.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53"/>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72" w:lineRule="exact"/>
        <w:rPr>
          <w:sz w:val="20"/>
          <w:szCs w:val="20"/>
          <w:color w:val="auto"/>
        </w:rPr>
      </w:pPr>
    </w:p>
    <w:p>
      <w:pPr>
        <w:jc w:val="both"/>
        <w:ind w:firstLine="552"/>
        <w:spacing w:after="0" w:line="306" w:lineRule="auto"/>
        <w:rPr>
          <w:sz w:val="20"/>
          <w:szCs w:val="20"/>
          <w:color w:val="auto"/>
        </w:rPr>
      </w:pPr>
      <w:r>
        <w:rPr>
          <w:rFonts w:ascii="Arial" w:cs="Arial" w:eastAsia="Arial" w:hAnsi="Arial"/>
          <w:sz w:val="16"/>
          <w:szCs w:val="16"/>
          <w:color w:val="auto"/>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both"/>
        <w:ind w:firstLine="421"/>
        <w:spacing w:after="0" w:line="268"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For the years ended December 31, 2017 and 2018, comprehensive loss was equal to net loss.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225"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The Company applies the two-class method to compute basic and diluted net income (loss) per share attributable to common stockholders when it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earnings as if all income (loss) for the period had been distributed. The Company's convertible preferred stock participates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72" w:lineRule="exact"/>
        <w:rPr>
          <w:sz w:val="20"/>
          <w:szCs w:val="20"/>
          <w:color w:val="auto"/>
        </w:rPr>
      </w:pPr>
    </w:p>
    <w:p>
      <w:pPr>
        <w:jc w:val="both"/>
        <w:ind w:firstLine="358"/>
        <w:spacing w:after="0" w:line="289" w:lineRule="auto"/>
        <w:rPr>
          <w:sz w:val="20"/>
          <w:szCs w:val="20"/>
          <w:color w:val="auto"/>
        </w:rPr>
      </w:pPr>
      <w:r>
        <w:rPr>
          <w:rFonts w:ascii="Arial" w:cs="Arial" w:eastAsia="Arial" w:hAnsi="Arial"/>
          <w:sz w:val="16"/>
          <w:szCs w:val="16"/>
          <w:color w:val="auto"/>
        </w:rPr>
        <w:t>Basic net income (loss) per share attributable to common stockholders is computed by dividing the net income (loss) attributable to common stockholders by the weighted average number of shares of common stock outstanding for the period. Diluted net income (loss) attributable to common stockholders is computed by adjusting net income (loss) per share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shares of common stock outstanding for the period, including potential dilutive common shares. For purpose of this calculation, outstanding options to purchase Common Stock, unvested restricted stock awards, and shares of convertible preferred stock are considered potential dilutive common shares. The Company has generated a net loss in all periods presented, and therefore the basic and diluted net loss per share attributable to common stockholders are the same as the inclusion of the potentially dilutive securities would be anti-dilutive.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225" w:lineRule="exact"/>
        <w:rPr>
          <w:sz w:val="20"/>
          <w:szCs w:val="20"/>
          <w:color w:val="auto"/>
        </w:rPr>
      </w:pPr>
    </w:p>
    <w:p>
      <w:pPr>
        <w:jc w:val="both"/>
        <w:ind w:firstLine="552"/>
        <w:spacing w:after="0" w:line="294"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ind w:firstLine="415"/>
        <w:spacing w:after="0" w:line="306" w:lineRule="auto"/>
        <w:rPr>
          <w:sz w:val="20"/>
          <w:szCs w:val="20"/>
          <w:color w:val="auto"/>
        </w:rPr>
      </w:pPr>
      <w:r>
        <w:rPr>
          <w:rFonts w:ascii="Arial" w:cs="Arial" w:eastAsia="Arial" w:hAnsi="Arial"/>
          <w:sz w:val="16"/>
          <w:szCs w:val="16"/>
          <w:color w:val="auto"/>
        </w:rPr>
        <w:t>Operating segments are defined as components of an enterprise about which separate discrete financial information is available for evaluation by the chief operating decision-maker in making decisions regarding resource allocation and assessing performance. The Company and the Company's chief operating decision-maker, the Company's chief executive officer, view the Company's operations and manage its business as a single operating segment.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The Company is an emerging growth company ("EGC"), as defined in the Jumpstart Our Business Startups Act (the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for ASUs. The Company may take advantage of these exemptions up until the last day of the fiscal year following the fifth anniversary of an offering or such earlier time that it is no longer an EGC.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firstLine="427"/>
        <w:spacing w:after="0" w:line="291"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The standard replaces existing revenue recognition standards and significantly expands the disclosure requirements for revenue arrangements. The standard must be adopted using either a modified retrospective approach or a full retrospective approach for all periods presented. The Company adopted the standard as of January 1, 2017 under the full retrospective method. The Company does not have and has never had any contracts that are within the scope of ASU 2014-09 or its predecessor guidance,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Accordingly, adoption of the standard did not have an impact on the Company's financial position, results of operations or cash flows. However, the adoption of this standard will impact the accounting for potential future revenue transactions.</w:t>
      </w:r>
    </w:p>
    <w:p>
      <w:pPr>
        <w:spacing w:after="0" w:line="174" w:lineRule="exact"/>
        <w:rPr>
          <w:sz w:val="20"/>
          <w:szCs w:val="20"/>
          <w:color w:val="auto"/>
        </w:rPr>
      </w:pPr>
    </w:p>
    <w:p>
      <w:pPr>
        <w:jc w:val="both"/>
        <w:ind w:firstLine="370"/>
        <w:spacing w:after="0" w:line="291"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("ASU 2016-09"), which amends ASC Topic 718, Compensation —Stock Compensation ("Topic 718"). The standard is intended to simplify various aspects of the accounting for share-based payments, including the income tax consequences, classification of awards as either equity or liabilities, an option to recognize gross share compensation expense with actual forfeitures recognized as they occur, as well as certain classifications on the statement of cash flows. The Company adopted ASU 2016-09 effective as of January 1, 2016. The Company elected to account prospectively for forfeitures as they occur rather than apply an estimated forfeiture rate to stock-based compensation expense. The adoption of the standard did not have a material impact on the Company's consolidated financial statements or footnote disclosures.</w:t>
      </w:r>
    </w:p>
    <w:p>
      <w:pPr>
        <w:spacing w:after="0" w:line="174" w:lineRule="exact"/>
        <w:rPr>
          <w:sz w:val="20"/>
          <w:szCs w:val="20"/>
          <w:color w:val="auto"/>
        </w:rPr>
      </w:pPr>
    </w:p>
    <w:p>
      <w:pPr>
        <w:jc w:val="both"/>
        <w:ind w:firstLine="453"/>
        <w:spacing w:after="0" w:line="256"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("ASU 2016-15"), which simplifies certain elements of cash flow classification. The standard is intended to reduce diversity in practice in how certain transactions are classified in the statement of cash flows. The Company adopted the standard effective as of January 1, 2016. The adoption of the standard did not have a material impact on the Company's consolidated financial statements or footnote disclosures.</w:t>
      </w:r>
    </w:p>
    <w:p>
      <w:pPr>
        <w:spacing w:after="0" w:line="197" w:lineRule="exact"/>
        <w:rPr>
          <w:sz w:val="20"/>
          <w:szCs w:val="20"/>
          <w:color w:val="auto"/>
        </w:rPr>
      </w:pPr>
    </w:p>
    <w:p>
      <w:pPr>
        <w:jc w:val="both"/>
        <w:ind w:firstLine="446"/>
        <w:spacing w:after="0" w:line="306"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The standard requires that amounts generally described as restricted cash be included within cash and cash equivalents when reconciling the beginning-of-period and end-of-period total amounts shown on the statement of cash flows. The Company adopted ASU 2016-18 effective as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January 1, 2016 using a full retrospective approach. The adoption of the standard did not have a material impact on the Company's consolidated financial statements or footnote disclosures.</w:t>
      </w:r>
    </w:p>
    <w:p>
      <w:pPr>
        <w:spacing w:after="0" w:line="186" w:lineRule="exact"/>
        <w:rPr>
          <w:sz w:val="20"/>
          <w:szCs w:val="20"/>
          <w:color w:val="auto"/>
        </w:rPr>
      </w:pPr>
    </w:p>
    <w:p>
      <w:pPr>
        <w:jc w:val="both"/>
        <w:ind w:firstLine="527"/>
        <w:spacing w:after="0" w:line="253"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("ASU 2017-01"). The standard clarifies the framework for determining whether an integrated set of assets and activities meets the definition of a business. The revised framework establishes a screen for determining whether an integrated set of assets and activities is a business and narrows the definition of a business. The screen requires that when substantially all of the fair value of the gross assets acquired (or disposed of) is concentrated in a single identifiable asset or a group of similar identifiable assets, the set is not a business. This screen reduces the number of transactions that need to be further evaluated. The Company adopted ASU 2017-01 effective as of January 1, 2018. The adoption of this standard did not have a material impact on the Company's consolidated financial statements or footnote disclosures.</w:t>
      </w:r>
    </w:p>
    <w:p>
      <w:pPr>
        <w:spacing w:after="0" w:line="201" w:lineRule="exact"/>
        <w:rPr>
          <w:sz w:val="20"/>
          <w:szCs w:val="20"/>
          <w:color w:val="auto"/>
        </w:rPr>
      </w:pPr>
    </w:p>
    <w:p>
      <w:pPr>
        <w:jc w:val="both"/>
        <w:ind w:firstLine="408"/>
        <w:spacing w:after="0" w:line="294"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The standard is intended to reduce the diversity in practice and cost and complexity when applying the guidance in Topic 718 to a change to the terms or conditions of a share-based payment award. Under the guidance, modification accounting is required only if the fair value, the vesting conditions or the classification of the award (as equity or liability) changes as a result of the change in terms or conditions. The Company adopted ASU 2017-09 effective as of January 1, 2016. The adoption of this standard did not have a material impact on the Company's consolidated financial statements or footnote disclosures.</w:t>
      </w:r>
    </w:p>
    <w:p>
      <w:pPr>
        <w:spacing w:after="0" w:line="170" w:lineRule="exact"/>
        <w:rPr>
          <w:sz w:val="20"/>
          <w:szCs w:val="20"/>
          <w:color w:val="auto"/>
        </w:rPr>
      </w:pPr>
    </w:p>
    <w:p>
      <w:pPr>
        <w:jc w:val="both"/>
        <w:ind w:firstLine="402"/>
        <w:spacing w:after="0" w:line="294"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Compensation—Stock Compensation (Topic 718): Improvements to Nonemployee Share-Based Payment</w:t>
      </w:r>
      <w:r>
        <w:rPr>
          <w:rFonts w:ascii="Arial" w:cs="Arial" w:eastAsia="Arial" w:hAnsi="Arial"/>
          <w:sz w:val="16"/>
          <w:szCs w:val="16"/>
          <w:color w:val="auto"/>
        </w:rPr>
        <w:t xml:space="preserve"> ("ASU 2018-07"). The standard is intended to simplify the accounting for share-based payments to non-employees by aligning it with the accounting for share-based payments to employees, with certain exceptions. Under the guidance, the measurement of equity-classified non-employee awards will be fixed at the grant date, which may lower their cost and reduce volatility in the income statement. The Company adopted ASU 2018-07 as of January 1, 2017. The adoption of this standard did not have a material impact on the Company's consolidated financial statements or footnote disclosures.</w:t>
      </w:r>
    </w:p>
    <w:p>
      <w:pPr>
        <w:spacing w:after="0" w:line="170" w:lineRule="exact"/>
        <w:rPr>
          <w:sz w:val="20"/>
          <w:szCs w:val="20"/>
          <w:color w:val="auto"/>
        </w:rPr>
      </w:pPr>
    </w:p>
    <w:p>
      <w:pPr>
        <w:jc w:val="both"/>
        <w:ind w:firstLine="650"/>
        <w:spacing w:after="0" w:line="256"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The standard eliminates, adds and modifies certain disclosure requirements for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The Company adopted ASU 2018-13 as of January 1, 2018. The adoption of this standard did not have a material impact on the Company's consolidated financial statements or footnote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Pronouncements—To Be Adopted</w:t>
      </w:r>
    </w:p>
    <w:p>
      <w:pPr>
        <w:spacing w:after="0" w:line="225" w:lineRule="exact"/>
        <w:rPr>
          <w:sz w:val="20"/>
          <w:szCs w:val="20"/>
          <w:color w:val="auto"/>
        </w:rPr>
      </w:pPr>
    </w:p>
    <w:p>
      <w:pPr>
        <w:jc w:val="both"/>
        <w:ind w:firstLine="516"/>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Arial" w:cs="Arial" w:eastAsia="Arial" w:hAnsi="Arial"/>
          <w:sz w:val="18"/>
          <w:szCs w:val="18"/>
          <w:i w:val="1"/>
          <w:iCs w:val="1"/>
          <w:color w:val="auto"/>
        </w:rPr>
        <w:t>Leases (Topic 842):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Targeted Improvements </w:t>
      </w:r>
      <w:r>
        <w:rPr>
          <w:rFonts w:ascii="Arial" w:cs="Arial" w:eastAsia="Arial" w:hAnsi="Arial"/>
          <w:sz w:val="16"/>
          <w:szCs w:val="16"/>
          <w:color w:val="auto"/>
        </w:rPr>
        <w:t>("ASU 2018-11"), which permits entities to continue applying legacy guidance in ASC 840,</w:t>
      </w:r>
      <w:r>
        <w:rPr>
          <w:rFonts w:ascii="Arial" w:cs="Arial" w:eastAsia="Arial" w:hAnsi="Arial"/>
          <w:sz w:val="16"/>
          <w:szCs w:val="16"/>
          <w:i w:val="1"/>
          <w:iCs w:val="1"/>
          <w:color w:val="auto"/>
        </w:rPr>
        <w:t xml:space="preserve"> Leases</w:t>
      </w:r>
      <w:r>
        <w:rPr>
          <w:rFonts w:ascii="Arial" w:cs="Arial" w:eastAsia="Arial" w:hAnsi="Arial"/>
          <w:sz w:val="16"/>
          <w:szCs w:val="16"/>
          <w:color w:val="auto"/>
        </w:rPr>
        <w:t>, including its disclosure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comparative periods presented in the year that the entity adopts the new leasing standard. The new standard will be effective for the Company on January 1, 2020 (refer to previous discussion under "Emerging Growth Company Status"). The Company will apply the transition method permitted by ASU 2018-11.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w:t>
      </w:r>
    </w:p>
    <w:p>
      <w:pPr>
        <w:spacing w:after="0" w:line="172" w:lineRule="exact"/>
        <w:rPr>
          <w:sz w:val="20"/>
          <w:szCs w:val="20"/>
          <w:color w:val="auto"/>
        </w:rPr>
      </w:pPr>
    </w:p>
    <w:p>
      <w:pPr>
        <w:jc w:val="both"/>
        <w:ind w:firstLine="580"/>
        <w:spacing w:after="0" w:line="294"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The standard requires that credit losses be reported using an expected losses model rather than the incurred losses model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used, 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2021. The Company is currently evaluating the potential impact that this standard may have on its consolidated financial position and results of operations.</w:t>
      </w:r>
    </w:p>
    <w:p>
      <w:pPr>
        <w:spacing w:after="0" w:line="170"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2017-11"). Part I of the standard applies to entities that issue financial instruments such as warrants, convertible debt or convertible preferred stock that contain down-round features. Part II of the standard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The new standard will be effective for the Company on January 1, 2020 (refer to previous discussion under "Emerging Growth Company Status"). The Company is currently evaluating the impact that the adoption of ASU 2017-11 will have on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31" w:lineRule="exact"/>
        <w:rPr>
          <w:sz w:val="20"/>
          <w:szCs w:val="20"/>
          <w:color w:val="auto"/>
        </w:rPr>
      </w:pPr>
    </w:p>
    <w:p>
      <w:pPr>
        <w:jc w:val="both"/>
        <w:ind w:firstLine="412"/>
        <w:spacing w:after="0" w:line="268"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 the level of the fair value hierarchy utilized to determine such fair values as of December 31, 2018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600" w:type="dxa"/>
            <w:vAlign w:val="bottom"/>
          </w:tcPr>
          <w:p>
            <w:pPr>
              <w:jc w:val="right"/>
              <w:ind w:right="59"/>
              <w:spacing w:after="0"/>
              <w:rPr>
                <w:sz w:val="20"/>
                <w:szCs w:val="20"/>
                <w:color w:val="auto"/>
              </w:rPr>
            </w:pPr>
            <w:r>
              <w:rPr>
                <w:rFonts w:ascii="Arial" w:cs="Arial" w:eastAsia="Arial" w:hAnsi="Arial"/>
                <w:sz w:val="14"/>
                <w:szCs w:val="14"/>
                <w:b w:val="1"/>
                <w:bCs w:val="1"/>
                <w:color w:val="auto"/>
                <w:w w:val="92"/>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4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72,797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72,797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0"/>
        </w:trPr>
        <w:tc>
          <w:tcPr>
            <w:tcW w:w="3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72,797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3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5"/>
        <w:spacing w:after="0" w:line="268" w:lineRule="auto"/>
        <w:rPr>
          <w:sz w:val="20"/>
          <w:szCs w:val="20"/>
          <w:color w:val="auto"/>
        </w:rPr>
      </w:pPr>
      <w:r>
        <w:rPr>
          <w:rFonts w:ascii="Arial" w:cs="Arial" w:eastAsia="Arial" w:hAnsi="Arial"/>
          <w:sz w:val="18"/>
          <w:szCs w:val="18"/>
          <w:color w:val="auto"/>
        </w:rPr>
        <w:t>The Company had no cash equivalents as of December 31, 2017. There have been no transfers between fair value levels during the year ended December 31, 2018.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542</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r>
      <w:tr>
        <w:trPr>
          <w:trHeight w:val="20"/>
        </w:trPr>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(1,958)</w:t>
            </w:r>
          </w:p>
        </w:tc>
      </w:tr>
      <w:tr>
        <w:trPr>
          <w:trHeight w:val="20"/>
        </w:trPr>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10,546</w:t>
            </w: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8"/>
        <w:spacing w:after="0" w:line="335" w:lineRule="auto"/>
        <w:rPr>
          <w:sz w:val="20"/>
          <w:szCs w:val="20"/>
          <w:color w:val="auto"/>
        </w:rPr>
      </w:pPr>
      <w:r>
        <w:rPr>
          <w:rFonts w:ascii="Arial" w:cs="Arial" w:eastAsia="Arial" w:hAnsi="Arial"/>
          <w:sz w:val="15"/>
          <w:szCs w:val="15"/>
          <w:color w:val="auto"/>
        </w:rPr>
        <w:t>Depreciation expense for the years ended December 31, 2017 and 2018 was $0.7 million and $1.3 million, respectively. Total property and equipment, gross, as of December 31, 2017 and 2018 included zero and $0.2 million, respectively, of property and equipment recorded under capital leases. Accumulated depreciation, as of December 31, 2017 and 2018, included zero and less than $0.1 million, respectively, for property and equipment recorded under capital leases.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Additional Balance Sheet Detail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88"/>
              </w:rPr>
              <w:t>Prepaid sign-on bonuses subject to vesting provisions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Leasehold improvement allowance receivable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366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receivable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prepaid expenses and other current assets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40" w:type="dxa"/>
            <w:vAlign w:val="bottom"/>
            <w:gridSpan w:val="2"/>
          </w:tcPr>
          <w:p>
            <w:pPr>
              <w:jc w:val="right"/>
              <w:ind w:right="1592"/>
              <w:spacing w:after="0"/>
              <w:rPr>
                <w:sz w:val="20"/>
                <w:szCs w:val="20"/>
                <w:color w:val="auto"/>
              </w:rPr>
            </w:pPr>
            <w:r>
              <w:rPr>
                <w:rFonts w:ascii="Arial" w:cs="Arial" w:eastAsia="Arial" w:hAnsi="Arial"/>
                <w:sz w:val="18"/>
                <w:szCs w:val="18"/>
                <w:color w:val="auto"/>
                <w:w w:val="91"/>
              </w:rPr>
              <w:t>F-17</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Additional Balance Sheet Detail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Payroll and benefits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1,448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Capital lease obligation, current portion</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liability, current portion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Property and equipment purchases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65"/>
        <w:spacing w:after="0" w:line="332" w:lineRule="auto"/>
        <w:rPr>
          <w:sz w:val="20"/>
          <w:szCs w:val="20"/>
          <w:color w:val="auto"/>
        </w:rPr>
      </w:pPr>
      <w:r>
        <w:rPr>
          <w:rFonts w:ascii="Arial" w:cs="Arial" w:eastAsia="Arial" w:hAnsi="Arial"/>
          <w:sz w:val="16"/>
          <w:szCs w:val="16"/>
          <w:color w:val="auto"/>
        </w:rPr>
        <w:t>Future minimum lease payments associated with the Company's capital lease obligations are less than $0.1 million in each of the years ending December 31, 2019, 2020 and 2021. No minimum lease payments associated with the Company's capital lease obligations are due after December 31,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w:t>
      </w:r>
    </w:p>
    <w:p>
      <w:pPr>
        <w:spacing w:after="0" w:line="231" w:lineRule="exact"/>
        <w:rPr>
          <w:sz w:val="20"/>
          <w:szCs w:val="20"/>
          <w:color w:val="auto"/>
        </w:rPr>
      </w:pPr>
    </w:p>
    <w:p>
      <w:pPr>
        <w:jc w:val="both"/>
        <w:ind w:firstLine="377"/>
        <w:spacing w:after="0" w:line="291" w:lineRule="auto"/>
        <w:rPr>
          <w:sz w:val="20"/>
          <w:szCs w:val="20"/>
          <w:color w:val="auto"/>
        </w:rPr>
      </w:pPr>
      <w:r>
        <w:rPr>
          <w:rFonts w:ascii="Arial" w:cs="Arial" w:eastAsia="Arial" w:hAnsi="Arial"/>
          <w:sz w:val="16"/>
          <w:szCs w:val="16"/>
          <w:color w:val="auto"/>
        </w:rPr>
        <w:t>In July 2016, the Company entered into a Series A convertible preferred stock purchase agreement (the "2016 Stock Purchase Agreement"), which provided for the issuance and sale of up to 55,000,000 shares of Series A convertible preferred stock (the "Series A Preferred Stock") at a price of $1.00 per share in three tranches, each of which could occur in multiple closings. Included in the terms of the Series A Preferred Stock purchase agreement were tranche rights. The tranche rights obligated the investors in the Series A Preferred Stock to purchase, and the Company to sell, shares of Series A Preferred Stock at $1.00 per share, subject to the achievement of certain milestones related to the Company's research platform and organizational development. The specified milestones were waivable with the consent of the holders of a majority of the shares of Series A Preferred Stock.</w:t>
      </w:r>
    </w:p>
    <w:p>
      <w:pPr>
        <w:spacing w:after="0" w:line="174" w:lineRule="exact"/>
        <w:rPr>
          <w:sz w:val="20"/>
          <w:szCs w:val="20"/>
          <w:color w:val="auto"/>
        </w:rPr>
      </w:pPr>
    </w:p>
    <w:p>
      <w:pPr>
        <w:jc w:val="both"/>
        <w:ind w:right="20" w:firstLine="383"/>
        <w:spacing w:after="0" w:line="306" w:lineRule="auto"/>
        <w:rPr>
          <w:sz w:val="20"/>
          <w:szCs w:val="20"/>
          <w:color w:val="auto"/>
        </w:rPr>
      </w:pPr>
      <w:r>
        <w:rPr>
          <w:rFonts w:ascii="Arial" w:cs="Arial" w:eastAsia="Arial" w:hAnsi="Arial"/>
          <w:sz w:val="16"/>
          <w:szCs w:val="16"/>
          <w:color w:val="auto"/>
        </w:rPr>
        <w:t>During the year ended December 31, 2017, the Company sold 12,666,666 shares of Series A Preferred Stock under the 2016 Stock Purchase Agreement for aggregate proceeds of approximately $12.7 million. During the year ended December 31, 2018, the Company sold the remaining 25,333,334 shares of Series A Preferred Stock under the 2016 Stock Purchase Agreement for aggregate proceeds of approximately $25.3 million.</w:t>
      </w:r>
    </w:p>
    <w:p>
      <w:pPr>
        <w:spacing w:after="0" w:line="161" w:lineRule="exact"/>
        <w:rPr>
          <w:sz w:val="20"/>
          <w:szCs w:val="20"/>
          <w:color w:val="auto"/>
        </w:rPr>
      </w:pPr>
    </w:p>
    <w:p>
      <w:pPr>
        <w:jc w:val="both"/>
        <w:ind w:firstLine="436"/>
        <w:spacing w:after="0" w:line="255" w:lineRule="auto"/>
        <w:rPr>
          <w:sz w:val="20"/>
          <w:szCs w:val="20"/>
          <w:color w:val="auto"/>
        </w:rPr>
      </w:pPr>
      <w:r>
        <w:rPr>
          <w:rFonts w:ascii="Arial" w:cs="Arial" w:eastAsia="Arial" w:hAnsi="Arial"/>
          <w:sz w:val="18"/>
          <w:szCs w:val="18"/>
          <w:color w:val="auto"/>
        </w:rPr>
        <w:t>In April 2017, the Company increased the number of shares of Series A Preferred Stock authorized for issuance to 60,000,000 shares and entered into an additional Series A Preferred Stock purchase agreement (the "2017 Stock Purchase Agreement", and together with the 2016 Stock Purchase Agreement, the "Stock Purchase Agreements"), pursuant to which the Company sold 5,000,000 shares of Series A Preferred Stock for aggregate proceeds of $5.0 million. The Company incurred issuance costs associated with the Stock Purchase Agreements of less than $0.1 million during each of the years ended December 31, 2017 and 2018.</w:t>
      </w:r>
    </w:p>
    <w:p>
      <w:pPr>
        <w:spacing w:after="0" w:line="197" w:lineRule="exact"/>
        <w:rPr>
          <w:sz w:val="20"/>
          <w:szCs w:val="20"/>
          <w:color w:val="auto"/>
        </w:rPr>
      </w:pPr>
    </w:p>
    <w:p>
      <w:pPr>
        <w:jc w:val="both"/>
        <w:ind w:firstLine="352"/>
        <w:spacing w:after="0" w:line="332" w:lineRule="auto"/>
        <w:rPr>
          <w:sz w:val="20"/>
          <w:szCs w:val="20"/>
          <w:color w:val="auto"/>
        </w:rPr>
      </w:pPr>
      <w:r>
        <w:rPr>
          <w:rFonts w:ascii="Arial" w:cs="Arial" w:eastAsia="Arial" w:hAnsi="Arial"/>
          <w:sz w:val="16"/>
          <w:szCs w:val="16"/>
          <w:color w:val="auto"/>
        </w:rPr>
        <w:t>The Company determined that the tranche rights did not meet the definition of a freestanding financial instrument because, while separately exercisable, they were not legally detachable. Further, the Company determined that the embedded future tranche rights did not require bifurcation as they were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clearly and closely related to the economic characteristics and risks of the Series A Preferred Stock and did not meet the definition of a derivative on a standalone basis.</w:t>
      </w:r>
    </w:p>
    <w:p>
      <w:pPr>
        <w:spacing w:after="0" w:line="186" w:lineRule="exact"/>
        <w:rPr>
          <w:sz w:val="20"/>
          <w:szCs w:val="20"/>
          <w:color w:val="auto"/>
        </w:rPr>
      </w:pPr>
    </w:p>
    <w:p>
      <w:pPr>
        <w:jc w:val="both"/>
        <w:ind w:firstLine="388"/>
        <w:spacing w:after="0" w:line="323" w:lineRule="auto"/>
        <w:rPr>
          <w:sz w:val="20"/>
          <w:szCs w:val="20"/>
          <w:color w:val="auto"/>
        </w:rPr>
      </w:pPr>
      <w:r>
        <w:rPr>
          <w:rFonts w:ascii="Arial" w:cs="Arial" w:eastAsia="Arial" w:hAnsi="Arial"/>
          <w:sz w:val="15"/>
          <w:szCs w:val="15"/>
          <w:color w:val="auto"/>
        </w:rPr>
        <w:t>In August 2018, the Company entered into a Series B convertible preferred stock purchase agreement (the "Series B Stock Purchase Agreement"), pursuant to which the Company sold 40,000,000 shares of Series B Preferred Stock at a purchase price of $2.00 per share for gross proceeds of $80,000,000. In connection with the Series B Stock Purchase Agreement, the Company's Certificate of Incorporation was amended and restated to authorize the Company to issue 40,000,000 shares of Series B Preferred Stock. Refer to Note 14 for information regarding the issuance of Series B Preferred Stock subsequent to December 31, 2018.</w:t>
      </w:r>
    </w:p>
    <w:p>
      <w:pPr>
        <w:spacing w:after="0" w:line="152"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auto"/>
        </w:rPr>
        <w:t>The Company assessed the Series A Preferred Stock and the Series B Preferred Stock (together, the "Preferred Stock") for any beneficial conversion features or embedded derivatives, including the conversion option, that would require bifurcation from the Preferred Stock and receive separate accounting treatment. Based on the Company's determination that the Preferred Stock is an "equity host," the Company determined that all features of the Preferred Stock were either clearly and closely related to the equity host or did not meet the definition of a derivative, and therefore do not require bifurcation as a derivative liability. On the date of issuance, the estimated fair value of Common Stock into which the Preferred Stock was convertible was less than the effective conversion price of the Preferred Stock, and as such, there was no beneficial conversion feature at the commitment dates.</w:t>
      </w:r>
    </w:p>
    <w:p>
      <w:pPr>
        <w:spacing w:after="0" w:line="174"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8"/>
          <w:szCs w:val="18"/>
          <w:color w:val="auto"/>
        </w:rPr>
        <w:t>As the Preferred Stock may become redeemable upon the occurrence of a Deemed Liquidation Event (as defined below), the Preferred Stock has been classified outside of stockholders' deficit. Since the Preferred Stock is not initially redeemable and the Company has determined that it is not probable that it will become redeemable, the carrying value of the Preferred Stock has not been adjusted.</w:t>
      </w:r>
    </w:p>
    <w:p>
      <w:pPr>
        <w:spacing w:after="0" w:line="194" w:lineRule="exact"/>
        <w:rPr>
          <w:sz w:val="20"/>
          <w:szCs w:val="20"/>
          <w:color w:val="auto"/>
        </w:rPr>
      </w:pPr>
    </w:p>
    <w:p>
      <w:pPr>
        <w:jc w:val="both"/>
        <w:ind w:firstLine="411"/>
        <w:spacing w:after="0" w:line="268" w:lineRule="auto"/>
        <w:rPr>
          <w:sz w:val="20"/>
          <w:szCs w:val="20"/>
          <w:color w:val="auto"/>
        </w:rPr>
      </w:pPr>
      <w:r>
        <w:rPr>
          <w:rFonts w:ascii="Arial" w:cs="Arial" w:eastAsia="Arial" w:hAnsi="Arial"/>
          <w:sz w:val="18"/>
          <w:szCs w:val="18"/>
          <w:color w:val="auto"/>
        </w:rPr>
        <w:t>No dividends have been declared since inception. Aggregate cumulative dividends associated with the Series A Preferred Stock and the Series B Preferred Stock as of December 31, 2018 were $7.2 million and $2.3 million,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holders of the Preferred Stock have the following rights, privileges, and preferences: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429"/>
        <w:spacing w:after="0" w:line="294" w:lineRule="auto"/>
        <w:rPr>
          <w:sz w:val="20"/>
          <w:szCs w:val="20"/>
          <w:color w:val="auto"/>
        </w:rPr>
      </w:pPr>
      <w:r>
        <w:rPr>
          <w:rFonts w:ascii="Arial" w:cs="Arial" w:eastAsia="Arial" w:hAnsi="Arial"/>
          <w:sz w:val="16"/>
          <w:szCs w:val="16"/>
          <w:color w:val="auto"/>
        </w:rPr>
        <w:t>The holders of the Preferred Stock are entitled to vote on all matters submitted to stockholders for a vote and have the right to vote the number of shares equal to the number of shares of Common Stock into which such shares of Preferred Stock could convert on the record date for determination of stockholders entitled to vote. The holders of Preferred Stock will vote together with the holders of Common Stock as a single class, on an as-converted basis, unless otherwise specified by law or the Certificate of Incorporation. For example, the holders of Series A Preferred Stock, exclusively and as a separate class, are entitled to elect one director of the Company and the holders of Series B Preferred Stock, exclusively and as a separate class, are entitled to elect one director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Each share of Preferred Stock is convertible, at the option of the holder, at any time, and without the payment of additional consideration by the holder, into such number of fully paid and nonassessable shares of Common Stock as is determined by dividing the Original Issue Price (as defined below) applicable to such series of Preferred Stock by the Conversion Price (as defined below) applicable to such series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 (Continued)</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Preferred Stock in effect at the time of conversion. The Original Issue Price is $1.00 per share for Series A Preferred Stock and $2.00 per share for Series B Preferred Stock, each subject to appropriate adjustment in the event of any stock dividend, stock split, combination or other similar recapitalization with respect to the Preferred Stock. The Conversion Price is initially $1.00 per share for Series A Preferred Stock and $2.00 per share for Series B Preferred Stock, each subject to appropriate adjustment in the event of any stock dividend, stock split, combination or other similar recapitalization and other adjustments, as set forth in the Company's Certificate of Incorporation, as amended and/or restated.</w:t>
      </w:r>
    </w:p>
    <w:p>
      <w:pPr>
        <w:spacing w:after="0" w:line="197" w:lineRule="exact"/>
        <w:rPr>
          <w:sz w:val="20"/>
          <w:szCs w:val="20"/>
          <w:color w:val="auto"/>
        </w:rPr>
      </w:pPr>
    </w:p>
    <w:p>
      <w:pPr>
        <w:jc w:val="both"/>
        <w:ind w:firstLine="355"/>
        <w:spacing w:after="0" w:line="289" w:lineRule="auto"/>
        <w:rPr>
          <w:sz w:val="20"/>
          <w:szCs w:val="20"/>
          <w:color w:val="auto"/>
        </w:rPr>
      </w:pPr>
      <w:r>
        <w:rPr>
          <w:rFonts w:ascii="Arial" w:cs="Arial" w:eastAsia="Arial" w:hAnsi="Arial"/>
          <w:sz w:val="16"/>
          <w:szCs w:val="16"/>
          <w:color w:val="auto"/>
        </w:rPr>
        <w:t>Each share of Preferred Stock will automatically convert into shares of Common Stock at the then-effective conversion ratio upon either (i) the closing of the sale of shares of Common Stock to the public in a firm-commitment underwritten public offering pursuant to an effective registration statement under the Securities Act of 1933, as amended (the "Securities Act"), provided that such offering results in at least $45 million of gross proceeds to the Company and, following such offering, the Common Stock is listed on the New York Stock Exchange or Nasdaq or (ii) the date and time, or the occurrence of an event, specified by the vote or written consent of the holders of at least 65% of the outstanding shares of Preferred Stock. If the holders of at least 65% of the outstanding shares of Preferred Stock approve such a mandatory conversion in connection with a proposed Deemed Liquidation Event in which the holders of Series B Preferred Stock would receive less than the full liquidation preference applicable to the Series B Preferred Stock (as discussed below), then the mandatory conversion will also require the consent of the holders of a majority of the outstanding shares of Series B Preferred Stock, voting together as a separate class.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426"/>
        <w:spacing w:after="0" w:line="289" w:lineRule="auto"/>
        <w:rPr>
          <w:sz w:val="20"/>
          <w:szCs w:val="20"/>
          <w:color w:val="auto"/>
        </w:rPr>
      </w:pPr>
      <w:r>
        <w:rPr>
          <w:rFonts w:ascii="Arial" w:cs="Arial" w:eastAsia="Arial" w:hAnsi="Arial"/>
          <w:sz w:val="16"/>
          <w:szCs w:val="16"/>
          <w:color w:val="auto"/>
        </w:rPr>
        <w:t>From the date of issuance of the Series B Preferred Stock, dividends at an annual rate of $0.16 per share will accrue on such shares of Series B Preferred Stock, subject to adjustment in the event of any stock split, stock dividend, or other similar recapitalization with respect to the Series B Preferred Stock (the "Series B Accruing Dividends"). From the date of issuance of the Series A Preferred Stock, dividends at an annual rate of $0.08 per share will accrue on such shares of Series A Preferred Stock, subject to adjustment in the event of any stock split, stock dividend, or other similar recapitalization with respect to the Series A Preferred Stock (the "Series A Accruing Dividends", and together with the Series B Accruing Dividends, the "Accruing Dividends"). The Accruing Dividends are cumulative and are payable only when and if declared by the board of directors of the Company or in the event of a liquidation, dissolution or winding up of the Company or a Deemed Liquidation Event. The Company cannot declare dividends on the Common Stock unless the holders of Preferred Stock first receive, or simultaneously receive, a dividend on each outstanding share of Preferred Stock. No dividends have been declared since inception.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225" w:lineRule="exact"/>
        <w:rPr>
          <w:sz w:val="20"/>
          <w:szCs w:val="20"/>
          <w:color w:val="auto"/>
        </w:rPr>
      </w:pPr>
    </w:p>
    <w:p>
      <w:pPr>
        <w:jc w:val="both"/>
        <w:ind w:firstLine="412"/>
        <w:spacing w:after="0" w:line="283" w:lineRule="auto"/>
        <w:rPr>
          <w:sz w:val="20"/>
          <w:szCs w:val="20"/>
          <w:color w:val="auto"/>
        </w:rPr>
      </w:pPr>
      <w:r>
        <w:rPr>
          <w:rFonts w:ascii="Arial" w:cs="Arial" w:eastAsia="Arial" w:hAnsi="Arial"/>
          <w:sz w:val="16"/>
          <w:szCs w:val="16"/>
          <w:color w:val="auto"/>
        </w:rPr>
        <w:t>In the event of any voluntary or involuntary liquidation, dissolution or winding up of the Company or Deemed Liquidation Event, the holders of shares of Preferred Stock then outstanding will be entitled to be paid out of the assets of the Company available for distribution to its stockholders before any payment will be made to the holders of Common Stock by reason of their ownership thereof, an amount per share equal to the greater of (i) the applicable Original Issue Price, plus any applicable Accruing Dividends accrued but unpaid thereon, whether or not declared, together with any other dividends declared but unpaid thereon or</w:t>
      </w:r>
    </w:p>
    <w:p>
      <w:pPr>
        <w:spacing w:after="0" w:line="3" w:lineRule="exact"/>
        <w:rPr>
          <w:sz w:val="20"/>
          <w:szCs w:val="20"/>
          <w:color w:val="auto"/>
        </w:rPr>
      </w:pPr>
    </w:p>
    <w:p>
      <w:pPr>
        <w:ind w:left="5540" w:right="4860" w:hanging="5532"/>
        <w:spacing w:after="0" w:line="605" w:lineRule="auto"/>
        <w:tabs>
          <w:tab w:leader="none" w:pos="25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such amount per share as would have been payable had all shares of Preferred Stock been 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converted into Common Stock immediately prior to such liquidation, dissolution, winding up or Deemed Liquidation Event.</w:t>
      </w:r>
    </w:p>
    <w:p>
      <w:pPr>
        <w:spacing w:after="0" w:line="225"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After the payment of all preferential amounts required to be paid to the holders of shares of Preferred Stock, the remaining assets of the Company available for distribution to its stockholders will be distributed among the holders of the shares of Common Stock, pro rata based on the number of shares held by each such holder.</w:t>
      </w:r>
    </w:p>
    <w:p>
      <w:pPr>
        <w:spacing w:after="0" w:line="194" w:lineRule="exact"/>
        <w:rPr>
          <w:sz w:val="20"/>
          <w:szCs w:val="20"/>
          <w:color w:val="auto"/>
        </w:rPr>
      </w:pPr>
    </w:p>
    <w:p>
      <w:pPr>
        <w:jc w:val="both"/>
        <w:ind w:firstLine="439"/>
        <w:spacing w:after="0" w:line="291" w:lineRule="auto"/>
        <w:rPr>
          <w:sz w:val="20"/>
          <w:szCs w:val="20"/>
          <w:color w:val="auto"/>
        </w:rPr>
      </w:pPr>
      <w:r>
        <w:rPr>
          <w:rFonts w:ascii="Arial" w:cs="Arial" w:eastAsia="Arial" w:hAnsi="Arial"/>
          <w:sz w:val="16"/>
          <w:szCs w:val="16"/>
          <w:color w:val="auto"/>
        </w:rPr>
        <w:t>Unless the holders of at least 65% of the outstanding shares of Preferred Stock, voting together as a single class, elect otherwise, a "Deemed Liquidation Event" will include (i) a merger or consolidation (other than one in which stockholders of the Company owning a majority by voting power of the outstanding shares of the Company prior to the merger or consolidation continue to own a majority by voting power of the outstanding shares of the surviving or acquiring corporation) or (ii) a sale, lease, transfer, exclusive license, or other disposition by the Company or its subsidiaries of all or substantially all of the assets of the Company and its subsidiaries, taken as a whole, or the sale or disposition of one or more subsidiaries of the Company if substantially all of the assets of the Company and its subsidiaries, taken as a whole, are held by such subsidiaries.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231" w:lineRule="exact"/>
        <w:rPr>
          <w:sz w:val="20"/>
          <w:szCs w:val="20"/>
          <w:color w:val="auto"/>
        </w:rPr>
      </w:pPr>
    </w:p>
    <w:p>
      <w:pPr>
        <w:jc w:val="both"/>
        <w:ind w:firstLine="476"/>
        <w:spacing w:after="0" w:line="291" w:lineRule="auto"/>
        <w:rPr>
          <w:sz w:val="20"/>
          <w:szCs w:val="20"/>
          <w:color w:val="auto"/>
        </w:rPr>
      </w:pPr>
      <w:r>
        <w:rPr>
          <w:rFonts w:ascii="Arial" w:cs="Arial" w:eastAsia="Arial" w:hAnsi="Arial"/>
          <w:sz w:val="16"/>
          <w:szCs w:val="16"/>
          <w:color w:val="auto"/>
        </w:rPr>
        <w:t>Each share of Common Stock entitles the holder to one vote on all matters submitted to a vote of the Company's stockholders provided, however, that, except as otherwise required by law, holders of Common Stock will not be entitled to vote on any amendment to the Company's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Delaware General Corporation Law. Common stockholders are entitled to receive dividends, as may be declared by the Company's board of directors, if any, subject to the preferential dividend rights of the Preferred Stock. No dividends have been declared or paid during the years ended December 31, 2017 or 2018.</w:t>
      </w:r>
    </w:p>
    <w:p>
      <w:pPr>
        <w:spacing w:after="0" w:line="174" w:lineRule="exact"/>
        <w:rPr>
          <w:sz w:val="20"/>
          <w:szCs w:val="20"/>
          <w:color w:val="auto"/>
        </w:rPr>
      </w:pPr>
    </w:p>
    <w:p>
      <w:pPr>
        <w:jc w:val="both"/>
        <w:ind w:firstLine="482"/>
        <w:spacing w:after="0" w:line="268" w:lineRule="auto"/>
        <w:rPr>
          <w:sz w:val="20"/>
          <w:szCs w:val="20"/>
          <w:color w:val="auto"/>
        </w:rPr>
      </w:pPr>
      <w:r>
        <w:rPr>
          <w:rFonts w:ascii="Arial" w:cs="Arial" w:eastAsia="Arial" w:hAnsi="Arial"/>
          <w:sz w:val="18"/>
          <w:szCs w:val="18"/>
          <w:color w:val="auto"/>
        </w:rPr>
        <w:t>During the year ended December 31, 2018, the Company's Certificate of Incorporation was amended and restated to increase the number of authorized shares of Common Stock from 80,000,000 to 135,000,000 shares.</w:t>
      </w:r>
    </w:p>
    <w:p>
      <w:pPr>
        <w:spacing w:after="0" w:line="186" w:lineRule="exact"/>
        <w:rPr>
          <w:sz w:val="20"/>
          <w:szCs w:val="20"/>
          <w:color w:val="auto"/>
        </w:rPr>
      </w:pPr>
    </w:p>
    <w:p>
      <w:pPr>
        <w:jc w:val="both"/>
        <w:ind w:firstLine="404"/>
        <w:spacing w:after="0" w:line="268" w:lineRule="auto"/>
        <w:rPr>
          <w:sz w:val="20"/>
          <w:szCs w:val="20"/>
          <w:color w:val="auto"/>
        </w:rPr>
      </w:pPr>
      <w:r>
        <w:rPr>
          <w:rFonts w:ascii="Arial" w:cs="Arial" w:eastAsia="Arial" w:hAnsi="Arial"/>
          <w:sz w:val="18"/>
          <w:szCs w:val="18"/>
          <w:color w:val="auto"/>
        </w:rPr>
        <w:t>The Company had reserved the following shares of Common Stock for the potential conversion of Preferred Stock and for the future issuance of Common Stock pursuant to the Company's 2016 Stock Incentive Plan, as amended from time to time (the "2016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290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Shares reserved for conversion of outstanding Series A Preferred Stock</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9"/>
              </w:rPr>
              <w:t>Shares reserved for conversion of outstanding Series B Preferred Stock</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40,000,000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reserved for future issuance under the 2016 Stock Incentive Plan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1,542,195</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6,432,941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61,542,195</w:t>
            </w: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106,432,941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680" w:type="dxa"/>
            <w:vAlign w:val="bottom"/>
            <w:vMerge w:val="restart"/>
          </w:tcPr>
          <w:p>
            <w:pPr>
              <w:ind w:left="3820"/>
              <w:spacing w:after="0"/>
              <w:rPr>
                <w:sz w:val="20"/>
                <w:szCs w:val="20"/>
                <w:color w:val="auto"/>
              </w:rPr>
            </w:pPr>
            <w:r>
              <w:rPr>
                <w:rFonts w:ascii="Arial" w:cs="Arial" w:eastAsia="Arial" w:hAnsi="Arial"/>
                <w:sz w:val="18"/>
                <w:szCs w:val="18"/>
                <w:color w:val="auto"/>
              </w:rPr>
              <w:t>F-21</w:t>
            </w: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6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Under the 2016 Stock Incentive Plan</w:t>
      </w:r>
    </w:p>
    <w:p>
      <w:pPr>
        <w:spacing w:after="0" w:line="225"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In July 2016, the Company adopted the 2016 Plan, under which it may grant restricted stock awards, restricted stock units, incentive stock options, non-statutory stock options and other stock-based awards to eligible employees, officers, directors, consultants and advisors.</w:t>
      </w:r>
    </w:p>
    <w:p>
      <w:pPr>
        <w:spacing w:after="0" w:line="186" w:lineRule="exact"/>
        <w:rPr>
          <w:sz w:val="20"/>
          <w:szCs w:val="20"/>
          <w:color w:val="auto"/>
        </w:rPr>
      </w:pPr>
    </w:p>
    <w:p>
      <w:pPr>
        <w:jc w:val="both"/>
        <w:ind w:firstLine="462"/>
        <w:spacing w:after="0" w:line="256" w:lineRule="auto"/>
        <w:rPr>
          <w:sz w:val="20"/>
          <w:szCs w:val="20"/>
          <w:color w:val="auto"/>
        </w:rPr>
      </w:pPr>
      <w:r>
        <w:rPr>
          <w:rFonts w:ascii="Arial" w:cs="Arial" w:eastAsia="Arial" w:hAnsi="Arial"/>
          <w:sz w:val="18"/>
          <w:szCs w:val="18"/>
          <w:color w:val="auto"/>
        </w:rPr>
        <w:t>The 2016 Plan is administered by the board of directors or, at the discretion of the board of directors, by a subcommittee of the board of directors. The exercise prices, vesting and other restrictions are determined at the discretion of the board of directors, or their subcommittee if so delegated, except that the exercise price per share of the stock options may not be less than 100% of the fair market value of a share of the Company's Common Stock on the date of grant and the term of the stock options may not be greater than ten years.</w:t>
      </w:r>
    </w:p>
    <w:p>
      <w:pPr>
        <w:spacing w:after="0" w:line="197" w:lineRule="exact"/>
        <w:rPr>
          <w:sz w:val="20"/>
          <w:szCs w:val="20"/>
          <w:color w:val="auto"/>
        </w:rPr>
      </w:pPr>
    </w:p>
    <w:p>
      <w:pPr>
        <w:jc w:val="both"/>
        <w:ind w:firstLine="435"/>
        <w:spacing w:after="0" w:line="255" w:lineRule="auto"/>
        <w:rPr>
          <w:sz w:val="20"/>
          <w:szCs w:val="20"/>
          <w:color w:val="auto"/>
        </w:rPr>
      </w:pPr>
      <w:r>
        <w:rPr>
          <w:rFonts w:ascii="Arial" w:cs="Arial" w:eastAsia="Arial" w:hAnsi="Arial"/>
          <w:sz w:val="18"/>
          <w:szCs w:val="18"/>
          <w:color w:val="auto"/>
        </w:rPr>
        <w:t>During the year ended December 31, 2018, the Company granted restricted stock awards and stock options. As of December 31, 2017, the Company had only granted restricted stock awards since its inception. The dates of the Company's valuations of Common Stock have not always coincided with the dates of the restricted stock awards. For financial reporting purposes, the Company performed Common Stock valuations with the assistance of a third-party specialist as of November 30, 2018, August 24, 2018, June 1, 2018, December 31, 2017 and December 31, 2016 to determine stock-based compensation expense for restricted stock awards and stock options.</w:t>
      </w:r>
    </w:p>
    <w:p>
      <w:pPr>
        <w:spacing w:after="0" w:line="197"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The total number of shares of Common Stock that were authorized for issuance under the 2016 Plan was 12,465,000 as of December 31, 2017. In January 2018, the 2016 Plan was amended to increase the number of shares of Common Stock reserved for issuance under the 2016 Plan by 3,000,000 shares. In August 2018, the 2016 Plan was amended to increase the number of shares of Common Stock reserved for issuance under the 2016 Plan by 7,000,000 shares. The total number of shares of Common Stock that were authorized for issuance under the 2016 Plan was 22,465,000 as of December 31, 2018. Refer to Note 14 for an additional increase to the number of shares issuable under the 2016 Plan that occurred subsequent to December 31, 2018.</w:t>
      </w:r>
    </w:p>
    <w:p>
      <w:pPr>
        <w:spacing w:after="0" w:line="170" w:lineRule="exact"/>
        <w:rPr>
          <w:sz w:val="20"/>
          <w:szCs w:val="20"/>
          <w:color w:val="auto"/>
        </w:rPr>
      </w:pPr>
    </w:p>
    <w:p>
      <w:pPr>
        <w:jc w:val="both"/>
        <w:ind w:firstLine="422"/>
        <w:spacing w:after="0" w:line="255" w:lineRule="auto"/>
        <w:rPr>
          <w:sz w:val="20"/>
          <w:szCs w:val="20"/>
          <w:color w:val="auto"/>
        </w:rPr>
      </w:pPr>
      <w:r>
        <w:rPr>
          <w:rFonts w:ascii="Arial" w:cs="Arial" w:eastAsia="Arial" w:hAnsi="Arial"/>
          <w:sz w:val="18"/>
          <w:szCs w:val="18"/>
          <w:color w:val="auto"/>
        </w:rPr>
        <w:t>During the year ended December 31, 2017, the Company issued 3,628,805 shares and 40,000 shares of Common Stock to employees and non-employees, respectively, under the 2016 Plan. During the year ended December 31, 2018, the Company issued 1,797,013 shares of Common Stock to employees under the 2016 Plan. The Company may repurchase unvested shares at the original purchase price if employees or non-employees are terminated or cease their employment or service relationship with the Company. The shares typically vest over a one-year or four-year period. The shares are recorded in stockholders' (deficit) equity as they vest.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restricted stock activity under the 2016 Plan:</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Weighted Average Grant</w:t>
            </w:r>
          </w:p>
        </w:tc>
      </w:tr>
      <w:tr>
        <w:trPr>
          <w:trHeight w:val="161"/>
        </w:trPr>
        <w:tc>
          <w:tcPr>
            <w:tcW w:w="5160" w:type="dxa"/>
            <w:vAlign w:val="bottom"/>
          </w:tcPr>
          <w:p>
            <w:pPr>
              <w:spacing w:after="0"/>
              <w:rPr>
                <w:sz w:val="14"/>
                <w:szCs w:val="14"/>
                <w:color w:val="auto"/>
              </w:rPr>
            </w:pPr>
          </w:p>
        </w:tc>
        <w:tc>
          <w:tcPr>
            <w:tcW w:w="9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Date Fair Value</w:t>
            </w:r>
          </w:p>
        </w:tc>
        <w:tc>
          <w:tcPr>
            <w:tcW w:w="160" w:type="dxa"/>
            <w:vAlign w:val="bottom"/>
          </w:tcPr>
          <w:p>
            <w:pPr>
              <w:spacing w:after="0"/>
              <w:rPr>
                <w:sz w:val="14"/>
                <w:szCs w:val="14"/>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6,631,980</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3,668,805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0.44</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(2,561,582)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(56,250)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7,682,953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0.43</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1,797,013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0.48</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(3,524,983)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(655,980)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0.46</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2018</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5,299,003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459"/>
        <w:spacing w:after="0" w:line="332" w:lineRule="auto"/>
        <w:rPr>
          <w:sz w:val="20"/>
          <w:szCs w:val="20"/>
          <w:color w:val="auto"/>
        </w:rPr>
      </w:pPr>
      <w:r>
        <w:rPr>
          <w:rFonts w:ascii="Arial" w:cs="Arial" w:eastAsia="Arial" w:hAnsi="Arial"/>
          <w:sz w:val="16"/>
          <w:szCs w:val="16"/>
          <w:color w:val="auto"/>
        </w:rPr>
        <w:t>Shares of Common Stock repurchased from employees and non-employees are shares held in the Company's treasury ("Treasury Shares"). The board of directors may, at their discretion, authorize that the Treasury Shares be returned to the pool of authorized but unissued Common Stock.</w:t>
      </w:r>
    </w:p>
    <w:p>
      <w:pPr>
        <w:spacing w:after="0" w:line="13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Stock options granted by the Company typically vest over a four year period and have a ten year contractual term. The following table summarizes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stock option activity under the 2016 Plan since December 31, 2017:</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4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 Term</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87"/>
              </w:rPr>
              <w:t>Exercise Price</w:t>
            </w: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7"/>
              </w:rPr>
              <w:t>Intrinsic 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3,555,302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Cancelled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3,555,302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2018</w:t>
            </w:r>
          </w:p>
        </w:tc>
        <w:tc>
          <w:tcPr>
            <w:tcW w:w="84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0.68</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9.48</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44,158</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102,694</w:t>
            </w:r>
          </w:p>
        </w:tc>
        <w:tc>
          <w:tcPr>
            <w:tcW w:w="30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515"/>
        <w:spacing w:after="0" w:line="33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39" w:lineRule="exact"/>
        <w:rPr>
          <w:sz w:val="20"/>
          <w:szCs w:val="20"/>
          <w:color w:val="auto"/>
        </w:rPr>
      </w:pPr>
    </w:p>
    <w:p>
      <w:pPr>
        <w:ind w:firstLine="360"/>
        <w:spacing w:after="0" w:line="268" w:lineRule="auto"/>
        <w:rPr>
          <w:sz w:val="20"/>
          <w:szCs w:val="20"/>
          <w:color w:val="auto"/>
        </w:rPr>
      </w:pPr>
      <w:r>
        <w:rPr>
          <w:rFonts w:ascii="Arial" w:cs="Arial" w:eastAsia="Arial" w:hAnsi="Arial"/>
          <w:sz w:val="18"/>
          <w:szCs w:val="18"/>
          <w:color w:val="auto"/>
        </w:rPr>
        <w:t>The weighted average grant date fair value of stock options granted in the year ended December 31, 2018 was $0.72 per share. As of December 31, 2018, no stock options have been exercised since inception.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stock options granted during the year ended December 31, 2018 under the 2016 Plan has been calculated on the date of grant using the following weighted average assumptions: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654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2018</w:t>
            </w:r>
          </w:p>
        </w:tc>
        <w:tc>
          <w:tcPr>
            <w:tcW w:w="16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Outside the 2016 Stock Incentive Plan</w:t>
      </w:r>
    </w:p>
    <w:p>
      <w:pPr>
        <w:spacing w:after="0" w:line="225"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6"/>
          <w:szCs w:val="16"/>
          <w:color w:val="auto"/>
        </w:rPr>
        <w:t>During July 2016, the Company issued 5,075,000 shares and 460,000 shares of Common Stock outside of the Company's 2016 Plan to non-employee founders and certain advisors, respectively. The shares were issued under the terms of restricted stock agreements between the Company and such holders, and the unvested shares are subject to repurchase by the Company upon the termination of the holder's relationship with the Company. Of the total shares issued to non-employee founders, 575,000 vested immediately upon grant; 2,500,000 vest quarterly over a four-year period based on each holder's continued service relationship with the Company; and 2,000,000 vest in equal quarterly installments over a period of one year, commencing with the first quarter after the four-year anniversary of the date of the respective non-employee founder's agreement, based on each holder's continued service relationship with the Company. Of the shares issued to non-employee advisors, 240,000 shares vest in equal quarterly installments over four years, 200,000 of the shares vest in equal quarterly installments over a period of two years upon the achievement of certain performance-based milestones, and 20,000 shares vested immediately upon grant. Stock-based compensation expense associated with the performance-based awards is recognized if the performance condition is considered probable of achievement using management's best estimates.</w:t>
      </w:r>
    </w:p>
    <w:p>
      <w:pPr>
        <w:spacing w:after="0" w:line="177" w:lineRule="exact"/>
        <w:rPr>
          <w:sz w:val="20"/>
          <w:szCs w:val="20"/>
          <w:color w:val="auto"/>
        </w:rPr>
      </w:pPr>
    </w:p>
    <w:p>
      <w:pPr>
        <w:jc w:val="both"/>
        <w:ind w:firstLine="383"/>
        <w:spacing w:after="0" w:line="255" w:lineRule="auto"/>
        <w:rPr>
          <w:sz w:val="20"/>
          <w:szCs w:val="20"/>
          <w:color w:val="auto"/>
        </w:rPr>
      </w:pPr>
      <w:r>
        <w:rPr>
          <w:rFonts w:ascii="Arial" w:cs="Arial" w:eastAsia="Arial" w:hAnsi="Arial"/>
          <w:sz w:val="18"/>
          <w:szCs w:val="18"/>
          <w:color w:val="auto"/>
        </w:rPr>
        <w:t>During the year ended December 31, 2017, management concluded that the milestone associated with 200,000 shares of performance-based restricted stock was probable of achievement, and therefore the Company began to record stock-based compensation expense using the accelerated attribution method. The milestone was subsequently achieved during the year ended December 31, 2018. The Company recorded $0.1 million and less than $0.1 million of stock-based compensation expense for non-employee performance-based awards during the years ended December 31, 2017 and 2018, respectively. The shares are recorded in stockholders' (deficit) equity as they vest.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restricted stock activity outside of the 2016 Plan:</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Number of</w:t>
            </w:r>
          </w:p>
        </w:tc>
        <w:tc>
          <w:tcPr>
            <w:tcW w:w="60" w:type="dxa"/>
            <w:vAlign w:val="bottom"/>
          </w:tcPr>
          <w:p>
            <w:pPr>
              <w:spacing w:after="0"/>
              <w:rPr>
                <w:sz w:val="14"/>
                <w:szCs w:val="1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Weighted Average Grant</w:t>
            </w:r>
          </w:p>
        </w:tc>
      </w:tr>
      <w:tr>
        <w:trPr>
          <w:trHeight w:val="161"/>
        </w:trPr>
        <w:tc>
          <w:tcPr>
            <w:tcW w:w="5220" w:type="dxa"/>
            <w:vAlign w:val="bottom"/>
          </w:tcPr>
          <w:p>
            <w:pPr>
              <w:spacing w:after="0"/>
              <w:rPr>
                <w:sz w:val="14"/>
                <w:szCs w:val="14"/>
                <w:color w:val="auto"/>
              </w:rPr>
            </w:pPr>
          </w:p>
        </w:tc>
        <w:tc>
          <w:tcPr>
            <w:tcW w:w="8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Date Fair Value</w:t>
            </w:r>
          </w:p>
        </w:tc>
        <w:tc>
          <w:tcPr>
            <w:tcW w:w="160" w:type="dxa"/>
            <w:vAlign w:val="bottom"/>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4,597,500</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3,912,500</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3,127,500</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0"/>
        </w:trPr>
        <w:tc>
          <w:tcPr>
            <w:tcW w:w="5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575"/>
        <w:spacing w:after="0" w:line="268" w:lineRule="auto"/>
        <w:rPr>
          <w:sz w:val="20"/>
          <w:szCs w:val="20"/>
          <w:color w:val="auto"/>
        </w:rPr>
      </w:pPr>
      <w:r>
        <w:rPr>
          <w:rFonts w:ascii="Arial" w:cs="Arial" w:eastAsia="Arial" w:hAnsi="Arial"/>
          <w:sz w:val="18"/>
          <w:szCs w:val="18"/>
          <w:color w:val="auto"/>
        </w:rPr>
        <w:t>The aggregate intrinsic value of all restricted stock awards that vested during the years ended December 31, 2017 and 2018 was $1.5 million and $3.4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right="20" w:firstLine="396"/>
        <w:spacing w:after="0" w:line="268" w:lineRule="auto"/>
        <w:rPr>
          <w:sz w:val="20"/>
          <w:szCs w:val="20"/>
          <w:color w:val="auto"/>
        </w:rPr>
      </w:pPr>
      <w:r>
        <w:rPr>
          <w:rFonts w:ascii="Arial" w:cs="Arial" w:eastAsia="Arial" w:hAnsi="Arial"/>
          <w:sz w:val="18"/>
          <w:szCs w:val="18"/>
          <w:color w:val="auto"/>
        </w:rPr>
        <w:t>The total compensation cost recognized in the statements of operations associated with all stock-based compensation awards granted by the Company is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3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5"/>
              </w:rPr>
              <w:t>December 31, 2017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December 31, 2018</w:t>
            </w:r>
          </w:p>
        </w:tc>
        <w:tc>
          <w:tcPr>
            <w:tcW w:w="160" w:type="dxa"/>
            <w:vAlign w:val="bottom"/>
          </w:tcPr>
          <w:p>
            <w:pPr>
              <w:spacing w:after="0"/>
              <w:rPr>
                <w:sz w:val="14"/>
                <w:szCs w:val="14"/>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1,124</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1,035</w:t>
            </w:r>
          </w:p>
        </w:tc>
      </w:tr>
      <w:tr>
        <w:trPr>
          <w:trHeight w:val="20"/>
        </w:trPr>
        <w:tc>
          <w:tcPr>
            <w:tcW w:w="3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2,159</w:t>
            </w:r>
          </w:p>
        </w:tc>
      </w:tr>
      <w:tr>
        <w:trPr>
          <w:trHeight w:val="20"/>
        </w:trPr>
        <w:tc>
          <w:tcPr>
            <w:tcW w:w="3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1"/>
        <w:spacing w:after="0" w:line="268" w:lineRule="auto"/>
        <w:rPr>
          <w:sz w:val="20"/>
          <w:szCs w:val="20"/>
          <w:color w:val="auto"/>
        </w:rPr>
      </w:pPr>
      <w:r>
        <w:rPr>
          <w:rFonts w:ascii="Arial" w:cs="Arial" w:eastAsia="Arial" w:hAnsi="Arial"/>
          <w:sz w:val="18"/>
          <w:szCs w:val="18"/>
          <w:color w:val="auto"/>
        </w:rPr>
        <w:t>As of December 31, 2018, the Company had an aggregate of $5.6 million of unrecognized stock-based compensation expense, which is expected to be recognized over a weighted average period of 2.94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491"/>
        <w:spacing w:after="0" w:line="291" w:lineRule="auto"/>
        <w:rPr>
          <w:sz w:val="20"/>
          <w:szCs w:val="20"/>
          <w:color w:val="auto"/>
        </w:rPr>
      </w:pPr>
      <w:r>
        <w:rPr>
          <w:rFonts w:ascii="Arial" w:cs="Arial" w:eastAsia="Arial" w:hAnsi="Arial"/>
          <w:sz w:val="16"/>
          <w:szCs w:val="16"/>
          <w:color w:val="auto"/>
        </w:rPr>
        <w:t>In May 2016, the Company entered into a sublease agreement for approximately 8,143 square feet of office and laboratory space at its prior corporate headquarters in Cambridge, Massachusetts. The sublease commenced during June 2016. The Company had the option to extend the sublease until June 30, 2019, subject to the landlord's own need for the space. During June 2017, the Company exercised its option to extend the sublease through June 30, 2019. During February 2018, the Company amended its sublease agreement to reduce the term of the sublease to June 30, 2018. The Company recorded rent expense for this sublease on a straight-line basis. Rent expense associated with this sublease for the years ended December 31, 2017 and 2018 was $0.5 million and $0.3 million, respectively. The sublease for this space terminated on June 30, 2018.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231" w:lineRule="exact"/>
        <w:rPr>
          <w:sz w:val="20"/>
          <w:szCs w:val="20"/>
          <w:color w:val="auto"/>
        </w:rPr>
      </w:pPr>
    </w:p>
    <w:p>
      <w:pPr>
        <w:jc w:val="both"/>
        <w:ind w:firstLine="430"/>
        <w:spacing w:after="0" w:line="286" w:lineRule="auto"/>
        <w:rPr>
          <w:sz w:val="20"/>
          <w:szCs w:val="20"/>
          <w:color w:val="auto"/>
        </w:rPr>
      </w:pPr>
      <w:r>
        <w:rPr>
          <w:rFonts w:ascii="Arial" w:cs="Arial" w:eastAsia="Arial" w:hAnsi="Arial"/>
          <w:sz w:val="16"/>
          <w:szCs w:val="16"/>
          <w:color w:val="auto"/>
        </w:rPr>
        <w:t>In November 2017, the Company entered into a lease agreement for its current corporate headquarters for approximately 28,731 square feet of office and laboratory space in Cambridge, Massachusetts, commencing December 2017. The Company began recognizing rent expense associated with this lease during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Company accounts for leasehold improvement incentives as a reduction to rent expense ratably over the lease term. The balance from the leasehold improvement incentives is classified as a deferred lease incentive on the balance sheet. As of December 31, 2017, the Company had not incurred leasehold improvement costs that are subject to reimbursement by the landlord, and therefore no lease incentive obligation was recorded on the balance sheet. The lease agreement requires the Company to either pay a security deposit or maintain a letter of credit of $1.1 million. The Company obtained a letter of credit for this lease in April 2018 and has recorded the cash held to secure the letter of credit as restricted cash on the consolidated balance sheet as of December 31, 2018. The Company records rent expense for this lease on a straight-line basis. Rent expense associated with this lease for the years ended December 31, 2017 and 2018 was approximately $0.2 million and $1.9 million, respectively.</w:t>
      </w:r>
    </w:p>
    <w:p>
      <w:pPr>
        <w:spacing w:after="0" w:line="175" w:lineRule="exact"/>
        <w:rPr>
          <w:sz w:val="20"/>
          <w:szCs w:val="20"/>
          <w:color w:val="auto"/>
        </w:rPr>
      </w:pPr>
    </w:p>
    <w:p>
      <w:pPr>
        <w:jc w:val="both"/>
        <w:ind w:firstLine="571"/>
        <w:spacing w:after="0" w:line="268" w:lineRule="auto"/>
        <w:rPr>
          <w:sz w:val="20"/>
          <w:szCs w:val="20"/>
          <w:color w:val="auto"/>
        </w:rPr>
      </w:pPr>
      <w:r>
        <w:rPr>
          <w:rFonts w:ascii="Arial" w:cs="Arial" w:eastAsia="Arial" w:hAnsi="Arial"/>
          <w:sz w:val="18"/>
          <w:szCs w:val="18"/>
          <w:color w:val="auto"/>
        </w:rPr>
        <w:t>The future minimum lease payments associated with the lease for the Company's current headquarters as of December 31, 2018 are as follows (in thousands):</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2,219</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2020</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2,285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2022</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2,424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Thereafter</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12,187</w:t>
            </w:r>
          </w:p>
        </w:tc>
      </w:tr>
      <w:tr>
        <w:trPr>
          <w:trHeight w:val="20"/>
        </w:trPr>
        <w:tc>
          <w:tcPr>
            <w:tcW w:w="4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23,966</w:t>
            </w:r>
          </w:p>
        </w:tc>
      </w:tr>
      <w:tr>
        <w:trPr>
          <w:trHeight w:val="20"/>
        </w:trPr>
        <w:tc>
          <w:tcPr>
            <w:tcW w:w="4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jc w:val="both"/>
        <w:ind w:firstLine="372"/>
        <w:spacing w:after="0" w:line="259" w:lineRule="auto"/>
        <w:rPr>
          <w:sz w:val="20"/>
          <w:szCs w:val="20"/>
          <w:color w:val="auto"/>
        </w:rPr>
      </w:pPr>
      <w:r>
        <w:rPr>
          <w:rFonts w:ascii="Arial" w:cs="Arial" w:eastAsia="Arial" w:hAnsi="Arial"/>
          <w:sz w:val="18"/>
          <w:szCs w:val="18"/>
          <w:color w:val="auto"/>
        </w:rPr>
        <w:t>The Company has agreements with third parties in the normal course of business under which it can license certain developed technologies. If the Company exercises its rights to license the technologies it may be subject to additional fees and milestone payments. As of December 31, 2018, the Company has not exercised its rights to license such technologies.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427"/>
        <w:spacing w:after="0" w:line="298"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2017 or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476"/>
        <w:spacing w:after="0" w:line="256"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for the years ended December 31, 2017 and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5100" w:type="dxa"/>
            <w:vAlign w:val="bottom"/>
          </w:tcPr>
          <w:p>
            <w:pPr>
              <w:spacing w:after="0"/>
              <w:rPr>
                <w:sz w:val="14"/>
                <w:szCs w:val="14"/>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2018</w:t>
            </w:r>
          </w:p>
        </w:tc>
        <w:tc>
          <w:tcPr>
            <w:tcW w:w="160" w:type="dxa"/>
            <w:vAlign w:val="bottom"/>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(benefit) at statutory rate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34.00%</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Permanent differences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research and development credits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280" w:type="dxa"/>
            <w:vAlign w:val="bottom"/>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5.77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Impact of U.S. tax reform</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(23.80)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(28.55)</w:t>
            </w:r>
          </w:p>
        </w:tc>
      </w:tr>
      <w:tr>
        <w:trPr>
          <w:trHeight w:val="20"/>
        </w:trPr>
        <w:tc>
          <w:tcPr>
            <w:tcW w:w="5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5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84"/>
        <w:spacing w:after="0" w:line="268" w:lineRule="auto"/>
        <w:rPr>
          <w:sz w:val="20"/>
          <w:szCs w:val="20"/>
          <w:color w:val="auto"/>
        </w:rPr>
      </w:pPr>
      <w:r>
        <w:rPr>
          <w:rFonts w:ascii="Arial" w:cs="Arial" w:eastAsia="Arial" w:hAnsi="Arial"/>
          <w:sz w:val="18"/>
          <w:szCs w:val="18"/>
          <w:color w:val="auto"/>
        </w:rPr>
        <w:t>During the years ended December 31, 2017 and 2018, the Company incurred book and tax losses and, because it maintains a full valuation allowance on its net deferred tax assets, did not recognize federal or state income tax expense or benefit.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deferred tax assets and liabilities consist of the following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2017</w:t>
            </w: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2018</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8,493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16,566</w:t>
            </w: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 carryforwards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2,503</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lease incentive</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1,218</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21,127</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(10,293)</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(19,592)</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(1,535)</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The Company has evaluated the positive and negative evidence bearing upon its ability to realize the deferred tax assets. The Company considered its history of cumulative net losses incurred since inception and its lack of commercialization of any products since inception and has concluded that it is more likely than not that the Company will not realize the benefits of the deferred tax assets. Accordingly, a full valuation allowance has been established against the net deferred tax assets as of December 31, 2017 and 2018. The Company reevaluates the positive and negative evidence at each reporting period.</w:t>
      </w:r>
    </w:p>
    <w:p>
      <w:pPr>
        <w:spacing w:after="0" w:line="16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of December 31, 2018, the Company had federal net operating loss carryforwards of approximately $60.7 million which begin to expire in 2035. Approximately $29.7 million of the federal net operating losses can be carried forward indefinitely. As of December 31, 2018, the Company also had state net operating loss carryforwards of approximately $60.5 million, which begin to expire in 2035.</w:t>
      </w:r>
    </w:p>
    <w:p>
      <w:pPr>
        <w:spacing w:after="0" w:line="194"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8"/>
          <w:szCs w:val="18"/>
          <w:color w:val="auto"/>
        </w:rPr>
        <w:t>As of December 31, 2018, the Company had federal research and development tax credit carryforwards of approximately $1.5 million, which begin to expire in 2035. As of December 31, 2018, the Company also had state research and development tax credit carryforwards of approximately $1.3 million, which begin to expire in 2035.</w:t>
      </w:r>
    </w:p>
    <w:p>
      <w:pPr>
        <w:spacing w:after="0" w:line="194" w:lineRule="exact"/>
        <w:rPr>
          <w:sz w:val="20"/>
          <w:szCs w:val="20"/>
          <w:color w:val="auto"/>
        </w:rPr>
      </w:pPr>
    </w:p>
    <w:p>
      <w:pPr>
        <w:jc w:val="both"/>
        <w:ind w:firstLine="482"/>
        <w:spacing w:after="0" w:line="287" w:lineRule="auto"/>
        <w:rPr>
          <w:sz w:val="20"/>
          <w:szCs w:val="20"/>
          <w:color w:val="auto"/>
        </w:rPr>
      </w:pPr>
      <w:r>
        <w:rPr>
          <w:rFonts w:ascii="Arial" w:cs="Arial" w:eastAsia="Arial" w:hAnsi="Arial"/>
          <w:sz w:val="16"/>
          <w:szCs w:val="16"/>
          <w:color w:val="auto"/>
        </w:rPr>
        <w:t>Utilization of the net operating loss carryforwards and research and development tax credit carryforwards may be subject to an annual limitation under Section 382 of the Internal Revenue Code of 1986, as amended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139" w:lineRule="exact"/>
        <w:rPr>
          <w:sz w:val="20"/>
          <w:szCs w:val="20"/>
          <w:color w:val="auto"/>
        </w:rPr>
      </w:pPr>
    </w:p>
    <w:p>
      <w:pPr>
        <w:jc w:val="both"/>
        <w:ind w:firstLine="469"/>
        <w:spacing w:after="0" w:line="259"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As of December 31, 2018, the Company's tax years are still open under statute from 2015 to the present.</w:t>
      </w:r>
    </w:p>
    <w:p>
      <w:pPr>
        <w:spacing w:after="0" w:line="194" w:lineRule="exact"/>
        <w:rPr>
          <w:sz w:val="20"/>
          <w:szCs w:val="20"/>
          <w:color w:val="auto"/>
        </w:rPr>
      </w:pPr>
    </w:p>
    <w:p>
      <w:pPr>
        <w:jc w:val="both"/>
        <w:ind w:firstLine="521"/>
        <w:spacing w:after="0" w:line="290" w:lineRule="auto"/>
        <w:rPr>
          <w:sz w:val="20"/>
          <w:szCs w:val="20"/>
          <w:color w:val="auto"/>
        </w:rPr>
      </w:pPr>
      <w:r>
        <w:rPr>
          <w:rFonts w:ascii="Arial" w:cs="Arial" w:eastAsia="Arial" w:hAnsi="Arial"/>
          <w:sz w:val="16"/>
          <w:szCs w:val="16"/>
          <w:color w:val="auto"/>
        </w:rPr>
        <w:t>It is the Company's policy to include penalties and interest expense related to income taxes as a component of the provision for income taxes. As of December 31, 2017 and 2018, the Company had no accrued interest or penalties related to uncertain tax positions and no amounts have been recognized in the Company's statements of operations. For the year ended December 31, 2018, the Company generated research credits but has not conducted a study to document the qualified activities.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result in an adjustment to the deferred tax asset established for the research and development credit carryforwards and the valuation allowance.</w:t>
      </w:r>
    </w:p>
    <w:p>
      <w:pPr>
        <w:spacing w:after="0" w:line="172" w:lineRule="exact"/>
        <w:rPr>
          <w:sz w:val="20"/>
          <w:szCs w:val="20"/>
          <w:color w:val="auto"/>
        </w:rPr>
      </w:pPr>
    </w:p>
    <w:p>
      <w:pPr>
        <w:jc w:val="both"/>
        <w:ind w:firstLine="422"/>
        <w:spacing w:after="0" w:line="253" w:lineRule="auto"/>
        <w:rPr>
          <w:sz w:val="20"/>
          <w:szCs w:val="20"/>
          <w:color w:val="auto"/>
        </w:rPr>
      </w:pPr>
      <w:r>
        <w:rPr>
          <w:rFonts w:ascii="Arial" w:cs="Arial" w:eastAsia="Arial" w:hAnsi="Arial"/>
          <w:sz w:val="18"/>
          <w:szCs w:val="18"/>
          <w:color w:val="auto"/>
        </w:rPr>
        <w:t>On December 22, 2017, the Tax Cuts and Jobs Act (the "Tax Reform Act") was enacted, which significantly reforms the Internal Revenue Code. The Tax Reform Act, among other things, contains significant changes to corporate taxation, including reduction of the corporate tax rate from a top marginal rate of 35% to a flat rate of 21%, effective as of January 1, 2018; limitation of the tax deduction for interest expense; limitation of the deduction for net operating losses to 80% of annual taxable income and elimination of net operating loss carrybacks, in each case, for losses arising in taxable years beginning after December 31, 2017 (though any such tax losses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w:t>
      </w:r>
    </w:p>
    <w:p>
      <w:pPr>
        <w:spacing w:after="0" w:line="201" w:lineRule="exact"/>
        <w:rPr>
          <w:sz w:val="20"/>
          <w:szCs w:val="20"/>
          <w:color w:val="auto"/>
        </w:rPr>
      </w:pPr>
    </w:p>
    <w:p>
      <w:pPr>
        <w:jc w:val="both"/>
        <w:ind w:firstLine="528"/>
        <w:spacing w:after="0" w:line="254" w:lineRule="auto"/>
        <w:rPr>
          <w:sz w:val="20"/>
          <w:szCs w:val="20"/>
          <w:color w:val="auto"/>
        </w:rPr>
      </w:pPr>
      <w:r>
        <w:rPr>
          <w:rFonts w:ascii="Arial" w:cs="Arial" w:eastAsia="Arial" w:hAnsi="Arial"/>
          <w:sz w:val="18"/>
          <w:szCs w:val="18"/>
          <w:color w:val="auto"/>
        </w:rPr>
        <w:t>The staff of the Securities and Exchange Commission issued Staff Accounting Bulletin No. 118 ("SAB 118") to address the application of GAAP in situations when a registrant does not have the necessary information available, prepared, or analyzed (including computations) in reasonable detail to complete the accounting for certain income tax effects of the Tax Reform Act. The Company is applying the provisions of SAB 118. In connection with the initial analysis of the impact of the Tax Reform Act for the year ended December 31, 2017, the Company remeasured certain deferred tax assets and liabilities based on the revised U.S. federal corporate tax rate of 21%. The remeasurement of the Company's deferred tax assets and liabilities was offset by a corresponding change in the Company's valuation allowance.</w:t>
      </w:r>
    </w:p>
    <w:p>
      <w:pPr>
        <w:spacing w:after="0" w:line="198" w:lineRule="exact"/>
        <w:rPr>
          <w:sz w:val="20"/>
          <w:szCs w:val="20"/>
          <w:color w:val="auto"/>
        </w:rPr>
      </w:pPr>
    </w:p>
    <w:p>
      <w:pPr>
        <w:jc w:val="both"/>
        <w:ind w:firstLine="517"/>
        <w:spacing w:after="0" w:line="306" w:lineRule="auto"/>
        <w:rPr>
          <w:sz w:val="20"/>
          <w:szCs w:val="20"/>
          <w:color w:val="auto"/>
        </w:rPr>
      </w:pPr>
      <w:r>
        <w:rPr>
          <w:rFonts w:ascii="Arial" w:cs="Arial" w:eastAsia="Arial" w:hAnsi="Arial"/>
          <w:sz w:val="16"/>
          <w:szCs w:val="16"/>
          <w:color w:val="auto"/>
        </w:rPr>
        <w:t>As permitted by SAB 118, the Company recorded provisional estimates during the year ended December 31, 2017 and has subsequently finalized its accounting analysis based on the guidance, interpretations, and data available as of December 31, 2018. Adjustments made in the fourth quarter of 2018 upon finalization of the Company's accounting analysis were not material to the Company's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Defined Contribution Plan</w:t>
      </w:r>
    </w:p>
    <w:p>
      <w:pPr>
        <w:spacing w:after="0" w:line="231" w:lineRule="exact"/>
        <w:rPr>
          <w:sz w:val="20"/>
          <w:szCs w:val="20"/>
          <w:color w:val="auto"/>
        </w:rPr>
      </w:pPr>
    </w:p>
    <w:p>
      <w:pPr>
        <w:jc w:val="both"/>
        <w:ind w:firstLine="425"/>
        <w:spacing w:after="0" w:line="306"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and has not made any contributions to the 401(k) Plan.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and Unaudited Pro Forma Net Loss per Share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ind w:firstLine="373"/>
        <w:spacing w:after="0" w:line="312" w:lineRule="auto"/>
        <w:rPr>
          <w:sz w:val="20"/>
          <w:szCs w:val="20"/>
          <w:color w:val="auto"/>
        </w:rPr>
      </w:pPr>
      <w:r>
        <w:rPr>
          <w:rFonts w:ascii="Arial" w:cs="Arial" w:eastAsia="Arial" w:hAnsi="Arial"/>
          <w:sz w:val="15"/>
          <w:szCs w:val="15"/>
          <w:color w:val="auto"/>
        </w:rPr>
        <w:t>Basic net loss per share attributable to common stockholders is calculated by dividing net loss attributable to common stockholders by the weighted average shares outstanding during the period, without consideration for Common Stock equivalents. Net loss attributable to common stockholders is calculated by adjusting the net loss of the Company for cumulative preferred stock dividends. Diluted net loss per share attributable to common stockholders is calculated by adjusting weighted average shares outstanding for the dilutive effect of Common Stock equivalents outstanding for the period. For purposes of the dilutive net loss per share attributable to common stockholders calculation, Preferred Stock, stock options, and unvested restricted stock are considered to be Common Stock equivalents but are excluded from the calculation of diluted net loss per share attributable to common stockholders, as their effect would be anti-dilutive. Therefore, basic and diluted net loss per share attributable to common stockholders were the same for all periods presented as a result of the Company's net loss.</w:t>
      </w:r>
    </w:p>
    <w:p>
      <w:pPr>
        <w:spacing w:after="0" w:line="159" w:lineRule="exact"/>
        <w:rPr>
          <w:sz w:val="20"/>
          <w:szCs w:val="20"/>
          <w:color w:val="auto"/>
        </w:rPr>
      </w:pPr>
    </w:p>
    <w:p>
      <w:pPr>
        <w:jc w:val="both"/>
        <w:ind w:firstLine="475"/>
        <w:spacing w:after="0" w:line="268"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attributable to common stockholders for the periods indicated because including them would have had an anti-dilutive effect:</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280" w:type="dxa"/>
            <w:vAlign w:val="bottom"/>
          </w:tcPr>
          <w:p>
            <w:pPr>
              <w:jc w:val="right"/>
              <w:ind w:right="218"/>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5100" w:type="dxa"/>
            <w:vAlign w:val="bottom"/>
          </w:tcPr>
          <w:p>
            <w:pPr>
              <w:spacing w:after="0"/>
              <w:rPr>
                <w:sz w:val="14"/>
                <w:szCs w:val="14"/>
                <w:color w:val="auto"/>
              </w:rPr>
            </w:pP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2018</w:t>
            </w:r>
          </w:p>
        </w:tc>
        <w:tc>
          <w:tcPr>
            <w:tcW w:w="160" w:type="dxa"/>
            <w:vAlign w:val="bottom"/>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34,666,667</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60,000,000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40,000,000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3,555,302</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Unvested restricted stock awards</w:t>
            </w:r>
          </w:p>
        </w:tc>
        <w:tc>
          <w:tcPr>
            <w:tcW w:w="1280" w:type="dxa"/>
            <w:vAlign w:val="bottom"/>
          </w:tcPr>
          <w:p>
            <w:pPr>
              <w:jc w:val="right"/>
              <w:spacing w:after="0"/>
              <w:rPr>
                <w:sz w:val="20"/>
                <w:szCs w:val="20"/>
                <w:color w:val="auto"/>
              </w:rPr>
            </w:pPr>
            <w:r>
              <w:rPr>
                <w:rFonts w:ascii="Arial" w:cs="Arial" w:eastAsia="Arial" w:hAnsi="Arial"/>
                <w:sz w:val="18"/>
                <w:szCs w:val="18"/>
                <w:color w:val="auto"/>
              </w:rPr>
              <w:t>11,595,453</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8,426,503</w:t>
            </w:r>
          </w:p>
        </w:tc>
      </w:tr>
      <w:tr>
        <w:trPr>
          <w:trHeight w:val="20"/>
        </w:trPr>
        <w:tc>
          <w:tcPr>
            <w:tcW w:w="5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46,262,120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111,981,805</w:t>
            </w:r>
          </w:p>
        </w:tc>
      </w:tr>
      <w:tr>
        <w:trPr>
          <w:trHeight w:val="20"/>
        </w:trPr>
        <w:tc>
          <w:tcPr>
            <w:tcW w:w="5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February 2019, the Company issued 12,500,000 shares of Series B Preferred Stock as consideration for the GSK Agreement (as defined in Note 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225" w:lineRule="exact"/>
        <w:rPr>
          <w:sz w:val="20"/>
          <w:szCs w:val="20"/>
          <w:color w:val="auto"/>
        </w:rPr>
      </w:pPr>
    </w:p>
    <w:p>
      <w:pPr>
        <w:jc w:val="both"/>
        <w:ind w:firstLine="473"/>
        <w:spacing w:after="0" w:line="291" w:lineRule="auto"/>
        <w:rPr>
          <w:sz w:val="20"/>
          <w:szCs w:val="20"/>
          <w:color w:val="auto"/>
        </w:rPr>
      </w:pPr>
      <w:r>
        <w:rPr>
          <w:rFonts w:ascii="Arial" w:cs="Arial" w:eastAsia="Arial" w:hAnsi="Arial"/>
          <w:sz w:val="16"/>
          <w:szCs w:val="16"/>
          <w:color w:val="auto"/>
        </w:rPr>
        <w:t>The unaudited pro forma basic and diluted net loss per share attributable to common stockholders for the year ended December 31, 2018 give effect to adjustments arising upon the closing of a qualified IPO. The unaudited pro forma basic and diluted weighted average common shares outstanding used in the calculation of unaudited pro forma basic and diluted net loss per share attributable to common stockholders for the year ended December 31, 2018 give effect to the automatic conversion upon a qualified IPO of all outstanding shares of Preferred Stock into shares of Common Stock as if the conversion had occurred on the later of January 1, 2018 or the issuance date of the Preferred Stock. Accordingly, the pro forma basic and diluted net loss per share attributable to stockholders does not include the effects of the cumulative preferred stock dividends. Shares to be sold in the offering 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and Unaudited Pro Forma Net Loss per Share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excluded from the unaudited pro forma basic and diluted loss per share attributable to common stockholders calculations.</w:t>
      </w:r>
    </w:p>
    <w:p>
      <w:pPr>
        <w:spacing w:after="0" w:line="225" w:lineRule="exact"/>
        <w:rPr>
          <w:sz w:val="20"/>
          <w:szCs w:val="20"/>
          <w:color w:val="auto"/>
        </w:rPr>
      </w:pPr>
    </w:p>
    <w:p>
      <w:pPr>
        <w:jc w:val="both"/>
        <w:ind w:firstLine="389"/>
        <w:spacing w:after="0" w:line="268" w:lineRule="auto"/>
        <w:rPr>
          <w:sz w:val="20"/>
          <w:szCs w:val="20"/>
          <w:color w:val="auto"/>
        </w:rPr>
      </w:pPr>
      <w:r>
        <w:rPr>
          <w:rFonts w:ascii="Arial" w:cs="Arial" w:eastAsia="Arial" w:hAnsi="Arial"/>
          <w:sz w:val="18"/>
          <w:szCs w:val="18"/>
          <w:color w:val="auto"/>
        </w:rPr>
        <w:t>The following table summarizes the Company's unaudited pro forma net loss per share attributable to common stockholders (in thousands, except per share data):</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2018</w:t>
            </w: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(39,147)</w:t>
            </w: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convertible preferred stock dividends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6,559</w:t>
            </w:r>
          </w:p>
        </w:tc>
      </w:tr>
      <w:tr>
        <w:trPr>
          <w:trHeight w:val="210"/>
        </w:trPr>
        <w:tc>
          <w:tcPr>
            <w:tcW w:w="6540" w:type="dxa"/>
            <w:vAlign w:val="bottom"/>
          </w:tcPr>
          <w:p>
            <w:pPr>
              <w:ind w:left="180"/>
              <w:spacing w:after="0"/>
              <w:rPr>
                <w:sz w:val="20"/>
                <w:szCs w:val="20"/>
                <w:color w:val="auto"/>
              </w:rPr>
            </w:pPr>
            <w:r>
              <w:rPr>
                <w:rFonts w:ascii="Arial" w:cs="Arial" w:eastAsia="Arial" w:hAnsi="Arial"/>
                <w:sz w:val="18"/>
                <w:szCs w:val="18"/>
                <w:color w:val="auto"/>
              </w:rPr>
              <w:t>Pro forma 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(32,588)</w:t>
            </w:r>
          </w:p>
        </w:tc>
        <w:tc>
          <w:tcPr>
            <w:tcW w:w="16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8,799</w:t>
            </w:r>
          </w:p>
        </w:tc>
      </w:tr>
      <w:tr>
        <w:trPr>
          <w:trHeight w:val="208"/>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Pro forma weighted average shares outstanding after giving effect to the conversion of</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67,856</w:t>
            </w:r>
          </w:p>
        </w:tc>
      </w:tr>
      <w:tr>
        <w:trPr>
          <w:trHeight w:val="210"/>
        </w:trPr>
        <w:tc>
          <w:tcPr>
            <w:tcW w:w="6540" w:type="dxa"/>
            <w:vAlign w:val="bottom"/>
          </w:tcPr>
          <w:p>
            <w:pPr>
              <w:ind w:left="180"/>
              <w:spacing w:after="0"/>
              <w:rPr>
                <w:sz w:val="20"/>
                <w:szCs w:val="20"/>
                <w:color w:val="auto"/>
              </w:rPr>
            </w:pPr>
            <w:r>
              <w:rPr>
                <w:rFonts w:ascii="Arial" w:cs="Arial" w:eastAsia="Arial" w:hAnsi="Arial"/>
                <w:sz w:val="18"/>
                <w:szCs w:val="18"/>
                <w:color w:val="auto"/>
              </w:rPr>
              <w:t>Pro forma weighted average shares outstanding</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76,655</w:t>
            </w:r>
          </w:p>
        </w:tc>
        <w:tc>
          <w:tcPr>
            <w:tcW w:w="16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6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Pro forma basic and diluted loss per share attributable to common stockholders, basic and</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4"/>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231" w:lineRule="exact"/>
        <w:rPr>
          <w:sz w:val="20"/>
          <w:szCs w:val="20"/>
          <w:color w:val="auto"/>
        </w:rPr>
      </w:pPr>
    </w:p>
    <w:p>
      <w:pPr>
        <w:jc w:val="both"/>
        <w:ind w:firstLine="413"/>
        <w:spacing w:after="0" w:line="294" w:lineRule="auto"/>
        <w:rPr>
          <w:sz w:val="20"/>
          <w:szCs w:val="20"/>
          <w:color w:val="auto"/>
        </w:rPr>
      </w:pPr>
      <w:r>
        <w:rPr>
          <w:rFonts w:ascii="Arial" w:cs="Arial" w:eastAsia="Arial" w:hAnsi="Arial"/>
          <w:sz w:val="16"/>
          <w:szCs w:val="16"/>
          <w:color w:val="auto"/>
        </w:rPr>
        <w:t>During the years ended December 31, 2017 and 2018, the Company paid fees to Third Rock Ventures, LLC ("TRV"), an affiliate of one of the Company's principal stockholders, in exchange for consulting services. The Company recorded expenses related to such fees of $0.1 million during each of the years ended December 31, 2017 and 2018. As of both December 31, 2017 and 2018, there was less than $0.1 million of amounts due to TRV for such services that were included in accounts payable and accrued expenses. Additionally, consultants that provide services to the Company are employees of TRV. The Company has issued an aggregate of 996,000 shares of Common Stock to these consultants in exchange for their continuing consulting services.</w:t>
      </w:r>
    </w:p>
    <w:p>
      <w:pPr>
        <w:spacing w:after="0" w:line="170"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During the year ended December 31, 2018, the Company recorded other income of $0.4 million related to the sale of drug material to an entity affiliated with TRV.</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31" w:lineRule="exact"/>
        <w:rPr>
          <w:sz w:val="20"/>
          <w:szCs w:val="20"/>
          <w:color w:val="auto"/>
        </w:rPr>
      </w:pPr>
    </w:p>
    <w:p>
      <w:pPr>
        <w:jc w:val="both"/>
        <w:ind w:firstLine="421"/>
        <w:spacing w:after="0" w:line="268" w:lineRule="auto"/>
        <w:rPr>
          <w:sz w:val="20"/>
          <w:szCs w:val="20"/>
          <w:color w:val="auto"/>
        </w:rPr>
      </w:pPr>
      <w:r>
        <w:rPr>
          <w:rFonts w:ascii="Arial" w:cs="Arial" w:eastAsia="Arial" w:hAnsi="Arial"/>
          <w:sz w:val="18"/>
          <w:szCs w:val="18"/>
          <w:color w:val="auto"/>
        </w:rPr>
        <w:t>For its consolidated financial statements as of December 31, 2018 and for the year then ended, the Company evaluated subsequent events through May 1, 2019, the date on which those consolidated financial statements were issued.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225" w:lineRule="exact"/>
        <w:rPr>
          <w:sz w:val="20"/>
          <w:szCs w:val="20"/>
          <w:color w:val="auto"/>
        </w:rPr>
      </w:pPr>
    </w:p>
    <w:p>
      <w:pPr>
        <w:jc w:val="both"/>
        <w:ind w:firstLine="420"/>
        <w:spacing w:after="0" w:line="370" w:lineRule="auto"/>
        <w:rPr>
          <w:sz w:val="20"/>
          <w:szCs w:val="20"/>
          <w:color w:val="auto"/>
        </w:rPr>
      </w:pPr>
      <w:r>
        <w:rPr>
          <w:rFonts w:ascii="Arial" w:cs="Arial" w:eastAsia="Arial" w:hAnsi="Arial"/>
          <w:sz w:val="15"/>
          <w:szCs w:val="15"/>
          <w:color w:val="auto"/>
        </w:rPr>
        <w:t>In January 2019, the 2016 Plan was amended to increase the number of shares of Common Stock reserved for issuance under the 2016 Plan by 2,500,000 shares. In January 2019 and March 2019, the Company issued stock options to purchase an aggregate of 7,143,661 shares of Common Stock under the 2016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GSK Agreement</w:t>
      </w:r>
    </w:p>
    <w:p>
      <w:pPr>
        <w:spacing w:after="0" w:line="225" w:lineRule="exact"/>
        <w:rPr>
          <w:sz w:val="20"/>
          <w:szCs w:val="20"/>
          <w:color w:val="auto"/>
        </w:rPr>
      </w:pPr>
    </w:p>
    <w:p>
      <w:pPr>
        <w:jc w:val="both"/>
        <w:ind w:firstLine="418"/>
        <w:spacing w:after="0" w:line="291" w:lineRule="auto"/>
        <w:rPr>
          <w:sz w:val="20"/>
          <w:szCs w:val="20"/>
          <w:color w:val="auto"/>
        </w:rPr>
      </w:pPr>
      <w:r>
        <w:rPr>
          <w:rFonts w:ascii="Arial" w:cs="Arial" w:eastAsia="Arial" w:hAnsi="Arial"/>
          <w:sz w:val="16"/>
          <w:szCs w:val="16"/>
          <w:color w:val="auto"/>
        </w:rPr>
        <w:t>In February 2019, the Company entered into a right of reference and license agreement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losmapmiod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74"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Under the GSK Agreement, the Company issued 12,500,000 million shares of Series B Preferred Stock to GSK with an estimated fair value of $25.5 million, or $2.04 per share, which was determined with the assistance of a third-party specialist contemporaneously with the issuance of the Series B Preferred Stock to GSK. In addition, the Company may owe GSK up to $37.5 million in certain specified development and regulatory milestones, of which $2.5 million is due upon the initiation of a Phase 2 clinical trial, and up to $60.0 million in certain specified sales milestones. The Company has agreed to pay tiered royalties on annual net sales of losmapimod that range from mid single-digit percentages to a low double-digit percentage. The royalties are payable on a product-by-product and country-by-country basis, and may be reduced in specified circumstances. The Company also incurred $0.1 million of direct expenses related to the transaction, which the Company will include in the total consideration for the transaction.</w:t>
      </w:r>
    </w:p>
    <w:p>
      <w:pPr>
        <w:spacing w:after="0" w:line="172" w:lineRule="exact"/>
        <w:rPr>
          <w:sz w:val="20"/>
          <w:szCs w:val="20"/>
          <w:color w:val="auto"/>
        </w:rPr>
      </w:pPr>
    </w:p>
    <w:p>
      <w:pPr>
        <w:jc w:val="both"/>
        <w:ind w:firstLine="402"/>
        <w:spacing w:after="0" w:line="306" w:lineRule="auto"/>
        <w:rPr>
          <w:sz w:val="20"/>
          <w:szCs w:val="20"/>
          <w:color w:val="auto"/>
        </w:rPr>
      </w:pPr>
      <w:r>
        <w:rPr>
          <w:rFonts w:ascii="Arial" w:cs="Arial" w:eastAsia="Arial" w:hAnsi="Arial"/>
          <w:sz w:val="16"/>
          <w:szCs w:val="16"/>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61" w:lineRule="exact"/>
        <w:rPr>
          <w:sz w:val="20"/>
          <w:szCs w:val="20"/>
          <w:color w:val="auto"/>
        </w:rPr>
      </w:pPr>
    </w:p>
    <w:p>
      <w:pPr>
        <w:jc w:val="both"/>
        <w:ind w:firstLine="373"/>
        <w:spacing w:after="0" w:line="286" w:lineRule="auto"/>
        <w:rPr>
          <w:sz w:val="20"/>
          <w:szCs w:val="20"/>
          <w:color w:val="auto"/>
        </w:rPr>
      </w:pPr>
      <w:r>
        <w:rPr>
          <w:rFonts w:ascii="Arial" w:cs="Arial" w:eastAsia="Arial" w:hAnsi="Arial"/>
          <w:sz w:val="16"/>
          <w:szCs w:val="16"/>
          <w:color w:val="auto"/>
        </w:rPr>
        <w:t>The Company concluded the arrangement did not result in the acquisition of a business, as substantially all of the fair value of the gross assets acquired was concentrated in a single in-process research and development asset, losmapimod. In addition, the Company did not obtain any substantive processes in connection to the GSK Agreement and losmapimod was not generating revenue at the time the GSK Agreement was executed. Therefore, the Company accounted for the arrangement as an asset acquisition. The Company also concluded that the acquired assets do not have an alternative future use, and therefore the fair value attributable to the GSK Agreement of $25.6 million, inclusive of transaction costs, will be recorded as in-process research and development expense in the Company's consolidated statement of operations and comprehensive loss for the three months ended March 31, 2019, which is the period in which the Company obtained (i) the license to losmapimod, (ii) the right to reference relevant regulatory and manufacturing documents, and (iii) GSK's existing supply of losmapimod drug substance and product. Additionally, the Company will recognize development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181"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In February 2019, in connection with the GSK Agreement, the Company's Certificate of Incorporation was amended and restated to increase the number of authorized shares of Series B Preferred Stock from 40,000,000 shares to 52,500,000 shares and to increase the number of authorized shares of Common Stock from 135,000,000 shares to 147,500,000 shares.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4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156210</wp:posOffset>
            </wp:positionV>
            <wp:extent cx="2838450" cy="6946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3845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144780</wp:posOffset>
            </wp:positionV>
            <wp:extent cx="153479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144780</wp:posOffset>
            </wp:positionV>
            <wp:extent cx="153479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4"/>
          <w:szCs w:val="24"/>
          <w:i w:val="1"/>
          <w:iCs w:val="1"/>
          <w:color w:val="auto"/>
        </w:rPr>
        <w:t>MORGAN STANLEY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4"/>
          <w:szCs w:val="24"/>
          <w:i w:val="1"/>
          <w:iCs w:val="1"/>
          <w:color w:val="auto"/>
        </w:rPr>
        <w:t>BofA MERRILL LYNCH</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4"/>
          <w:szCs w:val="24"/>
          <w:i w:val="1"/>
          <w:iCs w:val="1"/>
          <w:color w:val="auto"/>
        </w:rPr>
        <w:t>SVB LEERINK</w:t>
      </w:r>
    </w:p>
    <w:p>
      <w:pPr>
        <w:spacing w:after="0" w:line="236"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 2019</w:t>
      </w:r>
    </w:p>
    <w:p>
      <w:pPr>
        <w:spacing w:after="0" w:line="225" w:lineRule="exact"/>
        <w:rPr>
          <w:sz w:val="20"/>
          <w:szCs w:val="20"/>
          <w:color w:val="auto"/>
        </w:rPr>
      </w:pPr>
    </w:p>
    <w:p>
      <w:pPr>
        <w:ind w:left="360"/>
        <w:spacing w:after="0"/>
        <w:tabs>
          <w:tab w:leader="none" w:pos="1760" w:val="left"/>
        </w:tabs>
        <w:rPr>
          <w:sz w:val="20"/>
          <w:szCs w:val="20"/>
          <w:color w:val="auto"/>
        </w:rPr>
      </w:pPr>
      <w:r>
        <w:rPr>
          <w:rFonts w:ascii="Arial" w:cs="Arial" w:eastAsia="Arial" w:hAnsi="Arial"/>
          <w:sz w:val="15"/>
          <w:szCs w:val="15"/>
          <w:color w:val="auto"/>
        </w:rPr>
        <w:t>Until</w:t>
      </w:r>
      <w:r>
        <w:rPr>
          <w:sz w:val="20"/>
          <w:szCs w:val="20"/>
          <w:color w:val="auto"/>
        </w:rPr>
        <w:tab/>
      </w:r>
      <w:r>
        <w:rPr>
          <w:rFonts w:ascii="Arial" w:cs="Arial" w:eastAsia="Arial" w:hAnsi="Arial"/>
          <w:sz w:val="15"/>
          <w:szCs w:val="15"/>
          <w:color w:val="auto"/>
        </w:rPr>
        <w:t>, 2019 (25 days after the date of this prospectus), all dealers that effect transactions in these securities, whether or not participating in this</w:t>
      </w:r>
    </w:p>
    <w:p>
      <w:pPr>
        <w:spacing w:after="0" w:line="5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313690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jc w:val="both"/>
        <w:ind w:firstLine="406"/>
        <w:spacing w:after="0" w:line="306" w:lineRule="auto"/>
        <w:rPr>
          <w:sz w:val="20"/>
          <w:szCs w:val="20"/>
          <w:color w:val="auto"/>
        </w:rPr>
      </w:pPr>
      <w:r>
        <w:rPr>
          <w:rFonts w:ascii="Arial" w:cs="Arial" w:eastAsia="Arial" w:hAnsi="Arial"/>
          <w:sz w:val="16"/>
          <w:szCs w:val="16"/>
          <w:color w:val="auto"/>
        </w:rPr>
        <w:t>The following table sets forth the expenses to be incurred in connection with the offering described in this Registration Statement, other than underwriting discounts and commissions, all of which will be paid by the Registrant. All amounts are estimates except the Securities and Exchange Commission, or SEC, registration fee, the Financial Industry Regulatory Authority, Inc. filing fee and the Nasdaq Global Market initial listing fee.</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r>
      <w:tr>
        <w:trPr>
          <w:trHeight w:val="210"/>
        </w:trPr>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Financial Industry Regulatory Authority, Inc. filing fee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Nasdaq Global Market initial listing fee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Accountants' fees and expenses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Transfer agent's fees and expenses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Miscellaneous</w:t>
            </w:r>
          </w:p>
        </w:tc>
        <w:tc>
          <w:tcPr>
            <w:tcW w:w="1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6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43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280" w:type="dxa"/>
            <w:vAlign w:val="bottom"/>
            <w:gridSpan w:val="2"/>
          </w:tcPr>
          <w:p>
            <w:pPr>
              <w:ind w:left="400"/>
              <w:spacing w:after="0"/>
              <w:rPr>
                <w:sz w:val="20"/>
                <w:szCs w:val="20"/>
                <w:color w:val="auto"/>
              </w:rPr>
            </w:pPr>
            <w:r>
              <w:rPr>
                <w:rFonts w:ascii="Arial" w:cs="Arial" w:eastAsia="Arial" w:hAnsi="Arial"/>
                <w:sz w:val="18"/>
                <w:szCs w:val="18"/>
                <w:color w:val="auto"/>
              </w:rPr>
              <w:t>To be filed by amendment.</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jc w:val="both"/>
        <w:ind w:firstLine="557"/>
        <w:spacing w:after="0" w:line="253" w:lineRule="auto"/>
        <w:rPr>
          <w:sz w:val="20"/>
          <w:szCs w:val="20"/>
          <w:color w:val="auto"/>
        </w:rPr>
      </w:pPr>
      <w:r>
        <w:rPr>
          <w:rFonts w:ascii="Arial" w:cs="Arial" w:eastAsia="Arial" w:hAnsi="Arial"/>
          <w:sz w:val="18"/>
          <w:szCs w:val="18"/>
          <w:color w:val="auto"/>
        </w:rPr>
        <w:t>Section 102 of the Delaware General Corporation Law, or the DGCL, permits a corporation to eliminate the personal liability of its directors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that will be effective upon the closing of this offering provides that no director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201" w:lineRule="exact"/>
        <w:rPr>
          <w:sz w:val="20"/>
          <w:szCs w:val="20"/>
          <w:color w:val="auto"/>
        </w:rPr>
      </w:pPr>
    </w:p>
    <w:p>
      <w:pPr>
        <w:jc w:val="both"/>
        <w:ind w:firstLine="397"/>
        <w:spacing w:after="0" w:line="288" w:lineRule="auto"/>
        <w:rPr>
          <w:sz w:val="20"/>
          <w:szCs w:val="20"/>
          <w:color w:val="auto"/>
        </w:rPr>
      </w:pPr>
      <w:r>
        <w:rPr>
          <w:rFonts w:ascii="Arial" w:cs="Arial" w:eastAsia="Arial" w:hAnsi="Arial"/>
          <w:sz w:val="16"/>
          <w:szCs w:val="16"/>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1"/>
        <w:spacing w:after="0" w:line="289" w:lineRule="auto"/>
        <w:rPr>
          <w:sz w:val="20"/>
          <w:szCs w:val="20"/>
          <w:color w:val="auto"/>
        </w:rPr>
      </w:pPr>
      <w:r>
        <w:rPr>
          <w:rFonts w:ascii="Arial" w:cs="Arial" w:eastAsia="Arial" w:hAnsi="Arial"/>
          <w:sz w:val="16"/>
          <w:szCs w:val="16"/>
          <w:color w:val="auto"/>
        </w:rPr>
        <w:t>Our certificate of incorporation that will be effective upon the closing of the offering provides that we will indemnify each person who was or is a party or threatened to be made a party to any threatened, pending or completed action, suit or proceeding, whether civil, criminal, administrative or investigative (other than an action by or in the right of us), by reason of the fact that he or she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17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Our certificate of incorporation that will be effective upon the closing of the offering also provides that we will indemnify any Indemnitee who was or is a party to an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181" w:lineRule="exact"/>
        <w:rPr>
          <w:sz w:val="20"/>
          <w:szCs w:val="20"/>
          <w:color w:val="auto"/>
        </w:rPr>
      </w:pPr>
    </w:p>
    <w:p>
      <w:pPr>
        <w:jc w:val="both"/>
        <w:ind w:firstLine="439"/>
        <w:spacing w:after="0" w:line="255" w:lineRule="auto"/>
        <w:rPr>
          <w:sz w:val="20"/>
          <w:szCs w:val="20"/>
          <w:color w:val="auto"/>
        </w:rPr>
      </w:pPr>
      <w:r>
        <w:rPr>
          <w:rFonts w:ascii="Arial" w:cs="Arial" w:eastAsia="Arial" w:hAnsi="Arial"/>
          <w:sz w:val="18"/>
          <w:szCs w:val="18"/>
          <w:color w:val="auto"/>
        </w:rPr>
        <w:t>In addition, we intend to enter into indemnification agreements with all of our executive officers and directors prior to the completion of this offering. In general, these agreements provide that we will indemnify the executive officer or director to the fullest extent permitted by law for claims arising in his or her capacity as an executive officer or director of our company or in connection with his or her service at our request for another corporation or entity. The indemnification agreements also provide for procedures that will apply in the event that an executive officer or director makes a claim for indemnification and establish certain presumptions that are favorable to the executive officer or director.</w:t>
      </w:r>
    </w:p>
    <w:p>
      <w:pPr>
        <w:spacing w:after="0" w:line="197" w:lineRule="exact"/>
        <w:rPr>
          <w:sz w:val="20"/>
          <w:szCs w:val="20"/>
          <w:color w:val="auto"/>
        </w:rPr>
      </w:pPr>
    </w:p>
    <w:p>
      <w:pPr>
        <w:jc w:val="both"/>
        <w:ind w:firstLine="371"/>
        <w:spacing w:after="0" w:line="268" w:lineRule="auto"/>
        <w:rPr>
          <w:sz w:val="20"/>
          <w:szCs w:val="20"/>
          <w:color w:val="auto"/>
        </w:rPr>
      </w:pPr>
      <w:r>
        <w:rPr>
          <w:rFonts w:ascii="Arial" w:cs="Arial" w:eastAsia="Arial" w:hAnsi="Arial"/>
          <w:sz w:val="18"/>
          <w:szCs w:val="18"/>
          <w:color w:val="auto"/>
        </w:rPr>
        <w:t>We maintain a general liability insurance policy that covers certain liabilities of our directors and officers arising out of claims based on acts or omissions in their capacities as directors or officers.</w:t>
      </w:r>
    </w:p>
    <w:p>
      <w:pPr>
        <w:spacing w:after="0" w:line="186" w:lineRule="exact"/>
        <w:rPr>
          <w:sz w:val="20"/>
          <w:szCs w:val="20"/>
          <w:color w:val="auto"/>
        </w:rPr>
      </w:pPr>
    </w:p>
    <w:p>
      <w:pPr>
        <w:jc w:val="both"/>
        <w:ind w:firstLine="388"/>
        <w:spacing w:after="0" w:line="332" w:lineRule="auto"/>
        <w:rPr>
          <w:sz w:val="20"/>
          <w:szCs w:val="20"/>
          <w:color w:val="auto"/>
        </w:rPr>
      </w:pPr>
      <w:r>
        <w:rPr>
          <w:rFonts w:ascii="Arial" w:cs="Arial" w:eastAsia="Arial" w:hAnsi="Arial"/>
          <w:sz w:val="16"/>
          <w:szCs w:val="16"/>
          <w:color w:val="auto"/>
        </w:rPr>
        <w:t>The underwriting agreement we will enter into in connection with the offering of common stock being registered hereby provides that the underwriters will indemnify, under certain conditions, our directors and officers (as well as certain other persons) against certain liabilities arising in connection with such offering.</w:t>
      </w:r>
    </w:p>
    <w:p>
      <w:pPr>
        <w:spacing w:after="0" w:line="13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Insofar as the foregoing provisions permit indemnification of directors, executive officers or persons controlling us for liability arising under the Securities Act of 1933, as amended, or the Securities Act, we have been informed that, in the opinion of the SEC, such indemnification is against public policy as expressed in the Securities Act and is therefore unenforceable.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jc w:val="both"/>
        <w:ind w:firstLine="440"/>
        <w:spacing w:after="0" w:line="306" w:lineRule="auto"/>
        <w:rPr>
          <w:sz w:val="20"/>
          <w:szCs w:val="20"/>
          <w:color w:val="auto"/>
        </w:rPr>
      </w:pPr>
      <w:r>
        <w:rPr>
          <w:rFonts w:ascii="Arial" w:cs="Arial" w:eastAsia="Arial" w:hAnsi="Arial"/>
          <w:sz w:val="16"/>
          <w:szCs w:val="16"/>
          <w:color w:val="auto"/>
        </w:rPr>
        <w:t>Set forth below is information regarding shares of our common stock, shares of our preferred stock and stock options granted by us within the past three years that were not registered under the Securities Act. Also included is the consideration, if any, received by us for such shares and options and information relating to the section of the Securities Act, or rule of the SEC, under which exemption from registration was claimed.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Issuances of Preferred Stock and Convertible Promissory Notes</w:t>
      </w:r>
    </w:p>
    <w:p>
      <w:pPr>
        <w:spacing w:after="0" w:line="225" w:lineRule="exact"/>
        <w:rPr>
          <w:sz w:val="20"/>
          <w:szCs w:val="20"/>
          <w:color w:val="auto"/>
        </w:rPr>
      </w:pPr>
    </w:p>
    <w:p>
      <w:pPr>
        <w:jc w:val="both"/>
        <w:ind w:right="20" w:firstLine="452"/>
        <w:spacing w:after="0" w:line="259" w:lineRule="auto"/>
        <w:rPr>
          <w:sz w:val="20"/>
          <w:szCs w:val="20"/>
          <w:color w:val="auto"/>
        </w:rPr>
      </w:pPr>
      <w:r>
        <w:rPr>
          <w:rFonts w:ascii="Arial" w:cs="Arial" w:eastAsia="Arial" w:hAnsi="Arial"/>
          <w:sz w:val="18"/>
          <w:szCs w:val="18"/>
          <w:color w:val="auto"/>
        </w:rPr>
        <w:t>On April 14, 2016, we issued and sold a convertible promissory note to one investor in the aggregate principal amount of $3,500,000. The note accrued interest at a rate of 6% per annum. On July 18, 2016, all principal and accrued but unpaid interest under the note was converted into shares of Series A preferred stock, at a price per share of $1.00.</w:t>
      </w:r>
    </w:p>
    <w:p>
      <w:pPr>
        <w:spacing w:after="0" w:line="194" w:lineRule="exact"/>
        <w:rPr>
          <w:sz w:val="20"/>
          <w:szCs w:val="20"/>
          <w:color w:val="auto"/>
        </w:rPr>
      </w:pPr>
    </w:p>
    <w:p>
      <w:pPr>
        <w:jc w:val="both"/>
        <w:ind w:firstLine="390"/>
        <w:spacing w:after="0" w:line="306" w:lineRule="auto"/>
        <w:rPr>
          <w:sz w:val="20"/>
          <w:szCs w:val="20"/>
          <w:color w:val="auto"/>
        </w:rPr>
      </w:pPr>
      <w:r>
        <w:rPr>
          <w:rFonts w:ascii="Arial" w:cs="Arial" w:eastAsia="Arial" w:hAnsi="Arial"/>
          <w:sz w:val="16"/>
          <w:szCs w:val="16"/>
          <w:color w:val="auto"/>
        </w:rPr>
        <w:t>On July 18, 2016, we issued and sold 11,843,493 shares of our Series A preferred stock to one investor, consisting of (i) 5,156,507 shares sold for cash at a price per share of $1.00, for an aggregate purchase price of $5,156,507 and (ii) 6,686,986 shares issued upon conversion of $6,686,986 in outstanding principal and accrued but unpaid interest under our convertible promissory notes issued on October 15, 2015 and April 14, 2016, at a price per share of $1.00.</w:t>
      </w:r>
    </w:p>
    <w:p>
      <w:pPr>
        <w:spacing w:after="0" w:line="16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On November 15, 2016, we issued and sold 5,156,507 shares of our Series A preferred stock to one investor at a price per share of $1.00 in cash, for an aggregate purchase price of $5,156,507.</w:t>
      </w:r>
    </w:p>
    <w:p>
      <w:pPr>
        <w:spacing w:after="0" w:line="186" w:lineRule="exact"/>
        <w:rPr>
          <w:sz w:val="20"/>
          <w:szCs w:val="20"/>
          <w:color w:val="auto"/>
        </w:rPr>
      </w:pPr>
    </w:p>
    <w:p>
      <w:pPr>
        <w:jc w:val="both"/>
        <w:ind w:firstLine="468"/>
        <w:spacing w:after="0" w:line="268" w:lineRule="auto"/>
        <w:rPr>
          <w:sz w:val="20"/>
          <w:szCs w:val="20"/>
          <w:color w:val="auto"/>
        </w:rPr>
      </w:pPr>
      <w:r>
        <w:rPr>
          <w:rFonts w:ascii="Arial" w:cs="Arial" w:eastAsia="Arial" w:hAnsi="Arial"/>
          <w:sz w:val="18"/>
          <w:szCs w:val="18"/>
          <w:color w:val="auto"/>
        </w:rPr>
        <w:t>On February 17, 2017, we issued and sold 6,333,333 shares of our Series A preferred stock to one investor at a price per share of $1.00 in cash, for an aggregate purchase price of $6,333,333.</w:t>
      </w:r>
    </w:p>
    <w:p>
      <w:pPr>
        <w:spacing w:after="0" w:line="186" w:lineRule="exact"/>
        <w:rPr>
          <w:sz w:val="20"/>
          <w:szCs w:val="20"/>
          <w:color w:val="auto"/>
        </w:rPr>
      </w:pPr>
    </w:p>
    <w:p>
      <w:pPr>
        <w:jc w:val="both"/>
        <w:ind w:firstLine="368"/>
        <w:spacing w:after="0" w:line="268" w:lineRule="auto"/>
        <w:rPr>
          <w:sz w:val="20"/>
          <w:szCs w:val="20"/>
          <w:color w:val="auto"/>
        </w:rPr>
      </w:pPr>
      <w:r>
        <w:rPr>
          <w:rFonts w:ascii="Arial" w:cs="Arial" w:eastAsia="Arial" w:hAnsi="Arial"/>
          <w:sz w:val="18"/>
          <w:szCs w:val="18"/>
          <w:color w:val="auto"/>
        </w:rPr>
        <w:t>On April 28, 2017, we issued and sold 5,000,000 shares of our Series A preferred stock to one investor at a price per share of $1.00 in cash, for an aggregate purchase price of $5,000,000.</w:t>
      </w:r>
    </w:p>
    <w:p>
      <w:pPr>
        <w:spacing w:after="0" w:line="186"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On May 3, 2017, we issued and sold 6,333,333 shares of our Series A preferred stock to two investors at a price per share of $1.00 in cash, for an aggregate purchase price of $6,333,333.</w:t>
      </w:r>
    </w:p>
    <w:p>
      <w:pPr>
        <w:spacing w:after="0" w:line="186"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8"/>
          <w:szCs w:val="18"/>
          <w:color w:val="auto"/>
        </w:rPr>
        <w:t>On January 4, 2018, we issued and sold 6,333,334 shares of our Series A preferred stock to two investors at a price per share of $1.00 in cash, for an aggregate purchase price of $6,333,334.</w:t>
      </w:r>
    </w:p>
    <w:p>
      <w:pPr>
        <w:spacing w:after="0" w:line="186"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8"/>
          <w:szCs w:val="18"/>
          <w:color w:val="auto"/>
        </w:rPr>
        <w:t>On March 13, 2018, we issued and sold 6,333,333 shares of our Series A preferred stock to two investors at a price per share of $1.00 in cash, for an aggregate purchase price of $6,333,333.</w:t>
      </w:r>
    </w:p>
    <w:p>
      <w:pPr>
        <w:spacing w:after="0" w:line="186"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On May 9, 2018, we issued and sold 6,333,333 shares of our Series A preferred stock to two investors at a price per share of $1.00 in cash, for an aggregate purchase price of $6,333,333.</w:t>
      </w:r>
    </w:p>
    <w:p>
      <w:pPr>
        <w:spacing w:after="0" w:line="186"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On June 6, 2018, we issued and sold 6,333,334 shares of our Series A preferred stock to two investors at a price per share of $1.00 in cash, for an aggregate purchase price of $6,333,334.</w:t>
      </w:r>
    </w:p>
    <w:p>
      <w:pPr>
        <w:spacing w:after="0" w:line="186" w:lineRule="exact"/>
        <w:rPr>
          <w:sz w:val="20"/>
          <w:szCs w:val="20"/>
          <w:color w:val="auto"/>
        </w:rPr>
      </w:pPr>
    </w:p>
    <w:p>
      <w:pPr>
        <w:jc w:val="both"/>
        <w:ind w:firstLine="480"/>
        <w:spacing w:after="0" w:line="268" w:lineRule="auto"/>
        <w:rPr>
          <w:sz w:val="20"/>
          <w:szCs w:val="20"/>
          <w:color w:val="auto"/>
        </w:rPr>
      </w:pPr>
      <w:r>
        <w:rPr>
          <w:rFonts w:ascii="Arial" w:cs="Arial" w:eastAsia="Arial" w:hAnsi="Arial"/>
          <w:sz w:val="18"/>
          <w:szCs w:val="18"/>
          <w:color w:val="auto"/>
        </w:rPr>
        <w:t>On August 24, 2018, we issued and sold 40,000,000 shares of our Series B preferred stock to 20 investors at a price per share of $2.00 in cash, for an aggregate purchase price of $80,000,000.</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8, 2019 we issued 12,500,000 shares of our Series B preferred stock to one investor in exchange for a license.</w:t>
      </w:r>
    </w:p>
    <w:p>
      <w:pPr>
        <w:spacing w:after="0" w:line="225" w:lineRule="exact"/>
        <w:rPr>
          <w:sz w:val="20"/>
          <w:szCs w:val="20"/>
          <w:color w:val="auto"/>
        </w:rPr>
      </w:pPr>
    </w:p>
    <w:p>
      <w:pPr>
        <w:jc w:val="both"/>
        <w:ind w:firstLine="446"/>
        <w:spacing w:after="0" w:line="294" w:lineRule="auto"/>
        <w:rPr>
          <w:sz w:val="20"/>
          <w:szCs w:val="20"/>
          <w:color w:val="auto"/>
        </w:rPr>
      </w:pPr>
      <w:r>
        <w:rPr>
          <w:rFonts w:ascii="Arial" w:cs="Arial" w:eastAsia="Arial" w:hAnsi="Arial"/>
          <w:sz w:val="16"/>
          <w:szCs w:val="16"/>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in certain cases, Regulation D thereunder, relative to transactions by an issuer not involving any public offering, to the extent an exemption from such registration was required. All purchasers received written disclosures that the securities had not been registered under the Securities Act and that any resale must be made pursuant to a registration statement or an available exemption from such registration.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Common Stock</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Between May 1, 2016 and May 1, 2019, we have issued an aggregate of 18,254,818 shares of restricted common stock, for cash with purchase prices ranging from $0.001 to $0.01 per share, to employees, directors, advisors and consultants, including 12,719,818 shares issued pursuant to our 2016 Stock Incentive Plan, as amended.</w:t>
      </w:r>
    </w:p>
    <w:p>
      <w:pPr>
        <w:spacing w:after="0" w:line="194" w:lineRule="exact"/>
        <w:rPr>
          <w:sz w:val="20"/>
          <w:szCs w:val="20"/>
          <w:color w:val="auto"/>
        </w:rPr>
      </w:pPr>
    </w:p>
    <w:p>
      <w:pPr>
        <w:jc w:val="both"/>
        <w:ind w:firstLine="550"/>
        <w:spacing w:after="0" w:line="255" w:lineRule="auto"/>
        <w:rPr>
          <w:sz w:val="20"/>
          <w:szCs w:val="20"/>
          <w:color w:val="auto"/>
        </w:rPr>
      </w:pPr>
      <w:r>
        <w:rPr>
          <w:rFonts w:ascii="Arial" w:cs="Arial" w:eastAsia="Arial" w:hAnsi="Arial"/>
          <w:sz w:val="18"/>
          <w:szCs w:val="18"/>
          <w:color w:val="auto"/>
        </w:rPr>
        <w:t>The shares of common stock described in this section (b) of Item 15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Stock Option Grants and Exercises</w:t>
      </w:r>
    </w:p>
    <w:p>
      <w:pPr>
        <w:spacing w:after="0" w:line="225"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auto"/>
        </w:rPr>
        <w:t>Between May 1, 2016 and May 1, 2019, we granted options to purchase an aggregate of 10,698,963 shares of common stock, with exercise prices ranging from $0.69 to $1.19 per share, to our employees, directors, advisors and consultants pursuant to our 2016 Stock Incentive Plan. Between May 1, 2016 and May 1, 2019, we issued 195,381 shares of our common stock upon the exercise of stock options outstanding under our 2016 Stock Incentive Plan for aggregate consideration of $218,827.</w:t>
      </w:r>
    </w:p>
    <w:p>
      <w:pPr>
        <w:spacing w:after="0" w:line="197"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8"/>
          <w:szCs w:val="18"/>
          <w:color w:val="auto"/>
        </w:rPr>
        <w:t>The stock options and the shares of common stock issued upon the exercise of stock options described in this section (c) of Item 15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45" w:lineRule="exact"/>
        <w:rPr>
          <w:sz w:val="20"/>
          <w:szCs w:val="20"/>
          <w:color w:val="auto"/>
        </w:rPr>
      </w:pPr>
    </w:p>
    <w:p>
      <w:pPr>
        <w:ind w:left="540" w:hanging="532"/>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Exhibits</w:t>
      </w:r>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8340" w:type="dxa"/>
            <w:vAlign w:val="bottom"/>
          </w:tcPr>
          <w:p>
            <w:pPr>
              <w:spacing w:after="0"/>
              <w:rPr>
                <w:sz w:val="14"/>
                <w:szCs w:val="14"/>
                <w:color w:val="auto"/>
              </w:rPr>
            </w:pPr>
          </w:p>
        </w:tc>
      </w:tr>
      <w:tr>
        <w:trPr>
          <w:trHeight w:val="161"/>
        </w:trPr>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340" w:type="dxa"/>
            <w:vAlign w:val="bottom"/>
            <w:tcBorders>
              <w:bottom w:val="single" w:sz="8" w:color="auto"/>
            </w:tcBorders>
          </w:tcPr>
          <w:p>
            <w:pPr>
              <w:ind w:left="3520"/>
              <w:spacing w:after="0"/>
              <w:rPr>
                <w:sz w:val="20"/>
                <w:szCs w:val="20"/>
                <w:color w:val="auto"/>
              </w:rPr>
            </w:pPr>
            <w:r>
              <w:rPr>
                <w:rFonts w:ascii="Arial" w:cs="Arial" w:eastAsia="Arial" w:hAnsi="Arial"/>
                <w:sz w:val="14"/>
                <w:szCs w:val="14"/>
                <w:b w:val="1"/>
                <w:bCs w:val="1"/>
                <w:color w:val="auto"/>
              </w:rPr>
              <w:t>Description of Exhibit</w:t>
            </w:r>
          </w:p>
        </w:tc>
      </w:tr>
      <w:tr>
        <w:trPr>
          <w:trHeight w:val="216"/>
        </w:trPr>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424"/>
        </w:trPr>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8380" w:type="dxa"/>
            <w:vAlign w:val="bottom"/>
            <w:gridSpan w:val="2"/>
          </w:tcPr>
          <w:p>
            <w:pPr>
              <w:ind w:left="40"/>
              <w:spacing w:after="0"/>
              <w:rPr>
                <w:sz w:val="20"/>
                <w:szCs w:val="20"/>
                <w:color w:val="auto"/>
              </w:rPr>
            </w:pPr>
            <w:r>
              <w:rPr>
                <w:rFonts w:ascii="Arial" w:cs="Arial" w:eastAsia="Arial" w:hAnsi="Arial"/>
                <w:sz w:val="18"/>
                <w:szCs w:val="18"/>
                <w:color w:val="auto"/>
              </w:rPr>
              <w:t>Amended and Restated Certificate of Incorporation, as amended, of the Registrant</w:t>
            </w:r>
          </w:p>
        </w:tc>
      </w:tr>
      <w:tr>
        <w:trPr>
          <w:trHeight w:val="432"/>
        </w:trPr>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8380" w:type="dxa"/>
            <w:vAlign w:val="bottom"/>
            <w:gridSpan w:val="2"/>
          </w:tcPr>
          <w:p>
            <w:pPr>
              <w:ind w:left="40"/>
              <w:spacing w:after="0"/>
              <w:rPr>
                <w:sz w:val="20"/>
                <w:szCs w:val="20"/>
                <w:color w:val="auto"/>
              </w:rPr>
            </w:pPr>
            <w:r>
              <w:rPr>
                <w:rFonts w:ascii="Arial" w:cs="Arial" w:eastAsia="Arial" w:hAnsi="Arial"/>
                <w:sz w:val="18"/>
                <w:szCs w:val="18"/>
                <w:color w:val="auto"/>
              </w:rPr>
              <w:t>Bylaws of the Registrant</w:t>
            </w:r>
          </w:p>
        </w:tc>
      </w:tr>
      <w:tr>
        <w:trPr>
          <w:trHeight w:val="432"/>
        </w:trPr>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8380" w:type="dxa"/>
            <w:vAlign w:val="bottom"/>
            <w:gridSpan w:val="2"/>
          </w:tcPr>
          <w:p>
            <w:pPr>
              <w:ind w:left="40"/>
              <w:spacing w:after="0"/>
              <w:rPr>
                <w:sz w:val="20"/>
                <w:szCs w:val="20"/>
                <w:color w:val="auto"/>
              </w:rPr>
            </w:pPr>
            <w:r>
              <w:rPr>
                <w:rFonts w:ascii="Arial" w:cs="Arial" w:eastAsia="Arial" w:hAnsi="Arial"/>
                <w:sz w:val="18"/>
                <w:szCs w:val="18"/>
                <w:color w:val="auto"/>
                <w:w w:val="95"/>
              </w:rPr>
              <w:t>Form of Restated Certificate of Incorporation of the Registrant (to be effective upon the closing of this offering)</w:t>
            </w:r>
          </w:p>
        </w:tc>
      </w:tr>
      <w:tr>
        <w:trPr>
          <w:trHeight w:val="432"/>
        </w:trPr>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8380" w:type="dxa"/>
            <w:vAlign w:val="bottom"/>
            <w:gridSpan w:val="2"/>
          </w:tcPr>
          <w:p>
            <w:pPr>
              <w:ind w:left="40"/>
              <w:spacing w:after="0"/>
              <w:rPr>
                <w:sz w:val="20"/>
                <w:szCs w:val="20"/>
                <w:color w:val="auto"/>
              </w:rPr>
            </w:pPr>
            <w:r>
              <w:rPr>
                <w:rFonts w:ascii="Arial" w:cs="Arial" w:eastAsia="Arial" w:hAnsi="Arial"/>
                <w:sz w:val="18"/>
                <w:szCs w:val="18"/>
                <w:color w:val="auto"/>
                <w:w w:val="99"/>
              </w:rPr>
              <w:t>Form of Amended and Restated Bylaws of the Registrant (to be effective upon the closing of this offering)</w:t>
            </w:r>
          </w:p>
        </w:tc>
      </w:tr>
      <w:tr>
        <w:trPr>
          <w:trHeight w:val="432"/>
        </w:trPr>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8380" w:type="dxa"/>
            <w:vAlign w:val="bottom"/>
            <w:gridSpan w:val="2"/>
          </w:tcPr>
          <w:p>
            <w:pPr>
              <w:ind w:left="40"/>
              <w:spacing w:after="0"/>
              <w:rPr>
                <w:sz w:val="20"/>
                <w:szCs w:val="20"/>
                <w:color w:val="auto"/>
              </w:rPr>
            </w:pPr>
            <w:r>
              <w:rPr>
                <w:rFonts w:ascii="Arial" w:cs="Arial" w:eastAsia="Arial" w:hAnsi="Arial"/>
                <w:sz w:val="18"/>
                <w:szCs w:val="18"/>
                <w:color w:val="auto"/>
              </w:rPr>
              <w:t>Specimen Stock Certificate evidencing the shares of common stock</w:t>
            </w:r>
          </w:p>
        </w:tc>
      </w:tr>
      <w:tr>
        <w:trPr>
          <w:trHeight w:val="432"/>
        </w:trPr>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8380" w:type="dxa"/>
            <w:vAlign w:val="bottom"/>
            <w:gridSpan w:val="2"/>
          </w:tcPr>
          <w:p>
            <w:pPr>
              <w:ind w:left="40"/>
              <w:spacing w:after="0"/>
              <w:rPr>
                <w:sz w:val="20"/>
                <w:szCs w:val="20"/>
                <w:color w:val="auto"/>
              </w:rPr>
            </w:pPr>
            <w:r>
              <w:rPr>
                <w:rFonts w:ascii="Arial" w:cs="Arial" w:eastAsia="Arial" w:hAnsi="Arial"/>
                <w:sz w:val="18"/>
                <w:szCs w:val="18"/>
                <w:color w:val="auto"/>
              </w:rPr>
              <w:t>Opinion of Wilmer Cutler Pickering Hale and Dorr LLP</w:t>
            </w:r>
          </w:p>
        </w:tc>
      </w:tr>
      <w:tr>
        <w:trPr>
          <w:trHeight w:val="426"/>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8380" w:type="dxa"/>
            <w:vAlign w:val="bottom"/>
            <w:gridSpan w:val="2"/>
          </w:tcPr>
          <w:p>
            <w:pPr>
              <w:ind w:left="40"/>
              <w:spacing w:after="0"/>
              <w:rPr>
                <w:sz w:val="20"/>
                <w:szCs w:val="20"/>
                <w:color w:val="auto"/>
              </w:rPr>
            </w:pPr>
            <w:r>
              <w:rPr>
                <w:rFonts w:ascii="Arial" w:cs="Arial" w:eastAsia="Arial" w:hAnsi="Arial"/>
                <w:sz w:val="18"/>
                <w:szCs w:val="18"/>
                <w:color w:val="auto"/>
                <w:w w:val="89"/>
              </w:rPr>
              <w:t>Amended and Restated Investors' Rights Agreement, dated as of August 24, 2018, by and among the Registrant and</w:t>
            </w:r>
          </w:p>
        </w:tc>
      </w:tr>
      <w:tr>
        <w:trPr>
          <w:trHeight w:val="222"/>
        </w:trPr>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380" w:type="dxa"/>
            <w:vAlign w:val="bottom"/>
            <w:gridSpan w:val="2"/>
          </w:tcPr>
          <w:p>
            <w:pPr>
              <w:ind w:left="40"/>
              <w:spacing w:after="0"/>
              <w:rPr>
                <w:sz w:val="20"/>
                <w:szCs w:val="20"/>
                <w:color w:val="auto"/>
              </w:rPr>
            </w:pPr>
            <w:r>
              <w:rPr>
                <w:rFonts w:ascii="Arial" w:cs="Arial" w:eastAsia="Arial" w:hAnsi="Arial"/>
                <w:sz w:val="18"/>
                <w:szCs w:val="18"/>
                <w:color w:val="auto"/>
              </w:rPr>
              <w:t>the other parties thereto</w:t>
            </w:r>
          </w:p>
        </w:tc>
      </w:tr>
      <w:tr>
        <w:trPr>
          <w:trHeight w:val="432"/>
        </w:trPr>
        <w:tc>
          <w:tcPr>
            <w:tcW w:w="6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8380" w:type="dxa"/>
            <w:vAlign w:val="bottom"/>
            <w:gridSpan w:val="2"/>
          </w:tcPr>
          <w:p>
            <w:pPr>
              <w:ind w:left="40"/>
              <w:spacing w:after="0"/>
              <w:rPr>
                <w:sz w:val="20"/>
                <w:szCs w:val="20"/>
                <w:color w:val="auto"/>
              </w:rPr>
            </w:pPr>
            <w:r>
              <w:rPr>
                <w:rFonts w:ascii="Arial" w:cs="Arial" w:eastAsia="Arial" w:hAnsi="Arial"/>
                <w:sz w:val="18"/>
                <w:szCs w:val="18"/>
                <w:color w:val="auto"/>
              </w:rPr>
              <w:t>2016 Stock Incentive Plan, as amended</w:t>
            </w:r>
          </w:p>
        </w:tc>
      </w:tr>
      <w:tr>
        <w:trPr>
          <w:trHeight w:val="432"/>
        </w:trPr>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8380" w:type="dxa"/>
            <w:vAlign w:val="bottom"/>
            <w:gridSpan w:val="2"/>
          </w:tcPr>
          <w:p>
            <w:pPr>
              <w:ind w:left="40"/>
              <w:spacing w:after="0"/>
              <w:rPr>
                <w:sz w:val="20"/>
                <w:szCs w:val="20"/>
                <w:color w:val="auto"/>
              </w:rPr>
            </w:pPr>
            <w:r>
              <w:rPr>
                <w:rFonts w:ascii="Arial" w:cs="Arial" w:eastAsia="Arial" w:hAnsi="Arial"/>
                <w:sz w:val="18"/>
                <w:szCs w:val="18"/>
                <w:color w:val="auto"/>
              </w:rPr>
              <w:t>Form of Incentive Stock Option Agreement under the 2016 Stock Incentive Plan</w:t>
            </w:r>
          </w:p>
        </w:tc>
      </w:tr>
      <w:tr>
        <w:trPr>
          <w:trHeight w:val="432"/>
        </w:trPr>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8380" w:type="dxa"/>
            <w:vAlign w:val="bottom"/>
            <w:gridSpan w:val="2"/>
          </w:tcPr>
          <w:p>
            <w:pPr>
              <w:ind w:left="40"/>
              <w:spacing w:after="0"/>
              <w:rPr>
                <w:sz w:val="20"/>
                <w:szCs w:val="20"/>
                <w:color w:val="auto"/>
              </w:rPr>
            </w:pPr>
            <w:r>
              <w:rPr>
                <w:rFonts w:ascii="Arial" w:cs="Arial" w:eastAsia="Arial" w:hAnsi="Arial"/>
                <w:sz w:val="18"/>
                <w:szCs w:val="18"/>
                <w:color w:val="auto"/>
              </w:rPr>
              <w:t>Form of Non-Statutory Stock Option Agreement under the 2016 Stock Incentive Plan</w:t>
            </w:r>
          </w:p>
        </w:tc>
      </w:tr>
      <w:tr>
        <w:trPr>
          <w:trHeight w:val="432"/>
        </w:trPr>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8380" w:type="dxa"/>
            <w:vAlign w:val="bottom"/>
            <w:gridSpan w:val="2"/>
          </w:tcPr>
          <w:p>
            <w:pPr>
              <w:ind w:left="40"/>
              <w:spacing w:after="0"/>
              <w:rPr>
                <w:sz w:val="20"/>
                <w:szCs w:val="20"/>
                <w:color w:val="auto"/>
              </w:rPr>
            </w:pPr>
            <w:r>
              <w:rPr>
                <w:rFonts w:ascii="Arial" w:cs="Arial" w:eastAsia="Arial" w:hAnsi="Arial"/>
                <w:sz w:val="18"/>
                <w:szCs w:val="18"/>
                <w:color w:val="auto"/>
              </w:rPr>
              <w:t>Form of Restricted Stock Agreement under the 2016 Stock Incentive Plan</w:t>
            </w:r>
          </w:p>
        </w:tc>
      </w:tr>
      <w:tr>
        <w:trPr>
          <w:trHeight w:val="432"/>
        </w:trPr>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8380" w:type="dxa"/>
            <w:vAlign w:val="bottom"/>
            <w:gridSpan w:val="2"/>
          </w:tcPr>
          <w:p>
            <w:pPr>
              <w:ind w:left="40"/>
              <w:spacing w:after="0"/>
              <w:rPr>
                <w:sz w:val="20"/>
                <w:szCs w:val="20"/>
                <w:color w:val="auto"/>
              </w:rPr>
            </w:pPr>
            <w:r>
              <w:rPr>
                <w:rFonts w:ascii="Arial" w:cs="Arial" w:eastAsia="Arial" w:hAnsi="Arial"/>
                <w:sz w:val="18"/>
                <w:szCs w:val="18"/>
                <w:color w:val="auto"/>
              </w:rPr>
              <w:t>2019 Stock Incentive Plan</w:t>
            </w:r>
          </w:p>
        </w:tc>
      </w:tr>
      <w:tr>
        <w:trPr>
          <w:trHeight w:val="432"/>
        </w:trPr>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8380" w:type="dxa"/>
            <w:vAlign w:val="bottom"/>
            <w:gridSpan w:val="2"/>
          </w:tcPr>
          <w:p>
            <w:pPr>
              <w:ind w:left="40"/>
              <w:spacing w:after="0"/>
              <w:rPr>
                <w:sz w:val="20"/>
                <w:szCs w:val="20"/>
                <w:color w:val="auto"/>
              </w:rPr>
            </w:pPr>
            <w:r>
              <w:rPr>
                <w:rFonts w:ascii="Arial" w:cs="Arial" w:eastAsia="Arial" w:hAnsi="Arial"/>
                <w:sz w:val="18"/>
                <w:szCs w:val="18"/>
                <w:color w:val="auto"/>
              </w:rPr>
              <w:t>Form of Stock Option Agreement under the 2019 Stock Incentive Plan</w:t>
            </w:r>
          </w:p>
        </w:tc>
      </w:tr>
      <w:tr>
        <w:trPr>
          <w:trHeight w:val="432"/>
        </w:trPr>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8380" w:type="dxa"/>
            <w:vAlign w:val="bottom"/>
            <w:gridSpan w:val="2"/>
          </w:tcPr>
          <w:p>
            <w:pPr>
              <w:ind w:left="40"/>
              <w:spacing w:after="0"/>
              <w:rPr>
                <w:sz w:val="20"/>
                <w:szCs w:val="20"/>
                <w:color w:val="auto"/>
              </w:rPr>
            </w:pPr>
            <w:r>
              <w:rPr>
                <w:rFonts w:ascii="Arial" w:cs="Arial" w:eastAsia="Arial" w:hAnsi="Arial"/>
                <w:sz w:val="18"/>
                <w:szCs w:val="18"/>
                <w:color w:val="auto"/>
              </w:rPr>
              <w:t>2019 Employee Stock Purchase Plan</w:t>
            </w:r>
          </w:p>
        </w:tc>
      </w:tr>
      <w:tr>
        <w:trPr>
          <w:trHeight w:val="432"/>
        </w:trPr>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8380" w:type="dxa"/>
            <w:vAlign w:val="bottom"/>
            <w:gridSpan w:val="2"/>
          </w:tcPr>
          <w:p>
            <w:pPr>
              <w:ind w:left="40"/>
              <w:spacing w:after="0"/>
              <w:rPr>
                <w:sz w:val="20"/>
                <w:szCs w:val="20"/>
                <w:color w:val="auto"/>
              </w:rPr>
            </w:pPr>
            <w:r>
              <w:rPr>
                <w:rFonts w:ascii="Arial" w:cs="Arial" w:eastAsia="Arial" w:hAnsi="Arial"/>
                <w:sz w:val="18"/>
                <w:szCs w:val="18"/>
                <w:color w:val="auto"/>
              </w:rPr>
              <w:t>Summary of Non-Employee Director Compensation Program</w:t>
            </w:r>
          </w:p>
        </w:tc>
      </w:tr>
    </w:tbl>
    <w:p>
      <w:pPr>
        <w:spacing w:after="0" w:line="210" w:lineRule="exact"/>
        <w:rPr>
          <w:sz w:val="20"/>
          <w:szCs w:val="20"/>
          <w:color w:val="auto"/>
        </w:rPr>
      </w:pPr>
    </w:p>
    <w:p>
      <w:pPr>
        <w:ind w:left="1940" w:right="920" w:hanging="556"/>
        <w:spacing w:after="0" w:line="234" w:lineRule="auto"/>
        <w:rPr>
          <w:sz w:val="20"/>
          <w:szCs w:val="20"/>
          <w:color w:val="auto"/>
        </w:rPr>
      </w:pPr>
      <w:r>
        <w:rPr>
          <w:rFonts w:ascii="Arial" w:cs="Arial" w:eastAsia="Arial" w:hAnsi="Arial"/>
          <w:sz w:val="15"/>
          <w:szCs w:val="15"/>
          <w:color w:val="auto"/>
        </w:rPr>
        <w:t xml:space="preserve">10.10 </w:t>
      </w:r>
      <w:r>
        <w:rPr>
          <w:rFonts w:ascii="Arial" w:cs="Arial" w:eastAsia="Arial" w:hAnsi="Arial"/>
          <w:sz w:val="24"/>
          <w:szCs w:val="24"/>
          <w:color w:val="auto"/>
          <w:vertAlign w:val="superscript"/>
        </w:rPr>
        <w:t>†</w:t>
      </w:r>
      <w:r>
        <w:rPr>
          <w:rFonts w:ascii="Arial" w:cs="Arial" w:eastAsia="Arial" w:hAnsi="Arial"/>
          <w:sz w:val="15"/>
          <w:szCs w:val="15"/>
          <w:color w:val="auto"/>
        </w:rPr>
        <w:t xml:space="preserve"> Right of Reference and License Agreement, dated as of February 8, 2019, by and among the Registrant, GlaxoSmithKline Intellectual Property (No. 2) Limited, GlaxoSmithKline LLC and Glaxo Group Limited</w:t>
      </w:r>
    </w:p>
    <w:p>
      <w:pPr>
        <w:spacing w:after="0" w:line="211" w:lineRule="exact"/>
        <w:rPr>
          <w:sz w:val="20"/>
          <w:szCs w:val="20"/>
          <w:color w:val="auto"/>
        </w:rPr>
      </w:pPr>
    </w:p>
    <w:p>
      <w:pPr>
        <w:ind w:left="1940" w:right="320" w:hanging="550"/>
        <w:spacing w:after="0" w:line="268" w:lineRule="auto"/>
        <w:rPr>
          <w:sz w:val="20"/>
          <w:szCs w:val="20"/>
          <w:color w:val="auto"/>
        </w:rPr>
      </w:pPr>
      <w:r>
        <w:rPr>
          <w:rFonts w:ascii="Arial" w:cs="Arial" w:eastAsia="Arial" w:hAnsi="Arial"/>
          <w:sz w:val="18"/>
          <w:szCs w:val="18"/>
          <w:color w:val="auto"/>
        </w:rPr>
        <w:t>10.11* Lease for 26 Landsdowne Street, dated November 22, 2017, by and between the UP 26 Landsdowne, LLC and the Registrant</w:t>
      </w:r>
    </w:p>
    <w:p>
      <w:pPr>
        <w:spacing w:after="0" w:line="186"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5"/>
          <w:szCs w:val="15"/>
          <w:color w:val="auto"/>
        </w:rPr>
        <w:t>Offer of Employment, dated June 13, 2016, by and between the Registrant and Robert Gould</w:t>
      </w:r>
    </w:p>
    <w:p>
      <w:pPr>
        <w:spacing w:after="0" w:line="225"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5"/>
          <w:szCs w:val="15"/>
          <w:color w:val="auto"/>
        </w:rPr>
        <w:t>Offer of Employment, dated December 6, 2018, by and between the Registrant and Bryan Stuart</w:t>
      </w:r>
    </w:p>
    <w:p>
      <w:pPr>
        <w:spacing w:after="0" w:line="225"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Offer of Employment, dated August 10, 2016, by and between the Registrant and Diego Cadavid</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10.15* Form of Indemnification Agreement between the Registrant and each of its Executive Officers and Directors</w:t>
      </w:r>
    </w:p>
    <w:p>
      <w:pPr>
        <w:spacing w:after="0" w:line="248"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Subsidiary of the Registrant</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23.1* Consent of Ernst &amp; Young LLP, independent registered public accounting firm</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23.2* Consent of Wilmer Cutler Pickering Hale and Dorr LLP (included in Exhibit 5.1)</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24.1* Power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5918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54" w:lineRule="exact"/>
        <w:rPr>
          <w:sz w:val="20"/>
          <w:szCs w:val="20"/>
          <w:color w:val="auto"/>
        </w:rPr>
      </w:pPr>
    </w:p>
    <w:p>
      <w:pPr>
        <w:ind w:left="1680" w:hanging="531"/>
        <w:spacing w:after="0"/>
        <w:tabs>
          <w:tab w:leader="none" w:pos="1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9" w:lineRule="exact"/>
        <w:rPr>
          <w:sz w:val="20"/>
          <w:szCs w:val="20"/>
          <w:color w:val="auto"/>
        </w:rPr>
      </w:pPr>
    </w:p>
    <w:p>
      <w:pPr>
        <w:ind w:left="5580" w:right="3860" w:hanging="4431"/>
        <w:spacing w:after="0" w:line="613" w:lineRule="auto"/>
        <w:tabs>
          <w:tab w:leader="none" w:pos="168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Certain portions of the exhibit are subject to confidential treatment. 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103"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Statement Schedules</w:t>
      </w:r>
    </w:p>
    <w:p>
      <w:pPr>
        <w:spacing w:after="0" w:line="225" w:lineRule="exact"/>
        <w:rPr>
          <w:sz w:val="20"/>
          <w:szCs w:val="20"/>
          <w:color w:val="auto"/>
        </w:rPr>
      </w:pPr>
    </w:p>
    <w:p>
      <w:pPr>
        <w:ind w:firstLine="392"/>
        <w:spacing w:after="0" w:line="268"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related notes.</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firstLine="415"/>
        <w:spacing w:after="0" w:line="268" w:lineRule="auto"/>
        <w:tabs>
          <w:tab w:leader="none" w:pos="75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 at the closing specified in the underwriting agreements certificates in such denominations and registered in such names as required by the underwriters to permit prompt delivery to each purchaser.</w:t>
      </w:r>
    </w:p>
    <w:p>
      <w:pPr>
        <w:spacing w:after="0" w:line="185" w:lineRule="exact"/>
        <w:rPr>
          <w:rFonts w:ascii="Arial" w:cs="Arial" w:eastAsia="Arial" w:hAnsi="Arial"/>
          <w:sz w:val="18"/>
          <w:szCs w:val="18"/>
          <w:color w:val="auto"/>
        </w:rPr>
      </w:pPr>
    </w:p>
    <w:p>
      <w:pPr>
        <w:jc w:val="both"/>
        <w:ind w:firstLine="412"/>
        <w:spacing w:after="0" w:line="290" w:lineRule="auto"/>
        <w:tabs>
          <w:tab w:leader="none" w:pos="76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rFonts w:ascii="Arial" w:cs="Arial" w:eastAsia="Arial" w:hAnsi="Arial"/>
          <w:sz w:val="16"/>
          <w:szCs w:val="16"/>
          <w:color w:val="auto"/>
        </w:rPr>
      </w:pPr>
    </w:p>
    <w:p>
      <w:pPr>
        <w:ind w:left="680" w:hanging="321"/>
        <w:spacing w:after="0"/>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52"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2"/>
          <w:numId w:val="12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4"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2" w:name="page243"/>
    <w:bookmarkEnd w:id="2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 to be signed on its behalf</w:t>
      </w:r>
    </w:p>
    <w:p>
      <w:pPr>
        <w:spacing w:after="0" w:line="50" w:lineRule="exact"/>
        <w:rPr>
          <w:sz w:val="20"/>
          <w:szCs w:val="20"/>
          <w:color w:val="auto"/>
        </w:rPr>
      </w:pPr>
    </w:p>
    <w:p>
      <w:pPr>
        <w:spacing w:after="0"/>
        <w:tabs>
          <w:tab w:leader="none" w:pos="8600" w:val="left"/>
          <w:tab w:leader="none" w:pos="10620" w:val="left"/>
        </w:tabs>
        <w:rPr>
          <w:sz w:val="20"/>
          <w:szCs w:val="20"/>
          <w:color w:val="auto"/>
        </w:rPr>
      </w:pPr>
      <w:r>
        <w:rPr>
          <w:rFonts w:ascii="Arial" w:cs="Arial" w:eastAsia="Arial" w:hAnsi="Arial"/>
          <w:sz w:val="16"/>
          <w:szCs w:val="16"/>
          <w:color w:val="auto"/>
        </w:rPr>
        <w:t>by the undersigned, thereunto duly authorized, in the City of Cambridge, Commonwealth of Massachusetts,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2019.</w:t>
      </w:r>
    </w:p>
    <w:p>
      <w:pPr>
        <w:spacing w:after="0" w:line="21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FULCRUM THERAPEUTICS, INC.</w:t>
      </w:r>
    </w:p>
    <w:p>
      <w:pPr>
        <w:spacing w:after="0" w:line="2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Robert J. Gould, Ph.D.</w:t>
      </w:r>
    </w:p>
    <w:p>
      <w:pPr>
        <w:spacing w:after="0" w:line="15"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 AND POWER OF ATTORNEY</w:t>
      </w:r>
    </w:p>
    <w:p>
      <w:pPr>
        <w:spacing w:after="0" w:line="231" w:lineRule="exact"/>
        <w:rPr>
          <w:sz w:val="20"/>
          <w:szCs w:val="20"/>
          <w:color w:val="auto"/>
        </w:rPr>
      </w:pPr>
    </w:p>
    <w:p>
      <w:pPr>
        <w:jc w:val="both"/>
        <w:ind w:firstLine="352"/>
        <w:spacing w:after="0" w:line="289" w:lineRule="auto"/>
        <w:rPr>
          <w:sz w:val="20"/>
          <w:szCs w:val="20"/>
          <w:color w:val="auto"/>
        </w:rPr>
      </w:pPr>
      <w:r>
        <w:rPr>
          <w:rFonts w:ascii="Arial" w:cs="Arial" w:eastAsia="Arial" w:hAnsi="Arial"/>
          <w:sz w:val="16"/>
          <w:szCs w:val="16"/>
          <w:color w:val="auto"/>
        </w:rPr>
        <w:t>We, the undersigned officers and directors of Fulcrum Therapeutics, Inc., hereby severally constitute and appoint Robert J. Gould and Bryan Stuart,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and any other registration statement for the same offering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or she might or could do in person, hereby ratifying and confirming all that said attorneys-in-fact and agents or any of them, or their, his or her substitute or substitutes, may lawfully do or cause to be done by virtue hereof.</w:t>
      </w:r>
    </w:p>
    <w:p>
      <w:pPr>
        <w:spacing w:after="0" w:line="172" w:lineRule="exact"/>
        <w:rPr>
          <w:sz w:val="20"/>
          <w:szCs w:val="20"/>
          <w:color w:val="auto"/>
        </w:rPr>
      </w:pPr>
    </w:p>
    <w:p>
      <w:pPr>
        <w:jc w:val="both"/>
        <w:ind w:right="20" w:firstLine="36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held on the dates indicated.</w:t>
      </w:r>
    </w:p>
    <w:p>
      <w:pPr>
        <w:spacing w:after="0" w:line="182" w:lineRule="exact"/>
        <w:rPr>
          <w:sz w:val="20"/>
          <w:szCs w:val="20"/>
          <w:color w:val="auto"/>
        </w:rPr>
      </w:pPr>
    </w:p>
    <w:p>
      <w:pPr>
        <w:ind w:left="2560"/>
        <w:spacing w:after="0"/>
        <w:tabs>
          <w:tab w:leader="none" w:pos="6260" w:val="left"/>
          <w:tab w:leader="none" w:pos="91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President and Chief Executive Officer, Director</w:t>
            </w:r>
          </w:p>
        </w:tc>
        <w:tc>
          <w:tcPr>
            <w:tcW w:w="2580" w:type="dxa"/>
            <w:vAlign w:val="bottom"/>
            <w:vMerge w:val="restart"/>
          </w:tcPr>
          <w:p>
            <w:pPr>
              <w:jc w:val="right"/>
              <w:ind w:right="1292"/>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8"/>
              </w:rPr>
              <w:t>Robert J. Gould, Ph.D.</w:t>
            </w:r>
          </w:p>
        </w:tc>
        <w:tc>
          <w:tcPr>
            <w:tcW w:w="42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(Principal Executive Officer)</w:t>
            </w: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4280" w:type="dxa"/>
            <w:vAlign w:val="bottom"/>
          </w:tcPr>
          <w:p>
            <w:pPr>
              <w:spacing w:after="0"/>
              <w:rPr>
                <w:sz w:val="7"/>
                <w:szCs w:val="7"/>
                <w:color w:val="auto"/>
              </w:rPr>
            </w:pPr>
          </w:p>
        </w:tc>
        <w:tc>
          <w:tcPr>
            <w:tcW w:w="2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4"/>
        </w:trPr>
        <w:tc>
          <w:tcPr>
            <w:tcW w:w="116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Chief Operating Officer (Principal Financial</w:t>
            </w:r>
          </w:p>
        </w:tc>
        <w:tc>
          <w:tcPr>
            <w:tcW w:w="2580" w:type="dxa"/>
            <w:vAlign w:val="bottom"/>
            <w:vMerge w:val="restart"/>
          </w:tcPr>
          <w:p>
            <w:pPr>
              <w:jc w:val="right"/>
              <w:ind w:right="1292"/>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7"/>
              </w:rPr>
              <w:t>Bryan Stuart</w:t>
            </w:r>
          </w:p>
        </w:tc>
        <w:tc>
          <w:tcPr>
            <w:tcW w:w="42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Officer)</w:t>
            </w: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4280" w:type="dxa"/>
            <w:vAlign w:val="bottom"/>
          </w:tcPr>
          <w:p>
            <w:pPr>
              <w:spacing w:after="0"/>
              <w:rPr>
                <w:sz w:val="7"/>
                <w:szCs w:val="7"/>
                <w:color w:val="auto"/>
              </w:rPr>
            </w:pPr>
          </w:p>
        </w:tc>
        <w:tc>
          <w:tcPr>
            <w:tcW w:w="2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4"/>
        </w:trPr>
        <w:tc>
          <w:tcPr>
            <w:tcW w:w="116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Vice President, Finance &amp; Accounting</w:t>
            </w:r>
          </w:p>
        </w:tc>
        <w:tc>
          <w:tcPr>
            <w:tcW w:w="2580" w:type="dxa"/>
            <w:vAlign w:val="bottom"/>
            <w:vMerge w:val="restart"/>
          </w:tcPr>
          <w:p>
            <w:pPr>
              <w:jc w:val="right"/>
              <w:ind w:right="1292"/>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7"/>
              </w:rPr>
              <w:t>Peter Thomson</w:t>
            </w:r>
          </w:p>
        </w:tc>
        <w:tc>
          <w:tcPr>
            <w:tcW w:w="42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(Principal Accounting Officer)</w:t>
            </w: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4280" w:type="dxa"/>
            <w:vAlign w:val="bottom"/>
          </w:tcPr>
          <w:p>
            <w:pPr>
              <w:spacing w:after="0"/>
              <w:rPr>
                <w:sz w:val="7"/>
                <w:szCs w:val="7"/>
                <w:color w:val="auto"/>
              </w:rPr>
            </w:pPr>
          </w:p>
        </w:tc>
        <w:tc>
          <w:tcPr>
            <w:tcW w:w="2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6"/>
        </w:trPr>
        <w:tc>
          <w:tcPr>
            <w:tcW w:w="116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4280" w:type="dxa"/>
            <w:vAlign w:val="bottom"/>
            <w:vMerge w:val="restart"/>
          </w:tcPr>
          <w:p>
            <w:pPr>
              <w:ind w:left="160"/>
              <w:spacing w:after="0"/>
              <w:rPr>
                <w:sz w:val="20"/>
                <w:szCs w:val="20"/>
                <w:color w:val="auto"/>
              </w:rPr>
            </w:pPr>
            <w:r>
              <w:rPr>
                <w:rFonts w:ascii="Arial" w:cs="Arial" w:eastAsia="Arial" w:hAnsi="Arial"/>
                <w:sz w:val="18"/>
                <w:szCs w:val="18"/>
                <w:color w:val="auto"/>
              </w:rPr>
              <w:t>Chairman of the Board</w:t>
            </w:r>
          </w:p>
        </w:tc>
        <w:tc>
          <w:tcPr>
            <w:tcW w:w="2580" w:type="dxa"/>
            <w:vAlign w:val="bottom"/>
            <w:vMerge w:val="restart"/>
          </w:tcPr>
          <w:p>
            <w:pPr>
              <w:jc w:val="right"/>
              <w:ind w:right="1292"/>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5"/>
              </w:rPr>
              <w:t>Mark Levin</w:t>
            </w:r>
          </w:p>
        </w:tc>
        <w:tc>
          <w:tcPr>
            <w:tcW w:w="428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400" w:type="dxa"/>
            <w:vAlign w:val="bottom"/>
            <w:vMerge w:val="continue"/>
          </w:tcPr>
          <w:p>
            <w:pPr>
              <w:spacing w:after="0"/>
              <w:rPr>
                <w:sz w:val="17"/>
                <w:szCs w:val="17"/>
                <w:color w:val="auto"/>
              </w:rPr>
            </w:pPr>
          </w:p>
        </w:tc>
        <w:tc>
          <w:tcPr>
            <w:tcW w:w="42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6"/>
        </w:trPr>
        <w:tc>
          <w:tcPr>
            <w:tcW w:w="116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428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80" w:type="dxa"/>
            <w:vAlign w:val="bottom"/>
            <w:vMerge w:val="restart"/>
          </w:tcPr>
          <w:p>
            <w:pPr>
              <w:jc w:val="right"/>
              <w:ind w:right="1292"/>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7"/>
              </w:rPr>
              <w:t>James J. Collins, Ph.D.</w:t>
            </w:r>
          </w:p>
        </w:tc>
        <w:tc>
          <w:tcPr>
            <w:tcW w:w="428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400" w:type="dxa"/>
            <w:vAlign w:val="bottom"/>
            <w:vMerge w:val="continue"/>
          </w:tcPr>
          <w:p>
            <w:pPr>
              <w:spacing w:after="0"/>
              <w:rPr>
                <w:sz w:val="17"/>
                <w:szCs w:val="17"/>
                <w:color w:val="auto"/>
              </w:rPr>
            </w:pPr>
          </w:p>
        </w:tc>
        <w:tc>
          <w:tcPr>
            <w:tcW w:w="42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3" w:name="page244"/>
    <w:bookmarkEnd w:id="2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560"/>
        <w:spacing w:after="0"/>
        <w:tabs>
          <w:tab w:leader="none" w:pos="6260" w:val="left"/>
          <w:tab w:leader="none" w:pos="91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29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3960" w:type="dxa"/>
            <w:vAlign w:val="bottom"/>
            <w:vMerge w:val="restart"/>
          </w:tcPr>
          <w:p>
            <w:pPr>
              <w:jc w:val="right"/>
              <w:ind w:right="1292"/>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2900" w:type="dxa"/>
            <w:vAlign w:val="bottom"/>
            <w:vMerge w:val="continue"/>
          </w:tcPr>
          <w:p>
            <w:pPr>
              <w:spacing w:after="0"/>
              <w:rPr>
                <w:sz w:val="5"/>
                <w:szCs w:val="5"/>
                <w:color w:val="auto"/>
              </w:rPr>
            </w:pPr>
          </w:p>
        </w:tc>
        <w:tc>
          <w:tcPr>
            <w:tcW w:w="3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300" w:type="dxa"/>
            <w:vAlign w:val="bottom"/>
            <w:gridSpan w:val="2"/>
          </w:tcPr>
          <w:p>
            <w:pPr>
              <w:jc w:val="center"/>
              <w:ind w:right="2852"/>
              <w:spacing w:after="0"/>
              <w:rPr>
                <w:sz w:val="20"/>
                <w:szCs w:val="20"/>
                <w:color w:val="auto"/>
              </w:rPr>
            </w:pPr>
            <w:r>
              <w:rPr>
                <w:rFonts w:ascii="Arial" w:cs="Arial" w:eastAsia="Arial" w:hAnsi="Arial"/>
                <w:sz w:val="18"/>
                <w:szCs w:val="18"/>
                <w:color w:val="auto"/>
                <w:w w:val="93"/>
              </w:rPr>
              <w:t>Alan Ezekowitz, MBChB, D. Phil</w:t>
            </w: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116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9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3960" w:type="dxa"/>
            <w:vAlign w:val="bottom"/>
            <w:vMerge w:val="restart"/>
          </w:tcPr>
          <w:p>
            <w:pPr>
              <w:jc w:val="right"/>
              <w:ind w:right="1292"/>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2900" w:type="dxa"/>
            <w:vAlign w:val="bottom"/>
            <w:vMerge w:val="continue"/>
          </w:tcPr>
          <w:p>
            <w:pPr>
              <w:spacing w:after="0"/>
              <w:rPr>
                <w:sz w:val="5"/>
                <w:szCs w:val="5"/>
                <w:color w:val="auto"/>
              </w:rPr>
            </w:pPr>
          </w:p>
        </w:tc>
        <w:tc>
          <w:tcPr>
            <w:tcW w:w="3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300" w:type="dxa"/>
            <w:vAlign w:val="bottom"/>
            <w:gridSpan w:val="2"/>
          </w:tcPr>
          <w:p>
            <w:pPr>
              <w:jc w:val="center"/>
              <w:ind w:right="2852"/>
              <w:spacing w:after="0"/>
              <w:rPr>
                <w:sz w:val="20"/>
                <w:szCs w:val="20"/>
                <w:color w:val="auto"/>
              </w:rPr>
            </w:pPr>
            <w:r>
              <w:rPr>
                <w:rFonts w:ascii="Arial" w:cs="Arial" w:eastAsia="Arial" w:hAnsi="Arial"/>
                <w:sz w:val="18"/>
                <w:szCs w:val="18"/>
                <w:color w:val="auto"/>
                <w:w w:val="84"/>
              </w:rPr>
              <w:t>James Geraghty</w:t>
            </w: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116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9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3960" w:type="dxa"/>
            <w:vAlign w:val="bottom"/>
            <w:vMerge w:val="restart"/>
          </w:tcPr>
          <w:p>
            <w:pPr>
              <w:jc w:val="right"/>
              <w:ind w:right="1292"/>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2900" w:type="dxa"/>
            <w:vAlign w:val="bottom"/>
            <w:vMerge w:val="continue"/>
          </w:tcPr>
          <w:p>
            <w:pPr>
              <w:spacing w:after="0"/>
              <w:rPr>
                <w:sz w:val="5"/>
                <w:szCs w:val="5"/>
                <w:color w:val="auto"/>
              </w:rPr>
            </w:pPr>
          </w:p>
        </w:tc>
        <w:tc>
          <w:tcPr>
            <w:tcW w:w="3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300" w:type="dxa"/>
            <w:vAlign w:val="bottom"/>
            <w:gridSpan w:val="2"/>
          </w:tcPr>
          <w:p>
            <w:pPr>
              <w:jc w:val="center"/>
              <w:ind w:right="2872"/>
              <w:spacing w:after="0"/>
              <w:rPr>
                <w:sz w:val="20"/>
                <w:szCs w:val="20"/>
                <w:color w:val="auto"/>
              </w:rPr>
            </w:pPr>
            <w:r>
              <w:rPr>
                <w:rFonts w:ascii="Arial" w:cs="Arial" w:eastAsia="Arial" w:hAnsi="Arial"/>
                <w:sz w:val="18"/>
                <w:szCs w:val="18"/>
                <w:color w:val="auto"/>
                <w:w w:val="90"/>
              </w:rPr>
              <w:t>Kate Haviland</w:t>
            </w: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4" w:name="page245"/>
    <w:bookmarkEnd w:id="2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Fulcrum Therapeutics,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DOES HEREBY CERTIFY:</w:t>
      </w:r>
    </w:p>
    <w:p>
      <w:pPr>
        <w:spacing w:after="0" w:line="229" w:lineRule="exact"/>
        <w:rPr>
          <w:sz w:val="20"/>
          <w:szCs w:val="20"/>
          <w:color w:val="auto"/>
        </w:rPr>
      </w:pPr>
    </w:p>
    <w:p>
      <w:pPr>
        <w:ind w:right="560" w:firstLine="656"/>
        <w:spacing w:after="0" w:line="277" w:lineRule="auto"/>
        <w:tabs>
          <w:tab w:leader="none" w:pos="129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That the name of this corporation is Fulcrum Therapeutics, Inc., and that this corporation was originally incorporated pursuant to the General Corporation Law on August 18, 2015.</w:t>
      </w:r>
    </w:p>
    <w:p>
      <w:pPr>
        <w:spacing w:after="0" w:line="170" w:lineRule="exact"/>
        <w:rPr>
          <w:rFonts w:ascii="Arial" w:cs="Arial" w:eastAsia="Arial" w:hAnsi="Arial"/>
          <w:sz w:val="18"/>
          <w:szCs w:val="18"/>
          <w:color w:val="auto"/>
        </w:rPr>
      </w:pPr>
    </w:p>
    <w:p>
      <w:pPr>
        <w:ind w:right="20" w:firstLine="656"/>
        <w:spacing w:after="0" w:line="259" w:lineRule="auto"/>
        <w:tabs>
          <w:tab w:leader="none" w:pos="129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That the Board of Directors duly adopted resolutions proposing to amend and restate the Amended and Restated Certificate of Incorporation of this corporation, as amended,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3"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Amended and Restated Certificate of Incorporation of this corporation, as amended, be amended and restated in its entirety to</w:t>
      </w:r>
      <w:r>
        <w:rPr>
          <w:rFonts w:ascii="Arial" w:cs="Arial" w:eastAsia="Arial" w:hAnsi="Arial"/>
          <w:sz w:val="18"/>
          <w:szCs w:val="18"/>
          <w:b w:val="1"/>
          <w:bCs w:val="1"/>
          <w:color w:val="auto"/>
        </w:rPr>
        <w:t xml:space="preserve"> </w:t>
      </w:r>
      <w:r>
        <w:rPr>
          <w:rFonts w:ascii="Arial" w:cs="Arial" w:eastAsia="Arial" w:hAnsi="Arial"/>
          <w:sz w:val="18"/>
          <w:szCs w:val="18"/>
          <w:color w:val="auto"/>
        </w:rPr>
        <w:t>read as follows: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this corporation is Fulcrum Therapeutics,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313" w:lineRule="auto"/>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The address of the registered office of the Corporation in the State of Delaware is Corporation Trust Center, 1209 Orange Street,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City of Wilmington, New Castle County, Delaware 19801. The name of its registered agent at such address is The Corporation Trust Company.</w:t>
      </w:r>
    </w:p>
    <w:p>
      <w:pPr>
        <w:spacing w:after="0" w:line="138"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nature of the business or purposes to be conducted or promoted is to engage in any lawful act or activity for which corporations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organized under the General Corporation Law.</w:t>
      </w:r>
    </w:p>
    <w:p>
      <w:pPr>
        <w:spacing w:after="0" w:line="162" w:lineRule="exact"/>
        <w:rPr>
          <w:sz w:val="20"/>
          <w:szCs w:val="20"/>
          <w:color w:val="auto"/>
        </w:rPr>
      </w:pPr>
    </w:p>
    <w:p>
      <w:pPr>
        <w:ind w:right="100" w:firstLine="648"/>
        <w:spacing w:after="0" w:line="347" w:lineRule="auto"/>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(i) The total number of shares of all classes of stock which the Corporation shall have authority to issue is 135,000,000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$0.001 par value per share (“</w:t>
      </w:r>
      <w:r>
        <w:rPr>
          <w:rFonts w:ascii="Arial" w:cs="Arial" w:eastAsia="Arial" w:hAnsi="Arial"/>
          <w:sz w:val="16"/>
          <w:szCs w:val="16"/>
          <w:b w:val="1"/>
          <w:bCs w:val="1"/>
          <w:color w:val="auto"/>
        </w:rPr>
        <w:t>Common Stock</w:t>
      </w:r>
      <w:r>
        <w:rPr>
          <w:rFonts w:ascii="Arial" w:cs="Arial" w:eastAsia="Arial" w:hAnsi="Arial"/>
          <w:sz w:val="16"/>
          <w:szCs w:val="16"/>
          <w:color w:val="auto"/>
        </w:rPr>
        <w:t>”) and 100,000,000 shares of Preferred Stock, $0.001 par value per share (“</w:t>
      </w:r>
      <w:r>
        <w:rPr>
          <w:rFonts w:ascii="Arial" w:cs="Arial" w:eastAsia="Arial" w:hAnsi="Arial"/>
          <w:sz w:val="16"/>
          <w:szCs w:val="16"/>
          <w:b w:val="1"/>
          <w:bCs w:val="1"/>
          <w:color w:val="auto"/>
        </w:rPr>
        <w:t>Preferred Stock</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6" w:name="page247"/>
    <w:bookmarkEnd w:id="246"/>
    <w:p>
      <w:pPr>
        <w:ind w:right="320" w:firstLine="648"/>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170"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25" w:lineRule="exact"/>
        <w:rPr>
          <w:rFonts w:ascii="Arial" w:cs="Arial" w:eastAsia="Arial" w:hAnsi="Arial"/>
          <w:sz w:val="18"/>
          <w:szCs w:val="18"/>
          <w:color w:val="auto"/>
        </w:rPr>
      </w:pPr>
    </w:p>
    <w:p>
      <w:pPr>
        <w:ind w:right="80" w:firstLine="656"/>
        <w:spacing w:after="0" w:line="277" w:lineRule="auto"/>
        <w:tabs>
          <w:tab w:leader="none" w:pos="1296"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170" w:lineRule="exact"/>
        <w:rPr>
          <w:rFonts w:ascii="Arial" w:cs="Arial" w:eastAsia="Arial" w:hAnsi="Arial"/>
          <w:sz w:val="18"/>
          <w:szCs w:val="18"/>
          <w:color w:val="auto"/>
        </w:rPr>
      </w:pPr>
    </w:p>
    <w:p>
      <w:pPr>
        <w:ind w:firstLine="656"/>
        <w:spacing w:after="0" w:line="289" w:lineRule="auto"/>
        <w:tabs>
          <w:tab w:leader="none" w:pos="1296"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xml:space="preserve">. The holders of the Common Stock are entitled to one vote for each share of Common Stock held at all meetings of stockholders (and written actions in lieu of meetings);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Common Stock, as such, shall not be entitled to vote on any amendment to the Corporation’s Amended and Restated Certificate of Incorporation (the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General Corporation Law.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66" w:lineRule="exact"/>
        <w:rPr>
          <w:rFonts w:ascii="Arial" w:cs="Arial" w:eastAsia="Arial" w:hAnsi="Arial"/>
          <w:sz w:val="16"/>
          <w:szCs w:val="16"/>
          <w:color w:val="auto"/>
        </w:rPr>
      </w:pPr>
    </w:p>
    <w:p>
      <w:pPr>
        <w:ind w:left="660" w:hanging="652"/>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25"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Preferred Stock may be issued from time to time in one or more series, each of such series to consist of such number of shares and to have such terms, rights, powers and preferences, and the qualifications and limitations with respect thereto, as stated or expressed herein.</w:t>
      </w:r>
    </w:p>
    <w:p>
      <w:pPr>
        <w:spacing w:after="0" w:line="143" w:lineRule="exact"/>
        <w:rPr>
          <w:sz w:val="20"/>
          <w:szCs w:val="20"/>
          <w:color w:val="auto"/>
        </w:rPr>
      </w:pPr>
    </w:p>
    <w:p>
      <w:pPr>
        <w:jc w:val="both"/>
        <w:ind w:right="80" w:firstLine="648"/>
        <w:spacing w:after="0" w:line="261" w:lineRule="auto"/>
        <w:rPr>
          <w:sz w:val="20"/>
          <w:szCs w:val="20"/>
          <w:color w:val="auto"/>
        </w:rPr>
      </w:pPr>
      <w:r>
        <w:rPr>
          <w:rFonts w:ascii="Arial" w:cs="Arial" w:eastAsia="Arial" w:hAnsi="Arial"/>
          <w:sz w:val="18"/>
          <w:szCs w:val="18"/>
          <w:color w:val="auto"/>
        </w:rPr>
        <w:t>60,000,000 shares of the authorized Preferred Stock of the Corporation are hereby designated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and 40,000,000 shares of the authorized Preferred Stock of the Corporation are hereby designated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each such series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184" w:lineRule="exact"/>
        <w:rPr>
          <w:sz w:val="20"/>
          <w:szCs w:val="20"/>
          <w:color w:val="auto"/>
        </w:rPr>
      </w:pPr>
    </w:p>
    <w:p>
      <w:pPr>
        <w:ind w:firstLine="656"/>
        <w:spacing w:after="0" w:line="297" w:lineRule="auto"/>
        <w:tabs>
          <w:tab w:leader="none" w:pos="1296"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From and after the date of the issuance of any shares of Series B Preferred Stock, dividends at the rate per annum of $0.16 per share shall accrue on such shares of Series B Preferred Stock (subject to appropriate adjustment in the event of any stock dividend, stock split, combination or other similar recapitalization with respect to the Series B Preferred Stock) (the “</w:t>
      </w:r>
      <w:r>
        <w:rPr>
          <w:rFonts w:ascii="Arial" w:cs="Arial" w:eastAsia="Arial" w:hAnsi="Arial"/>
          <w:sz w:val="16"/>
          <w:szCs w:val="16"/>
          <w:b w:val="1"/>
          <w:bCs w:val="1"/>
          <w:color w:val="auto"/>
        </w:rPr>
        <w:t>Series B Accruing Dividends</w:t>
      </w:r>
      <w:r>
        <w:rPr>
          <w:rFonts w:ascii="Arial" w:cs="Arial" w:eastAsia="Arial" w:hAnsi="Arial"/>
          <w:sz w:val="16"/>
          <w:szCs w:val="16"/>
          <w:color w:val="auto"/>
        </w:rPr>
        <w:t>”). From and after the date of the issuance of any shares of Series A Preferred Stock, dividends at the rate per annum of $0.08 per share shall accrue on such shares of Series A Preferred Stock (subject to appropriate adjustment in the event of any stock dividend, stock split, combination or other similar recapitalization with respect to the Series 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7" w:name="page248"/>
    <w:bookmarkEnd w:id="247"/>
    <w:p>
      <w:pPr>
        <w:ind w:right="40"/>
        <w:spacing w:after="0" w:line="300" w:lineRule="auto"/>
        <w:rPr>
          <w:sz w:val="20"/>
          <w:szCs w:val="20"/>
          <w:color w:val="auto"/>
        </w:rPr>
      </w:pPr>
      <w:r>
        <w:rPr>
          <w:rFonts w:ascii="Arial" w:cs="Arial" w:eastAsia="Arial" w:hAnsi="Arial"/>
          <w:sz w:val="16"/>
          <w:szCs w:val="16"/>
          <w:color w:val="auto"/>
        </w:rPr>
        <w:t>Preferred Stock</w:t>
      </w:r>
      <w:r>
        <w:rPr>
          <w:rFonts w:ascii="Arial" w:cs="Arial" w:eastAsia="Arial" w:hAnsi="Arial"/>
          <w:sz w:val="15"/>
          <w:szCs w:val="15"/>
          <w:color w:val="auto"/>
        </w:rPr>
        <w:t>) (the “</w:t>
      </w:r>
      <w:r>
        <w:rPr>
          <w:rFonts w:ascii="Arial" w:cs="Arial" w:eastAsia="Arial" w:hAnsi="Arial"/>
          <w:sz w:val="15"/>
          <w:szCs w:val="15"/>
          <w:b w:val="1"/>
          <w:bCs w:val="1"/>
          <w:color w:val="auto"/>
        </w:rPr>
        <w:t>Series A Accruing Dividends</w:t>
      </w:r>
      <w:r>
        <w:rPr>
          <w:rFonts w:ascii="Arial" w:cs="Arial" w:eastAsia="Arial" w:hAnsi="Arial"/>
          <w:sz w:val="15"/>
          <w:szCs w:val="15"/>
          <w:color w:val="auto"/>
        </w:rPr>
        <w:t>”, and collectively with the Series B Accruing Dividends, the “</w:t>
      </w:r>
      <w:r>
        <w:rPr>
          <w:rFonts w:ascii="Arial" w:cs="Arial" w:eastAsia="Arial" w:hAnsi="Arial"/>
          <w:sz w:val="15"/>
          <w:szCs w:val="15"/>
          <w:b w:val="1"/>
          <w:bCs w:val="1"/>
          <w:color w:val="auto"/>
        </w:rPr>
        <w:t>Preferred Accruing Dividends</w:t>
      </w:r>
      <w:r>
        <w:rPr>
          <w:rFonts w:ascii="Arial" w:cs="Arial" w:eastAsia="Arial" w:hAnsi="Arial"/>
          <w:sz w:val="15"/>
          <w:szCs w:val="15"/>
          <w:color w:val="auto"/>
        </w:rPr>
        <w:t>”). The</w:t>
      </w:r>
      <w:r>
        <w:rPr>
          <w:rFonts w:ascii="Arial" w:cs="Arial" w:eastAsia="Arial" w:hAnsi="Arial"/>
          <w:sz w:val="16"/>
          <w:szCs w:val="16"/>
          <w:color w:val="auto"/>
        </w:rPr>
        <w:t xml:space="preserve"> </w:t>
      </w:r>
      <w:r>
        <w:rPr>
          <w:rFonts w:ascii="Arial" w:cs="Arial" w:eastAsia="Arial" w:hAnsi="Arial"/>
          <w:sz w:val="15"/>
          <w:szCs w:val="15"/>
          <w:color w:val="auto"/>
        </w:rPr>
        <w:t xml:space="preserve">Preferred Accruing Dividends shall accrue from day to day, whether or not declared, shall be cumulative and shall be paid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Preferred Accruing Dividends shall be payable solely in accordance with the following sentence or upon liquidation, dissolution or winding up of the Corporation or a Deemed Liquidation Event (as defined below) in accordance with </w:t>
      </w:r>
      <w:r>
        <w:rPr>
          <w:rFonts w:ascii="Arial" w:cs="Arial" w:eastAsia="Arial" w:hAnsi="Arial"/>
          <w:sz w:val="15"/>
          <w:szCs w:val="15"/>
          <w:u w:val="single" w:color="auto"/>
          <w:color w:val="auto"/>
        </w:rPr>
        <w:t>Subsection 2.1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Subsection 2.3.2(b)</w:t>
      </w:r>
      <w:r>
        <w:rPr>
          <w:rFonts w:ascii="Arial" w:cs="Arial" w:eastAsia="Arial" w:hAnsi="Arial"/>
          <w:sz w:val="15"/>
          <w:szCs w:val="15"/>
          <w:color w:val="auto"/>
        </w:rPr>
        <w:t xml:space="preserve">.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the Certificate of Incorporation) the holders of the Series A Preferred Stock and the Series B Preferred Stock then outstanding shall first receive, or simultaneously receive, a dividend on each outstanding share of Preferred Stock, with the Series A Preferred Stock and the Series B Preferred Stock being treated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in an amount at least equal to the greater of (i) the amount of the aggregate Preferred Accruing Dividends then accrued on such share of Preferred Stock, as applicable, and not previously paid and</w:t>
      </w:r>
    </w:p>
    <w:p>
      <w:pPr>
        <w:spacing w:after="0" w:line="2" w:lineRule="exact"/>
        <w:rPr>
          <w:sz w:val="20"/>
          <w:szCs w:val="20"/>
          <w:color w:val="auto"/>
        </w:rPr>
      </w:pPr>
    </w:p>
    <w:p>
      <w:pPr>
        <w:ind w:left="260" w:hanging="252"/>
        <w:spacing w:after="0"/>
        <w:tabs>
          <w:tab w:leader="none" w:pos="2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 in the case of a dividend on Common Stock or any class or series that is convertible into Common Stock, that dividend per share of Preferred Stock as</w:t>
      </w:r>
    </w:p>
    <w:p>
      <w:pPr>
        <w:spacing w:after="0" w:line="32" w:lineRule="exact"/>
        <w:rPr>
          <w:rFonts w:ascii="Arial" w:cs="Arial" w:eastAsia="Arial" w:hAnsi="Arial"/>
          <w:sz w:val="16"/>
          <w:szCs w:val="16"/>
          <w:color w:val="auto"/>
        </w:rPr>
      </w:pPr>
    </w:p>
    <w:p>
      <w:pPr>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would equal the product of (1) the dividend payable on each share of such class or series determined, if applicable, as if all shares of such class or series had been converted into Common Stock and (2) the number of shares of Common Stock issuable upon conversion of a share of the applicable series of Preferred Stock, in each case calculated on the record date for determination of holders entitled to receive such dividend or (B) in the case of a dividend on any class or series that is not convertible into Common Stock, at a rate per share of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Series A Original Issue Price (as defined below) or the Series B Original Issue Price (as defined below), as applicable; provided that, if the Corporation declares, pays or sets aside, on the same date, a dividend on shares of more than one class or series of capital stock of the Corporation, the dividend payable to the holders of a series of Preferred Stock pursuant to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shall be calculated based upon the dividend on the class or series of capital stock that would result in the highest Preferred Stock dividend for such series. The “</w:t>
      </w:r>
      <w:r>
        <w:rPr>
          <w:rFonts w:ascii="Arial" w:cs="Arial" w:eastAsia="Arial" w:hAnsi="Arial"/>
          <w:sz w:val="16"/>
          <w:szCs w:val="16"/>
          <w:b w:val="1"/>
          <w:bCs w:val="1"/>
          <w:color w:val="auto"/>
        </w:rPr>
        <w:t>Series A Original Issue Price</w:t>
      </w:r>
      <w:r>
        <w:rPr>
          <w:rFonts w:ascii="Arial" w:cs="Arial" w:eastAsia="Arial" w:hAnsi="Arial"/>
          <w:sz w:val="16"/>
          <w:szCs w:val="16"/>
          <w:color w:val="auto"/>
        </w:rPr>
        <w:t>” shall mean $1.00 per share, subject to appropriate adjustment in the event of any stock dividend, stock split, combination or other similar recapitalization with respect to the Series A Preferred Stock. The “</w:t>
      </w:r>
      <w:r>
        <w:rPr>
          <w:rFonts w:ascii="Arial" w:cs="Arial" w:eastAsia="Arial" w:hAnsi="Arial"/>
          <w:sz w:val="16"/>
          <w:szCs w:val="16"/>
          <w:b w:val="1"/>
          <w:bCs w:val="1"/>
          <w:color w:val="auto"/>
        </w:rPr>
        <w:t>Series B Original Issue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shall mean $2.00 per share, subject to appropriate adjustment in the event of any stock dividend, stock split, combination or other similar recapitalization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the Series B Preferred Stock. The Series A Original Issue Price and Series B Original Issue Price shall each be referred to as a “</w:t>
      </w:r>
      <w:r>
        <w:rPr>
          <w:rFonts w:ascii="Arial" w:cs="Arial" w:eastAsia="Arial" w:hAnsi="Arial"/>
          <w:sz w:val="16"/>
          <w:szCs w:val="16"/>
          <w:b w:val="1"/>
          <w:bCs w:val="1"/>
          <w:color w:val="auto"/>
        </w:rPr>
        <w:t>Preferred</w:t>
      </w:r>
      <w:r>
        <w:rPr>
          <w:rFonts w:ascii="Arial" w:cs="Arial" w:eastAsia="Arial" w:hAnsi="Arial"/>
          <w:sz w:val="16"/>
          <w:szCs w:val="16"/>
          <w:color w:val="auto"/>
        </w:rPr>
        <w:t xml:space="preserve"> </w:t>
      </w:r>
      <w:r>
        <w:rPr>
          <w:rFonts w:ascii="Arial" w:cs="Arial" w:eastAsia="Arial" w:hAnsi="Arial"/>
          <w:sz w:val="16"/>
          <w:szCs w:val="16"/>
          <w:b w:val="1"/>
          <w:bCs w:val="1"/>
          <w:color w:val="auto"/>
        </w:rPr>
        <w:t>Stock Original Issue Price</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ind w:left="1300" w:hanging="644"/>
        <w:spacing w:after="0"/>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225"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Preferential Payments to Holders of Series A Preferred Stock and Series B Preferred Stock</w:t>
      </w:r>
      <w:r>
        <w:rPr>
          <w:rFonts w:ascii="Arial" w:cs="Arial" w:eastAsia="Arial" w:hAnsi="Arial"/>
          <w:sz w:val="18"/>
          <w:szCs w:val="18"/>
          <w:color w:val="auto"/>
        </w:rPr>
        <w:t xml:space="preserve">. In the event of any voluntary or involuntary liquidation, dissolution or winding up of the Corporation or Deemed Liquidation Event, the holders of shares of Series A Preferred Stock and Series B Preferred Stock then outstanding shall be entitled to be paid on a </w:t>
      </w:r>
      <w:r>
        <w:rPr>
          <w:rFonts w:ascii="Arial" w:cs="Arial" w:eastAsia="Arial" w:hAnsi="Arial"/>
          <w:sz w:val="18"/>
          <w:szCs w:val="18"/>
          <w:i w:val="1"/>
          <w:iCs w:val="1"/>
          <w:color w:val="auto"/>
        </w:rPr>
        <w:t>pari passu</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48" w:name="page249"/>
    <w:bookmarkEnd w:id="248"/>
    <w:p>
      <w:pPr>
        <w:ind w:right="20" w:firstLine="41"/>
        <w:spacing w:after="0" w:line="268" w:lineRule="auto"/>
        <w:rPr>
          <w:sz w:val="20"/>
          <w:szCs w:val="20"/>
          <w:color w:val="auto"/>
        </w:rPr>
      </w:pPr>
      <w:r>
        <w:rPr>
          <w:rFonts w:ascii="Arial" w:cs="Arial" w:eastAsia="Arial" w:hAnsi="Arial"/>
          <w:sz w:val="17"/>
          <w:szCs w:val="17"/>
          <w:color w:val="auto"/>
        </w:rPr>
        <w:t xml:space="preserve">basis out of the assets of the Corporation available for distribution to its stockholders before any payment shall be made to the holders of Common Stock by reason of their ownership thereof, an amount per share equal to the greater of (i) the applicable Preferred Stock Original Issue Price, plus any applicable Preferred Accruing Dividends accrued but unpaid thereon, whether or not declared, together with any other dividends declared but unpaid thereon or (ii) such amount per share as would have been payable had all shares of such series of Preferred Stock been converted into Common Stock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immediately prior to such liquidation, dissolution, winding up or Deemed Liquidation Event.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amount which a holder of a share of Series A Preferred Stock is entitled to receive under this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is hereinafter referred to as the “</w:t>
      </w:r>
      <w:r>
        <w:rPr>
          <w:rFonts w:ascii="Arial" w:cs="Arial" w:eastAsia="Arial" w:hAnsi="Arial"/>
          <w:sz w:val="17"/>
          <w:szCs w:val="17"/>
          <w:b w:val="1"/>
          <w:bCs w:val="1"/>
          <w:color w:val="auto"/>
        </w:rPr>
        <w:t>Series A Liquidation Amount</w:t>
      </w:r>
      <w:r>
        <w:rPr>
          <w:rFonts w:ascii="Arial" w:cs="Arial" w:eastAsia="Arial" w:hAnsi="Arial"/>
          <w:sz w:val="17"/>
          <w:szCs w:val="17"/>
          <w:color w:val="auto"/>
        </w:rPr>
        <w:t xml:space="preserve">.” The amount which a holder of a share of Series B Preferred Stock is entitled to receive under this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is hereinafter referred to as the “</w:t>
      </w:r>
      <w:r>
        <w:rPr>
          <w:rFonts w:ascii="Arial" w:cs="Arial" w:eastAsia="Arial" w:hAnsi="Arial"/>
          <w:sz w:val="17"/>
          <w:szCs w:val="17"/>
          <w:b w:val="1"/>
          <w:bCs w:val="1"/>
          <w:color w:val="auto"/>
        </w:rPr>
        <w:t>Series B Liquidation</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 Each of the Series A Liquidation Amount and Series B Liquidation Amount is hereinafter referred to as a “</w:t>
      </w:r>
      <w:r>
        <w:rPr>
          <w:rFonts w:ascii="Arial" w:cs="Arial" w:eastAsia="Arial" w:hAnsi="Arial"/>
          <w:sz w:val="17"/>
          <w:szCs w:val="17"/>
          <w:b w:val="1"/>
          <w:bCs w:val="1"/>
          <w:color w:val="auto"/>
        </w:rPr>
        <w:t>Preferred Stock Liquidation Amount</w:t>
      </w:r>
      <w:r>
        <w:rPr>
          <w:rFonts w:ascii="Arial" w:cs="Arial" w:eastAsia="Arial" w:hAnsi="Arial"/>
          <w:sz w:val="17"/>
          <w:szCs w:val="17"/>
          <w:color w:val="auto"/>
        </w:rPr>
        <w:t>.”</w:t>
      </w:r>
    </w:p>
    <w:p>
      <w:pPr>
        <w:spacing w:after="0" w:line="188"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Distribution of Remaining Assets</w:t>
      </w:r>
      <w:r>
        <w:rPr>
          <w:rFonts w:ascii="Arial" w:cs="Arial" w:eastAsia="Arial" w:hAnsi="Arial"/>
          <w:sz w:val="18"/>
          <w:szCs w:val="18"/>
          <w:color w:val="auto"/>
        </w:rPr>
        <w:t>. In the event of any voluntary or involuntary liquidation, dissolution or winding up of the Corporation or Deemed Liquidation Event, after the payment of all preferential amounts required to be paid to the holders of shares of Preferred Stock, the remaining assets of the Corporation available for distribution to its stockholders shall be distributed among the holders of the shares of Common Stock, pro rata based on the number of shares held by each such holder.</w:t>
      </w:r>
    </w:p>
    <w:p>
      <w:pPr>
        <w:spacing w:after="0" w:line="18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Deemed Liquidation Events</w:t>
      </w:r>
      <w:r>
        <w:rPr>
          <w:rFonts w:ascii="Arial" w:cs="Arial" w:eastAsia="Arial" w:hAnsi="Arial"/>
          <w:sz w:val="16"/>
          <w:szCs w:val="16"/>
          <w:color w:val="auto"/>
        </w:rPr>
        <w:t>.</w:t>
      </w:r>
    </w:p>
    <w:p>
      <w:pPr>
        <w:spacing w:after="0" w:line="221" w:lineRule="exact"/>
        <w:rPr>
          <w:sz w:val="20"/>
          <w:szCs w:val="20"/>
          <w:color w:val="auto"/>
        </w:rPr>
      </w:pPr>
    </w:p>
    <w:p>
      <w:pPr>
        <w:ind w:right="140" w:firstLine="1945"/>
        <w:spacing w:after="0" w:line="289"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u w:val="single" w:color="auto"/>
          <w:color w:val="auto"/>
        </w:rPr>
        <w:t>Definition</w:t>
      </w:r>
      <w:r>
        <w:rPr>
          <w:rFonts w:ascii="Arial" w:cs="Arial" w:eastAsia="Arial" w:hAnsi="Arial"/>
          <w:sz w:val="17"/>
          <w:szCs w:val="17"/>
          <w:color w:val="auto"/>
        </w:rPr>
        <w:t>. Each of the following events shall be considered a “</w:t>
      </w:r>
      <w:r>
        <w:rPr>
          <w:rFonts w:ascii="Arial" w:cs="Arial" w:eastAsia="Arial" w:hAnsi="Arial"/>
          <w:sz w:val="17"/>
          <w:szCs w:val="17"/>
          <w:b w:val="1"/>
          <w:bCs w:val="1"/>
          <w:color w:val="auto"/>
        </w:rPr>
        <w:t>Deemed Liquidation Event</w:t>
      </w:r>
      <w:r>
        <w:rPr>
          <w:rFonts w:ascii="Arial" w:cs="Arial" w:eastAsia="Arial" w:hAnsi="Arial"/>
          <w:sz w:val="17"/>
          <w:szCs w:val="17"/>
          <w:color w:val="auto"/>
        </w:rPr>
        <w:t>” unless the holders of at least 65% in interest of the then outstanding shares of Preferred Stock, voting together as a single class and on an as-converted basis (the “</w:t>
      </w:r>
      <w:r>
        <w:rPr>
          <w:rFonts w:ascii="Arial" w:cs="Arial" w:eastAsia="Arial" w:hAnsi="Arial"/>
          <w:sz w:val="17"/>
          <w:szCs w:val="17"/>
          <w:b w:val="1"/>
          <w:bCs w:val="1"/>
          <w:color w:val="auto"/>
        </w:rPr>
        <w:t>Required Vote</w:t>
      </w:r>
      <w:r>
        <w:rPr>
          <w:rFonts w:ascii="Arial" w:cs="Arial" w:eastAsia="Arial" w:hAnsi="Arial"/>
          <w:sz w:val="17"/>
          <w:szCs w:val="17"/>
          <w:color w:val="auto"/>
        </w:rPr>
        <w:t>”), elect otherwise by written notice sent to the Corporation at least ten (10) days prior to the effective date of any such event:</w:t>
      </w:r>
    </w:p>
    <w:p>
      <w:pPr>
        <w:spacing w:after="0" w:line="162" w:lineRule="exact"/>
        <w:rPr>
          <w:sz w:val="20"/>
          <w:szCs w:val="20"/>
          <w:color w:val="auto"/>
        </w:rPr>
      </w:pPr>
    </w:p>
    <w:p>
      <w:pPr>
        <w:ind w:left="3240" w:hanging="639"/>
        <w:spacing w:after="0"/>
        <w:tabs>
          <w:tab w:leader="none" w:pos="3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225" w:lineRule="exact"/>
        <w:rPr>
          <w:rFonts w:ascii="Arial" w:cs="Arial" w:eastAsia="Arial" w:hAnsi="Arial"/>
          <w:sz w:val="18"/>
          <w:szCs w:val="18"/>
          <w:color w:val="auto"/>
        </w:rPr>
      </w:pPr>
    </w:p>
    <w:p>
      <w:pPr>
        <w:ind w:left="3920" w:hanging="671"/>
        <w:spacing w:after="0"/>
        <w:tabs>
          <w:tab w:leader="none" w:pos="39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225" w:lineRule="exact"/>
        <w:rPr>
          <w:rFonts w:ascii="Arial" w:cs="Arial" w:eastAsia="Arial" w:hAnsi="Arial"/>
          <w:sz w:val="18"/>
          <w:szCs w:val="18"/>
          <w:color w:val="auto"/>
        </w:rPr>
      </w:pPr>
    </w:p>
    <w:p>
      <w:pPr>
        <w:ind w:left="3920" w:hanging="671"/>
        <w:spacing w:after="0"/>
        <w:tabs>
          <w:tab w:leader="none" w:pos="392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 subsidiary of the Corporation is a constituent party and the Corporation issues shares of its capital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 pursuant to such merger or consolidation,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(A) any such merger or consolidation effected exclusively to change the domicile of the Corporation or (B) any such merger or consolidation involving the Corporation or a subsidiary in which the shares of capital stock of the Corporation outstanding immediately prior to such merger or consolidation continue to represent, or are converted into or exchanged for shares of capital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9" w:name="page250"/>
    <w:bookmarkEnd w:id="249"/>
    <w:p>
      <w:pPr>
        <w:ind w:right="300"/>
        <w:spacing w:after="0" w:line="264" w:lineRule="auto"/>
        <w:rPr>
          <w:sz w:val="20"/>
          <w:szCs w:val="20"/>
          <w:color w:val="auto"/>
        </w:rPr>
      </w:pPr>
      <w:r>
        <w:rPr>
          <w:rFonts w:ascii="Arial" w:cs="Arial" w:eastAsia="Arial" w:hAnsi="Arial"/>
          <w:sz w:val="18"/>
          <w:szCs w:val="18"/>
          <w:color w:val="auto"/>
        </w:rPr>
        <w:t>stock that represent, immediately following such merger or consolidation,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81" w:lineRule="exact"/>
        <w:rPr>
          <w:sz w:val="20"/>
          <w:szCs w:val="20"/>
          <w:color w:val="auto"/>
        </w:rPr>
      </w:pPr>
    </w:p>
    <w:p>
      <w:pPr>
        <w:ind w:right="40" w:firstLine="2601"/>
        <w:spacing w:after="0" w:line="257" w:lineRule="auto"/>
        <w:tabs>
          <w:tab w:leader="none" w:pos="324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88"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auto"/>
        </w:rPr>
        <w:t>Effecting a Deemed Liquidation Event</w:t>
      </w:r>
    </w:p>
    <w:p>
      <w:pPr>
        <w:spacing w:after="0" w:line="225" w:lineRule="exact"/>
        <w:rPr>
          <w:sz w:val="20"/>
          <w:szCs w:val="20"/>
          <w:color w:val="auto"/>
        </w:rPr>
      </w:pPr>
    </w:p>
    <w:p>
      <w:pPr>
        <w:ind w:left="3240" w:hanging="639"/>
        <w:spacing w:after="0"/>
        <w:tabs>
          <w:tab w:leader="none" w:pos="32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The Corporation shall not have the power to effect a Deemed Liquidation Event referred to in </w:t>
      </w:r>
      <w:r>
        <w:rPr>
          <w:rFonts w:ascii="Arial" w:cs="Arial" w:eastAsia="Arial" w:hAnsi="Arial"/>
          <w:sz w:val="17"/>
          <w:szCs w:val="17"/>
          <w:u w:val="single" w:color="auto"/>
          <w:color w:val="auto"/>
        </w:rPr>
        <w:t>Subsection</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2.3.1(a)(i)</w:t>
      </w:r>
      <w:r>
        <w:rPr>
          <w:rFonts w:ascii="Arial" w:cs="Arial" w:eastAsia="Arial" w:hAnsi="Arial"/>
          <w:sz w:val="18"/>
          <w:szCs w:val="18"/>
          <w:color w:val="auto"/>
        </w:rPr>
        <w:t xml:space="preserve"> above unless the agreement or plan of merger or consolidation for such transaction (the “</w:t>
      </w:r>
      <w:r>
        <w:rPr>
          <w:rFonts w:ascii="Arial" w:cs="Arial" w:eastAsia="Arial" w:hAnsi="Arial"/>
          <w:sz w:val="18"/>
          <w:szCs w:val="18"/>
          <w:b w:val="1"/>
          <w:bCs w:val="1"/>
          <w:color w:val="auto"/>
        </w:rPr>
        <w:t>Merger Agreement</w:t>
      </w:r>
      <w:r>
        <w:rPr>
          <w:rFonts w:ascii="Arial" w:cs="Arial" w:eastAsia="Arial" w:hAnsi="Arial"/>
          <w:sz w:val="18"/>
          <w:szCs w:val="18"/>
          <w:color w:val="auto"/>
        </w:rPr>
        <w:t xml:space="preserve">”) provides that the consideration payable to the stockholders of the Corporation shall be allocated among the holders of capital stock of the Corporation in accordance with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above.</w:t>
      </w:r>
    </w:p>
    <w:p>
      <w:pPr>
        <w:spacing w:after="0" w:line="190" w:lineRule="exact"/>
        <w:rPr>
          <w:sz w:val="20"/>
          <w:szCs w:val="20"/>
          <w:color w:val="auto"/>
        </w:rPr>
      </w:pPr>
    </w:p>
    <w:p>
      <w:pPr>
        <w:ind w:right="60" w:firstLine="2601"/>
        <w:spacing w:after="0" w:line="276" w:lineRule="auto"/>
        <w:tabs>
          <w:tab w:leader="none" w:pos="324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In the event of a Deemed Liquidation Event referred to in </w:t>
      </w:r>
      <w:r>
        <w:rPr>
          <w:rFonts w:ascii="Arial" w:cs="Arial" w:eastAsia="Arial" w:hAnsi="Arial"/>
          <w:sz w:val="16"/>
          <w:szCs w:val="16"/>
          <w:u w:val="single" w:color="auto"/>
          <w:color w:val="auto"/>
        </w:rPr>
        <w:t>Subsection 2.3.1(a)(ii)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2.3.1(b)</w:t>
      </w:r>
      <w:r>
        <w:rPr>
          <w:rFonts w:ascii="Arial" w:cs="Arial" w:eastAsia="Arial" w:hAnsi="Arial"/>
          <w:sz w:val="16"/>
          <w:szCs w:val="16"/>
          <w:color w:val="auto"/>
        </w:rPr>
        <w:t xml:space="preserve"> above, if the Corporation does not effect a dissolution of the Corporation under the General Corporation Law within ninety (90) days after such Deemed Liquidation Event, then (i) the Corporation shall send a written notice to each holder of Preferred Stock no later than the ninetieth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the Deemed Liquidation Event advising such holders of their right (and the requirements to be met to secure such right) pursuant to the terms of the following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to require the redemption of such shares of Preferred Stock, and (ii) if the holders representing the Required Vote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(the “</w:t>
      </w:r>
      <w:r>
        <w:rPr>
          <w:rFonts w:ascii="Arial" w:cs="Arial" w:eastAsia="Arial" w:hAnsi="Arial"/>
          <w:sz w:val="16"/>
          <w:szCs w:val="16"/>
          <w:b w:val="1"/>
          <w:bCs w:val="1"/>
          <w:color w:val="auto"/>
        </w:rPr>
        <w:t>Board of Directors</w:t>
      </w:r>
      <w:r>
        <w:rPr>
          <w:rFonts w:ascii="Arial" w:cs="Arial" w:eastAsia="Arial" w:hAnsi="Arial"/>
          <w:sz w:val="16"/>
          <w:szCs w:val="16"/>
          <w:color w:val="auto"/>
        </w:rPr>
        <w:t>”), together with any other assets of the Corporation available for distribution to its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all to the extent permitted by Delaware law governing distributions to stockholders, on the one hundred fiftieth (150</w:t>
      </w:r>
      <w:r>
        <w:rPr>
          <w:rFonts w:ascii="Arial" w:cs="Arial" w:eastAsia="Arial" w:hAnsi="Arial"/>
          <w:sz w:val="20"/>
          <w:szCs w:val="20"/>
          <w:color w:val="auto"/>
          <w:vertAlign w:val="superscript"/>
        </w:rPr>
        <w:t>th</w:t>
      </w:r>
      <w:r>
        <w:rPr>
          <w:rFonts w:ascii="Arial" w:cs="Arial" w:eastAsia="Arial" w:hAnsi="Arial"/>
          <w:sz w:val="16"/>
          <w:szCs w:val="16"/>
          <w:color w:val="auto"/>
        </w:rPr>
        <w:t>) day after such Deemed Liquidation Event (the “</w:t>
      </w:r>
      <w:r>
        <w:rPr>
          <w:rFonts w:ascii="Arial" w:cs="Arial" w:eastAsia="Arial" w:hAnsi="Arial"/>
          <w:sz w:val="16"/>
          <w:szCs w:val="16"/>
          <w:b w:val="1"/>
          <w:bCs w:val="1"/>
          <w:color w:val="auto"/>
        </w:rPr>
        <w:t>Redemption Date</w:t>
      </w:r>
      <w:r>
        <w:rPr>
          <w:rFonts w:ascii="Arial" w:cs="Arial" w:eastAsia="Arial" w:hAnsi="Arial"/>
          <w:sz w:val="16"/>
          <w:szCs w:val="16"/>
          <w:color w:val="auto"/>
        </w:rPr>
        <w:t xml:space="preserve">”), to redeem all outstanding shares of Preferred Stock,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at a price per share equal to the applicable Preferred Stock Liquidation Amount (each, a “</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Notwithstanding the foregoing, in the event of a redemption pursuant to the preceding sentence, if the Available Proceeds are not sufficient to redeem all outstanding shares of Preferred Stock, the Corporation shall ratably redeem each holder’s shares of Preferred Stock,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to the fullest extent of such Available Proceeds and shall redeem the remaining shares as soon as it may lawfully do so under Delaware law governing distributions to stockholders. Prior to the distribution or redemption provided for in this </w:t>
      </w:r>
      <w:r>
        <w:rPr>
          <w:rFonts w:ascii="Arial" w:cs="Arial" w:eastAsia="Arial" w:hAnsi="Arial"/>
          <w:sz w:val="16"/>
          <w:szCs w:val="16"/>
          <w:u w:val="single" w:color="auto"/>
          <w:color w:val="auto"/>
        </w:rPr>
        <w:t>Subsection 2.3.2(b)</w:t>
      </w:r>
      <w:r>
        <w:rPr>
          <w:rFonts w:ascii="Arial" w:cs="Arial" w:eastAsia="Arial" w:hAnsi="Arial"/>
          <w:sz w:val="16"/>
          <w:szCs w:val="16"/>
          <w:color w:val="auto"/>
        </w:rPr>
        <w:t>, the Corporation shall not expend or dissipate the consideration received for such Deemed Liquidation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color w:val="auto"/>
        </w:rPr>
        <w:t>Event, except to discharge expenses incurred in connection with such Deemed Liquidation Event or in the ordinary course of business.</w:t>
      </w:r>
    </w:p>
    <w:p>
      <w:pPr>
        <w:spacing w:after="0" w:line="225" w:lineRule="exact"/>
        <w:rPr>
          <w:sz w:val="20"/>
          <w:szCs w:val="20"/>
          <w:color w:val="auto"/>
        </w:rPr>
      </w:pPr>
    </w:p>
    <w:p>
      <w:pPr>
        <w:ind w:left="3260" w:hanging="659"/>
        <w:spacing w:after="0"/>
        <w:tabs>
          <w:tab w:leader="none" w:pos="32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Corporation shall send written notice of a required redemption pursuant to Subsection 2.3.2(b) (the</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w:t>
      </w:r>
      <w:r>
        <w:rPr>
          <w:rFonts w:ascii="Arial" w:cs="Arial" w:eastAsia="Arial" w:hAnsi="Arial"/>
          <w:sz w:val="18"/>
          <w:szCs w:val="18"/>
          <w:color w:val="auto"/>
        </w:rPr>
        <w:t>”) to each holder of record of Preferred Stock not less than forty (40) days prior to the Redemption Date. The Redemption Notice shall state:</w:t>
      </w:r>
    </w:p>
    <w:p>
      <w:pPr>
        <w:spacing w:after="0" w:line="184" w:lineRule="exact"/>
        <w:rPr>
          <w:sz w:val="20"/>
          <w:szCs w:val="20"/>
          <w:color w:val="auto"/>
        </w:rPr>
      </w:pPr>
    </w:p>
    <w:p>
      <w:pPr>
        <w:ind w:left="3920" w:hanging="671"/>
        <w:spacing w:after="0"/>
        <w:tabs>
          <w:tab w:leader="none" w:pos="39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number of shares and series of Preferred Stock held by the holder that the Corporation shall redeem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the Redemption Date;</w:t>
      </w:r>
    </w:p>
    <w:p>
      <w:pPr>
        <w:spacing w:after="0" w:line="211" w:lineRule="exact"/>
        <w:rPr>
          <w:sz w:val="20"/>
          <w:szCs w:val="20"/>
          <w:color w:val="auto"/>
        </w:rPr>
      </w:pPr>
    </w:p>
    <w:p>
      <w:pPr>
        <w:ind w:left="3920" w:hanging="671"/>
        <w:spacing w:after="0"/>
        <w:tabs>
          <w:tab w:leader="none" w:pos="39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Redemption Date and the Redemption Price for each series of Preferred Stock;</w:t>
      </w:r>
    </w:p>
    <w:p>
      <w:pPr>
        <w:spacing w:after="0" w:line="225" w:lineRule="exact"/>
        <w:rPr>
          <w:rFonts w:ascii="Arial" w:cs="Arial" w:eastAsia="Arial" w:hAnsi="Arial"/>
          <w:sz w:val="18"/>
          <w:szCs w:val="18"/>
          <w:color w:val="auto"/>
        </w:rPr>
      </w:pPr>
    </w:p>
    <w:p>
      <w:pPr>
        <w:ind w:left="3940" w:hanging="691"/>
        <w:spacing w:after="0"/>
        <w:tabs>
          <w:tab w:leader="none" w:pos="39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date upon which the holder’s right to convert such shares terminates (as determined in accordance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with </w:t>
      </w:r>
      <w:r>
        <w:rPr>
          <w:rFonts w:ascii="Arial" w:cs="Arial" w:eastAsia="Arial" w:hAnsi="Arial"/>
          <w:sz w:val="18"/>
          <w:szCs w:val="18"/>
          <w:u w:val="single" w:color="auto"/>
          <w:color w:val="auto"/>
        </w:rPr>
        <w:t>Subsection 4.1.2</w:t>
      </w:r>
      <w:r>
        <w:rPr>
          <w:rFonts w:ascii="Arial" w:cs="Arial" w:eastAsia="Arial" w:hAnsi="Arial"/>
          <w:sz w:val="18"/>
          <w:szCs w:val="18"/>
          <w:color w:val="auto"/>
        </w:rPr>
        <w:t>); and</w:t>
      </w:r>
    </w:p>
    <w:p>
      <w:pPr>
        <w:spacing w:after="0" w:line="211" w:lineRule="exact"/>
        <w:rPr>
          <w:sz w:val="20"/>
          <w:szCs w:val="20"/>
          <w:color w:val="auto"/>
        </w:rPr>
      </w:pPr>
    </w:p>
    <w:p>
      <w:pPr>
        <w:ind w:left="3920" w:hanging="671"/>
        <w:spacing w:after="0"/>
        <w:tabs>
          <w:tab w:leader="none" w:pos="392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for holders of shares in certificated form, that the holder is to surrender to the Corporation,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manner and at the place designated, his, her or its certificate or certificates representing the shares of Preferred Stock to be redeemed.</w:t>
      </w:r>
    </w:p>
    <w:p>
      <w:pPr>
        <w:spacing w:after="0" w:line="210" w:lineRule="exact"/>
        <w:rPr>
          <w:rFonts w:ascii="Arial" w:cs="Arial" w:eastAsia="Arial" w:hAnsi="Arial"/>
          <w:sz w:val="17"/>
          <w:szCs w:val="17"/>
          <w:color w:val="auto"/>
        </w:rPr>
      </w:pPr>
    </w:p>
    <w:p>
      <w:pPr>
        <w:ind w:right="40" w:firstLine="2601"/>
        <w:spacing w:after="0" w:line="293" w:lineRule="auto"/>
        <w:tabs>
          <w:tab w:leader="none" w:pos="324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On or before the Redemption Date, each holder of shares of Preferred Stock, unless such holder has exercised his, her or its right to convert such shares as provided in </w:t>
      </w:r>
      <w:r>
        <w:rPr>
          <w:rFonts w:ascii="Arial" w:cs="Arial" w:eastAsia="Arial" w:hAnsi="Arial"/>
          <w:sz w:val="16"/>
          <w:szCs w:val="16"/>
          <w:u w:val="single" w:color="auto"/>
          <w:color w:val="auto"/>
        </w:rPr>
        <w:t>Section 4.1</w:t>
      </w:r>
      <w:r>
        <w:rPr>
          <w:rFonts w:ascii="Arial" w:cs="Arial" w:eastAsia="Arial" w:hAnsi="Arial"/>
          <w:sz w:val="16"/>
          <w:szCs w:val="16"/>
          <w:color w:val="auto"/>
        </w:rPr>
        <w:t>, shall, if a holder of shares in certificated form,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Redemption Price for such shares shall be payable to the order of the person whose name appears on such certificate or certificates as the owner thereof.</w:t>
      </w:r>
    </w:p>
    <w:p>
      <w:pPr>
        <w:spacing w:after="0" w:line="164" w:lineRule="exact"/>
        <w:rPr>
          <w:rFonts w:ascii="Arial" w:cs="Arial" w:eastAsia="Arial" w:hAnsi="Arial"/>
          <w:sz w:val="16"/>
          <w:szCs w:val="16"/>
          <w:color w:val="auto"/>
        </w:rPr>
      </w:pPr>
    </w:p>
    <w:p>
      <w:pPr>
        <w:ind w:right="20" w:firstLine="2601"/>
        <w:spacing w:after="0" w:line="293" w:lineRule="auto"/>
        <w:tabs>
          <w:tab w:leader="none" w:pos="325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If the Redemption Notice shall have been duly given, and if on the applicable Redemption Date the Redemption Price payable upon redemption of the shares of Preferred Stock to be redeemed on the Redemption Date is paid or tendered for payment or deposited with an independent payment agent so as to be available therefor in a timely manner, then notwithstanding that any certificates evidencing any of the shares of Preferred Stock so called for redemption shall not have been surrendered, dividends with respect to such shares of Preferred Stock shall cease to accrue after the Redemption Date and all rights with respect to such shares shall forthwith after the Redemption Date terminate, except only the right of the holders to receive the Redemption Price without interest upon surrender of any such certificate or certificates therefor.</w:t>
      </w:r>
    </w:p>
    <w:p>
      <w:pPr>
        <w:spacing w:after="0" w:line="165" w:lineRule="exact"/>
        <w:rPr>
          <w:sz w:val="20"/>
          <w:szCs w:val="20"/>
          <w:color w:val="auto"/>
        </w:rPr>
      </w:pPr>
    </w:p>
    <w:p>
      <w:pPr>
        <w:ind w:right="60" w:firstLine="1945"/>
        <w:spacing w:after="0" w:line="264"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If the amount deemed paid or distributed to the holders of capital stock of the Corporation upon any such merger, consolidation, sale, transfer, exclusive license, other disposition or redemption is made in property other than in cash, the value of such property paid or distributed to such holders by the Corporation or the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color w:val="auto"/>
        </w:rPr>
        <w:t>acquiring person, firm or other entity shall be the fair market value of such property, determined as follows:</w:t>
      </w:r>
    </w:p>
    <w:p>
      <w:pPr>
        <w:spacing w:after="0" w:line="225" w:lineRule="exact"/>
        <w:rPr>
          <w:sz w:val="20"/>
          <w:szCs w:val="20"/>
          <w:color w:val="auto"/>
        </w:rPr>
      </w:pPr>
    </w:p>
    <w:p>
      <w:pPr>
        <w:ind w:left="3240" w:hanging="639"/>
        <w:spacing w:after="0"/>
        <w:tabs>
          <w:tab w:leader="none" w:pos="3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For securities not subject to investment letters or other similar restrictions on free marketability,</w:t>
      </w:r>
    </w:p>
    <w:p>
      <w:pPr>
        <w:spacing w:after="0" w:line="225" w:lineRule="exact"/>
        <w:rPr>
          <w:rFonts w:ascii="Arial" w:cs="Arial" w:eastAsia="Arial" w:hAnsi="Arial"/>
          <w:sz w:val="18"/>
          <w:szCs w:val="18"/>
          <w:color w:val="auto"/>
        </w:rPr>
      </w:pPr>
    </w:p>
    <w:p>
      <w:pPr>
        <w:ind w:left="3920" w:hanging="671"/>
        <w:spacing w:after="0"/>
        <w:tabs>
          <w:tab w:leader="none" w:pos="392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if traded on a securities exchange, the value shall be deemed to be the average of the closing prices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on such exchange or market over the 30-period ending three (3) days prior to the closing of such transaction;</w:t>
      </w:r>
    </w:p>
    <w:p>
      <w:pPr>
        <w:spacing w:after="0" w:line="210" w:lineRule="exact"/>
        <w:rPr>
          <w:rFonts w:ascii="Arial" w:cs="Arial" w:eastAsia="Arial" w:hAnsi="Arial"/>
          <w:sz w:val="16"/>
          <w:szCs w:val="16"/>
          <w:color w:val="auto"/>
        </w:rPr>
      </w:pPr>
    </w:p>
    <w:p>
      <w:pPr>
        <w:ind w:right="20" w:firstLine="3249"/>
        <w:spacing w:after="0" w:line="277" w:lineRule="auto"/>
        <w:tabs>
          <w:tab w:leader="none" w:pos="39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if actively traded over-the-counter, the value shall be deemed to be the average of the closing bid prices over the 30-day period ending three (3) days prior to the closing of such transaction; or</w:t>
      </w:r>
    </w:p>
    <w:p>
      <w:pPr>
        <w:spacing w:after="0" w:line="170" w:lineRule="exact"/>
        <w:rPr>
          <w:rFonts w:ascii="Arial" w:cs="Arial" w:eastAsia="Arial" w:hAnsi="Arial"/>
          <w:sz w:val="18"/>
          <w:szCs w:val="18"/>
          <w:color w:val="auto"/>
        </w:rPr>
      </w:pPr>
    </w:p>
    <w:p>
      <w:pPr>
        <w:ind w:left="3940" w:hanging="691"/>
        <w:spacing w:after="0"/>
        <w:tabs>
          <w:tab w:leader="none" w:pos="394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if there is no active public market, the value shall be the fair market value thereof, as determined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good faith by the Board of Directors.</w:t>
      </w:r>
    </w:p>
    <w:p>
      <w:pPr>
        <w:spacing w:after="0" w:line="210" w:lineRule="exact"/>
        <w:rPr>
          <w:rFonts w:ascii="Arial" w:cs="Arial" w:eastAsia="Arial" w:hAnsi="Arial"/>
          <w:sz w:val="17"/>
          <w:szCs w:val="17"/>
          <w:color w:val="auto"/>
        </w:rPr>
      </w:pPr>
    </w:p>
    <w:p>
      <w:pPr>
        <w:ind w:right="140" w:firstLine="2601"/>
        <w:spacing w:after="0" w:line="259" w:lineRule="auto"/>
        <w:tabs>
          <w:tab w:leader="none" w:pos="324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of Directors) from the market value as determined pursuant to clause (a) above so as to reflect the approximate fair market value thereof.</w:t>
      </w:r>
    </w:p>
    <w:p>
      <w:pPr>
        <w:spacing w:after="0" w:line="187"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u w:val="single" w:color="auto"/>
          <w:color w:val="auto"/>
        </w:rPr>
        <w:t>Allocation of Escrow or Contingent Payments</w:t>
      </w:r>
      <w:r>
        <w:rPr>
          <w:rFonts w:ascii="Arial" w:cs="Arial" w:eastAsia="Arial" w:hAnsi="Arial"/>
          <w:sz w:val="16"/>
          <w:szCs w:val="16"/>
          <w:color w:val="auto"/>
        </w:rPr>
        <w:t>. In the event of a Deemed Liquidation Event pursuant to</w:t>
      </w:r>
      <w:r>
        <w:rPr>
          <w:rFonts w:ascii="Arial" w:cs="Arial" w:eastAsia="Arial" w:hAnsi="Arial"/>
          <w:sz w:val="16"/>
          <w:szCs w:val="16"/>
          <w:u w:val="single" w:color="auto"/>
          <w:color w:val="auto"/>
        </w:rPr>
        <w:t xml:space="preserve"> Subsection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2.3.1(a)(i</w:t>
      </w:r>
      <w:r>
        <w:rPr>
          <w:rFonts w:ascii="Arial" w:cs="Arial" w:eastAsia="Arial" w:hAnsi="Arial"/>
          <w:sz w:val="17"/>
          <w:szCs w:val="17"/>
          <w:color w:val="auto"/>
        </w:rPr>
        <w:t>), if any portion of the consideration payable to the stockholders of the Corporation is payable only upon satisfaction of contingencies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Consideration</w:t>
      </w:r>
      <w:r>
        <w:rPr>
          <w:rFonts w:ascii="Arial" w:cs="Arial" w:eastAsia="Arial" w:hAnsi="Arial"/>
          <w:sz w:val="17"/>
          <w:szCs w:val="17"/>
          <w:color w:val="auto"/>
        </w:rPr>
        <w:t>”), the Merger Agreement shall provide that (a) the portion of such consideration that is not Additional Consideration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portion,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xml:space="preserve">”)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as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Initial Consideration were the only consideration payable in connection with such Deemed Liquidation Event and (b) any Additional Consideration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becomes payable to the stockholders of the Corporation upon satisfaction of such contingencies shall be allocated among the holders of capital stock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Corporation in accordance with </w:t>
      </w:r>
      <w:r>
        <w:rPr>
          <w:rFonts w:ascii="Arial" w:cs="Arial" w:eastAsia="Arial" w:hAnsi="Arial"/>
          <w:sz w:val="17"/>
          <w:szCs w:val="17"/>
          <w:u w:val="single" w:color="auto"/>
          <w:color w:val="auto"/>
        </w:rPr>
        <w:t>Subsections 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after taking into account the previous payment of the Initial Consideration as part of the same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transaction. For the purposes of this </w:t>
      </w:r>
      <w:r>
        <w:rPr>
          <w:rFonts w:ascii="Arial" w:cs="Arial" w:eastAsia="Arial" w:hAnsi="Arial"/>
          <w:sz w:val="17"/>
          <w:szCs w:val="17"/>
          <w:u w:val="single" w:color="auto"/>
          <w:color w:val="auto"/>
        </w:rPr>
        <w:t>Subsection 2.3.4</w:t>
      </w:r>
      <w:r>
        <w:rPr>
          <w:rFonts w:ascii="Arial" w:cs="Arial" w:eastAsia="Arial" w:hAnsi="Arial"/>
          <w:sz w:val="17"/>
          <w:szCs w:val="17"/>
          <w:color w:val="auto"/>
        </w:rPr>
        <w:t>, consideration placed into escrow or retained as holdback to be available for satisfaction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indemnification or similar obligations or otherwise subject to contingencies in connection with such Deemed Liquidation Event shall be deemed to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 Consideration.</w:t>
      </w:r>
    </w:p>
    <w:p>
      <w:pPr>
        <w:spacing w:after="0" w:line="211" w:lineRule="exact"/>
        <w:rPr>
          <w:sz w:val="20"/>
          <w:szCs w:val="20"/>
          <w:color w:val="auto"/>
        </w:rPr>
      </w:pPr>
    </w:p>
    <w:p>
      <w:pPr>
        <w:ind w:left="1300" w:hanging="64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ind w:right="180" w:firstLine="1297"/>
        <w:spacing w:after="0" w:line="27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General</w:t>
      </w:r>
      <w:r>
        <w:rPr>
          <w:rFonts w:ascii="Arial" w:cs="Arial" w:eastAsia="Arial" w:hAnsi="Arial"/>
          <w:sz w:val="17"/>
          <w:szCs w:val="17"/>
          <w:color w:val="auto"/>
        </w:rPr>
        <w:t>. On any matter presented to the stockholders of the Corporation for their action or consideration at any meeting of stockholders of the Corporation (or by written consent of stockholders in lieu of a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2" w:name="page253"/>
    <w:bookmarkEnd w:id="252"/>
    <w:p>
      <w:pPr>
        <w:ind w:right="160"/>
        <w:spacing w:after="0" w:line="277" w:lineRule="auto"/>
        <w:rPr>
          <w:sz w:val="20"/>
          <w:szCs w:val="20"/>
          <w:color w:val="auto"/>
        </w:rPr>
      </w:pPr>
      <w:r>
        <w:rPr>
          <w:rFonts w:ascii="Arial" w:cs="Arial" w:eastAsia="Arial" w:hAnsi="Arial"/>
          <w:sz w:val="18"/>
          <w:szCs w:val="18"/>
          <w:color w:val="auto"/>
        </w:rPr>
        <w:t>other provisions of the Certificate of Incorporation, holders of Preferred Stock shall vote together with the holders of Common Stock as a single class, on an as-converted basis.</w:t>
      </w:r>
    </w:p>
    <w:p>
      <w:pPr>
        <w:spacing w:after="0" w:line="170"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Election of Directors</w:t>
      </w:r>
      <w:r>
        <w:rPr>
          <w:rFonts w:ascii="Arial" w:cs="Arial" w:eastAsia="Arial" w:hAnsi="Arial"/>
          <w:sz w:val="17"/>
          <w:szCs w:val="17"/>
          <w:color w:val="auto"/>
        </w:rPr>
        <w:t>. The holders of record of the shares of Series A Preferred Stock, exclusively and as a separate class, shall be entitled to elect one (1) director of the Corporation (the “</w:t>
      </w:r>
      <w:r>
        <w:rPr>
          <w:rFonts w:ascii="Arial" w:cs="Arial" w:eastAsia="Arial" w:hAnsi="Arial"/>
          <w:sz w:val="17"/>
          <w:szCs w:val="17"/>
          <w:b w:val="1"/>
          <w:bCs w:val="1"/>
          <w:color w:val="auto"/>
        </w:rPr>
        <w:t>Series A Director</w:t>
      </w:r>
      <w:r>
        <w:rPr>
          <w:rFonts w:ascii="Arial" w:cs="Arial" w:eastAsia="Arial" w:hAnsi="Arial"/>
          <w:sz w:val="17"/>
          <w:szCs w:val="17"/>
          <w:color w:val="auto"/>
        </w:rPr>
        <w:t>”). The holders of record of the shares of Series B Preferred Stock, exclusively and as a separate class, shall be entitled to elect one (1) director of the Corporation (the “</w:t>
      </w:r>
      <w:r>
        <w:rPr>
          <w:rFonts w:ascii="Arial" w:cs="Arial" w:eastAsia="Arial" w:hAnsi="Arial"/>
          <w:sz w:val="17"/>
          <w:szCs w:val="17"/>
          <w:b w:val="1"/>
          <w:bCs w:val="1"/>
          <w:color w:val="auto"/>
        </w:rPr>
        <w:t>Series B Director</w:t>
      </w:r>
      <w:r>
        <w:rPr>
          <w:rFonts w:ascii="Arial" w:cs="Arial" w:eastAsia="Arial" w:hAnsi="Arial"/>
          <w:sz w:val="17"/>
          <w:szCs w:val="17"/>
          <w:color w:val="auto"/>
        </w:rPr>
        <w:t>”). The Series A Director and the Series B Director shall be hereinafter referred to as the “</w:t>
      </w:r>
      <w:r>
        <w:rPr>
          <w:rFonts w:ascii="Arial" w:cs="Arial" w:eastAsia="Arial" w:hAnsi="Arial"/>
          <w:sz w:val="17"/>
          <w:szCs w:val="17"/>
          <w:b w:val="1"/>
          <w:bCs w:val="1"/>
          <w:color w:val="auto"/>
        </w:rPr>
        <w:t>Preferred Directors</w:t>
      </w:r>
      <w:r>
        <w:rPr>
          <w:rFonts w:ascii="Arial" w:cs="Arial" w:eastAsia="Arial" w:hAnsi="Arial"/>
          <w:sz w:val="17"/>
          <w:szCs w:val="17"/>
          <w:color w:val="auto"/>
        </w:rPr>
        <w:t xml:space="preserve">”. Any director elected as provided in the preceding sentences may be removed without cause by, and only by, the affirmative vote of the holders of the shares of the class or series of capital stock entitled to elect such director or directors, given either at a special meeting of such stockholders duly called for that purpose (or by a written consent of stockholders in lieu of a meeting).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7"/>
          <w:szCs w:val="17"/>
          <w:u w:val="single" w:color="auto"/>
          <w:color w:val="auto"/>
        </w:rPr>
        <w:t>Subsection 3.2</w:t>
      </w:r>
      <w:r>
        <w:rPr>
          <w:rFonts w:ascii="Arial" w:cs="Arial" w:eastAsia="Arial" w:hAnsi="Arial"/>
          <w:sz w:val="17"/>
          <w:szCs w:val="17"/>
          <w:color w:val="auto"/>
        </w:rPr>
        <w:t>.</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Preferred Stock Protective Provisions</w:t>
      </w:r>
      <w:r>
        <w:rPr>
          <w:rFonts w:ascii="Arial" w:cs="Arial" w:eastAsia="Arial" w:hAnsi="Arial"/>
          <w:sz w:val="16"/>
          <w:szCs w:val="16"/>
          <w:color w:val="auto"/>
        </w:rPr>
        <w:t>.</w:t>
      </w:r>
    </w:p>
    <w:p>
      <w:pPr>
        <w:spacing w:after="0" w:line="225" w:lineRule="exact"/>
        <w:rPr>
          <w:sz w:val="20"/>
          <w:szCs w:val="20"/>
          <w:color w:val="auto"/>
        </w:rPr>
      </w:pPr>
    </w:p>
    <w:p>
      <w:pPr>
        <w:jc w:val="both"/>
        <w:ind w:right="20" w:firstLine="1945"/>
        <w:spacing w:after="0" w:line="257"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Preferred Stock Protective Provisions</w:t>
      </w:r>
      <w:r>
        <w:rPr>
          <w:rFonts w:ascii="Arial" w:cs="Arial" w:eastAsia="Arial" w:hAnsi="Arial"/>
          <w:sz w:val="18"/>
          <w:szCs w:val="18"/>
          <w:color w:val="auto"/>
        </w:rPr>
        <w:t>. At any time when any shares of Preferred Stock are outstanding, the Corporation or any of its subsidiaries shall not, either directly or indirectly by amendment, merger, consolidation or otherwise, do any of the following without (in addition to any other vote required by law or the Certificate of Incorporation) the written consent or affirmative vote of the holders representing the Required Vote, given in writing or by vote at a meeting, and any such act or transaction entered into without such consent or vote shall be null and void ab initio, and of no force or effect:</w:t>
      </w:r>
    </w:p>
    <w:p>
      <w:pPr>
        <w:spacing w:after="0" w:line="188" w:lineRule="exact"/>
        <w:rPr>
          <w:sz w:val="20"/>
          <w:szCs w:val="20"/>
          <w:color w:val="auto"/>
        </w:rPr>
      </w:pPr>
    </w:p>
    <w:p>
      <w:pPr>
        <w:ind w:right="160" w:firstLine="2601"/>
        <w:spacing w:after="0" w:line="277" w:lineRule="auto"/>
        <w:tabs>
          <w:tab w:leader="none" w:pos="323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liquidate, dissolve or wind-up the business and affairs of the Corporation, effect any merger or consolidation or any other Deemed Liquidation Event, or consent to any of the foregoing;</w:t>
      </w:r>
    </w:p>
    <w:p>
      <w:pPr>
        <w:spacing w:after="0" w:line="170" w:lineRule="exact"/>
        <w:rPr>
          <w:rFonts w:ascii="Arial" w:cs="Arial" w:eastAsia="Arial" w:hAnsi="Arial"/>
          <w:sz w:val="18"/>
          <w:szCs w:val="18"/>
          <w:color w:val="auto"/>
        </w:rPr>
      </w:pPr>
    </w:p>
    <w:p>
      <w:pPr>
        <w:ind w:left="3260" w:hanging="659"/>
        <w:spacing w:after="0"/>
        <w:tabs>
          <w:tab w:leader="none" w:pos="3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amend, alter or repeal any provision of the Certificate of Incorporation or Bylaws of the Corporation;</w:t>
      </w:r>
    </w:p>
    <w:p>
      <w:pPr>
        <w:spacing w:after="0" w:line="225" w:lineRule="exact"/>
        <w:rPr>
          <w:rFonts w:ascii="Arial" w:cs="Arial" w:eastAsia="Arial" w:hAnsi="Arial"/>
          <w:sz w:val="18"/>
          <w:szCs w:val="18"/>
          <w:color w:val="auto"/>
        </w:rPr>
      </w:pPr>
    </w:p>
    <w:p>
      <w:pPr>
        <w:ind w:right="80" w:firstLine="2601"/>
        <w:spacing w:after="0" w:line="312" w:lineRule="auto"/>
        <w:tabs>
          <w:tab w:leader="none" w:pos="325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create or authorize the creation of or issue or obligate itself to issue shares of, any other security convertible into or exercisable for any equity security having rights, preferences or privileges senior to or on parity with any series of Preferred Stock, or increase the authorized number of shares of Preferred Stock or of any additional class or series of capital stock unless it ranks junior to the Preferred Stock;</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3" w:name="page254"/>
    <w:bookmarkEnd w:id="253"/>
    <w:p>
      <w:pPr>
        <w:ind w:left="3260" w:hanging="659"/>
        <w:spacing w:after="0"/>
        <w:tabs>
          <w:tab w:leader="none" w:pos="32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reclassify, alter or amend any existing security that is junior to or on parity with the Preferred Stock, if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reclassification, alteration or amendment would render such other security senior to or on parity with the Preferred Stock;</w:t>
      </w:r>
    </w:p>
    <w:p>
      <w:pPr>
        <w:spacing w:after="0" w:line="210" w:lineRule="exact"/>
        <w:rPr>
          <w:rFonts w:ascii="Arial" w:cs="Arial" w:eastAsia="Arial" w:hAnsi="Arial"/>
          <w:sz w:val="17"/>
          <w:szCs w:val="17"/>
          <w:color w:val="auto"/>
        </w:rPr>
      </w:pPr>
    </w:p>
    <w:p>
      <w:pPr>
        <w:ind w:right="100" w:firstLine="2601"/>
        <w:spacing w:after="0" w:line="259" w:lineRule="auto"/>
        <w:tabs>
          <w:tab w:leader="none" w:pos="325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purchase or redeem or pay or declare any dividend or make any distribution on, any shares of capital stock prior to the Preferred Stock, other than stock repurchased from former employees, officers, directors or consultants in connection with the cessation of their employment/services, at the lower of fair market value or cost, or as approved by the Board of Directors, including the approval of at least one Preferred Director;</w:t>
      </w:r>
    </w:p>
    <w:p>
      <w:pPr>
        <w:spacing w:after="0" w:line="186" w:lineRule="exact"/>
        <w:rPr>
          <w:rFonts w:ascii="Arial" w:cs="Arial" w:eastAsia="Arial" w:hAnsi="Arial"/>
          <w:sz w:val="18"/>
          <w:szCs w:val="18"/>
          <w:color w:val="auto"/>
        </w:rPr>
      </w:pPr>
    </w:p>
    <w:p>
      <w:pPr>
        <w:ind w:right="300" w:firstLine="2601"/>
        <w:spacing w:after="0" w:line="308" w:lineRule="auto"/>
        <w:tabs>
          <w:tab w:leader="none" w:pos="324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create or authorize the creation of any debt security other than equipment leases or bank lines of credit unless such debt security has received the prior approval of the Board of Directors, including the approval of at least one Preferred Director;</w:t>
      </w:r>
    </w:p>
    <w:p>
      <w:pPr>
        <w:spacing w:after="0" w:line="146" w:lineRule="exact"/>
        <w:rPr>
          <w:rFonts w:ascii="Arial" w:cs="Arial" w:eastAsia="Arial" w:hAnsi="Arial"/>
          <w:sz w:val="17"/>
          <w:szCs w:val="17"/>
          <w:color w:val="auto"/>
        </w:rPr>
      </w:pPr>
    </w:p>
    <w:p>
      <w:pPr>
        <w:ind w:left="3280" w:hanging="679"/>
        <w:spacing w:after="0"/>
        <w:tabs>
          <w:tab w:leader="none" w:pos="32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increase or decrease the authorized number of directors constituting the Board of Directors; or</w:t>
      </w:r>
    </w:p>
    <w:p>
      <w:pPr>
        <w:spacing w:after="0" w:line="225" w:lineRule="exact"/>
        <w:rPr>
          <w:rFonts w:ascii="Arial" w:cs="Arial" w:eastAsia="Arial" w:hAnsi="Arial"/>
          <w:sz w:val="18"/>
          <w:szCs w:val="18"/>
          <w:color w:val="auto"/>
        </w:rPr>
      </w:pPr>
    </w:p>
    <w:p>
      <w:pPr>
        <w:ind w:right="140" w:firstLine="2601"/>
        <w:spacing w:after="0" w:line="277" w:lineRule="auto"/>
        <w:tabs>
          <w:tab w:leader="none" w:pos="324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create or hold capital stock in any subsidiary that is not a wholly-owned subsidiary or dispose of any subsidiary stock or all or substantially all of any subsidiary assets.</w:t>
      </w:r>
    </w:p>
    <w:p>
      <w:pPr>
        <w:spacing w:after="0" w:line="170" w:lineRule="exact"/>
        <w:rPr>
          <w:sz w:val="20"/>
          <w:szCs w:val="20"/>
          <w:color w:val="auto"/>
        </w:rPr>
      </w:pPr>
    </w:p>
    <w:p>
      <w:pPr>
        <w:ind w:right="40" w:firstLine="1945"/>
        <w:spacing w:after="0" w:line="255"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Series B Preferred Stock Protective Provisions</w:t>
      </w:r>
      <w:r>
        <w:rPr>
          <w:rFonts w:ascii="Arial" w:cs="Arial" w:eastAsia="Arial" w:hAnsi="Arial"/>
          <w:sz w:val="18"/>
          <w:szCs w:val="18"/>
          <w:color w:val="auto"/>
        </w:rPr>
        <w:t>. At any time when any shares of Series B Preferred Stock are outstanding, the Corporation or any of its subsidiaries shall not, either directly or indirectly by amendment, merger, consolidation or otherwise, do any of the following without (in addition to any other vote required by law or the Certificate of Incorporation) the written consent or affirmative vote of the holders representing a majority in interest of the then outstanding shares of Series B Preferred Stock, voting together as a separate class (the “</w:t>
      </w:r>
      <w:r>
        <w:rPr>
          <w:rFonts w:ascii="Arial" w:cs="Arial" w:eastAsia="Arial" w:hAnsi="Arial"/>
          <w:sz w:val="18"/>
          <w:szCs w:val="18"/>
          <w:b w:val="1"/>
          <w:bCs w:val="1"/>
          <w:color w:val="auto"/>
        </w:rPr>
        <w:t>Series B Required Vote</w:t>
      </w:r>
      <w:r>
        <w:rPr>
          <w:rFonts w:ascii="Arial" w:cs="Arial" w:eastAsia="Arial" w:hAnsi="Arial"/>
          <w:sz w:val="18"/>
          <w:szCs w:val="18"/>
          <w:color w:val="auto"/>
        </w:rPr>
        <w:t xml:space="preserve">”), given in writing or by vote at a meeting, and any such act or transaction entered into without such consent or vote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of no force or effect:</w:t>
      </w:r>
    </w:p>
    <w:p>
      <w:pPr>
        <w:spacing w:after="0" w:line="193" w:lineRule="exact"/>
        <w:rPr>
          <w:sz w:val="20"/>
          <w:szCs w:val="20"/>
          <w:color w:val="auto"/>
        </w:rPr>
      </w:pPr>
    </w:p>
    <w:p>
      <w:pPr>
        <w:ind w:firstLine="2601"/>
        <w:spacing w:after="0" w:line="342" w:lineRule="auto"/>
        <w:tabs>
          <w:tab w:leader="none" w:pos="323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amend or waive the rights, preferences or privileges of the Series B Preferred Stock in a manner that is adverse to the Series B Preferred Stock (provided that the creation or issuance of a new series of senior Preferred Stock shall not in and of itself trigger this provision);</w:t>
      </w:r>
    </w:p>
    <w:p>
      <w:pPr>
        <w:spacing w:after="0" w:line="123" w:lineRule="exact"/>
        <w:rPr>
          <w:rFonts w:ascii="Arial" w:cs="Arial" w:eastAsia="Arial" w:hAnsi="Arial"/>
          <w:sz w:val="16"/>
          <w:szCs w:val="16"/>
          <w:color w:val="auto"/>
        </w:rPr>
      </w:pPr>
    </w:p>
    <w:p>
      <w:pPr>
        <w:ind w:right="700" w:firstLine="2601"/>
        <w:spacing w:after="0" w:line="277" w:lineRule="auto"/>
        <w:tabs>
          <w:tab w:leader="none" w:pos="324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pay or declare any dividend or make any distribution on any shares of capital stock prior to the Series B Preferred Stock, except as set forth in Section 1; or</w:t>
      </w:r>
    </w:p>
    <w:p>
      <w:pPr>
        <w:spacing w:after="0" w:line="170" w:lineRule="exact"/>
        <w:rPr>
          <w:rFonts w:ascii="Arial" w:cs="Arial" w:eastAsia="Arial" w:hAnsi="Arial"/>
          <w:sz w:val="18"/>
          <w:szCs w:val="18"/>
          <w:color w:val="auto"/>
        </w:rPr>
      </w:pPr>
    </w:p>
    <w:p>
      <w:pPr>
        <w:ind w:left="3260" w:hanging="659"/>
        <w:spacing w:after="0"/>
        <w:tabs>
          <w:tab w:leader="none" w:pos="32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increase or decrease the authorized number of shares of Series B Preferred Stock.</w:t>
      </w:r>
    </w:p>
    <w:p>
      <w:pPr>
        <w:spacing w:after="0" w:line="225" w:lineRule="exact"/>
        <w:rPr>
          <w:sz w:val="20"/>
          <w:szCs w:val="20"/>
          <w:color w:val="auto"/>
        </w:rPr>
      </w:pPr>
    </w:p>
    <w:p>
      <w:pPr>
        <w:ind w:right="40" w:firstLine="1945"/>
        <w:spacing w:after="0" w:line="279" w:lineRule="auto"/>
        <w:rPr>
          <w:sz w:val="20"/>
          <w:szCs w:val="20"/>
          <w:color w:val="auto"/>
        </w:rPr>
      </w:pPr>
      <w:r>
        <w:rPr>
          <w:rFonts w:ascii="Arial" w:cs="Arial" w:eastAsia="Arial" w:hAnsi="Arial"/>
          <w:sz w:val="17"/>
          <w:szCs w:val="17"/>
          <w:color w:val="auto"/>
        </w:rPr>
        <w:t xml:space="preserve">3.3.3 </w:t>
      </w:r>
      <w:r>
        <w:rPr>
          <w:rFonts w:ascii="Arial" w:cs="Arial" w:eastAsia="Arial" w:hAnsi="Arial"/>
          <w:sz w:val="17"/>
          <w:szCs w:val="17"/>
          <w:u w:val="single" w:color="auto"/>
          <w:color w:val="auto"/>
        </w:rPr>
        <w:t>Series A Preferred Stock Protective Provisions</w:t>
      </w:r>
      <w:r>
        <w:rPr>
          <w:rFonts w:ascii="Arial" w:cs="Arial" w:eastAsia="Arial" w:hAnsi="Arial"/>
          <w:sz w:val="17"/>
          <w:szCs w:val="17"/>
          <w:color w:val="auto"/>
        </w:rPr>
        <w:t>. At any time when any shares of Series A Preferred Stock are outstanding, the Corporation or any of its subsidiaries shall not, either directly or indirectly by amendment, merger, consolidation or otherwise, do any of the following without (in addition to any other vote required by law or the Certificate of Incorporation) the written consent or affirmative vote of the holders representing a majority in interest of the then outstanding shares of Series A Preferred Stock, voting together as a separate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4" w:name="page255"/>
    <w:bookmarkEnd w:id="254"/>
    <w:p>
      <w:pPr>
        <w:ind w:right="40"/>
        <w:spacing w:after="0" w:line="282" w:lineRule="auto"/>
        <w:rPr>
          <w:sz w:val="20"/>
          <w:szCs w:val="20"/>
          <w:color w:val="auto"/>
        </w:rPr>
      </w:pPr>
      <w:r>
        <w:rPr>
          <w:rFonts w:ascii="Arial" w:cs="Arial" w:eastAsia="Arial" w:hAnsi="Arial"/>
          <w:sz w:val="18"/>
          <w:szCs w:val="18"/>
          <w:color w:val="auto"/>
        </w:rPr>
        <w:t>class (the “</w:t>
      </w:r>
      <w:r>
        <w:rPr>
          <w:rFonts w:ascii="Arial" w:cs="Arial" w:eastAsia="Arial" w:hAnsi="Arial"/>
          <w:sz w:val="18"/>
          <w:szCs w:val="18"/>
          <w:b w:val="1"/>
          <w:bCs w:val="1"/>
          <w:color w:val="auto"/>
        </w:rPr>
        <w:t>Series A Required Vote</w:t>
      </w:r>
      <w:r>
        <w:rPr>
          <w:rFonts w:ascii="Arial" w:cs="Arial" w:eastAsia="Arial" w:hAnsi="Arial"/>
          <w:sz w:val="18"/>
          <w:szCs w:val="18"/>
          <w:color w:val="auto"/>
        </w:rPr>
        <w:t xml:space="preserve">”), given in writing or by vote at a meeting, and any such act or transaction entered into without such consent or vote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of no force or effect:</w:t>
      </w:r>
    </w:p>
    <w:p>
      <w:pPr>
        <w:spacing w:after="0" w:line="166" w:lineRule="exact"/>
        <w:rPr>
          <w:sz w:val="20"/>
          <w:szCs w:val="20"/>
          <w:color w:val="auto"/>
        </w:rPr>
      </w:pPr>
    </w:p>
    <w:p>
      <w:pPr>
        <w:ind w:firstLine="2601"/>
        <w:spacing w:after="0" w:line="342" w:lineRule="auto"/>
        <w:tabs>
          <w:tab w:leader="none" w:pos="3238"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amend or waive the rights, preferences or privileges of the Series A Preferred Stock in a manner that is adverse to the Series A Preferred Stock (provided that the creation or issuance of a new series of senior Preferred Stock shall not in and of itself trigger this provision);</w:t>
      </w:r>
    </w:p>
    <w:p>
      <w:pPr>
        <w:spacing w:after="0" w:line="123" w:lineRule="exact"/>
        <w:rPr>
          <w:rFonts w:ascii="Arial" w:cs="Arial" w:eastAsia="Arial" w:hAnsi="Arial"/>
          <w:sz w:val="16"/>
          <w:szCs w:val="16"/>
          <w:color w:val="auto"/>
        </w:rPr>
      </w:pPr>
    </w:p>
    <w:p>
      <w:pPr>
        <w:ind w:right="700" w:firstLine="2601"/>
        <w:spacing w:after="0" w:line="277" w:lineRule="auto"/>
        <w:tabs>
          <w:tab w:leader="none" w:pos="324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pay or declare any dividend or make any distribution on any shares of capital stock prior to the Series A Preferred Stock, except as set forth in Section 1; or</w:t>
      </w:r>
    </w:p>
    <w:p>
      <w:pPr>
        <w:spacing w:after="0" w:line="170" w:lineRule="exact"/>
        <w:rPr>
          <w:rFonts w:ascii="Arial" w:cs="Arial" w:eastAsia="Arial" w:hAnsi="Arial"/>
          <w:sz w:val="18"/>
          <w:szCs w:val="18"/>
          <w:color w:val="auto"/>
        </w:rPr>
      </w:pPr>
    </w:p>
    <w:p>
      <w:pPr>
        <w:ind w:left="3260" w:hanging="659"/>
        <w:spacing w:after="0"/>
        <w:tabs>
          <w:tab w:leader="none" w:pos="32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increase or decrease the authorized number of shares of Series A Preferred Stock.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the Preferred Stock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22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225" w:lineRule="exact"/>
        <w:rPr>
          <w:sz w:val="20"/>
          <w:szCs w:val="20"/>
          <w:color w:val="auto"/>
        </w:rPr>
      </w:pPr>
    </w:p>
    <w:p>
      <w:pPr>
        <w:ind w:right="60" w:firstLine="1945"/>
        <w:spacing w:after="0" w:line="290"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Conversion Ratio</w:t>
      </w:r>
      <w:r>
        <w:rPr>
          <w:rFonts w:ascii="Arial" w:cs="Arial" w:eastAsia="Arial" w:hAnsi="Arial"/>
          <w:sz w:val="16"/>
          <w:szCs w:val="16"/>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Preferred Stock Original Issue Price by the applicable Preferred Stock Conversion Price (as defined below) in effect at the time of conversion. The “</w:t>
      </w:r>
      <w:r>
        <w:rPr>
          <w:rFonts w:ascii="Arial" w:cs="Arial" w:eastAsia="Arial" w:hAnsi="Arial"/>
          <w:sz w:val="16"/>
          <w:szCs w:val="16"/>
          <w:b w:val="1"/>
          <w:bCs w:val="1"/>
          <w:color w:val="auto"/>
        </w:rPr>
        <w:t>Series A Conversion Price</w:t>
      </w:r>
      <w:r>
        <w:rPr>
          <w:rFonts w:ascii="Arial" w:cs="Arial" w:eastAsia="Arial" w:hAnsi="Arial"/>
          <w:sz w:val="16"/>
          <w:szCs w:val="16"/>
          <w:color w:val="auto"/>
        </w:rPr>
        <w:t>” shall initially be equal to $1.00. Such initial Series A Conversion Price, and the rate at which shares of Series A Preferred Stock may be converted into shares of Common Stock, shall be subject to adjustment as provided below. The “</w:t>
      </w:r>
      <w:r>
        <w:rPr>
          <w:rFonts w:ascii="Arial" w:cs="Arial" w:eastAsia="Arial" w:hAnsi="Arial"/>
          <w:sz w:val="16"/>
          <w:szCs w:val="16"/>
          <w:b w:val="1"/>
          <w:bCs w:val="1"/>
          <w:color w:val="auto"/>
        </w:rPr>
        <w:t>Series B Conversion Price</w:t>
      </w:r>
      <w:r>
        <w:rPr>
          <w:rFonts w:ascii="Arial" w:cs="Arial" w:eastAsia="Arial" w:hAnsi="Arial"/>
          <w:sz w:val="16"/>
          <w:szCs w:val="16"/>
          <w:color w:val="auto"/>
        </w:rPr>
        <w:t>” shall initially be equal to $2.00. Such initial Series B Conversion Price, and the rate at which shares of Series B Preferred Stock may be converted into shares of Common Stock, shall be subject to adjustment as provided below. The Series A Conversion Price and the Series B Conversion Price shall each be referred to as a “</w:t>
      </w:r>
      <w:r>
        <w:rPr>
          <w:rFonts w:ascii="Arial" w:cs="Arial" w:eastAsia="Arial" w:hAnsi="Arial"/>
          <w:sz w:val="16"/>
          <w:szCs w:val="16"/>
          <w:b w:val="1"/>
          <w:bCs w:val="1"/>
          <w:color w:val="auto"/>
        </w:rPr>
        <w:t>Preferred Stock Conversion Price</w:t>
      </w:r>
      <w:r>
        <w:rPr>
          <w:rFonts w:ascii="Arial" w:cs="Arial" w:eastAsia="Arial" w:hAnsi="Arial"/>
          <w:sz w:val="16"/>
          <w:szCs w:val="16"/>
          <w:color w:val="auto"/>
        </w:rPr>
        <w:t>” and together as the “</w:t>
      </w:r>
      <w:r>
        <w:rPr>
          <w:rFonts w:ascii="Arial" w:cs="Arial" w:eastAsia="Arial" w:hAnsi="Arial"/>
          <w:sz w:val="16"/>
          <w:szCs w:val="16"/>
          <w:b w:val="1"/>
          <w:bCs w:val="1"/>
          <w:color w:val="auto"/>
        </w:rPr>
        <w:t>Preferred Stock Conversion Prices</w:t>
      </w:r>
      <w:r>
        <w:rPr>
          <w:rFonts w:ascii="Arial" w:cs="Arial" w:eastAsia="Arial" w:hAnsi="Arial"/>
          <w:sz w:val="16"/>
          <w:szCs w:val="16"/>
          <w:color w:val="auto"/>
        </w:rPr>
        <w:t>.”</w:t>
      </w:r>
    </w:p>
    <w:p>
      <w:pPr>
        <w:spacing w:after="0" w:line="166" w:lineRule="exact"/>
        <w:rPr>
          <w:sz w:val="20"/>
          <w:szCs w:val="20"/>
          <w:color w:val="auto"/>
        </w:rPr>
      </w:pPr>
    </w:p>
    <w:p>
      <w:pPr>
        <w:ind w:right="100" w:firstLine="1945"/>
        <w:spacing w:after="0" w:line="255"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xml:space="preserve">. In the event of a notice of redemption of any shares of Preferred Stock pursuant to </w:t>
      </w:r>
      <w:r>
        <w:rPr>
          <w:rFonts w:ascii="Arial" w:cs="Arial" w:eastAsia="Arial" w:hAnsi="Arial"/>
          <w:sz w:val="18"/>
          <w:szCs w:val="18"/>
          <w:u w:val="single" w:color="auto"/>
          <w:color w:val="auto"/>
        </w:rPr>
        <w:t>Subsection 2.3.2(b)</w:t>
      </w:r>
      <w:r>
        <w:rPr>
          <w:rFonts w:ascii="Arial" w:cs="Arial" w:eastAsia="Arial" w:hAnsi="Arial"/>
          <w:sz w:val="18"/>
          <w:szCs w:val="18"/>
          <w:color w:val="auto"/>
        </w:rPr>
        <w:t>, the Conversion Rights of the shares designated for redemption shall terminate at the close of business on the last full day preceding the date fixed for redemption, unless the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93"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upon conversion of the Preferred Stock. In lieu of any fractional shares to which the holder would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Series A Preferred Stock or Series B Preferred Stock, as applicable, the holder is at the time converting into Common Stock and the aggregate number of shares of Common Stock issuable upon such conversion.</w:t>
      </w:r>
    </w:p>
    <w:p>
      <w:pPr>
        <w:spacing w:after="0" w:line="18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Mechanics of Conversion.</w:t>
      </w:r>
    </w:p>
    <w:p>
      <w:pPr>
        <w:spacing w:after="0" w:line="225" w:lineRule="exact"/>
        <w:rPr>
          <w:sz w:val="20"/>
          <w:szCs w:val="20"/>
          <w:color w:val="auto"/>
        </w:rPr>
      </w:pPr>
    </w:p>
    <w:p>
      <w:pPr>
        <w:ind w:right="20" w:firstLine="1945"/>
        <w:spacing w:after="0" w:line="285"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Preferred Stock to voluntarily convert shares of Preferred Stock into shares of Common Stock, such holder shall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 certificate or certificates and, if applicable, any event on which such conversion is contingent. Such 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Arial" w:cs="Arial" w:eastAsia="Arial" w:hAnsi="Arial"/>
          <w:sz w:val="16"/>
          <w:szCs w:val="16"/>
          <w:b w:val="1"/>
          <w:bCs w:val="1"/>
          <w:color w:val="auto"/>
        </w:rPr>
        <w:t>Conversion Time</w:t>
      </w:r>
      <w:r>
        <w:rPr>
          <w:rFonts w:ascii="Arial" w:cs="Arial" w:eastAsia="Arial" w:hAnsi="Arial"/>
          <w:sz w:val="16"/>
          <w:szCs w:val="16"/>
          <w:color w:val="auto"/>
        </w:rPr>
        <w:t xml:space="preserve">”), and the shares of Common Stock issuable upon conversion of the shares represented by such certificate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Series A Preferred Stock or Series B Preferred Stock, as applicable, represented by the surrendered certificate that were not converted into Common Stock, (ii) pay in cash such amount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(iii) pay all declared but unpaid dividends on the shares of Preferred Stock converted.</w:t>
      </w:r>
    </w:p>
    <w:p>
      <w:pPr>
        <w:spacing w:after="0" w:line="175" w:lineRule="exact"/>
        <w:rPr>
          <w:sz w:val="20"/>
          <w:szCs w:val="20"/>
          <w:color w:val="auto"/>
        </w:rPr>
      </w:pPr>
    </w:p>
    <w:p>
      <w:pPr>
        <w:ind w:right="40" w:firstLine="1945"/>
        <w:spacing w:after="0" w:line="273" w:lineRule="auto"/>
        <w:rPr>
          <w:sz w:val="20"/>
          <w:szCs w:val="20"/>
          <w:color w:val="auto"/>
        </w:rPr>
      </w:pPr>
      <w:r>
        <w:rPr>
          <w:rFonts w:ascii="Arial" w:cs="Arial" w:eastAsia="Arial" w:hAnsi="Arial"/>
          <w:sz w:val="17"/>
          <w:szCs w:val="17"/>
          <w:color w:val="auto"/>
        </w:rPr>
        <w:t xml:space="preserve">4.3.2 </w:t>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343" w:gutter="0" w:footer="0" w:header="0"/>
        </w:sectPr>
      </w:pPr>
    </w:p>
    <w:bookmarkStart w:id="255" w:name="page256"/>
    <w:bookmarkEnd w:id="255"/>
    <w:p>
      <w:pPr>
        <w:jc w:val="both"/>
        <w:ind w:right="160"/>
        <w:spacing w:after="0" w:line="302" w:lineRule="auto"/>
        <w:rPr>
          <w:sz w:val="20"/>
          <w:szCs w:val="20"/>
          <w:color w:val="auto"/>
        </w:rPr>
      </w:pPr>
      <w:r>
        <w:rPr>
          <w:rFonts w:ascii="Arial" w:cs="Arial" w:eastAsia="Arial" w:hAnsi="Arial"/>
          <w:sz w:val="16"/>
          <w:szCs w:val="16"/>
          <w:color w:val="auto"/>
        </w:rPr>
        <w:t>efforts to obtain the requisite stockholder approval of any necessary amendment to the Certificate of Incorporation. Before taking any action which would cause an adjustment reducing a Preferred Stock Conversion Price below the then par value of the shares of Common Stock issuable upon conversion of the applicable series of Preferred Stock, the Corporation will take any corporate action which may, in the opinion of its counsel, be necessary in order that the Corporation may validly and legally issue fully paid and nonassessable shares of Common Stock at such adjusted Preferred Stock Conversion Price.</w:t>
      </w:r>
    </w:p>
    <w:p>
      <w:pPr>
        <w:spacing w:after="0" w:line="154" w:lineRule="exact"/>
        <w:rPr>
          <w:sz w:val="20"/>
          <w:szCs w:val="20"/>
          <w:color w:val="auto"/>
        </w:rPr>
      </w:pPr>
    </w:p>
    <w:p>
      <w:pPr>
        <w:ind w:right="20" w:firstLine="1945"/>
        <w:spacing w:after="0" w:line="293"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u w:val="single" w:color="auto"/>
          <w:color w:val="auto"/>
        </w:rPr>
        <w:t>Effect of Conversion</w:t>
      </w:r>
      <w:r>
        <w:rPr>
          <w:rFonts w:ascii="Arial" w:cs="Arial" w:eastAsia="Arial" w:hAnsi="Arial"/>
          <w:sz w:val="16"/>
          <w:szCs w:val="16"/>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65" w:lineRule="exact"/>
        <w:rPr>
          <w:sz w:val="20"/>
          <w:szCs w:val="20"/>
          <w:color w:val="auto"/>
        </w:rPr>
      </w:pPr>
    </w:p>
    <w:p>
      <w:pPr>
        <w:ind w:right="100" w:firstLine="1945"/>
        <w:spacing w:after="0" w:line="264"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No Further Adjustment</w:t>
      </w:r>
      <w:r>
        <w:rPr>
          <w:rFonts w:ascii="Arial" w:cs="Arial" w:eastAsia="Arial" w:hAnsi="Arial"/>
          <w:sz w:val="18"/>
          <w:szCs w:val="18"/>
          <w:color w:val="auto"/>
        </w:rPr>
        <w:t>. Upon any such conversion, no adjustment to a Preferred Stock Conversion Price shall be made for any declared but unpaid dividends on the applicable series of Preferred Stock surrendered for conversion or on the Common Stock delivered upon conversion.</w:t>
      </w:r>
    </w:p>
    <w:p>
      <w:pPr>
        <w:spacing w:after="0" w:line="181" w:lineRule="exact"/>
        <w:rPr>
          <w:sz w:val="20"/>
          <w:szCs w:val="20"/>
          <w:color w:val="auto"/>
        </w:rPr>
      </w:pPr>
    </w:p>
    <w:p>
      <w:pPr>
        <w:ind w:firstLine="1945"/>
        <w:spacing w:after="0" w:line="255"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9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Adjustments to Preferred Stock Conversion Prices for Diluting Issues</w:t>
      </w:r>
      <w:r>
        <w:rPr>
          <w:rFonts w:ascii="Arial" w:cs="Arial" w:eastAsia="Arial" w:hAnsi="Arial"/>
          <w:sz w:val="16"/>
          <w:szCs w:val="16"/>
          <w:color w:val="auto"/>
        </w:rPr>
        <w:t>.</w:t>
      </w:r>
    </w:p>
    <w:p>
      <w:pPr>
        <w:spacing w:after="0" w:line="225"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u w:val="single" w:color="auto"/>
          <w:color w:val="auto"/>
        </w:rPr>
        <w:t>Special Definitions</w:t>
      </w:r>
      <w:r>
        <w:rPr>
          <w:rFonts w:ascii="Arial" w:cs="Arial" w:eastAsia="Arial" w:hAnsi="Arial"/>
          <w:sz w:val="16"/>
          <w:szCs w:val="16"/>
          <w:color w:val="auto"/>
        </w:rPr>
        <w:t>. For purposes of this Article Fourth, the following definitions shall apply:</w:t>
      </w:r>
    </w:p>
    <w:p>
      <w:pPr>
        <w:spacing w:after="0" w:line="221" w:lineRule="exact"/>
        <w:rPr>
          <w:sz w:val="20"/>
          <w:szCs w:val="20"/>
          <w:color w:val="auto"/>
        </w:rPr>
      </w:pPr>
    </w:p>
    <w:p>
      <w:pPr>
        <w:ind w:left="3240" w:hanging="639"/>
        <w:spacing w:after="0"/>
        <w:tabs>
          <w:tab w:leader="none" w:pos="32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or Convertible Securities.</w:t>
      </w:r>
    </w:p>
    <w:p>
      <w:pPr>
        <w:spacing w:after="0" w:line="207" w:lineRule="exact"/>
        <w:rPr>
          <w:sz w:val="20"/>
          <w:szCs w:val="20"/>
          <w:color w:val="auto"/>
        </w:rPr>
      </w:pPr>
    </w:p>
    <w:p>
      <w:pPr>
        <w:ind w:left="3260" w:hanging="659"/>
        <w:spacing w:after="0"/>
        <w:tabs>
          <w:tab w:leader="none" w:pos="32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B Original Issue Date</w:t>
      </w:r>
      <w:r>
        <w:rPr>
          <w:rFonts w:ascii="Arial" w:cs="Arial" w:eastAsia="Arial" w:hAnsi="Arial"/>
          <w:sz w:val="16"/>
          <w:szCs w:val="16"/>
          <w:color w:val="auto"/>
        </w:rPr>
        <w:t>” shall mean the date on which the first share of Series B Preferred Stock was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issued.</w:t>
      </w:r>
    </w:p>
    <w:p>
      <w:pPr>
        <w:spacing w:after="0" w:line="207" w:lineRule="exact"/>
        <w:rPr>
          <w:sz w:val="20"/>
          <w:szCs w:val="20"/>
          <w:color w:val="auto"/>
        </w:rPr>
      </w:pPr>
    </w:p>
    <w:p>
      <w:pPr>
        <w:ind w:right="500" w:firstLine="2601"/>
        <w:spacing w:after="0" w:line="282" w:lineRule="auto"/>
        <w:tabs>
          <w:tab w:leader="none" w:pos="325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56" w:name="page257"/>
    <w:bookmarkEnd w:id="256"/>
    <w:p>
      <w:pPr>
        <w:ind w:right="20" w:firstLine="2601"/>
        <w:spacing w:after="0" w:line="261" w:lineRule="auto"/>
        <w:tabs>
          <w:tab w:leader="none" w:pos="324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 of Common Stock</w:t>
      </w:r>
      <w:r>
        <w:rPr>
          <w:rFonts w:ascii="Arial" w:cs="Arial" w:eastAsia="Arial" w:hAnsi="Arial"/>
          <w:sz w:val="18"/>
          <w:szCs w:val="18"/>
          <w:color w:val="auto"/>
        </w:rPr>
        <w:t xml:space="preserve">” shall mean all shares of Common Stock issued (or,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xml:space="preserve"> below, deemed to be issued) by the Corporation after the Series B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8"/>
          <w:szCs w:val="18"/>
          <w:b w:val="1"/>
          <w:bCs w:val="1"/>
          <w:color w:val="auto"/>
        </w:rPr>
        <w:t>Exempted</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3920" w:hanging="671"/>
        <w:spacing w:after="0"/>
        <w:tabs>
          <w:tab w:leader="none" w:pos="392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as a dividend or distribution 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Preferred Stock;</w:t>
      </w:r>
    </w:p>
    <w:p>
      <w:pPr>
        <w:spacing w:after="0" w:line="210" w:lineRule="exact"/>
        <w:rPr>
          <w:rFonts w:ascii="Arial" w:cs="Arial" w:eastAsia="Arial" w:hAnsi="Arial"/>
          <w:sz w:val="17"/>
          <w:szCs w:val="17"/>
          <w:color w:val="auto"/>
        </w:rPr>
      </w:pPr>
    </w:p>
    <w:p>
      <w:pPr>
        <w:ind w:left="3920" w:hanging="671"/>
        <w:spacing w:after="0"/>
        <w:tabs>
          <w:tab w:leader="none" w:pos="392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shares of Common Stock actually issued upon the exercise of Options or the conversion or exchange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Convertible Securities, in each case provided such issuance is pursuant to the terms of such Option or Convertible Security;</w:t>
      </w:r>
    </w:p>
    <w:p>
      <w:pPr>
        <w:spacing w:after="0" w:line="210" w:lineRule="exact"/>
        <w:rPr>
          <w:rFonts w:ascii="Arial" w:cs="Arial" w:eastAsia="Arial" w:hAnsi="Arial"/>
          <w:sz w:val="16"/>
          <w:szCs w:val="16"/>
          <w:color w:val="auto"/>
        </w:rPr>
      </w:pPr>
    </w:p>
    <w:p>
      <w:pPr>
        <w:ind w:left="3940" w:hanging="691"/>
        <w:spacing w:after="0"/>
        <w:tabs>
          <w:tab w:leader="none" w:pos="394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by reason of a dividend, stock split,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split-up or other distribution on shares of Common Stock that is covered by </w:t>
      </w:r>
      <w:r>
        <w:rPr>
          <w:rFonts w:ascii="Arial" w:cs="Arial" w:eastAsia="Arial" w:hAnsi="Arial"/>
          <w:sz w:val="18"/>
          <w:szCs w:val="18"/>
          <w:u w:val="single" w:color="auto"/>
          <w:color w:val="auto"/>
        </w:rPr>
        <w:t>Subsections 4.5, 4.6</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4.8</w:t>
      </w:r>
      <w:r>
        <w:rPr>
          <w:rFonts w:ascii="Arial" w:cs="Arial" w:eastAsia="Arial" w:hAnsi="Arial"/>
          <w:sz w:val="18"/>
          <w:szCs w:val="18"/>
          <w:color w:val="auto"/>
        </w:rPr>
        <w:t xml:space="preserve"> below;</w:t>
      </w:r>
    </w:p>
    <w:p>
      <w:pPr>
        <w:spacing w:after="0" w:line="210" w:lineRule="exact"/>
        <w:rPr>
          <w:rFonts w:ascii="Arial" w:cs="Arial" w:eastAsia="Arial" w:hAnsi="Arial"/>
          <w:sz w:val="16"/>
          <w:szCs w:val="16"/>
          <w:color w:val="auto"/>
        </w:rPr>
      </w:pPr>
    </w:p>
    <w:p>
      <w:pPr>
        <w:ind w:right="120" w:firstLine="3249"/>
        <w:spacing w:after="0" w:line="264" w:lineRule="auto"/>
        <w:tabs>
          <w:tab w:leader="none" w:pos="3906" w:val="left"/>
        </w:tabs>
        <w:numPr>
          <w:ilvl w:val="1"/>
          <w:numId w:val="144"/>
        </w:numPr>
        <w:rPr>
          <w:rFonts w:ascii="Arial" w:cs="Arial" w:eastAsia="Arial" w:hAnsi="Arial"/>
          <w:sz w:val="18"/>
          <w:szCs w:val="18"/>
          <w:color w:val="auto"/>
        </w:rPr>
      </w:pPr>
      <w:r>
        <w:rPr>
          <w:rFonts w:ascii="Arial" w:cs="Arial" w:eastAsia="Arial" w:hAnsi="Arial"/>
          <w:sz w:val="18"/>
          <w:szCs w:val="18"/>
          <w:color w:val="auto"/>
        </w:rPr>
        <w:t>shares of Common Stock or Options issued to employees or directors of, or consultants or advisors to, the Corporation or any of its subsidiaries pursuant to a plan, agreement or arrangement approved by the Board of Directors, including at least one Preferred Director;</w:t>
      </w:r>
    </w:p>
    <w:p>
      <w:pPr>
        <w:spacing w:after="0" w:line="181" w:lineRule="exact"/>
        <w:rPr>
          <w:rFonts w:ascii="Arial" w:cs="Arial" w:eastAsia="Arial" w:hAnsi="Arial"/>
          <w:sz w:val="18"/>
          <w:szCs w:val="18"/>
          <w:color w:val="auto"/>
        </w:rPr>
      </w:pPr>
    </w:p>
    <w:p>
      <w:pPr>
        <w:ind w:right="20" w:firstLine="3249"/>
        <w:spacing w:after="0" w:line="286" w:lineRule="auto"/>
        <w:tabs>
          <w:tab w:leader="none" w:pos="3897" w:val="left"/>
        </w:tabs>
        <w:numPr>
          <w:ilvl w:val="1"/>
          <w:numId w:val="144"/>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to banks, equipment lessors or other financial institutions, or to real property lessors, pursuant to a debt financing, equipment leasing or real property leasing transaction that is approved by the Board of Directors, including at least one Preferred Director, and that is primarily for non-equity financing purposes; and</w:t>
      </w:r>
    </w:p>
    <w:p>
      <w:pPr>
        <w:spacing w:after="0" w:line="165" w:lineRule="exact"/>
        <w:rPr>
          <w:rFonts w:ascii="Arial" w:cs="Arial" w:eastAsia="Arial" w:hAnsi="Arial"/>
          <w:sz w:val="17"/>
          <w:szCs w:val="17"/>
          <w:color w:val="auto"/>
        </w:rPr>
      </w:pPr>
    </w:p>
    <w:p>
      <w:pPr>
        <w:ind w:left="3920" w:hanging="671"/>
        <w:spacing w:after="0"/>
        <w:tabs>
          <w:tab w:leader="none" w:pos="392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in connection with sponsored</w:t>
      </w:r>
    </w:p>
    <w:p>
      <w:pPr>
        <w:spacing w:after="0" w:line="34" w:lineRule="exact"/>
        <w:rPr>
          <w:rFonts w:ascii="Arial" w:cs="Arial" w:eastAsia="Arial" w:hAnsi="Arial"/>
          <w:sz w:val="17"/>
          <w:szCs w:val="17"/>
          <w:color w:val="auto"/>
        </w:rPr>
      </w:pPr>
    </w:p>
    <w:p>
      <w:pPr>
        <w:ind w:right="220"/>
        <w:spacing w:after="0" w:line="323" w:lineRule="auto"/>
        <w:rPr>
          <w:rFonts w:ascii="Arial" w:cs="Arial" w:eastAsia="Arial" w:hAnsi="Arial"/>
          <w:sz w:val="17"/>
          <w:szCs w:val="17"/>
          <w:color w:val="auto"/>
        </w:rPr>
      </w:pPr>
      <w:r>
        <w:rPr>
          <w:rFonts w:ascii="Arial" w:cs="Arial" w:eastAsia="Arial" w:hAnsi="Arial"/>
          <w:sz w:val="16"/>
          <w:szCs w:val="16"/>
          <w:color w:val="auto"/>
        </w:rPr>
        <w:t>research, collaboration, technology license, development, original equipment manufacturer, marketing or other similar agreements or strategic partnerships that are approved by the Board of Directors, including at least one Preferred Director, and that are primarily for non-equity financing purposes.</w:t>
      </w:r>
    </w:p>
    <w:p>
      <w:pPr>
        <w:spacing w:after="0" w:line="139" w:lineRule="exact"/>
        <w:rPr>
          <w:sz w:val="20"/>
          <w:szCs w:val="20"/>
          <w:color w:val="auto"/>
        </w:rPr>
      </w:pPr>
    </w:p>
    <w:p>
      <w:pPr>
        <w:ind w:right="60" w:firstLine="1945"/>
        <w:spacing w:after="0" w:line="273"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u w:val="single" w:color="auto"/>
          <w:color w:val="auto"/>
        </w:rPr>
        <w:t>No Adjustment of Preferred Stock Conversion Prices</w:t>
      </w:r>
      <w:r>
        <w:rPr>
          <w:rFonts w:ascii="Arial" w:cs="Arial" w:eastAsia="Arial" w:hAnsi="Arial"/>
          <w:sz w:val="17"/>
          <w:szCs w:val="17"/>
          <w:color w:val="auto"/>
        </w:rPr>
        <w:t>. No adjustment in the Series A Conversion Price shall be made as the result of the issuance or deemed issuance of Additional Shares of Common Stock if the Corporation receives written notice from the holders representing the Series A Required Vote agreeing that no such adjustment shall be made as the result of the issuance or deemed issuance of such Additional Shares of Common Stock. No adjustment in the Series B Conversion Price shall be made as the result of the issuance or deemed issuance of Additional Shares of Common Stock if the Corporation receives written notice from the holders representing the Series B Required Vote agreeing that no such adjustment shall be made as the result of the issuance or deemed issuance of such Additional Shares of Common Stock.</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57" w:name="page258"/>
    <w:bookmarkEnd w:id="257"/>
    <w:p>
      <w:pPr>
        <w:ind w:left="1900"/>
        <w:spacing w:after="0"/>
        <w:tabs>
          <w:tab w:leader="none" w:pos="252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6"/>
          <w:szCs w:val="16"/>
          <w:u w:val="single" w:color="auto"/>
          <w:color w:val="auto"/>
        </w:rPr>
        <w:t>Deemed Issue of Additional Shares of Common Stock.</w:t>
      </w:r>
    </w:p>
    <w:p>
      <w:pPr>
        <w:spacing w:after="0" w:line="225" w:lineRule="exact"/>
        <w:rPr>
          <w:sz w:val="20"/>
          <w:szCs w:val="20"/>
          <w:color w:val="auto"/>
        </w:rPr>
      </w:pPr>
    </w:p>
    <w:p>
      <w:pPr>
        <w:ind w:left="-60" w:right="40" w:firstLine="2601"/>
        <w:spacing w:after="0" w:line="291" w:lineRule="auto"/>
        <w:tabs>
          <w:tab w:leader="none" w:pos="317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If the Corporation at any time or from time to time after the Series B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67" w:lineRule="exact"/>
        <w:rPr>
          <w:rFonts w:ascii="Arial" w:cs="Arial" w:eastAsia="Arial" w:hAnsi="Arial"/>
          <w:sz w:val="16"/>
          <w:szCs w:val="16"/>
          <w:color w:val="auto"/>
        </w:rPr>
      </w:pPr>
    </w:p>
    <w:p>
      <w:pPr>
        <w:ind w:left="-60" w:firstLine="2601"/>
        <w:spacing w:after="0" w:line="286" w:lineRule="auto"/>
        <w:tabs>
          <w:tab w:leader="none" w:pos="318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the issuance of which resulted in an adjustment to a Preferred Stock Conversion Price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xml:space="preserve"> below, are revised as a result of an amendment to such terms or if any other adjustment is made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Preferred Stock Conversion Price computed upon the original issue of such Option or Convertible Security (or upon the occurrence of a record date with respect thereto) shall be readjusted to such Preferred Stock Conversion Price as would have obtained had such revised terms been in effect upon the original date of issuance of such Option or Convertible Security. Notwithstanding the foregoing, no readjustment pursuant to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have the effect of increasing any Preferred Stock Conversion Price to an amount which exceeds the lower of (i) the applicable Preferred Stock Conversion Price in effect immediately prior to the original adjustment made as a result of the issuance of such Option or Convertible Security, or (ii) the applicable Preferred Stock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74" w:lineRule="exact"/>
        <w:rPr>
          <w:rFonts w:ascii="Arial" w:cs="Arial" w:eastAsia="Arial" w:hAnsi="Arial"/>
          <w:sz w:val="16"/>
          <w:szCs w:val="16"/>
          <w:color w:val="auto"/>
        </w:rPr>
      </w:pPr>
    </w:p>
    <w:p>
      <w:pPr>
        <w:ind w:left="-60" w:right="120" w:firstLine="2601"/>
        <w:spacing w:after="0" w:line="271" w:lineRule="auto"/>
        <w:tabs>
          <w:tab w:leader="none" w:pos="3192"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If the terms of any Option or Convertible Security (excluding Options or Convertible Securities which are themselves Exempted Securities), the issuance of which did not result in an adjustment to a Preferred Stock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xml:space="preserve"> below (either because the consideration per share (determined pursuant to </w:t>
      </w:r>
      <w:r>
        <w:rPr>
          <w:rFonts w:ascii="Arial" w:cs="Arial" w:eastAsia="Arial" w:hAnsi="Arial"/>
          <w:sz w:val="17"/>
          <w:szCs w:val="17"/>
          <w:u w:val="single" w:color="auto"/>
          <w:color w:val="auto"/>
        </w:rPr>
        <w:t>Subsection 4.4.5</w:t>
      </w:r>
      <w:r>
        <w:rPr>
          <w:rFonts w:ascii="Arial" w:cs="Arial" w:eastAsia="Arial" w:hAnsi="Arial"/>
          <w:sz w:val="17"/>
          <w:szCs w:val="17"/>
          <w:color w:val="auto"/>
        </w:rPr>
        <w:t xml:space="preserve"> hereof) of the Additional Shares of Common Stock subject thereto was equal to or greater than the applicable Preferred Stock Conversion Price then in effect, or because such Option or Convertible Security was issued before the Series B Original Issue Date), are revised after the Series B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00" w:top="341" w:right="279" w:bottom="1440" w:gutter="0" w:footer="0" w:header="0"/>
        </w:sectPr>
      </w:pPr>
    </w:p>
    <w:bookmarkStart w:id="258" w:name="page259"/>
    <w:bookmarkEnd w:id="258"/>
    <w:p>
      <w:pPr>
        <w:ind w:right="340"/>
        <w:spacing w:after="0" w:line="286" w:lineRule="auto"/>
        <w:rPr>
          <w:sz w:val="20"/>
          <w:szCs w:val="20"/>
          <w:color w:val="auto"/>
        </w:rPr>
      </w:pPr>
      <w:r>
        <w:rPr>
          <w:rFonts w:ascii="Arial" w:cs="Arial" w:eastAsia="Arial" w:hAnsi="Arial"/>
          <w:sz w:val="17"/>
          <w:szCs w:val="17"/>
          <w:color w:val="auto"/>
        </w:rPr>
        <w:t xml:space="preserve">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4.4.3(a)</w:t>
      </w:r>
      <w:r>
        <w:rPr>
          <w:rFonts w:ascii="Arial" w:cs="Arial" w:eastAsia="Arial" w:hAnsi="Arial"/>
          <w:sz w:val="17"/>
          <w:szCs w:val="17"/>
          <w:color w:val="auto"/>
        </w:rPr>
        <w:t xml:space="preserve"> above) shall be deemed to have been issued effective upon such increase or decrease becoming effective.</w:t>
      </w:r>
    </w:p>
    <w:p>
      <w:pPr>
        <w:spacing w:after="0" w:line="166" w:lineRule="exact"/>
        <w:rPr>
          <w:sz w:val="20"/>
          <w:szCs w:val="20"/>
          <w:color w:val="auto"/>
        </w:rPr>
      </w:pPr>
    </w:p>
    <w:p>
      <w:pPr>
        <w:ind w:right="20" w:firstLine="2601"/>
        <w:spacing w:after="0" w:line="279" w:lineRule="auto"/>
        <w:tabs>
          <w:tab w:leader="none" w:pos="3248" w:val="left"/>
        </w:tabs>
        <w:numPr>
          <w:ilvl w:val="1"/>
          <w:numId w:val="146"/>
        </w:numPr>
        <w:rPr>
          <w:rFonts w:ascii="Arial" w:cs="Arial" w:eastAsia="Arial" w:hAnsi="Arial"/>
          <w:sz w:val="17"/>
          <w:szCs w:val="17"/>
          <w:color w:val="auto"/>
        </w:rPr>
      </w:pPr>
      <w:r>
        <w:rPr>
          <w:rFonts w:ascii="Arial" w:cs="Arial" w:eastAsia="Arial" w:hAnsi="Arial"/>
          <w:sz w:val="17"/>
          <w:szCs w:val="17"/>
          <w:color w:val="auto"/>
        </w:rPr>
        <w:t xml:space="preserve">Upon the expiration or termination of any unexercised Option or unconverted or unexchanged Convertible Security (or portion thereof) which resulted (either upon its original issuance or upon a revision of its terms) in an adjustment to a Preferred Stock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xml:space="preserve"> below, the applicable Preferred Stock Conversion Price shall be readjusted to the Preferred Stock Conversion Price as would have obtained had such Option or Convertible Security (or portion thereof) never been issued.</w:t>
      </w:r>
    </w:p>
    <w:p>
      <w:pPr>
        <w:spacing w:after="0" w:line="171" w:lineRule="exact"/>
        <w:rPr>
          <w:rFonts w:ascii="Arial" w:cs="Arial" w:eastAsia="Arial" w:hAnsi="Arial"/>
          <w:sz w:val="17"/>
          <w:szCs w:val="17"/>
          <w:color w:val="auto"/>
        </w:rPr>
      </w:pPr>
    </w:p>
    <w:p>
      <w:pPr>
        <w:ind w:right="20" w:firstLine="2601"/>
        <w:spacing w:after="0" w:line="285" w:lineRule="auto"/>
        <w:tabs>
          <w:tab w:leader="none" w:pos="3252"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 Preferred Stock Conversion Price provided for in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w:t>
      </w:r>
    </w:p>
    <w:p>
      <w:pPr>
        <w:spacing w:after="0" w:line="2" w:lineRule="exact"/>
        <w:rPr>
          <w:rFonts w:ascii="Arial" w:cs="Arial" w:eastAsia="Arial" w:hAnsi="Arial"/>
          <w:sz w:val="16"/>
          <w:szCs w:val="16"/>
          <w:color w:val="auto"/>
        </w:rPr>
      </w:pPr>
    </w:p>
    <w:p>
      <w:pPr>
        <w:ind w:right="60" w:firstLine="8"/>
        <w:spacing w:after="0" w:line="270" w:lineRule="auto"/>
        <w:tabs>
          <w:tab w:leader="none" w:pos="24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of this </w:t>
      </w:r>
      <w:r>
        <w:rPr>
          <w:rFonts w:ascii="Arial" w:cs="Arial" w:eastAsia="Arial" w:hAnsi="Arial"/>
          <w:sz w:val="17"/>
          <w:szCs w:val="17"/>
          <w:u w:val="single" w:color="auto"/>
          <w:color w:val="auto"/>
        </w:rPr>
        <w:t>Subsection 4.4.3)</w:t>
      </w:r>
      <w:r>
        <w:rPr>
          <w:rFonts w:ascii="Arial" w:cs="Arial" w:eastAsia="Arial" w:hAnsi="Arial"/>
          <w:sz w:val="17"/>
          <w:szCs w:val="17"/>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 Preferred Stock Conversion Price that would result under the terms of this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4.4.3</w:t>
      </w:r>
      <w:r>
        <w:rPr>
          <w:rFonts w:ascii="Arial" w:cs="Arial" w:eastAsia="Arial" w:hAnsi="Arial"/>
          <w:sz w:val="17"/>
          <w:szCs w:val="17"/>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such Preferred Stock Conversion Price that such issuance or amendment took place at the time such calculation can first be made.</w:t>
      </w:r>
    </w:p>
    <w:p>
      <w:pPr>
        <w:spacing w:after="0" w:line="179" w:lineRule="exact"/>
        <w:rPr>
          <w:sz w:val="20"/>
          <w:szCs w:val="20"/>
          <w:color w:val="auto"/>
        </w:rPr>
      </w:pPr>
    </w:p>
    <w:p>
      <w:pPr>
        <w:ind w:firstLine="1945"/>
        <w:spacing w:after="0" w:line="297" w:lineRule="auto"/>
        <w:rPr>
          <w:sz w:val="20"/>
          <w:szCs w:val="20"/>
          <w:color w:val="auto"/>
        </w:rPr>
      </w:pPr>
      <w:r>
        <w:rPr>
          <w:rFonts w:ascii="Arial" w:cs="Arial" w:eastAsia="Arial" w:hAnsi="Arial"/>
          <w:sz w:val="16"/>
          <w:szCs w:val="16"/>
          <w:color w:val="auto"/>
        </w:rPr>
        <w:t xml:space="preserve">4.4.4 </w:t>
      </w:r>
      <w:r>
        <w:rPr>
          <w:rFonts w:ascii="Arial" w:cs="Arial" w:eastAsia="Arial" w:hAnsi="Arial"/>
          <w:sz w:val="16"/>
          <w:szCs w:val="16"/>
          <w:u w:val="single" w:color="auto"/>
          <w:color w:val="auto"/>
        </w:rPr>
        <w:t>Adjustment of Preferred Stock Conversion Prices Upon Issuance of Additional Shares of Common Stock</w:t>
      </w:r>
      <w:r>
        <w:rPr>
          <w:rFonts w:ascii="Arial" w:cs="Arial" w:eastAsia="Arial" w:hAnsi="Arial"/>
          <w:sz w:val="16"/>
          <w:szCs w:val="16"/>
          <w:color w:val="auto"/>
        </w:rPr>
        <w:t xml:space="preserve">. In the event the Corporation shall at any time or from time to time after the Series B Original Issue Date issue Additional Shares of Common Stock (including Additional Shares of Common Stock deemed to be issued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without consideration or for a consideration per share less than a Preferred Stock Conversion Price in effect immediately prior to such issuance or deemed issuance, then such Preferred Stock Conversion Price shall be reduced, concurrently with such issue, to a price (calculated to the nearest one-hundredth of a cent) determined in accordance with the following formula:</w:t>
      </w:r>
    </w:p>
    <w:p>
      <w:pPr>
        <w:spacing w:after="0" w:line="15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CP</w:t>
      </w:r>
      <w:r>
        <w:rPr>
          <w:rFonts w:ascii="Arial" w:cs="Arial" w:eastAsia="Arial" w:hAnsi="Arial"/>
          <w:sz w:val="11"/>
          <w:szCs w:val="11"/>
          <w:color w:val="auto"/>
        </w:rPr>
        <w:t>2</w:t>
      </w:r>
      <w:r>
        <w:rPr>
          <w:rFonts w:ascii="Arial" w:cs="Arial" w:eastAsia="Arial" w:hAnsi="Arial"/>
          <w:sz w:val="18"/>
          <w:szCs w:val="18"/>
          <w:color w:val="auto"/>
        </w:rPr>
        <w:t xml:space="preserve"> = CP</w:t>
      </w:r>
      <w:r>
        <w:rPr>
          <w:rFonts w:ascii="Arial" w:cs="Arial" w:eastAsia="Arial" w:hAnsi="Arial"/>
          <w:sz w:val="11"/>
          <w:szCs w:val="11"/>
          <w:color w:val="auto"/>
        </w:rPr>
        <w:t>1</w:t>
      </w:r>
      <w:r>
        <w:rPr>
          <w:rFonts w:ascii="Arial" w:cs="Arial" w:eastAsia="Arial" w:hAnsi="Arial"/>
          <w:sz w:val="18"/>
          <w:szCs w:val="18"/>
          <w:color w:val="auto"/>
        </w:rPr>
        <w:t xml:space="preserve"> *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225" w:lineRule="exact"/>
        <w:rPr>
          <w:sz w:val="20"/>
          <w:szCs w:val="20"/>
          <w:color w:val="auto"/>
        </w:rPr>
      </w:pPr>
    </w:p>
    <w:p>
      <w:pPr>
        <w:ind w:right="220" w:firstLine="2601"/>
        <w:spacing w:after="0" w:line="277" w:lineRule="auto"/>
        <w:tabs>
          <w:tab w:leader="none" w:pos="323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1"/>
          <w:szCs w:val="11"/>
          <w:color w:val="auto"/>
        </w:rPr>
        <w:t>2</w:t>
      </w:r>
      <w:r>
        <w:rPr>
          <w:rFonts w:ascii="Arial" w:cs="Arial" w:eastAsia="Arial" w:hAnsi="Arial"/>
          <w:sz w:val="18"/>
          <w:szCs w:val="18"/>
          <w:color w:val="auto"/>
        </w:rPr>
        <w:t>” shall mean the applicable Preferred Stock Conversion Price in effect immediately after such issuance or deemed issuance of Additional Shares of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59" w:name="page260"/>
    <w:bookmarkEnd w:id="259"/>
    <w:p>
      <w:pPr>
        <w:ind w:firstLine="2601"/>
        <w:spacing w:after="0" w:line="277" w:lineRule="auto"/>
        <w:tabs>
          <w:tab w:leader="none" w:pos="324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1"/>
          <w:szCs w:val="11"/>
          <w:color w:val="auto"/>
        </w:rPr>
        <w:t>1</w:t>
      </w:r>
      <w:r>
        <w:rPr>
          <w:rFonts w:ascii="Arial" w:cs="Arial" w:eastAsia="Arial" w:hAnsi="Arial"/>
          <w:sz w:val="18"/>
          <w:szCs w:val="18"/>
          <w:color w:val="auto"/>
        </w:rPr>
        <w:t>” shall mean the applicable Preferred Stock Conversion Price in effect immediately prior to such issuance or deemed issuance of Additional Shares of Common Stock;</w:t>
      </w:r>
    </w:p>
    <w:p>
      <w:pPr>
        <w:spacing w:after="0" w:line="170" w:lineRule="exact"/>
        <w:rPr>
          <w:rFonts w:ascii="Arial" w:cs="Arial" w:eastAsia="Arial" w:hAnsi="Arial"/>
          <w:sz w:val="18"/>
          <w:szCs w:val="18"/>
          <w:color w:val="auto"/>
        </w:rPr>
      </w:pPr>
    </w:p>
    <w:p>
      <w:pPr>
        <w:jc w:val="both"/>
        <w:ind w:right="420" w:firstLine="2601"/>
        <w:spacing w:after="0" w:line="302" w:lineRule="auto"/>
        <w:tabs>
          <w:tab w:leader="none" w:pos="325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154" w:lineRule="exact"/>
        <w:rPr>
          <w:rFonts w:ascii="Arial" w:cs="Arial" w:eastAsia="Arial" w:hAnsi="Arial"/>
          <w:sz w:val="16"/>
          <w:szCs w:val="16"/>
          <w:color w:val="auto"/>
        </w:rPr>
      </w:pPr>
    </w:p>
    <w:p>
      <w:pPr>
        <w:ind w:firstLine="2601"/>
        <w:spacing w:after="0" w:line="264" w:lineRule="auto"/>
        <w:tabs>
          <w:tab w:leader="none" w:pos="324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or deemed issued at a price per share equal to CP</w:t>
      </w:r>
      <w:r>
        <w:rPr>
          <w:rFonts w:ascii="Arial" w:cs="Arial" w:eastAsia="Arial" w:hAnsi="Arial"/>
          <w:sz w:val="11"/>
          <w:szCs w:val="11"/>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1"/>
          <w:szCs w:val="11"/>
          <w:color w:val="auto"/>
        </w:rPr>
        <w:t>1</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left="3260" w:hanging="659"/>
        <w:spacing w:after="0"/>
        <w:tabs>
          <w:tab w:leader="none" w:pos="32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225" w:lineRule="exact"/>
        <w:rPr>
          <w:sz w:val="20"/>
          <w:szCs w:val="20"/>
          <w:color w:val="auto"/>
        </w:rPr>
      </w:pPr>
    </w:p>
    <w:p>
      <w:pPr>
        <w:ind w:right="200" w:firstLine="1945"/>
        <w:spacing w:after="0" w:line="27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Subsection 4.4</w:t>
      </w:r>
      <w:r>
        <w:rPr>
          <w:rFonts w:ascii="Arial" w:cs="Arial" w:eastAsia="Arial" w:hAnsi="Arial"/>
          <w:sz w:val="18"/>
          <w:szCs w:val="18"/>
          <w:color w:val="auto"/>
        </w:rPr>
        <w:t>, the consideration received by the Corporation for the issuance or deemed issuance of any Additional Shares of Common Stock shall be computed as follows:</w:t>
      </w:r>
    </w:p>
    <w:p>
      <w:pPr>
        <w:spacing w:after="0" w:line="170" w:lineRule="exact"/>
        <w:rPr>
          <w:sz w:val="20"/>
          <w:szCs w:val="20"/>
          <w:color w:val="auto"/>
        </w:rPr>
      </w:pPr>
    </w:p>
    <w:p>
      <w:pPr>
        <w:ind w:left="3240" w:hanging="639"/>
        <w:spacing w:after="0"/>
        <w:tabs>
          <w:tab w:leader="none" w:pos="324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225" w:lineRule="exact"/>
        <w:rPr>
          <w:rFonts w:ascii="Arial" w:cs="Arial" w:eastAsia="Arial" w:hAnsi="Arial"/>
          <w:sz w:val="18"/>
          <w:szCs w:val="18"/>
          <w:color w:val="auto"/>
        </w:rPr>
      </w:pPr>
    </w:p>
    <w:p>
      <w:pPr>
        <w:ind w:right="20" w:firstLine="3249"/>
        <w:spacing w:after="0" w:line="277" w:lineRule="auto"/>
        <w:tabs>
          <w:tab w:leader="none" w:pos="3911"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170" w:lineRule="exact"/>
        <w:rPr>
          <w:rFonts w:ascii="Arial" w:cs="Arial" w:eastAsia="Arial" w:hAnsi="Arial"/>
          <w:sz w:val="18"/>
          <w:szCs w:val="18"/>
          <w:color w:val="auto"/>
        </w:rPr>
      </w:pPr>
    </w:p>
    <w:p>
      <w:pPr>
        <w:ind w:left="3920" w:hanging="671"/>
        <w:spacing w:after="0"/>
        <w:tabs>
          <w:tab w:leader="none" w:pos="392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insofar as it consists of property other than cash, be computed at the fair market value thereof at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of such issue, as determined in good faith by the Board of Directors, including at least one Preferred Director; and</w:t>
      </w:r>
    </w:p>
    <w:p>
      <w:pPr>
        <w:spacing w:after="0" w:line="210" w:lineRule="exact"/>
        <w:rPr>
          <w:rFonts w:ascii="Arial" w:cs="Arial" w:eastAsia="Arial" w:hAnsi="Arial"/>
          <w:sz w:val="16"/>
          <w:szCs w:val="16"/>
          <w:color w:val="auto"/>
        </w:rPr>
      </w:pPr>
    </w:p>
    <w:p>
      <w:pPr>
        <w:ind w:left="3940" w:hanging="691"/>
        <w:spacing w:after="0"/>
        <w:tabs>
          <w:tab w:leader="none" w:pos="394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in the event Additional Shares of Common Stock are issued together with other shares or securities or</w:t>
      </w:r>
    </w:p>
    <w:p>
      <w:pPr>
        <w:spacing w:after="0" w:line="46" w:lineRule="exact"/>
        <w:rPr>
          <w:rFonts w:ascii="Arial" w:cs="Arial" w:eastAsia="Arial" w:hAnsi="Arial"/>
          <w:sz w:val="16"/>
          <w:szCs w:val="16"/>
          <w:color w:val="auto"/>
        </w:rPr>
      </w:pPr>
    </w:p>
    <w:p>
      <w:pPr>
        <w:ind w:right="900"/>
        <w:spacing w:after="0" w:line="290" w:lineRule="auto"/>
        <w:rPr>
          <w:rFonts w:ascii="Arial" w:cs="Arial" w:eastAsia="Arial" w:hAnsi="Arial"/>
          <w:sz w:val="16"/>
          <w:szCs w:val="16"/>
          <w:color w:val="auto"/>
        </w:rPr>
      </w:pPr>
      <w:r>
        <w:rPr>
          <w:rFonts w:ascii="Arial" w:cs="Arial" w:eastAsia="Arial" w:hAnsi="Arial"/>
          <w:sz w:val="17"/>
          <w:szCs w:val="17"/>
          <w:color w:val="auto"/>
        </w:rPr>
        <w:t xml:space="preserve">other assets of the Corporation for consideration which covers both, be the proportion of such consideration so received, computed as provided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as determined in good faith by the Board of Directors, including at least one Preferred Director.</w:t>
      </w:r>
    </w:p>
    <w:p>
      <w:pPr>
        <w:spacing w:after="0" w:line="161" w:lineRule="exact"/>
        <w:rPr>
          <w:rFonts w:ascii="Arial" w:cs="Arial" w:eastAsia="Arial" w:hAnsi="Arial"/>
          <w:sz w:val="16"/>
          <w:szCs w:val="16"/>
          <w:color w:val="auto"/>
        </w:rPr>
      </w:pPr>
    </w:p>
    <w:p>
      <w:pPr>
        <w:ind w:right="280" w:firstLine="2601"/>
        <w:spacing w:after="0" w:line="264" w:lineRule="auto"/>
        <w:tabs>
          <w:tab w:leader="none" w:pos="3248"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Options and Convertible Securities</w:t>
      </w:r>
      <w:r>
        <w:rPr>
          <w:rFonts w:ascii="Arial" w:cs="Arial" w:eastAsia="Arial" w:hAnsi="Arial"/>
          <w:sz w:val="18"/>
          <w:szCs w:val="18"/>
          <w:color w:val="auto"/>
        </w:rPr>
        <w:t xml:space="preserve">. The consideration per share received by the Corporation for Additional Shares of Common Stock deemed to have been issued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relating to Options and Convertible Securities, shall be determined by dividing</w:t>
      </w:r>
    </w:p>
    <w:p>
      <w:pPr>
        <w:spacing w:after="0" w:line="181" w:lineRule="exact"/>
        <w:rPr>
          <w:rFonts w:ascii="Arial" w:cs="Arial" w:eastAsia="Arial" w:hAnsi="Arial"/>
          <w:sz w:val="18"/>
          <w:szCs w:val="18"/>
          <w:color w:val="auto"/>
        </w:rPr>
      </w:pPr>
    </w:p>
    <w:p>
      <w:pPr>
        <w:ind w:left="3920" w:hanging="671"/>
        <w:spacing w:after="0"/>
        <w:tabs>
          <w:tab w:leader="none" w:pos="392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the total amount, if any, received or receivable by the Corporation as consideration for the issue of such</w:t>
      </w:r>
    </w:p>
    <w:p>
      <w:pPr>
        <w:spacing w:after="0" w:line="46" w:lineRule="exact"/>
        <w:rPr>
          <w:rFonts w:ascii="Arial" w:cs="Arial" w:eastAsia="Arial" w:hAnsi="Arial"/>
          <w:sz w:val="16"/>
          <w:szCs w:val="16"/>
          <w:color w:val="auto"/>
        </w:rPr>
      </w:pPr>
    </w:p>
    <w:p>
      <w:pPr>
        <w:ind w:right="260"/>
        <w:spacing w:after="0" w:line="261" w:lineRule="auto"/>
        <w:rPr>
          <w:rFonts w:ascii="Arial" w:cs="Arial" w:eastAsia="Arial" w:hAnsi="Arial"/>
          <w:sz w:val="16"/>
          <w:szCs w:val="16"/>
          <w:color w:val="auto"/>
        </w:rPr>
      </w:pPr>
      <w:r>
        <w:rPr>
          <w:rFonts w:ascii="Arial" w:cs="Arial" w:eastAsia="Arial" w:hAnsi="Arial"/>
          <w:sz w:val="18"/>
          <w:szCs w:val="18"/>
          <w:color w:val="auto"/>
        </w:rPr>
        <w:t>Options or Convertible Securities, plus the minimum aggregate amount of additional consideration (as set forth in the instruments relating thereto, without regard to any provision contained therein for a subsequent adjustment of such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0" w:name="page261"/>
    <w:bookmarkEnd w:id="260"/>
    <w:p>
      <w:pPr>
        <w:ind w:right="80"/>
        <w:spacing w:after="0" w:line="342" w:lineRule="auto"/>
        <w:rPr>
          <w:sz w:val="20"/>
          <w:szCs w:val="20"/>
          <w:color w:val="auto"/>
        </w:rPr>
      </w:pPr>
      <w:r>
        <w:rPr>
          <w:rFonts w:ascii="Arial" w:cs="Arial" w:eastAsia="Arial" w:hAnsi="Arial"/>
          <w:sz w:val="16"/>
          <w:szCs w:val="16"/>
          <w:color w:val="auto"/>
        </w:rPr>
        <w:t>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24" w:lineRule="exact"/>
        <w:rPr>
          <w:sz w:val="20"/>
          <w:szCs w:val="20"/>
          <w:color w:val="auto"/>
        </w:rPr>
      </w:pPr>
    </w:p>
    <w:p>
      <w:pPr>
        <w:ind w:right="160" w:firstLine="3249"/>
        <w:spacing w:after="0" w:line="259" w:lineRule="auto"/>
        <w:tabs>
          <w:tab w:leader="none" w:pos="39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87" w:lineRule="exact"/>
        <w:rPr>
          <w:sz w:val="20"/>
          <w:szCs w:val="20"/>
          <w:color w:val="auto"/>
        </w:rPr>
      </w:pPr>
    </w:p>
    <w:p>
      <w:pPr>
        <w:ind w:firstLine="1945"/>
        <w:spacing w:after="0" w:line="257" w:lineRule="auto"/>
        <w:rPr>
          <w:sz w:val="20"/>
          <w:szCs w:val="20"/>
          <w:color w:val="auto"/>
        </w:rPr>
      </w:pPr>
      <w:r>
        <w:rPr>
          <w:rFonts w:ascii="Arial" w:cs="Arial" w:eastAsia="Arial" w:hAnsi="Arial"/>
          <w:sz w:val="18"/>
          <w:szCs w:val="18"/>
          <w:color w:val="auto"/>
        </w:rPr>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xml:space="preserve">. In the event the Corporation shall issue on more than one date Additional Shares of Common Stock that are a part of one transaction or a series of related transactions and that would result in an adjustment to a Preferred Stock Conversion Price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xml:space="preserve"> above then, upon the final such issuance, such Preferred Stock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88"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Adjustment for Stock Splits and Combinations</w:t>
      </w:r>
      <w:r>
        <w:rPr>
          <w:rFonts w:ascii="Arial" w:cs="Arial" w:eastAsia="Arial" w:hAnsi="Arial"/>
          <w:sz w:val="17"/>
          <w:szCs w:val="17"/>
          <w:color w:val="auto"/>
        </w:rPr>
        <w:t>. If the Corporation shall at any time or from time to time after the Series B Original Issue Date effect a subdivision of the outstanding Common Stock, the Preferred Stock Conversion Prices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B Original Issue Date combine the outstanding shares of Common Stock, the Preferred Stock Conversion Prices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79"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Adjustment for Certain Dividends and Distributions</w:t>
      </w:r>
      <w:r>
        <w:rPr>
          <w:rFonts w:ascii="Arial" w:cs="Arial" w:eastAsia="Arial" w:hAnsi="Arial"/>
          <w:sz w:val="17"/>
          <w:szCs w:val="17"/>
          <w:color w:val="auto"/>
        </w:rPr>
        <w:t>. In the event the Corporation at any time or from time to time after the Series B Original Issue Date shall make or issue, or fix a record date for the determination of holders of Common Stock entitled to receive, a dividend or other distribution payable on the Common Stock in additional shares of Common Stock, then and in each such event the Preferred Stock Conversion Prices in effect immediately before such event shall be decreased as of the time of such issuance or, in the event such a record date shall have been fixed, as of the close of business on such record date, by multiplying the applicable Preferred Stock Conversion Price then in effect by a fraction:</w:t>
      </w:r>
    </w:p>
    <w:p>
      <w:pPr>
        <w:spacing w:after="0" w:line="173" w:lineRule="exact"/>
        <w:rPr>
          <w:sz w:val="20"/>
          <w:szCs w:val="20"/>
          <w:color w:val="auto"/>
        </w:rPr>
      </w:pPr>
    </w:p>
    <w:p>
      <w:pPr>
        <w:ind w:left="3240" w:right="920" w:hanging="639"/>
        <w:spacing w:after="0" w:line="342" w:lineRule="auto"/>
        <w:tabs>
          <w:tab w:leader="none" w:pos="324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numerator of which shall be the total number of shares of Common Stock issued and outstanding immediately prior to the time of such issuance or the close of business on such record date,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1" w:name="page262"/>
    <w:bookmarkEnd w:id="261"/>
    <w:p>
      <w:pPr>
        <w:ind w:left="3240" w:right="240" w:hanging="639"/>
        <w:spacing w:after="0" w:line="286" w:lineRule="auto"/>
        <w:tabs>
          <w:tab w:leader="none" w:pos="3247"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6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Notwithstanding the foregoing, (a) if such record date shall have been fixed and such dividend is not fully paid or if such distribution is not fully made on the date fixed therefor, the Preferred Stock Conversion Prices shall be recomputed accordingly as of the close of business on such record date and thereafter the Preferred Stock Conversion Prices shall be adjusted pursuant to this subsection as of the time of actual payment of such dividends or distributions; and</w:t>
      </w:r>
    </w:p>
    <w:p>
      <w:pPr>
        <w:jc w:val="both"/>
        <w:ind w:firstLine="8"/>
        <w:spacing w:after="0" w:line="255" w:lineRule="auto"/>
        <w:tabs>
          <w:tab w:leader="none" w:pos="2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90"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Adjustments for Other Dividends and Distributions</w:t>
      </w:r>
      <w:r>
        <w:rPr>
          <w:rFonts w:ascii="Arial" w:cs="Arial" w:eastAsia="Arial" w:hAnsi="Arial"/>
          <w:sz w:val="18"/>
          <w:szCs w:val="18"/>
          <w:color w:val="auto"/>
        </w:rPr>
        <w:t xml:space="preserve">. In the event the Corporation at any time or from time to time after the Series B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89" w:lineRule="exact"/>
        <w:rPr>
          <w:sz w:val="20"/>
          <w:szCs w:val="20"/>
          <w:color w:val="auto"/>
        </w:rPr>
      </w:pPr>
    </w:p>
    <w:p>
      <w:pPr>
        <w:ind w:right="20" w:firstLine="1297"/>
        <w:spacing w:after="0" w:line="28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if there shall occur any reorganization, recapitalization, reclassification, consolidation or merger involving the Corporation in which the Common Stock (but not the Series A Preferred Stock and/or the Series B Preferred Stock) is converted into or exchanged for securities, cash or other property (other than a transaction covered by </w:t>
      </w:r>
      <w:r>
        <w:rPr>
          <w:rFonts w:ascii="Arial" w:cs="Arial" w:eastAsia="Arial" w:hAnsi="Arial"/>
          <w:sz w:val="16"/>
          <w:szCs w:val="16"/>
          <w:u w:val="single" w:color="auto"/>
          <w:color w:val="auto"/>
        </w:rPr>
        <w:t>Subsections 4.4</w:t>
      </w:r>
      <w:r>
        <w:rPr>
          <w:rFonts w:ascii="Arial" w:cs="Arial" w:eastAsia="Arial" w:hAnsi="Arial"/>
          <w:sz w:val="16"/>
          <w:szCs w:val="16"/>
          <w:color w:val="auto"/>
        </w:rPr>
        <w:t xml:space="preserve">, </w:t>
      </w:r>
      <w:r>
        <w:rPr>
          <w:rFonts w:ascii="Arial" w:cs="Arial" w:eastAsia="Arial" w:hAnsi="Arial"/>
          <w:sz w:val="16"/>
          <w:szCs w:val="16"/>
          <w:u w:val="single" w:color="auto"/>
          <w:color w:val="auto"/>
        </w:rPr>
        <w:t>4.6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4.7</w:t>
      </w:r>
      <w:r>
        <w:rPr>
          <w:rFonts w:ascii="Arial" w:cs="Arial" w:eastAsia="Arial" w:hAnsi="Arial"/>
          <w:sz w:val="16"/>
          <w:szCs w:val="16"/>
          <w:color w:val="auto"/>
        </w:rPr>
        <w:t xml:space="preserve">), then, following any such reorganization, recapitalization, reclassification, consolidation or merger, each share of Series A Preferred Stock or Series B Preferred Stock, as applicable, shall thereafter be convertible in lieu of the Common Stock into which it was convertible prior to such event into the kind and amount of securities, cash or other property which a holder of the number of shares of the Common Stock issuable upon conversion of one share of Series A Preferred Stock or Series B Preferred Stock, as applicable, immediately prior to such reorganization, recapitalization, reclassification, consolidation or merger would have been entitled to receive pursuant to such transaction; and, in such case, appropriate adjustment (as determined in good faith by the Board of Directors, including at least one Preferred Director) shall be made in the application of the provisions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the rights and interests thereafter of the holders of the Series A Preferred Stock or the Series B Preferred Stock, as applicable, to the end that the provisions set forth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(including provisions with respect to changes in and other adjustments of the applicable Preferred Stock Conversion Price) shall thereafter be applicable, as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2" w:name="page263"/>
    <w:bookmarkEnd w:id="262"/>
    <w:p>
      <w:pPr>
        <w:ind w:right="340"/>
        <w:spacing w:after="0" w:line="277" w:lineRule="auto"/>
        <w:rPr>
          <w:sz w:val="20"/>
          <w:szCs w:val="20"/>
          <w:color w:val="auto"/>
        </w:rPr>
      </w:pPr>
      <w:r>
        <w:rPr>
          <w:rFonts w:ascii="Arial" w:cs="Arial" w:eastAsia="Arial" w:hAnsi="Arial"/>
          <w:sz w:val="18"/>
          <w:szCs w:val="18"/>
          <w:color w:val="auto"/>
        </w:rPr>
        <w:t>nearly as reasonably may be, in relation to any securities or other property thereafter deliverable upon the conversion of the applicable series of Preferred Stock.</w:t>
      </w:r>
    </w:p>
    <w:p>
      <w:pPr>
        <w:spacing w:after="0" w:line="170"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Certificate as to Adjustments</w:t>
      </w:r>
      <w:r>
        <w:rPr>
          <w:rFonts w:ascii="Arial" w:cs="Arial" w:eastAsia="Arial" w:hAnsi="Arial"/>
          <w:sz w:val="18"/>
          <w:szCs w:val="18"/>
          <w:color w:val="auto"/>
        </w:rPr>
        <w:t xml:space="preserve">. Upon the occurrence of each adjustment or readjustment of a Preferred Stock Conversion Price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at its expense shall, as promptly as reasonably practicable but in any event not later than fifteen (15) days thereafter, compute such adjustment or readjustment in accordance with the terms hereof and furnish to each holder of the applicable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Preferred Stock (but in any event not later than fifteen (15) days thereafter), furnish or cause to be furnished to such holder a certificate setting forth (i) the Preferred Stock Conversion Prices then in effect, and (ii) the number of shares of Common Stock and the amount, if any, of other securities, cash or property which then would be received upon the conversion of each series of Preferred Stock.</w:t>
      </w:r>
    </w:p>
    <w:p>
      <w:pPr>
        <w:spacing w:after="0" w:line="19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Notice of Record Date</w:t>
      </w:r>
      <w:r>
        <w:rPr>
          <w:rFonts w:ascii="Arial" w:cs="Arial" w:eastAsia="Arial" w:hAnsi="Arial"/>
          <w:sz w:val="16"/>
          <w:szCs w:val="16"/>
          <w:color w:val="auto"/>
        </w:rPr>
        <w:t>. In the event:</w:t>
      </w:r>
    </w:p>
    <w:p>
      <w:pPr>
        <w:spacing w:after="0" w:line="225" w:lineRule="exact"/>
        <w:rPr>
          <w:sz w:val="20"/>
          <w:szCs w:val="20"/>
          <w:color w:val="auto"/>
        </w:rPr>
      </w:pPr>
    </w:p>
    <w:p>
      <w:pPr>
        <w:jc w:val="both"/>
        <w:ind w:right="40" w:firstLine="2601"/>
        <w:spacing w:after="0" w:line="286" w:lineRule="auto"/>
        <w:tabs>
          <w:tab w:leader="none" w:pos="323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65" w:lineRule="exact"/>
        <w:rPr>
          <w:rFonts w:ascii="Arial" w:cs="Arial" w:eastAsia="Arial" w:hAnsi="Arial"/>
          <w:sz w:val="17"/>
          <w:szCs w:val="17"/>
          <w:color w:val="auto"/>
        </w:rPr>
      </w:pPr>
    </w:p>
    <w:p>
      <w:pPr>
        <w:ind w:left="3260" w:hanging="659"/>
        <w:spacing w:after="0"/>
        <w:tabs>
          <w:tab w:leader="none" w:pos="32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of any capital reorganization of the Corporation, any reclassification of the Common Stock, or any Deemed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Liquidation Event; or</w:t>
      </w:r>
    </w:p>
    <w:p>
      <w:pPr>
        <w:spacing w:after="0" w:line="210" w:lineRule="exact"/>
        <w:rPr>
          <w:rFonts w:ascii="Arial" w:cs="Arial" w:eastAsia="Arial" w:hAnsi="Arial"/>
          <w:sz w:val="17"/>
          <w:szCs w:val="17"/>
          <w:color w:val="auto"/>
        </w:rPr>
      </w:pPr>
    </w:p>
    <w:p>
      <w:pPr>
        <w:ind w:left="3260" w:hanging="659"/>
        <w:spacing w:after="0"/>
        <w:tabs>
          <w:tab w:leader="none" w:pos="32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winding-up or Deemed Liquidation Event is proposed to take place, and the time, if any is to be fixed, as of which the holders of record of Common Stock (or such other capital stock or securities at the time issuable upon the conversion of each series of Preferred Stock) shall be entitled to exchange their shares of Common Stock (or such other capital stock or securities) for securities or other property deliverable upon such reorganization, reclassification, consolidation, merger, transfer, dissolution, liquidation, winding-up or Deemed Liquidation Event, and the amount per share and character of such exchange applicable to the Preferred Stock and the Common Stock. Such notice shall be sent at least ten (10) days prior to the record date or effective date for the event specified in such notice.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63" w:name="page264"/>
    <w:bookmarkEnd w:id="263"/>
    <w:p>
      <w:pPr>
        <w:ind w:left="1300" w:hanging="644"/>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Trigger Events</w:t>
      </w:r>
      <w:r>
        <w:rPr>
          <w:rFonts w:ascii="Arial" w:cs="Arial" w:eastAsia="Arial" w:hAnsi="Arial"/>
          <w:sz w:val="16"/>
          <w:szCs w:val="16"/>
          <w:color w:val="auto"/>
        </w:rPr>
        <w:t>. Upon either (a) the date and time, or the occurrence of an event, specified by vote or written consent of the holders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representing the Required Vote or (b) the closing of the sale of shares of Common Stock to the public in a firm-commitment underwritten public offering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pursuant to an effective registration statement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provided that such offering results in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least $45 million of gross proceeds to the Corporation and, following such offering, the Common Stock is listed on the New York Stock Exchange or Nasdaq</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time of such closing or the date and time specified or the time of the event specified in such vote or written consent is referred to herein as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Mandatory Conversion Time</w:t>
      </w:r>
      <w:r>
        <w:rPr>
          <w:rFonts w:ascii="Arial" w:cs="Arial" w:eastAsia="Arial" w:hAnsi="Arial"/>
          <w:sz w:val="17"/>
          <w:szCs w:val="17"/>
          <w:color w:val="auto"/>
        </w:rPr>
        <w:t>”), (i) all outstanding shares of Preferred Stock shall automatically be converted into shares of Common Stock, at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conversion rate in effect immediately prior to the Mandatory Conversion Time and (ii) such shares may not be reissued by the Corporation. Notwithstanding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foregoing, if the holders representing the Required Vote approve such mandatory conversion pursuant to clause (a) of this Section 5.1 in connection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proposed Deemed Liquidation Event in which the holders of Series B Preferred Stock would receive less than the full Series B Liquidation Amount, then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mandatory conversion pursuant this Section 5.1 shall also require the consent of the holders representing the Series B Required Vote.</w:t>
      </w:r>
    </w:p>
    <w:p>
      <w:pPr>
        <w:spacing w:after="0" w:line="211"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Such notice need not be sent in advance of the occurrence of the Mandatory Conversion Time. Upon receipt of such notice, each holder of shares of Preferred Stock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and shall thereafter receive certificates for the number of shares of Common Stock to which such holder is entitled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At the Mandatory Conversion Time, all outstanding shares of Preferred Stock shall be deemed to have been converted into shares of Common Stock, which shall be deemed to be outstanding of record, and all rights with respect to the Preferred Stock so converted, including the rights, if any, to receive notices and vote (other than as a holder of Common Stock), will terminate, except only the rights of the holders thereof, upon surrender of their certificate or certificates (or lost certificate affidavit and agreement) therefor, to receive the items provided for in the last sentence of this </w:t>
      </w:r>
      <w:r>
        <w:rPr>
          <w:rFonts w:ascii="Arial" w:cs="Arial" w:eastAsia="Arial" w:hAnsi="Arial"/>
          <w:sz w:val="16"/>
          <w:szCs w:val="16"/>
          <w:u w:val="single" w:color="auto"/>
          <w:color w:val="auto"/>
        </w:rPr>
        <w:t>Subsection 5.2</w:t>
      </w:r>
      <w:r>
        <w:rPr>
          <w:rFonts w:ascii="Arial" w:cs="Arial" w:eastAsia="Arial" w:hAnsi="Arial"/>
          <w:sz w:val="16"/>
          <w:szCs w:val="16"/>
          <w:color w:val="auto"/>
        </w:rPr>
        <w:t xml:space="preserve">.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As soon as practicable after the Mandatory Conversion Time and the surrender of the certificate or certificates (or lost certificate affidavit and agreement) for Preferred Stock, the Corporation shall issue and deliver to such holder, or to his, her or its nominees, a certificate or certificates for the number of full shares of Common Stock issuable on such conversion in accordance with the provisions hereof, together with cash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the payment of any declared but unpaid dividends on the shares of Preferred Stock converted.</w:t>
      </w:r>
    </w:p>
    <w:p>
      <w:pPr>
        <w:spacing w:after="0" w:line="17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Effect of Mandatory Conversion</w:t>
      </w:r>
      <w:r>
        <w:rPr>
          <w:rFonts w:ascii="Arial" w:cs="Arial" w:eastAsia="Arial" w:hAnsi="Arial"/>
          <w:sz w:val="18"/>
          <w:szCs w:val="18"/>
          <w:color w:val="auto"/>
        </w:rPr>
        <w:t>. All shares of Preferred Stock shall, from and after the Mandatory Conversion Time, no longer be deemed to be outstanding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notwithstanding the failure of the holder or holders thereof to surrender the certificates for such shares on or prior to such time, all rights with respect to such shares shall immediately cease and terminate at the Mandatory Conversion Time, except only the right of the holders thereof to receive shares of Common Stock in exchange therefor and to receive payment of any dividends accrued and declared but unpaid thereon.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73" w:lineRule="exact"/>
        <w:rPr>
          <w:sz w:val="20"/>
          <w:szCs w:val="20"/>
          <w:color w:val="auto"/>
        </w:rPr>
      </w:pPr>
    </w:p>
    <w:p>
      <w:pPr>
        <w:ind w:right="60" w:firstLine="656"/>
        <w:spacing w:after="0" w:line="286" w:lineRule="auto"/>
        <w:tabs>
          <w:tab w:leader="none" w:pos="1296"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Redeemed or Otherwise Acquired Shares</w:t>
      </w:r>
      <w:r>
        <w:rPr>
          <w:rFonts w:ascii="Arial" w:cs="Arial" w:eastAsia="Arial" w:hAnsi="Arial"/>
          <w:sz w:val="17"/>
          <w:szCs w:val="17"/>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65" w:lineRule="exact"/>
        <w:rPr>
          <w:rFonts w:ascii="Arial" w:cs="Arial" w:eastAsia="Arial" w:hAnsi="Arial"/>
          <w:sz w:val="17"/>
          <w:szCs w:val="17"/>
          <w:color w:val="auto"/>
        </w:rPr>
      </w:pPr>
    </w:p>
    <w:p>
      <w:pPr>
        <w:ind w:right="40" w:firstLine="656"/>
        <w:spacing w:after="0" w:line="255" w:lineRule="auto"/>
        <w:tabs>
          <w:tab w:leader="none" w:pos="1296"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of the rights, powers, preferences and other terms of the Series A Preferred Stock set forth herein may be waived on behalf of all holders of Series A Preferred Stock by the affirmative written consent or vote of the holders representing the Series A Required Vote. Any of the rights, powers, preferences and other terms of the Series B Preferred Stock set forth herein may be waived on behalf of all holders of Series B Preferred Stock by the affirmative written consent or vote of the holders representing the Series B Required Vote. Any of the rights, powers, preferences and other terms for the benefit of all the Preferred Stock set forth herein may be waived on behalf of all holders of Preferred Stock by the affirmative written consent or vote of the holders representing the Required Vote.</w:t>
      </w:r>
    </w:p>
    <w:p>
      <w:pPr>
        <w:spacing w:after="0" w:line="193" w:lineRule="exact"/>
        <w:rPr>
          <w:rFonts w:ascii="Arial" w:cs="Arial" w:eastAsia="Arial" w:hAnsi="Arial"/>
          <w:sz w:val="18"/>
          <w:szCs w:val="18"/>
          <w:color w:val="auto"/>
        </w:rPr>
      </w:pPr>
    </w:p>
    <w:p>
      <w:pPr>
        <w:jc w:val="both"/>
        <w:ind w:right="100" w:firstLine="656"/>
        <w:spacing w:after="0" w:line="286" w:lineRule="auto"/>
        <w:tabs>
          <w:tab w:leader="none" w:pos="1296"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62" w:lineRule="exact"/>
        <w:rPr>
          <w:sz w:val="20"/>
          <w:szCs w:val="20"/>
          <w:color w:val="auto"/>
        </w:rPr>
      </w:pPr>
    </w:p>
    <w:p>
      <w:pPr>
        <w:ind w:right="400" w:firstLine="1297"/>
        <w:spacing w:after="0" w:line="347" w:lineRule="auto"/>
        <w:rPr>
          <w:sz w:val="20"/>
          <w:szCs w:val="20"/>
          <w:color w:val="auto"/>
        </w:rPr>
      </w:pPr>
      <w:r>
        <w:rPr>
          <w:rFonts w:ascii="Arial" w:cs="Arial" w:eastAsia="Arial" w:hAnsi="Arial"/>
          <w:sz w:val="16"/>
          <w:szCs w:val="16"/>
          <w:b w:val="1"/>
          <w:bCs w:val="1"/>
          <w:color w:val="auto"/>
        </w:rPr>
        <w:t>FIFTH</w:t>
      </w:r>
      <w:r>
        <w:rPr>
          <w:rFonts w:ascii="Arial" w:cs="Arial" w:eastAsia="Arial" w:hAnsi="Arial"/>
          <w:sz w:val="16"/>
          <w:szCs w:val="16"/>
          <w:color w:val="auto"/>
        </w:rPr>
        <w:t>: Subject to any additional vote required by the Certificate of Incorporation, in furtherance and not in limitation of the powers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by statute, the Board of Directors is expressly authorized to make, repeal, alter, amend and rescind any or all of the Bylaws of the Corporation.</w:t>
      </w:r>
    </w:p>
    <w:p>
      <w:pPr>
        <w:spacing w:after="0" w:line="116" w:lineRule="exact"/>
        <w:rPr>
          <w:sz w:val="20"/>
          <w:szCs w:val="20"/>
          <w:color w:val="auto"/>
        </w:rPr>
      </w:pPr>
    </w:p>
    <w:p>
      <w:pPr>
        <w:ind w:right="360" w:firstLine="1297"/>
        <w:spacing w:after="0" w:line="282" w:lineRule="auto"/>
        <w:rPr>
          <w:sz w:val="20"/>
          <w:szCs w:val="20"/>
          <w:color w:val="auto"/>
        </w:rPr>
      </w:pPr>
      <w:r>
        <w:rPr>
          <w:rFonts w:ascii="Arial" w:cs="Arial" w:eastAsia="Arial" w:hAnsi="Arial"/>
          <w:sz w:val="18"/>
          <w:szCs w:val="18"/>
          <w:b w:val="1"/>
          <w:bCs w:val="1"/>
          <w:color w:val="auto"/>
        </w:rPr>
        <w:t>SIXTH</w:t>
      </w:r>
      <w:r>
        <w:rPr>
          <w:rFonts w:ascii="Arial" w:cs="Arial" w:eastAsia="Arial" w:hAnsi="Arial"/>
          <w:sz w:val="18"/>
          <w:szCs w:val="18"/>
          <w:color w:val="auto"/>
        </w:rPr>
        <w:t>: Subject to any additional vote required by the Certificate of Incorporation, the number of directors of the Corporation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manner set forth in the Bylaws of the Corporation.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SEVENTH</w:t>
      </w:r>
      <w:r>
        <w:rPr>
          <w:rFonts w:ascii="Arial" w:cs="Arial" w:eastAsia="Arial" w:hAnsi="Arial"/>
          <w:sz w:val="18"/>
          <w:szCs w:val="18"/>
          <w:color w:val="auto"/>
        </w:rPr>
        <w:t>: Elections of directors need not be by written ballot unless the Bylaws of the Corporation shall so provide.</w:t>
      </w:r>
    </w:p>
    <w:p>
      <w:pPr>
        <w:spacing w:after="0" w:line="225" w:lineRule="exact"/>
        <w:rPr>
          <w:sz w:val="20"/>
          <w:szCs w:val="20"/>
          <w:color w:val="auto"/>
        </w:rPr>
      </w:pPr>
    </w:p>
    <w:p>
      <w:pPr>
        <w:ind w:right="140" w:firstLine="1297"/>
        <w:spacing w:after="0" w:line="266" w:lineRule="auto"/>
        <w:rPr>
          <w:sz w:val="20"/>
          <w:szCs w:val="20"/>
          <w:color w:val="auto"/>
        </w:rPr>
      </w:pPr>
      <w:r>
        <w:rPr>
          <w:rFonts w:ascii="Arial" w:cs="Arial" w:eastAsia="Arial" w:hAnsi="Arial"/>
          <w:sz w:val="18"/>
          <w:szCs w:val="18"/>
          <w:b w:val="1"/>
          <w:bCs w:val="1"/>
          <w:color w:val="auto"/>
        </w:rPr>
        <w:t>EIGHTH</w:t>
      </w:r>
      <w:r>
        <w:rPr>
          <w:rFonts w:ascii="Arial" w:cs="Arial" w:eastAsia="Arial" w:hAnsi="Arial"/>
          <w:sz w:val="18"/>
          <w:szCs w:val="18"/>
          <w:color w:val="auto"/>
        </w:rPr>
        <w:t>: Meetings of stockholders may be held within or without the State of Delaware, as the Bylaws of the Corporation may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The books of the Corporation may be kept outside the State of Delaware at such place or places as may be designated from time to time by the Board of Directors or in the Bylaws of the Corporation.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559" w:gutter="0" w:footer="0" w:header="0"/>
        </w:sectPr>
      </w:pPr>
    </w:p>
    <w:bookmarkStart w:id="264" w:name="page265"/>
    <w:bookmarkEnd w:id="264"/>
    <w:p>
      <w:pPr>
        <w:ind w:firstLine="1297"/>
        <w:spacing w:after="0" w:line="303" w:lineRule="auto"/>
        <w:rPr>
          <w:sz w:val="20"/>
          <w:szCs w:val="20"/>
          <w:color w:val="auto"/>
        </w:rPr>
      </w:pPr>
      <w:r>
        <w:rPr>
          <w:rFonts w:ascii="Arial" w:cs="Arial" w:eastAsia="Arial" w:hAnsi="Arial"/>
          <w:sz w:val="16"/>
          <w:szCs w:val="16"/>
          <w:b w:val="1"/>
          <w:bCs w:val="1"/>
          <w:color w:val="auto"/>
        </w:rPr>
        <w:t>NINTH</w:t>
      </w:r>
      <w:r>
        <w:rPr>
          <w:rFonts w:ascii="Arial" w:cs="Arial" w:eastAsia="Arial" w:hAnsi="Arial"/>
          <w:sz w:val="16"/>
          <w:szCs w:val="16"/>
          <w:color w:val="auto"/>
        </w:rPr>
        <w:t>: To the fullest extent permitted by law, a director of the Corporation shall not be personally liable to the Corporation or its</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55"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77" w:lineRule="exact"/>
        <w:rPr>
          <w:sz w:val="20"/>
          <w:szCs w:val="20"/>
          <w:color w:val="auto"/>
        </w:rPr>
      </w:pPr>
    </w:p>
    <w:p>
      <w:pPr>
        <w:ind w:right="20" w:firstLine="1297"/>
        <w:spacing w:after="0" w:line="281" w:lineRule="auto"/>
        <w:rPr>
          <w:sz w:val="20"/>
          <w:szCs w:val="20"/>
          <w:color w:val="auto"/>
        </w:rPr>
      </w:pPr>
      <w:r>
        <w:rPr>
          <w:rFonts w:ascii="Arial" w:cs="Arial" w:eastAsia="Arial" w:hAnsi="Arial"/>
          <w:sz w:val="17"/>
          <w:szCs w:val="17"/>
          <w:b w:val="1"/>
          <w:bCs w:val="1"/>
          <w:color w:val="auto"/>
        </w:rPr>
        <w:t>TENTH</w:t>
      </w:r>
      <w:r>
        <w:rPr>
          <w:rFonts w:ascii="Arial" w:cs="Arial" w:eastAsia="Arial" w:hAnsi="Arial"/>
          <w:sz w:val="17"/>
          <w:szCs w:val="17"/>
          <w:color w:val="auto"/>
        </w:rPr>
        <w:t>: To the fullest extent permitted by applicable law, the Corporation is authorized to provide indemnification of (and advancement</w:t>
      </w:r>
      <w:r>
        <w:rPr>
          <w:rFonts w:ascii="Arial" w:cs="Arial" w:eastAsia="Arial" w:hAnsi="Arial"/>
          <w:sz w:val="17"/>
          <w:szCs w:val="17"/>
          <w:b w:val="1"/>
          <w:bCs w:val="1"/>
          <w:color w:val="auto"/>
        </w:rPr>
        <w:t xml:space="preserve"> </w:t>
      </w:r>
      <w:r>
        <w:rPr>
          <w:rFonts w:ascii="Arial" w:cs="Arial" w:eastAsia="Arial" w:hAnsi="Arial"/>
          <w:sz w:val="17"/>
          <w:szCs w:val="17"/>
          <w:color w:val="auto"/>
        </w:rPr>
        <w:t>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69"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Any amendment, repeal or modification of the foregoing provisions of this Article Tenth shall not adversely affect any right or protection of any director, officer or other agent of the Corporation existing at the time of such amendment, repeal or modification.</w:t>
      </w:r>
    </w:p>
    <w:p>
      <w:pPr>
        <w:spacing w:after="0" w:line="166"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b w:val="1"/>
          <w:bCs w:val="1"/>
          <w:color w:val="auto"/>
        </w:rPr>
        <w:t>ELEVENTH</w:t>
      </w:r>
      <w:r>
        <w:rPr>
          <w:rFonts w:ascii="Arial" w:cs="Arial" w:eastAsia="Arial" w:hAnsi="Arial"/>
          <w:sz w:val="17"/>
          <w:szCs w:val="17"/>
          <w:color w:val="auto"/>
        </w:rPr>
        <w:t>: The Corporation renounces, to the fullest extent permitted by law, any interest or expectancy of the Corporation in, or in</w:t>
      </w:r>
      <w:r>
        <w:rPr>
          <w:rFonts w:ascii="Arial" w:cs="Arial" w:eastAsia="Arial" w:hAnsi="Arial"/>
          <w:sz w:val="17"/>
          <w:szCs w:val="17"/>
          <w:b w:val="1"/>
          <w:bCs w:val="1"/>
          <w:color w:val="auto"/>
        </w:rPr>
        <w:t xml:space="preserve"> </w:t>
      </w:r>
      <w:r>
        <w:rPr>
          <w:rFonts w:ascii="Arial" w:cs="Arial" w:eastAsia="Arial" w:hAnsi="Arial"/>
          <w:sz w:val="17"/>
          <w:szCs w:val="17"/>
          <w:color w:val="auto"/>
        </w:rPr>
        <w:t>being offered an opportunity to participate in, any Excluded Opportunity (as defined below). An “</w:t>
      </w:r>
      <w:r>
        <w:rPr>
          <w:rFonts w:ascii="Arial" w:cs="Arial" w:eastAsia="Arial" w:hAnsi="Arial"/>
          <w:sz w:val="17"/>
          <w:szCs w:val="17"/>
          <w:b w:val="1"/>
          <w:bCs w:val="1"/>
          <w:color w:val="auto"/>
        </w:rPr>
        <w:t>Excluded Opportunity</w:t>
      </w:r>
      <w:r>
        <w:rPr>
          <w:rFonts w:ascii="Arial" w:cs="Arial" w:eastAsia="Arial" w:hAnsi="Arial"/>
          <w:sz w:val="17"/>
          <w:szCs w:val="17"/>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Arial" w:cs="Arial" w:eastAsia="Arial" w:hAnsi="Arial"/>
          <w:sz w:val="17"/>
          <w:szCs w:val="17"/>
          <w:b w:val="1"/>
          <w:bCs w:val="1"/>
          <w:color w:val="auto"/>
        </w:rPr>
        <w:t>Covered Persons</w:t>
      </w:r>
      <w:r>
        <w:rPr>
          <w:rFonts w:ascii="Arial" w:cs="Arial" w:eastAsia="Arial" w:hAnsi="Arial"/>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72" w:lineRule="exact"/>
        <w:rPr>
          <w:sz w:val="20"/>
          <w:szCs w:val="20"/>
          <w:color w:val="auto"/>
        </w:rPr>
      </w:pPr>
    </w:p>
    <w:p>
      <w:pPr>
        <w:ind w:right="80" w:firstLine="1297"/>
        <w:spacing w:after="0" w:line="274" w:lineRule="auto"/>
        <w:rPr>
          <w:sz w:val="20"/>
          <w:szCs w:val="20"/>
          <w:color w:val="auto"/>
        </w:rPr>
      </w:pPr>
      <w:r>
        <w:rPr>
          <w:rFonts w:ascii="Arial" w:cs="Arial" w:eastAsia="Arial" w:hAnsi="Arial"/>
          <w:sz w:val="17"/>
          <w:szCs w:val="17"/>
          <w:b w:val="1"/>
          <w:bCs w:val="1"/>
          <w:color w:val="auto"/>
        </w:rPr>
        <w:t>TWELFTH</w:t>
      </w:r>
      <w:r>
        <w:rPr>
          <w:rFonts w:ascii="Arial" w:cs="Arial" w:eastAsia="Arial" w:hAnsi="Arial"/>
          <w:sz w:val="17"/>
          <w:szCs w:val="17"/>
          <w:color w:val="auto"/>
        </w:rPr>
        <w:t>: Unless the Corporation consents in writing to the selection of an alternative forum, the Court of Chancery in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65" w:name="page266"/>
    <w:bookmarkEnd w:id="265"/>
    <w:p>
      <w:pPr>
        <w:ind w:right="100"/>
        <w:spacing w:after="0" w:line="253" w:lineRule="auto"/>
        <w:rPr>
          <w:sz w:val="20"/>
          <w:szCs w:val="20"/>
          <w:color w:val="auto"/>
        </w:rPr>
      </w:pPr>
      <w:r>
        <w:rPr>
          <w:rFonts w:ascii="Arial" w:cs="Arial" w:eastAsia="Arial" w:hAnsi="Arial"/>
          <w:sz w:val="18"/>
          <w:szCs w:val="18"/>
          <w:color w:val="auto"/>
        </w:rPr>
        <w:t>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97" w:lineRule="exact"/>
        <w:rPr>
          <w:sz w:val="20"/>
          <w:szCs w:val="20"/>
          <w:color w:val="auto"/>
        </w:rPr>
      </w:pPr>
    </w:p>
    <w:p>
      <w:pPr>
        <w:jc w:val="center"/>
        <w:ind w:right="-59"/>
        <w:spacing w:after="0"/>
        <w:tabs>
          <w:tab w:leader="none" w:pos="200" w:val="left"/>
          <w:tab w:leader="none" w:pos="20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ind w:right="360" w:firstLine="1305"/>
        <w:spacing w:after="0" w:line="277" w:lineRule="auto"/>
        <w:tabs>
          <w:tab w:leader="none" w:pos="1536" w:val="left"/>
        </w:tabs>
        <w:numPr>
          <w:ilvl w:val="0"/>
          <w:numId w:val="158"/>
        </w:numPr>
        <w:rPr>
          <w:rFonts w:ascii="Arial" w:cs="Arial" w:eastAsia="Arial" w:hAnsi="Arial"/>
          <w:sz w:val="18"/>
          <w:szCs w:val="18"/>
          <w:b w:val="1"/>
          <w:bCs w:val="1"/>
          <w:color w:val="auto"/>
        </w:rPr>
      </w:pPr>
      <w:r>
        <w:rPr>
          <w:rFonts w:ascii="Arial" w:cs="Arial" w:eastAsia="Arial" w:hAnsi="Arial"/>
          <w:sz w:val="18"/>
          <w:szCs w:val="18"/>
          <w:color w:val="auto"/>
        </w:rPr>
        <w:t>That the foregoing amendment and restatement was approved by the holders of the requisite number of shares of this corporation in accordance with Section 228 of the General Corporation Law.</w:t>
      </w:r>
    </w:p>
    <w:p>
      <w:pPr>
        <w:spacing w:after="0" w:line="166"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color w:val="auto"/>
        </w:rPr>
        <w:t>: That this Amended and Restated Certificate of Incorporation, which restates and integrates and further amends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Amended and Restated Certificate of Incorporation, has been duly adopted in accordance with Sections 242 and 245 of the General Corporation Law.</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66" w:name="page267"/>
    <w:bookmarkEnd w:id="266"/>
    <w:p>
      <w:pPr>
        <w:ind w:right="720" w:firstLine="648"/>
        <w:spacing w:after="0" w:line="29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August, 2018.</w:t>
      </w:r>
    </w:p>
    <w:p>
      <w:pPr>
        <w:spacing w:after="0" w:line="73"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Gould</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Robert Gould</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Fulcrum Therapeutics, Inc. (the “</w:t>
      </w:r>
      <w:r>
        <w:rPr>
          <w:rFonts w:ascii="Arial" w:cs="Arial" w:eastAsia="Arial" w:hAnsi="Arial"/>
          <w:sz w:val="16"/>
          <w:szCs w:val="16"/>
          <w:b w:val="1"/>
          <w:bCs w:val="1"/>
          <w:color w:val="auto"/>
        </w:rPr>
        <w:t>Corporation</w:t>
      </w:r>
      <w:r>
        <w:rPr>
          <w:rFonts w:ascii="Arial" w:cs="Arial" w:eastAsia="Arial" w:hAnsi="Arial"/>
          <w:sz w:val="16"/>
          <w:szCs w:val="16"/>
          <w:color w:val="auto"/>
        </w:rPr>
        <w:t>”), a corporation organized and existing under and by virtue of the General Corporation Law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does hereby certify as follows: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Resolutions were duly adopted by the Board of Directors of the Corporation pursuant to Sections 141(f) and 242 of the DGCL setting forth an amendment to the Amended and Restated Certificate of Incorporation of the Corporation (the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and declaring such amendment to be advisable. The stockholders of the Corporation duly approved said proposed amendment by written consent in accordance with Sections 228 and 242 of the DGCL. The resolutions setting forth the amendments are as follows:</w:t>
      </w:r>
    </w:p>
    <w:p>
      <w:pPr>
        <w:spacing w:after="0" w:line="187" w:lineRule="exact"/>
        <w:rPr>
          <w:sz w:val="20"/>
          <w:szCs w:val="20"/>
          <w:color w:val="auto"/>
        </w:rPr>
      </w:pPr>
    </w:p>
    <w:p>
      <w:pPr>
        <w:ind w:left="1960" w:right="480" w:hanging="1944"/>
        <w:spacing w:after="0" w:line="277" w:lineRule="auto"/>
        <w:tabs>
          <w:tab w:leader="none" w:pos="1940" w:val="left"/>
        </w:tabs>
        <w:rPr>
          <w:sz w:val="20"/>
          <w:szCs w:val="20"/>
          <w:color w:val="auto"/>
        </w:rPr>
      </w:pPr>
      <w:r>
        <w:rPr>
          <w:rFonts w:ascii="Arial" w:cs="Arial" w:eastAsia="Arial" w:hAnsi="Arial"/>
          <w:sz w:val="18"/>
          <w:szCs w:val="18"/>
          <w:u w:val="single" w:color="auto"/>
          <w:color w:val="auto"/>
        </w:rPr>
        <w:t>RESOLVED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That Certificate of Incorporation is hereby amended by deleting the first paragraph of Article FOURTH in its entirety and by substituting the following in lieu thereof:</w:t>
      </w:r>
    </w:p>
    <w:p>
      <w:pPr>
        <w:spacing w:after="0" w:line="166" w:lineRule="exact"/>
        <w:rPr>
          <w:sz w:val="20"/>
          <w:szCs w:val="20"/>
          <w:color w:val="auto"/>
        </w:rPr>
      </w:pPr>
    </w:p>
    <w:p>
      <w:pPr>
        <w:jc w:val="both"/>
        <w:ind w:left="1960" w:right="400"/>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w:t>
      </w:r>
      <w:r>
        <w:rPr>
          <w:rFonts w:ascii="Arial" w:cs="Arial" w:eastAsia="Arial" w:hAnsi="Arial"/>
          <w:sz w:val="18"/>
          <w:szCs w:val="18"/>
          <w:color w:val="auto"/>
        </w:rPr>
        <w:t xml:space="preserve">: </w:t>
      </w:r>
      <w:r>
        <w:rPr>
          <w:rFonts w:ascii="Arial" w:cs="Arial" w:eastAsia="Arial" w:hAnsi="Arial"/>
          <w:sz w:val="17"/>
          <w:szCs w:val="17"/>
          <w:color w:val="auto"/>
        </w:rPr>
        <w:t>The total number of shares of all classes of stock which the Corporation shall have authority to issue is 147,500,000</w:t>
      </w:r>
      <w:r>
        <w:rPr>
          <w:rFonts w:ascii="Arial" w:cs="Arial" w:eastAsia="Arial" w:hAnsi="Arial"/>
          <w:sz w:val="18"/>
          <w:szCs w:val="18"/>
          <w:color w:val="auto"/>
        </w:rPr>
        <w:t xml:space="preserve"> </w:t>
      </w:r>
      <w:r>
        <w:rPr>
          <w:rFonts w:ascii="Arial" w:cs="Arial" w:eastAsia="Arial" w:hAnsi="Arial"/>
          <w:sz w:val="17"/>
          <w:szCs w:val="17"/>
          <w:color w:val="auto"/>
        </w:rPr>
        <w:t>shares of Common Stock, $0.001 par value per share (“</w:t>
      </w:r>
      <w:r>
        <w:rPr>
          <w:rFonts w:ascii="Arial" w:cs="Arial" w:eastAsia="Arial" w:hAnsi="Arial"/>
          <w:sz w:val="17"/>
          <w:szCs w:val="17"/>
          <w:b w:val="1"/>
          <w:bCs w:val="1"/>
          <w:color w:val="auto"/>
        </w:rPr>
        <w:t>Common Stock</w:t>
      </w:r>
      <w:r>
        <w:rPr>
          <w:rFonts w:ascii="Arial" w:cs="Arial" w:eastAsia="Arial" w:hAnsi="Arial"/>
          <w:sz w:val="17"/>
          <w:szCs w:val="17"/>
          <w:color w:val="auto"/>
        </w:rPr>
        <w:t>”) and 112,500,000 shares of Preferred Stock, $0.001 par value per share (“</w:t>
      </w:r>
      <w:r>
        <w:rPr>
          <w:rFonts w:ascii="Arial" w:cs="Arial" w:eastAsia="Arial" w:hAnsi="Arial"/>
          <w:sz w:val="17"/>
          <w:szCs w:val="17"/>
          <w:b w:val="1"/>
          <w:bCs w:val="1"/>
          <w:color w:val="auto"/>
        </w:rPr>
        <w:t>Preferred Stock</w:t>
      </w:r>
      <w:r>
        <w:rPr>
          <w:rFonts w:ascii="Arial" w:cs="Arial" w:eastAsia="Arial" w:hAnsi="Arial"/>
          <w:sz w:val="17"/>
          <w:szCs w:val="17"/>
          <w:color w:val="auto"/>
        </w:rPr>
        <w:t>”).”</w:t>
      </w:r>
    </w:p>
    <w:p>
      <w:pPr>
        <w:spacing w:after="0" w:line="178" w:lineRule="exact"/>
        <w:rPr>
          <w:sz w:val="20"/>
          <w:szCs w:val="20"/>
          <w:color w:val="auto"/>
        </w:rPr>
      </w:pPr>
    </w:p>
    <w:p>
      <w:pPr>
        <w:ind w:left="1960" w:right="200" w:hanging="1944"/>
        <w:spacing w:after="0" w:line="277" w:lineRule="auto"/>
        <w:tabs>
          <w:tab w:leader="none" w:pos="1940" w:val="left"/>
        </w:tabs>
        <w:rPr>
          <w:sz w:val="20"/>
          <w:szCs w:val="20"/>
          <w:color w:val="auto"/>
        </w:rPr>
      </w:pPr>
      <w:r>
        <w:rPr>
          <w:rFonts w:ascii="Arial" w:cs="Arial" w:eastAsia="Arial" w:hAnsi="Arial"/>
          <w:sz w:val="18"/>
          <w:szCs w:val="18"/>
          <w:u w:val="single" w:color="auto"/>
          <w:color w:val="auto"/>
        </w:rPr>
        <w:t>RESOLVED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Certificate of Incorporation is hereby further amended by deleting the second paragraph of Part B of Article FOURTH in its entirety and by substituting the following in lieu thereof:</w:t>
      </w:r>
    </w:p>
    <w:p>
      <w:pPr>
        <w:spacing w:after="0" w:line="166" w:lineRule="exact"/>
        <w:rPr>
          <w:sz w:val="20"/>
          <w:szCs w:val="20"/>
          <w:color w:val="auto"/>
        </w:rPr>
      </w:pPr>
    </w:p>
    <w:p>
      <w:pPr>
        <w:ind w:left="1960" w:right="40"/>
        <w:spacing w:after="0" w:line="258" w:lineRule="auto"/>
        <w:rPr>
          <w:sz w:val="20"/>
          <w:szCs w:val="20"/>
          <w:color w:val="auto"/>
        </w:rPr>
      </w:pPr>
      <w:r>
        <w:rPr>
          <w:rFonts w:ascii="Arial" w:cs="Arial" w:eastAsia="Arial" w:hAnsi="Arial"/>
          <w:sz w:val="18"/>
          <w:szCs w:val="18"/>
          <w:color w:val="auto"/>
        </w:rPr>
        <w:t>“60,000,000 shares of the authorized Preferred Stock of the Corporation are hereby designated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and 52,500,000 shares of the authorized Preferred Stock of the Corporation are hereby designation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each such series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8" w:name="page269"/>
    <w:bookmarkEnd w:id="268"/>
    <w:p>
      <w:pPr>
        <w:ind w:firstLine="648"/>
        <w:spacing w:after="0" w:line="29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Fulcrum Therapeutics, Inc. has caused this Certificate of Amendment to the Amended and Restated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of the Corporation to be signed and attested by its duly authorized officer, this 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2019.</w:t>
      </w:r>
    </w:p>
    <w:p>
      <w:pPr>
        <w:spacing w:after="0" w:line="7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Gould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Gould,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60"/>
          </w:cols>
          <w:pgMar w:left="240" w:top="338" w:right="69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9260" w:type="dxa"/>
            <w:vAlign w:val="bottom"/>
          </w:tcPr>
          <w:p>
            <w:pPr>
              <w:ind w:left="374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10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ARTICLE I STOCKHOLDERS</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8"/>
        </w:trPr>
        <w:tc>
          <w:tcPr>
            <w:tcW w:w="10280" w:type="dxa"/>
            <w:vAlign w:val="bottom"/>
            <w:gridSpan w:val="2"/>
            <w:vMerge w:val="continue"/>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1.1</w:t>
            </w:r>
          </w:p>
        </w:tc>
        <w:tc>
          <w:tcPr>
            <w:tcW w:w="9260" w:type="dxa"/>
            <w:vAlign w:val="bottom"/>
          </w:tcPr>
          <w:p>
            <w:pPr>
              <w:ind w:left="240"/>
              <w:spacing w:after="0"/>
              <w:rPr>
                <w:sz w:val="20"/>
                <w:szCs w:val="20"/>
                <w:color w:val="auto"/>
              </w:rPr>
            </w:pPr>
            <w:r>
              <w:rPr>
                <w:rFonts w:ascii="Arial" w:cs="Arial" w:eastAsia="Arial" w:hAnsi="Arial"/>
                <w:sz w:val="18"/>
                <w:szCs w:val="18"/>
                <w:color w:val="auto"/>
              </w:rPr>
              <w:t>Place of Meetings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1.2</w:t>
            </w:r>
          </w:p>
        </w:tc>
        <w:tc>
          <w:tcPr>
            <w:tcW w:w="9260" w:type="dxa"/>
            <w:vAlign w:val="bottom"/>
          </w:tcPr>
          <w:p>
            <w:pPr>
              <w:ind w:left="240"/>
              <w:spacing w:after="0"/>
              <w:rPr>
                <w:sz w:val="20"/>
                <w:szCs w:val="20"/>
                <w:color w:val="auto"/>
              </w:rPr>
            </w:pPr>
            <w:r>
              <w:rPr>
                <w:rFonts w:ascii="Arial" w:cs="Arial" w:eastAsia="Arial" w:hAnsi="Arial"/>
                <w:sz w:val="18"/>
                <w:szCs w:val="18"/>
                <w:color w:val="auto"/>
              </w:rPr>
              <w:t>Annual Meeting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1.3</w:t>
            </w:r>
          </w:p>
        </w:tc>
        <w:tc>
          <w:tcPr>
            <w:tcW w:w="9260" w:type="dxa"/>
            <w:vAlign w:val="bottom"/>
          </w:tcPr>
          <w:p>
            <w:pPr>
              <w:ind w:left="240"/>
              <w:spacing w:after="0"/>
              <w:rPr>
                <w:sz w:val="20"/>
                <w:szCs w:val="20"/>
                <w:color w:val="auto"/>
              </w:rPr>
            </w:pPr>
            <w:r>
              <w:rPr>
                <w:rFonts w:ascii="Arial" w:cs="Arial" w:eastAsia="Arial" w:hAnsi="Arial"/>
                <w:sz w:val="18"/>
                <w:szCs w:val="18"/>
                <w:color w:val="auto"/>
              </w:rPr>
              <w:t>Special Meetings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1.4</w:t>
            </w:r>
          </w:p>
        </w:tc>
        <w:tc>
          <w:tcPr>
            <w:tcW w:w="9260" w:type="dxa"/>
            <w:vAlign w:val="bottom"/>
          </w:tcPr>
          <w:p>
            <w:pPr>
              <w:ind w:left="240"/>
              <w:spacing w:after="0"/>
              <w:rPr>
                <w:sz w:val="20"/>
                <w:szCs w:val="20"/>
                <w:color w:val="auto"/>
              </w:rPr>
            </w:pPr>
            <w:r>
              <w:rPr>
                <w:rFonts w:ascii="Arial" w:cs="Arial" w:eastAsia="Arial" w:hAnsi="Arial"/>
                <w:sz w:val="18"/>
                <w:szCs w:val="18"/>
                <w:color w:val="auto"/>
              </w:rPr>
              <w:t>Notice of Meetings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1.5</w:t>
            </w:r>
          </w:p>
        </w:tc>
        <w:tc>
          <w:tcPr>
            <w:tcW w:w="9260" w:type="dxa"/>
            <w:vAlign w:val="bottom"/>
          </w:tcPr>
          <w:p>
            <w:pPr>
              <w:ind w:left="240"/>
              <w:spacing w:after="0"/>
              <w:rPr>
                <w:sz w:val="20"/>
                <w:szCs w:val="20"/>
                <w:color w:val="auto"/>
              </w:rPr>
            </w:pPr>
            <w:r>
              <w:rPr>
                <w:rFonts w:ascii="Arial" w:cs="Arial" w:eastAsia="Arial" w:hAnsi="Arial"/>
                <w:sz w:val="18"/>
                <w:szCs w:val="18"/>
                <w:color w:val="auto"/>
              </w:rPr>
              <w:t>Voting List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1.6</w:t>
            </w:r>
          </w:p>
        </w:tc>
        <w:tc>
          <w:tcPr>
            <w:tcW w:w="9260" w:type="dxa"/>
            <w:vAlign w:val="bottom"/>
          </w:tcPr>
          <w:p>
            <w:pPr>
              <w:ind w:left="240"/>
              <w:spacing w:after="0"/>
              <w:rPr>
                <w:sz w:val="20"/>
                <w:szCs w:val="20"/>
                <w:color w:val="auto"/>
              </w:rPr>
            </w:pPr>
            <w:r>
              <w:rPr>
                <w:rFonts w:ascii="Arial" w:cs="Arial" w:eastAsia="Arial" w:hAnsi="Arial"/>
                <w:sz w:val="18"/>
                <w:szCs w:val="18"/>
                <w:color w:val="auto"/>
              </w:rPr>
              <w:t>Quorum</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1.7</w:t>
            </w:r>
          </w:p>
        </w:tc>
        <w:tc>
          <w:tcPr>
            <w:tcW w:w="9260" w:type="dxa"/>
            <w:vAlign w:val="bottom"/>
          </w:tcPr>
          <w:p>
            <w:pPr>
              <w:ind w:left="240"/>
              <w:spacing w:after="0"/>
              <w:rPr>
                <w:sz w:val="20"/>
                <w:szCs w:val="20"/>
                <w:color w:val="auto"/>
              </w:rPr>
            </w:pPr>
            <w:r>
              <w:rPr>
                <w:rFonts w:ascii="Arial" w:cs="Arial" w:eastAsia="Arial" w:hAnsi="Arial"/>
                <w:sz w:val="18"/>
                <w:szCs w:val="18"/>
                <w:color w:val="auto"/>
              </w:rPr>
              <w:t>Adjournments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1.8</w:t>
            </w:r>
          </w:p>
        </w:tc>
        <w:tc>
          <w:tcPr>
            <w:tcW w:w="9260" w:type="dxa"/>
            <w:vAlign w:val="bottom"/>
          </w:tcPr>
          <w:p>
            <w:pPr>
              <w:ind w:left="240"/>
              <w:spacing w:after="0"/>
              <w:rPr>
                <w:sz w:val="20"/>
                <w:szCs w:val="20"/>
                <w:color w:val="auto"/>
              </w:rPr>
            </w:pPr>
            <w:r>
              <w:rPr>
                <w:rFonts w:ascii="Arial" w:cs="Arial" w:eastAsia="Arial" w:hAnsi="Arial"/>
                <w:sz w:val="18"/>
                <w:szCs w:val="18"/>
                <w:color w:val="auto"/>
              </w:rPr>
              <w:t>Voting and Proxies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1.9</w:t>
            </w:r>
          </w:p>
        </w:tc>
        <w:tc>
          <w:tcPr>
            <w:tcW w:w="9260" w:type="dxa"/>
            <w:vAlign w:val="bottom"/>
          </w:tcPr>
          <w:p>
            <w:pPr>
              <w:ind w:left="240"/>
              <w:spacing w:after="0"/>
              <w:rPr>
                <w:sz w:val="20"/>
                <w:szCs w:val="20"/>
                <w:color w:val="auto"/>
              </w:rPr>
            </w:pPr>
            <w:r>
              <w:rPr>
                <w:rFonts w:ascii="Arial" w:cs="Arial" w:eastAsia="Arial" w:hAnsi="Arial"/>
                <w:sz w:val="18"/>
                <w:szCs w:val="18"/>
                <w:color w:val="auto"/>
              </w:rPr>
              <w:t>Action at Meeting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1.10</w:t>
            </w:r>
          </w:p>
        </w:tc>
        <w:tc>
          <w:tcPr>
            <w:tcW w:w="9260" w:type="dxa"/>
            <w:vAlign w:val="bottom"/>
          </w:tcPr>
          <w:p>
            <w:pPr>
              <w:ind w:left="240"/>
              <w:spacing w:after="0"/>
              <w:rPr>
                <w:sz w:val="20"/>
                <w:szCs w:val="20"/>
                <w:color w:val="auto"/>
              </w:rPr>
            </w:pPr>
            <w:r>
              <w:rPr>
                <w:rFonts w:ascii="Arial" w:cs="Arial" w:eastAsia="Arial" w:hAnsi="Arial"/>
                <w:sz w:val="18"/>
                <w:szCs w:val="18"/>
                <w:color w:val="auto"/>
              </w:rPr>
              <w:t>Conduct of Meetings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1.11</w:t>
            </w:r>
          </w:p>
        </w:tc>
        <w:tc>
          <w:tcPr>
            <w:tcW w:w="9260" w:type="dxa"/>
            <w:vAlign w:val="bottom"/>
          </w:tcPr>
          <w:p>
            <w:pPr>
              <w:ind w:left="240"/>
              <w:spacing w:after="0"/>
              <w:rPr>
                <w:sz w:val="20"/>
                <w:szCs w:val="20"/>
                <w:color w:val="auto"/>
              </w:rPr>
            </w:pPr>
            <w:r>
              <w:rPr>
                <w:rFonts w:ascii="Arial" w:cs="Arial" w:eastAsia="Arial" w:hAnsi="Arial"/>
                <w:sz w:val="18"/>
                <w:szCs w:val="18"/>
                <w:color w:val="auto"/>
              </w:rPr>
              <w:t>Action without Meeting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II DIRECTORS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418"/>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2.1</w:t>
            </w:r>
          </w:p>
        </w:tc>
        <w:tc>
          <w:tcPr>
            <w:tcW w:w="9260" w:type="dxa"/>
            <w:vAlign w:val="bottom"/>
          </w:tcPr>
          <w:p>
            <w:pPr>
              <w:ind w:left="240"/>
              <w:spacing w:after="0"/>
              <w:rPr>
                <w:sz w:val="20"/>
                <w:szCs w:val="20"/>
                <w:color w:val="auto"/>
              </w:rPr>
            </w:pPr>
            <w:r>
              <w:rPr>
                <w:rFonts w:ascii="Arial" w:cs="Arial" w:eastAsia="Arial" w:hAnsi="Arial"/>
                <w:sz w:val="18"/>
                <w:szCs w:val="18"/>
                <w:color w:val="auto"/>
              </w:rPr>
              <w:t>General Powers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2.2</w:t>
            </w:r>
          </w:p>
        </w:tc>
        <w:tc>
          <w:tcPr>
            <w:tcW w:w="9260" w:type="dxa"/>
            <w:vAlign w:val="bottom"/>
          </w:tcPr>
          <w:p>
            <w:pPr>
              <w:ind w:left="240"/>
              <w:spacing w:after="0"/>
              <w:rPr>
                <w:sz w:val="20"/>
                <w:szCs w:val="20"/>
                <w:color w:val="auto"/>
              </w:rPr>
            </w:pPr>
            <w:r>
              <w:rPr>
                <w:rFonts w:ascii="Arial" w:cs="Arial" w:eastAsia="Arial" w:hAnsi="Arial"/>
                <w:sz w:val="18"/>
                <w:szCs w:val="18"/>
                <w:color w:val="auto"/>
              </w:rPr>
              <w:t>Number, Election and Qualification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2.3</w:t>
            </w:r>
          </w:p>
        </w:tc>
        <w:tc>
          <w:tcPr>
            <w:tcW w:w="9260" w:type="dxa"/>
            <w:vAlign w:val="bottom"/>
          </w:tcPr>
          <w:p>
            <w:pPr>
              <w:ind w:left="240"/>
              <w:spacing w:after="0"/>
              <w:rPr>
                <w:sz w:val="20"/>
                <w:szCs w:val="20"/>
                <w:color w:val="auto"/>
              </w:rPr>
            </w:pPr>
            <w:r>
              <w:rPr>
                <w:rFonts w:ascii="Arial" w:cs="Arial" w:eastAsia="Arial" w:hAnsi="Arial"/>
                <w:sz w:val="18"/>
                <w:szCs w:val="18"/>
                <w:color w:val="auto"/>
              </w:rPr>
              <w:t>Chairman of the Board; Vice Chairman of the Board</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2.4</w:t>
            </w:r>
          </w:p>
        </w:tc>
        <w:tc>
          <w:tcPr>
            <w:tcW w:w="9260" w:type="dxa"/>
            <w:vAlign w:val="bottom"/>
          </w:tcPr>
          <w:p>
            <w:pPr>
              <w:ind w:left="240"/>
              <w:spacing w:after="0"/>
              <w:rPr>
                <w:sz w:val="20"/>
                <w:szCs w:val="20"/>
                <w:color w:val="auto"/>
              </w:rPr>
            </w:pPr>
            <w:r>
              <w:rPr>
                <w:rFonts w:ascii="Arial" w:cs="Arial" w:eastAsia="Arial" w:hAnsi="Arial"/>
                <w:sz w:val="18"/>
                <w:szCs w:val="18"/>
                <w:color w:val="auto"/>
              </w:rPr>
              <w:t>Tenure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2.5</w:t>
            </w:r>
          </w:p>
        </w:tc>
        <w:tc>
          <w:tcPr>
            <w:tcW w:w="9260" w:type="dxa"/>
            <w:vAlign w:val="bottom"/>
          </w:tcPr>
          <w:p>
            <w:pPr>
              <w:ind w:left="240"/>
              <w:spacing w:after="0"/>
              <w:rPr>
                <w:sz w:val="20"/>
                <w:szCs w:val="20"/>
                <w:color w:val="auto"/>
              </w:rPr>
            </w:pPr>
            <w:r>
              <w:rPr>
                <w:rFonts w:ascii="Arial" w:cs="Arial" w:eastAsia="Arial" w:hAnsi="Arial"/>
                <w:sz w:val="18"/>
                <w:szCs w:val="18"/>
                <w:color w:val="auto"/>
              </w:rPr>
              <w:t>Quorum</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2.6</w:t>
            </w:r>
          </w:p>
        </w:tc>
        <w:tc>
          <w:tcPr>
            <w:tcW w:w="9260" w:type="dxa"/>
            <w:vAlign w:val="bottom"/>
          </w:tcPr>
          <w:p>
            <w:pPr>
              <w:ind w:left="240"/>
              <w:spacing w:after="0"/>
              <w:rPr>
                <w:sz w:val="20"/>
                <w:szCs w:val="20"/>
                <w:color w:val="auto"/>
              </w:rPr>
            </w:pPr>
            <w:r>
              <w:rPr>
                <w:rFonts w:ascii="Arial" w:cs="Arial" w:eastAsia="Arial" w:hAnsi="Arial"/>
                <w:sz w:val="18"/>
                <w:szCs w:val="18"/>
                <w:color w:val="auto"/>
              </w:rPr>
              <w:t>Action at Meeting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2.7</w:t>
            </w:r>
          </w:p>
        </w:tc>
        <w:tc>
          <w:tcPr>
            <w:tcW w:w="9260" w:type="dxa"/>
            <w:vAlign w:val="bottom"/>
          </w:tcPr>
          <w:p>
            <w:pPr>
              <w:ind w:left="240"/>
              <w:spacing w:after="0"/>
              <w:rPr>
                <w:sz w:val="20"/>
                <w:szCs w:val="20"/>
                <w:color w:val="auto"/>
              </w:rPr>
            </w:pPr>
            <w:r>
              <w:rPr>
                <w:rFonts w:ascii="Arial" w:cs="Arial" w:eastAsia="Arial" w:hAnsi="Arial"/>
                <w:sz w:val="18"/>
                <w:szCs w:val="18"/>
                <w:color w:val="auto"/>
              </w:rPr>
              <w:t>Removal</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2.8</w:t>
            </w:r>
          </w:p>
        </w:tc>
        <w:tc>
          <w:tcPr>
            <w:tcW w:w="9260" w:type="dxa"/>
            <w:vAlign w:val="bottom"/>
          </w:tcPr>
          <w:p>
            <w:pPr>
              <w:ind w:left="240"/>
              <w:spacing w:after="0"/>
              <w:rPr>
                <w:sz w:val="20"/>
                <w:szCs w:val="20"/>
                <w:color w:val="auto"/>
              </w:rPr>
            </w:pPr>
            <w:r>
              <w:rPr>
                <w:rFonts w:ascii="Arial" w:cs="Arial" w:eastAsia="Arial" w:hAnsi="Arial"/>
                <w:sz w:val="18"/>
                <w:szCs w:val="18"/>
                <w:color w:val="auto"/>
              </w:rPr>
              <w:t>Vacancies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2.9</w:t>
            </w:r>
          </w:p>
        </w:tc>
        <w:tc>
          <w:tcPr>
            <w:tcW w:w="9260" w:type="dxa"/>
            <w:vAlign w:val="bottom"/>
          </w:tcPr>
          <w:p>
            <w:pPr>
              <w:ind w:left="240"/>
              <w:spacing w:after="0"/>
              <w:rPr>
                <w:sz w:val="20"/>
                <w:szCs w:val="20"/>
                <w:color w:val="auto"/>
              </w:rPr>
            </w:pPr>
            <w:r>
              <w:rPr>
                <w:rFonts w:ascii="Arial" w:cs="Arial" w:eastAsia="Arial" w:hAnsi="Arial"/>
                <w:sz w:val="18"/>
                <w:szCs w:val="18"/>
                <w:color w:val="auto"/>
              </w:rPr>
              <w:t>Resignation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2.10</w:t>
            </w:r>
          </w:p>
        </w:tc>
        <w:tc>
          <w:tcPr>
            <w:tcW w:w="9260" w:type="dxa"/>
            <w:vAlign w:val="bottom"/>
          </w:tcPr>
          <w:p>
            <w:pPr>
              <w:ind w:left="240"/>
              <w:spacing w:after="0"/>
              <w:rPr>
                <w:sz w:val="20"/>
                <w:szCs w:val="20"/>
                <w:color w:val="auto"/>
              </w:rPr>
            </w:pPr>
            <w:r>
              <w:rPr>
                <w:rFonts w:ascii="Arial" w:cs="Arial" w:eastAsia="Arial" w:hAnsi="Arial"/>
                <w:sz w:val="18"/>
                <w:szCs w:val="18"/>
                <w:color w:val="auto"/>
              </w:rPr>
              <w:t>Regular Meetings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2.11</w:t>
            </w:r>
          </w:p>
        </w:tc>
        <w:tc>
          <w:tcPr>
            <w:tcW w:w="9260" w:type="dxa"/>
            <w:vAlign w:val="bottom"/>
          </w:tcPr>
          <w:p>
            <w:pPr>
              <w:ind w:left="240"/>
              <w:spacing w:after="0"/>
              <w:rPr>
                <w:sz w:val="20"/>
                <w:szCs w:val="20"/>
                <w:color w:val="auto"/>
              </w:rPr>
            </w:pPr>
            <w:r>
              <w:rPr>
                <w:rFonts w:ascii="Arial" w:cs="Arial" w:eastAsia="Arial" w:hAnsi="Arial"/>
                <w:sz w:val="18"/>
                <w:szCs w:val="18"/>
                <w:color w:val="auto"/>
              </w:rPr>
              <w:t>Special Meetings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2.12</w:t>
            </w:r>
          </w:p>
        </w:tc>
        <w:tc>
          <w:tcPr>
            <w:tcW w:w="9260" w:type="dxa"/>
            <w:vAlign w:val="bottom"/>
          </w:tcPr>
          <w:p>
            <w:pPr>
              <w:ind w:left="240"/>
              <w:spacing w:after="0"/>
              <w:rPr>
                <w:sz w:val="20"/>
                <w:szCs w:val="20"/>
                <w:color w:val="auto"/>
              </w:rPr>
            </w:pPr>
            <w:r>
              <w:rPr>
                <w:rFonts w:ascii="Arial" w:cs="Arial" w:eastAsia="Arial" w:hAnsi="Arial"/>
                <w:sz w:val="18"/>
                <w:szCs w:val="18"/>
                <w:color w:val="auto"/>
              </w:rPr>
              <w:t>Notice of Special Meetings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2.13</w:t>
            </w:r>
          </w:p>
        </w:tc>
        <w:tc>
          <w:tcPr>
            <w:tcW w:w="9260" w:type="dxa"/>
            <w:vAlign w:val="bottom"/>
          </w:tcPr>
          <w:p>
            <w:pPr>
              <w:ind w:left="240"/>
              <w:spacing w:after="0"/>
              <w:rPr>
                <w:sz w:val="20"/>
                <w:szCs w:val="20"/>
                <w:color w:val="auto"/>
              </w:rPr>
            </w:pPr>
            <w:r>
              <w:rPr>
                <w:rFonts w:ascii="Arial" w:cs="Arial" w:eastAsia="Arial" w:hAnsi="Arial"/>
                <w:sz w:val="18"/>
                <w:szCs w:val="18"/>
                <w:color w:val="auto"/>
              </w:rPr>
              <w:t>Meetings by Conference Communications Equipment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2.14</w:t>
            </w:r>
          </w:p>
        </w:tc>
        <w:tc>
          <w:tcPr>
            <w:tcW w:w="9260" w:type="dxa"/>
            <w:vAlign w:val="bottom"/>
          </w:tcPr>
          <w:p>
            <w:pPr>
              <w:ind w:left="240"/>
              <w:spacing w:after="0"/>
              <w:rPr>
                <w:sz w:val="20"/>
                <w:szCs w:val="20"/>
                <w:color w:val="auto"/>
              </w:rPr>
            </w:pPr>
            <w:r>
              <w:rPr>
                <w:rFonts w:ascii="Arial" w:cs="Arial" w:eastAsia="Arial" w:hAnsi="Arial"/>
                <w:sz w:val="18"/>
                <w:szCs w:val="18"/>
                <w:color w:val="auto"/>
              </w:rPr>
              <w:t>Action by Consent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2.15</w:t>
            </w:r>
          </w:p>
        </w:tc>
        <w:tc>
          <w:tcPr>
            <w:tcW w:w="9260" w:type="dxa"/>
            <w:vAlign w:val="bottom"/>
          </w:tcPr>
          <w:p>
            <w:pPr>
              <w:ind w:left="240"/>
              <w:spacing w:after="0"/>
              <w:rPr>
                <w:sz w:val="20"/>
                <w:szCs w:val="20"/>
                <w:color w:val="auto"/>
              </w:rPr>
            </w:pPr>
            <w:r>
              <w:rPr>
                <w:rFonts w:ascii="Arial" w:cs="Arial" w:eastAsia="Arial" w:hAnsi="Arial"/>
                <w:sz w:val="18"/>
                <w:szCs w:val="18"/>
                <w:color w:val="auto"/>
              </w:rPr>
              <w:t>Committees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2.16</w:t>
            </w:r>
          </w:p>
        </w:tc>
        <w:tc>
          <w:tcPr>
            <w:tcW w:w="9260" w:type="dxa"/>
            <w:vAlign w:val="bottom"/>
          </w:tcPr>
          <w:p>
            <w:pPr>
              <w:ind w:left="240"/>
              <w:spacing w:after="0"/>
              <w:rPr>
                <w:sz w:val="20"/>
                <w:szCs w:val="20"/>
                <w:color w:val="auto"/>
              </w:rPr>
            </w:pPr>
            <w:r>
              <w:rPr>
                <w:rFonts w:ascii="Arial" w:cs="Arial" w:eastAsia="Arial" w:hAnsi="Arial"/>
                <w:sz w:val="18"/>
                <w:szCs w:val="18"/>
                <w:color w:val="auto"/>
              </w:rPr>
              <w:t>Compensation of Directors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III OFFICERS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418"/>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3.1</w:t>
            </w:r>
          </w:p>
        </w:tc>
        <w:tc>
          <w:tcPr>
            <w:tcW w:w="9260" w:type="dxa"/>
            <w:vAlign w:val="bottom"/>
          </w:tcPr>
          <w:p>
            <w:pPr>
              <w:ind w:left="240"/>
              <w:spacing w:after="0"/>
              <w:rPr>
                <w:sz w:val="20"/>
                <w:szCs w:val="20"/>
                <w:color w:val="auto"/>
              </w:rPr>
            </w:pPr>
            <w:r>
              <w:rPr>
                <w:rFonts w:ascii="Arial" w:cs="Arial" w:eastAsia="Arial" w:hAnsi="Arial"/>
                <w:sz w:val="18"/>
                <w:szCs w:val="18"/>
                <w:color w:val="auto"/>
              </w:rPr>
              <w:t>Titles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3.2</w:t>
            </w:r>
          </w:p>
        </w:tc>
        <w:tc>
          <w:tcPr>
            <w:tcW w:w="9260" w:type="dxa"/>
            <w:vAlign w:val="bottom"/>
          </w:tcPr>
          <w:p>
            <w:pPr>
              <w:ind w:left="240"/>
              <w:spacing w:after="0"/>
              <w:rPr>
                <w:sz w:val="20"/>
                <w:szCs w:val="20"/>
                <w:color w:val="auto"/>
              </w:rPr>
            </w:pPr>
            <w:r>
              <w:rPr>
                <w:rFonts w:ascii="Arial" w:cs="Arial" w:eastAsia="Arial" w:hAnsi="Arial"/>
                <w:sz w:val="18"/>
                <w:szCs w:val="18"/>
                <w:color w:val="auto"/>
              </w:rPr>
              <w:t>Election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3.3</w:t>
            </w:r>
          </w:p>
        </w:tc>
        <w:tc>
          <w:tcPr>
            <w:tcW w:w="9260" w:type="dxa"/>
            <w:vAlign w:val="bottom"/>
          </w:tcPr>
          <w:p>
            <w:pPr>
              <w:ind w:left="240"/>
              <w:spacing w:after="0"/>
              <w:rPr>
                <w:sz w:val="20"/>
                <w:szCs w:val="20"/>
                <w:color w:val="auto"/>
              </w:rPr>
            </w:pPr>
            <w:r>
              <w:rPr>
                <w:rFonts w:ascii="Arial" w:cs="Arial" w:eastAsia="Arial" w:hAnsi="Arial"/>
                <w:sz w:val="18"/>
                <w:szCs w:val="18"/>
                <w:color w:val="auto"/>
              </w:rPr>
              <w:t>Qualification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3.4</w:t>
            </w:r>
          </w:p>
        </w:tc>
        <w:tc>
          <w:tcPr>
            <w:tcW w:w="9260" w:type="dxa"/>
            <w:vAlign w:val="bottom"/>
          </w:tcPr>
          <w:p>
            <w:pPr>
              <w:ind w:left="240"/>
              <w:spacing w:after="0"/>
              <w:rPr>
                <w:sz w:val="20"/>
                <w:szCs w:val="20"/>
                <w:color w:val="auto"/>
              </w:rPr>
            </w:pPr>
            <w:r>
              <w:rPr>
                <w:rFonts w:ascii="Arial" w:cs="Arial" w:eastAsia="Arial" w:hAnsi="Arial"/>
                <w:sz w:val="18"/>
                <w:szCs w:val="18"/>
                <w:color w:val="auto"/>
              </w:rPr>
              <w:t>Tenure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3.5</w:t>
            </w:r>
          </w:p>
        </w:tc>
        <w:tc>
          <w:tcPr>
            <w:tcW w:w="9260" w:type="dxa"/>
            <w:vAlign w:val="bottom"/>
          </w:tcPr>
          <w:p>
            <w:pPr>
              <w:ind w:left="240"/>
              <w:spacing w:after="0"/>
              <w:rPr>
                <w:sz w:val="20"/>
                <w:szCs w:val="20"/>
                <w:color w:val="auto"/>
              </w:rPr>
            </w:pPr>
            <w:r>
              <w:rPr>
                <w:rFonts w:ascii="Arial" w:cs="Arial" w:eastAsia="Arial" w:hAnsi="Arial"/>
                <w:sz w:val="18"/>
                <w:szCs w:val="18"/>
                <w:color w:val="auto"/>
              </w:rPr>
              <w:t>Resignation and Removal</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3.6</w:t>
            </w:r>
          </w:p>
        </w:tc>
        <w:tc>
          <w:tcPr>
            <w:tcW w:w="9260" w:type="dxa"/>
            <w:vAlign w:val="bottom"/>
          </w:tcPr>
          <w:p>
            <w:pPr>
              <w:ind w:left="240"/>
              <w:spacing w:after="0"/>
              <w:rPr>
                <w:sz w:val="20"/>
                <w:szCs w:val="20"/>
                <w:color w:val="auto"/>
              </w:rPr>
            </w:pPr>
            <w:r>
              <w:rPr>
                <w:rFonts w:ascii="Arial" w:cs="Arial" w:eastAsia="Arial" w:hAnsi="Arial"/>
                <w:sz w:val="18"/>
                <w:szCs w:val="18"/>
                <w:color w:val="auto"/>
              </w:rPr>
              <w:t>Vacancies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3.7</w:t>
            </w:r>
          </w:p>
        </w:tc>
        <w:tc>
          <w:tcPr>
            <w:tcW w:w="9260" w:type="dxa"/>
            <w:vAlign w:val="bottom"/>
          </w:tcPr>
          <w:p>
            <w:pPr>
              <w:ind w:left="240"/>
              <w:spacing w:after="0"/>
              <w:rPr>
                <w:sz w:val="20"/>
                <w:szCs w:val="20"/>
                <w:color w:val="auto"/>
              </w:rPr>
            </w:pPr>
            <w:r>
              <w:rPr>
                <w:rFonts w:ascii="Arial" w:cs="Arial" w:eastAsia="Arial" w:hAnsi="Arial"/>
                <w:sz w:val="18"/>
                <w:szCs w:val="18"/>
                <w:color w:val="auto"/>
              </w:rPr>
              <w:t>President; Chief Executive Officer</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3.8</w:t>
            </w:r>
          </w:p>
        </w:tc>
        <w:tc>
          <w:tcPr>
            <w:tcW w:w="9260" w:type="dxa"/>
            <w:vAlign w:val="bottom"/>
          </w:tcPr>
          <w:p>
            <w:pPr>
              <w:ind w:left="240"/>
              <w:spacing w:after="0"/>
              <w:rPr>
                <w:sz w:val="20"/>
                <w:szCs w:val="20"/>
                <w:color w:val="auto"/>
              </w:rPr>
            </w:pPr>
            <w:r>
              <w:rPr>
                <w:rFonts w:ascii="Arial" w:cs="Arial" w:eastAsia="Arial" w:hAnsi="Arial"/>
                <w:sz w:val="18"/>
                <w:szCs w:val="18"/>
                <w:color w:val="auto"/>
              </w:rPr>
              <w:t>Vice Presidents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3.9</w:t>
            </w:r>
          </w:p>
        </w:tc>
        <w:tc>
          <w:tcPr>
            <w:tcW w:w="6700" w:type="dxa"/>
            <w:vAlign w:val="bottom"/>
          </w:tcPr>
          <w:p>
            <w:pPr>
              <w:ind w:left="240"/>
              <w:spacing w:after="0"/>
              <w:rPr>
                <w:sz w:val="20"/>
                <w:szCs w:val="20"/>
                <w:color w:val="auto"/>
              </w:rPr>
            </w:pPr>
            <w:r>
              <w:rPr>
                <w:rFonts w:ascii="Arial" w:cs="Arial" w:eastAsia="Arial" w:hAnsi="Arial"/>
                <w:sz w:val="18"/>
                <w:szCs w:val="18"/>
                <w:color w:val="auto"/>
              </w:rPr>
              <w:t>Secretary and Assistant Secretaries</w:t>
            </w:r>
          </w:p>
        </w:tc>
        <w:tc>
          <w:tcPr>
            <w:tcW w:w="3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3.10</w:t>
            </w:r>
          </w:p>
        </w:tc>
        <w:tc>
          <w:tcPr>
            <w:tcW w:w="6700" w:type="dxa"/>
            <w:vAlign w:val="bottom"/>
          </w:tcPr>
          <w:p>
            <w:pPr>
              <w:ind w:left="240"/>
              <w:spacing w:after="0"/>
              <w:rPr>
                <w:sz w:val="20"/>
                <w:szCs w:val="20"/>
                <w:color w:val="auto"/>
              </w:rPr>
            </w:pPr>
            <w:r>
              <w:rPr>
                <w:rFonts w:ascii="Arial" w:cs="Arial" w:eastAsia="Arial" w:hAnsi="Arial"/>
                <w:sz w:val="18"/>
                <w:szCs w:val="18"/>
                <w:color w:val="auto"/>
              </w:rPr>
              <w:t>Treasurer and Assistant Treasurers</w:t>
            </w:r>
          </w:p>
        </w:tc>
        <w:tc>
          <w:tcPr>
            <w:tcW w:w="3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3.11</w:t>
            </w:r>
          </w:p>
        </w:tc>
        <w:tc>
          <w:tcPr>
            <w:tcW w:w="6700" w:type="dxa"/>
            <w:vAlign w:val="bottom"/>
          </w:tcPr>
          <w:p>
            <w:pPr>
              <w:ind w:left="240"/>
              <w:spacing w:after="0"/>
              <w:rPr>
                <w:sz w:val="20"/>
                <w:szCs w:val="20"/>
                <w:color w:val="auto"/>
              </w:rPr>
            </w:pPr>
            <w:r>
              <w:rPr>
                <w:rFonts w:ascii="Arial" w:cs="Arial" w:eastAsia="Arial" w:hAnsi="Arial"/>
                <w:sz w:val="18"/>
                <w:szCs w:val="18"/>
                <w:color w:val="auto"/>
              </w:rPr>
              <w:t>Salaries</w:t>
            </w:r>
          </w:p>
        </w:tc>
        <w:tc>
          <w:tcPr>
            <w:tcW w:w="3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3.12</w:t>
            </w:r>
          </w:p>
        </w:tc>
        <w:tc>
          <w:tcPr>
            <w:tcW w:w="6700" w:type="dxa"/>
            <w:vAlign w:val="bottom"/>
          </w:tcPr>
          <w:p>
            <w:pPr>
              <w:ind w:left="240"/>
              <w:spacing w:after="0"/>
              <w:rPr>
                <w:sz w:val="20"/>
                <w:szCs w:val="20"/>
                <w:color w:val="auto"/>
              </w:rPr>
            </w:pPr>
            <w:r>
              <w:rPr>
                <w:rFonts w:ascii="Arial" w:cs="Arial" w:eastAsia="Arial" w:hAnsi="Arial"/>
                <w:sz w:val="18"/>
                <w:szCs w:val="18"/>
                <w:color w:val="auto"/>
              </w:rPr>
              <w:t>Delegation of Authority</w:t>
            </w:r>
          </w:p>
        </w:tc>
        <w:tc>
          <w:tcPr>
            <w:tcW w:w="3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ARTICLE IV CAPITAL STOCK</w:t>
            </w:r>
          </w:p>
        </w:tc>
        <w:tc>
          <w:tcPr>
            <w:tcW w:w="370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418"/>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4.1</w:t>
            </w:r>
          </w:p>
        </w:tc>
        <w:tc>
          <w:tcPr>
            <w:tcW w:w="6700" w:type="dxa"/>
            <w:vAlign w:val="bottom"/>
          </w:tcPr>
          <w:p>
            <w:pPr>
              <w:ind w:left="240"/>
              <w:spacing w:after="0"/>
              <w:rPr>
                <w:sz w:val="20"/>
                <w:szCs w:val="20"/>
                <w:color w:val="auto"/>
              </w:rPr>
            </w:pPr>
            <w:r>
              <w:rPr>
                <w:rFonts w:ascii="Arial" w:cs="Arial" w:eastAsia="Arial" w:hAnsi="Arial"/>
                <w:sz w:val="18"/>
                <w:szCs w:val="18"/>
                <w:color w:val="auto"/>
              </w:rPr>
              <w:t>Issuance of Stock</w:t>
            </w:r>
          </w:p>
        </w:tc>
        <w:tc>
          <w:tcPr>
            <w:tcW w:w="3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4.2</w:t>
            </w:r>
          </w:p>
        </w:tc>
        <w:tc>
          <w:tcPr>
            <w:tcW w:w="6700" w:type="dxa"/>
            <w:vAlign w:val="bottom"/>
          </w:tcPr>
          <w:p>
            <w:pPr>
              <w:ind w:left="240"/>
              <w:spacing w:after="0"/>
              <w:rPr>
                <w:sz w:val="20"/>
                <w:szCs w:val="20"/>
                <w:color w:val="auto"/>
              </w:rPr>
            </w:pPr>
            <w:r>
              <w:rPr>
                <w:rFonts w:ascii="Arial" w:cs="Arial" w:eastAsia="Arial" w:hAnsi="Arial"/>
                <w:sz w:val="18"/>
                <w:szCs w:val="18"/>
                <w:color w:val="auto"/>
              </w:rPr>
              <w:t>Stock Certificates; Uncertificated Shares</w:t>
            </w:r>
          </w:p>
        </w:tc>
        <w:tc>
          <w:tcPr>
            <w:tcW w:w="3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4.3</w:t>
            </w:r>
          </w:p>
        </w:tc>
        <w:tc>
          <w:tcPr>
            <w:tcW w:w="6700" w:type="dxa"/>
            <w:vAlign w:val="bottom"/>
          </w:tcPr>
          <w:p>
            <w:pPr>
              <w:ind w:left="240"/>
              <w:spacing w:after="0"/>
              <w:rPr>
                <w:sz w:val="20"/>
                <w:szCs w:val="20"/>
                <w:color w:val="auto"/>
              </w:rPr>
            </w:pPr>
            <w:r>
              <w:rPr>
                <w:rFonts w:ascii="Arial" w:cs="Arial" w:eastAsia="Arial" w:hAnsi="Arial"/>
                <w:sz w:val="18"/>
                <w:szCs w:val="18"/>
                <w:color w:val="auto"/>
              </w:rPr>
              <w:t>Transfers</w:t>
            </w:r>
          </w:p>
        </w:tc>
        <w:tc>
          <w:tcPr>
            <w:tcW w:w="3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4.4</w:t>
            </w:r>
          </w:p>
        </w:tc>
        <w:tc>
          <w:tcPr>
            <w:tcW w:w="6700" w:type="dxa"/>
            <w:vAlign w:val="bottom"/>
          </w:tcPr>
          <w:p>
            <w:pPr>
              <w:ind w:left="240"/>
              <w:spacing w:after="0"/>
              <w:rPr>
                <w:sz w:val="20"/>
                <w:szCs w:val="20"/>
                <w:color w:val="auto"/>
              </w:rPr>
            </w:pPr>
            <w:r>
              <w:rPr>
                <w:rFonts w:ascii="Arial" w:cs="Arial" w:eastAsia="Arial" w:hAnsi="Arial"/>
                <w:sz w:val="18"/>
                <w:szCs w:val="18"/>
                <w:color w:val="auto"/>
              </w:rPr>
              <w:t>Lost, Stolen or Destroyed Certificates</w:t>
            </w:r>
          </w:p>
        </w:tc>
        <w:tc>
          <w:tcPr>
            <w:tcW w:w="3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4.5</w:t>
            </w:r>
          </w:p>
        </w:tc>
        <w:tc>
          <w:tcPr>
            <w:tcW w:w="6700" w:type="dxa"/>
            <w:vAlign w:val="bottom"/>
          </w:tcPr>
          <w:p>
            <w:pPr>
              <w:ind w:left="240"/>
              <w:spacing w:after="0"/>
              <w:rPr>
                <w:sz w:val="20"/>
                <w:szCs w:val="20"/>
                <w:color w:val="auto"/>
              </w:rPr>
            </w:pPr>
            <w:r>
              <w:rPr>
                <w:rFonts w:ascii="Arial" w:cs="Arial" w:eastAsia="Arial" w:hAnsi="Arial"/>
                <w:sz w:val="18"/>
                <w:szCs w:val="18"/>
                <w:color w:val="auto"/>
              </w:rPr>
              <w:t>Record Date</w:t>
            </w:r>
          </w:p>
        </w:tc>
        <w:tc>
          <w:tcPr>
            <w:tcW w:w="3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4.6</w:t>
            </w:r>
          </w:p>
        </w:tc>
        <w:tc>
          <w:tcPr>
            <w:tcW w:w="6700" w:type="dxa"/>
            <w:vAlign w:val="bottom"/>
          </w:tcPr>
          <w:p>
            <w:pPr>
              <w:ind w:left="240"/>
              <w:spacing w:after="0"/>
              <w:rPr>
                <w:sz w:val="20"/>
                <w:szCs w:val="20"/>
                <w:color w:val="auto"/>
              </w:rPr>
            </w:pPr>
            <w:r>
              <w:rPr>
                <w:rFonts w:ascii="Arial" w:cs="Arial" w:eastAsia="Arial" w:hAnsi="Arial"/>
                <w:sz w:val="18"/>
                <w:szCs w:val="18"/>
                <w:color w:val="auto"/>
              </w:rPr>
              <w:t>Regulations</w:t>
            </w:r>
          </w:p>
        </w:tc>
        <w:tc>
          <w:tcPr>
            <w:tcW w:w="3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ARTICLE V GENERAL PROVISIONS</w:t>
            </w:r>
          </w:p>
        </w:tc>
        <w:tc>
          <w:tcPr>
            <w:tcW w:w="370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418"/>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5.1</w:t>
            </w:r>
          </w:p>
        </w:tc>
        <w:tc>
          <w:tcPr>
            <w:tcW w:w="6700" w:type="dxa"/>
            <w:vAlign w:val="bottom"/>
          </w:tcPr>
          <w:p>
            <w:pPr>
              <w:ind w:left="240"/>
              <w:spacing w:after="0"/>
              <w:rPr>
                <w:sz w:val="20"/>
                <w:szCs w:val="20"/>
                <w:color w:val="auto"/>
              </w:rPr>
            </w:pPr>
            <w:r>
              <w:rPr>
                <w:rFonts w:ascii="Arial" w:cs="Arial" w:eastAsia="Arial" w:hAnsi="Arial"/>
                <w:sz w:val="18"/>
                <w:szCs w:val="18"/>
                <w:color w:val="auto"/>
              </w:rPr>
              <w:t>Fiscal Year</w:t>
            </w:r>
          </w:p>
        </w:tc>
        <w:tc>
          <w:tcPr>
            <w:tcW w:w="3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5.2</w:t>
            </w:r>
          </w:p>
        </w:tc>
        <w:tc>
          <w:tcPr>
            <w:tcW w:w="6700" w:type="dxa"/>
            <w:vAlign w:val="bottom"/>
          </w:tcPr>
          <w:p>
            <w:pPr>
              <w:ind w:left="240"/>
              <w:spacing w:after="0"/>
              <w:rPr>
                <w:sz w:val="20"/>
                <w:szCs w:val="20"/>
                <w:color w:val="auto"/>
              </w:rPr>
            </w:pPr>
            <w:r>
              <w:rPr>
                <w:rFonts w:ascii="Arial" w:cs="Arial" w:eastAsia="Arial" w:hAnsi="Arial"/>
                <w:sz w:val="18"/>
                <w:szCs w:val="18"/>
                <w:color w:val="auto"/>
              </w:rPr>
              <w:t>Corporate Seal</w:t>
            </w:r>
          </w:p>
        </w:tc>
        <w:tc>
          <w:tcPr>
            <w:tcW w:w="3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5.3</w:t>
            </w:r>
          </w:p>
        </w:tc>
        <w:tc>
          <w:tcPr>
            <w:tcW w:w="6700" w:type="dxa"/>
            <w:vAlign w:val="bottom"/>
          </w:tcPr>
          <w:p>
            <w:pPr>
              <w:ind w:left="240"/>
              <w:spacing w:after="0"/>
              <w:rPr>
                <w:sz w:val="20"/>
                <w:szCs w:val="20"/>
                <w:color w:val="auto"/>
              </w:rPr>
            </w:pPr>
            <w:r>
              <w:rPr>
                <w:rFonts w:ascii="Arial" w:cs="Arial" w:eastAsia="Arial" w:hAnsi="Arial"/>
                <w:sz w:val="18"/>
                <w:szCs w:val="18"/>
                <w:color w:val="auto"/>
              </w:rPr>
              <w:t>Waiver of Notice</w:t>
            </w:r>
          </w:p>
        </w:tc>
        <w:tc>
          <w:tcPr>
            <w:tcW w:w="3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5.4</w:t>
            </w:r>
          </w:p>
        </w:tc>
        <w:tc>
          <w:tcPr>
            <w:tcW w:w="6700" w:type="dxa"/>
            <w:vAlign w:val="bottom"/>
          </w:tcPr>
          <w:p>
            <w:pPr>
              <w:ind w:left="240"/>
              <w:spacing w:after="0"/>
              <w:rPr>
                <w:sz w:val="20"/>
                <w:szCs w:val="20"/>
                <w:color w:val="auto"/>
              </w:rPr>
            </w:pPr>
            <w:r>
              <w:rPr>
                <w:rFonts w:ascii="Arial" w:cs="Arial" w:eastAsia="Arial" w:hAnsi="Arial"/>
                <w:sz w:val="18"/>
                <w:szCs w:val="18"/>
                <w:color w:val="auto"/>
              </w:rPr>
              <w:t>Voting of Securities</w:t>
            </w:r>
          </w:p>
        </w:tc>
        <w:tc>
          <w:tcPr>
            <w:tcW w:w="3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5.5</w:t>
            </w:r>
          </w:p>
        </w:tc>
        <w:tc>
          <w:tcPr>
            <w:tcW w:w="6700" w:type="dxa"/>
            <w:vAlign w:val="bottom"/>
          </w:tcPr>
          <w:p>
            <w:pPr>
              <w:ind w:left="240"/>
              <w:spacing w:after="0"/>
              <w:rPr>
                <w:sz w:val="20"/>
                <w:szCs w:val="20"/>
                <w:color w:val="auto"/>
              </w:rPr>
            </w:pPr>
            <w:r>
              <w:rPr>
                <w:rFonts w:ascii="Arial" w:cs="Arial" w:eastAsia="Arial" w:hAnsi="Arial"/>
                <w:sz w:val="18"/>
                <w:szCs w:val="18"/>
                <w:color w:val="auto"/>
              </w:rPr>
              <w:t>Evidence of Authority</w:t>
            </w:r>
          </w:p>
        </w:tc>
        <w:tc>
          <w:tcPr>
            <w:tcW w:w="3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5.6</w:t>
            </w:r>
          </w:p>
        </w:tc>
        <w:tc>
          <w:tcPr>
            <w:tcW w:w="6700" w:type="dxa"/>
            <w:vAlign w:val="bottom"/>
          </w:tcPr>
          <w:p>
            <w:pPr>
              <w:ind w:left="240"/>
              <w:spacing w:after="0"/>
              <w:rPr>
                <w:sz w:val="20"/>
                <w:szCs w:val="20"/>
                <w:color w:val="auto"/>
              </w:rPr>
            </w:pPr>
            <w:r>
              <w:rPr>
                <w:rFonts w:ascii="Arial" w:cs="Arial" w:eastAsia="Arial" w:hAnsi="Arial"/>
                <w:sz w:val="18"/>
                <w:szCs w:val="18"/>
                <w:color w:val="auto"/>
              </w:rPr>
              <w:t>Certificate of Incorporation</w:t>
            </w:r>
          </w:p>
        </w:tc>
        <w:tc>
          <w:tcPr>
            <w:tcW w:w="3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5.7</w:t>
            </w:r>
          </w:p>
        </w:tc>
        <w:tc>
          <w:tcPr>
            <w:tcW w:w="670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3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5.8</w:t>
            </w:r>
          </w:p>
        </w:tc>
        <w:tc>
          <w:tcPr>
            <w:tcW w:w="6700" w:type="dxa"/>
            <w:vAlign w:val="bottom"/>
          </w:tcPr>
          <w:p>
            <w:pPr>
              <w:ind w:left="240"/>
              <w:spacing w:after="0"/>
              <w:rPr>
                <w:sz w:val="20"/>
                <w:szCs w:val="20"/>
                <w:color w:val="auto"/>
              </w:rPr>
            </w:pPr>
            <w:r>
              <w:rPr>
                <w:rFonts w:ascii="Arial" w:cs="Arial" w:eastAsia="Arial" w:hAnsi="Arial"/>
                <w:sz w:val="18"/>
                <w:szCs w:val="18"/>
                <w:color w:val="auto"/>
              </w:rPr>
              <w:t>Pronouns</w:t>
            </w:r>
          </w:p>
        </w:tc>
        <w:tc>
          <w:tcPr>
            <w:tcW w:w="3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ARTICLE VI AMENDMENTS</w:t>
            </w:r>
          </w:p>
        </w:tc>
        <w:tc>
          <w:tcPr>
            <w:tcW w:w="370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418"/>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6.1</w:t>
            </w:r>
          </w:p>
        </w:tc>
        <w:tc>
          <w:tcPr>
            <w:tcW w:w="6700" w:type="dxa"/>
            <w:vAlign w:val="bottom"/>
          </w:tcPr>
          <w:p>
            <w:pPr>
              <w:ind w:left="240"/>
              <w:spacing w:after="0"/>
              <w:rPr>
                <w:sz w:val="20"/>
                <w:szCs w:val="20"/>
                <w:color w:val="auto"/>
              </w:rPr>
            </w:pPr>
            <w:r>
              <w:rPr>
                <w:rFonts w:ascii="Arial" w:cs="Arial" w:eastAsia="Arial" w:hAnsi="Arial"/>
                <w:sz w:val="18"/>
                <w:szCs w:val="18"/>
                <w:color w:val="auto"/>
              </w:rPr>
              <w:t>By the Board of Directors</w:t>
            </w:r>
          </w:p>
        </w:tc>
        <w:tc>
          <w:tcPr>
            <w:tcW w:w="3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020" w:type="dxa"/>
            <w:vAlign w:val="bottom"/>
          </w:tcPr>
          <w:p>
            <w:pPr>
              <w:jc w:val="center"/>
              <w:ind w:left="150"/>
              <w:spacing w:after="0"/>
              <w:rPr>
                <w:sz w:val="20"/>
                <w:szCs w:val="20"/>
                <w:color w:val="auto"/>
              </w:rPr>
            </w:pPr>
            <w:r>
              <w:rPr>
                <w:rFonts w:ascii="Arial" w:cs="Arial" w:eastAsia="Arial" w:hAnsi="Arial"/>
                <w:sz w:val="18"/>
                <w:szCs w:val="18"/>
                <w:color w:val="auto"/>
                <w:w w:val="87"/>
              </w:rPr>
              <w:t>6.2</w:t>
            </w:r>
          </w:p>
        </w:tc>
        <w:tc>
          <w:tcPr>
            <w:tcW w:w="6700" w:type="dxa"/>
            <w:vAlign w:val="bottom"/>
          </w:tcPr>
          <w:p>
            <w:pPr>
              <w:ind w:left="240"/>
              <w:spacing w:after="0"/>
              <w:rPr>
                <w:sz w:val="20"/>
                <w:szCs w:val="20"/>
                <w:color w:val="auto"/>
              </w:rPr>
            </w:pPr>
            <w:r>
              <w:rPr>
                <w:rFonts w:ascii="Arial" w:cs="Arial" w:eastAsia="Arial" w:hAnsi="Arial"/>
                <w:sz w:val="18"/>
                <w:szCs w:val="18"/>
                <w:color w:val="auto"/>
              </w:rPr>
              <w:t>By the Stockholders</w:t>
            </w:r>
          </w:p>
        </w:tc>
        <w:tc>
          <w:tcPr>
            <w:tcW w:w="370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2" w:name="page273"/>
    <w:bookmarkEnd w:id="272"/>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29" w:lineRule="exact"/>
        <w:rPr>
          <w:sz w:val="20"/>
          <w:szCs w:val="20"/>
          <w:color w:val="auto"/>
        </w:rPr>
      </w:pPr>
    </w:p>
    <w:p>
      <w:pPr>
        <w:ind w:right="420" w:firstLine="648"/>
        <w:spacing w:after="0" w:line="279"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Place of Meetings</w:t>
      </w:r>
      <w:r>
        <w:rPr>
          <w:rFonts w:ascii="Arial" w:cs="Arial" w:eastAsia="Arial" w:hAnsi="Arial"/>
          <w:sz w:val="17"/>
          <w:szCs w:val="17"/>
          <w:color w:val="auto"/>
        </w:rPr>
        <w:t>. All meetings of stockholders shall be held at such place as may be designated from time to time by the Board of Directors, the Chairman of the Board, the Chief Executive Officer or the President or, if not so designated, at the principal office of the corporation. The Board of Directors may, in its sole discretion, determine that a meeting shall not be held at any place, but may instead be held solely by means of remote communication in a manner consistent with the General Corporation Law of the State of Delaware.</w:t>
      </w:r>
    </w:p>
    <w:p>
      <w:pPr>
        <w:spacing w:after="0" w:line="171"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Annual Meeting</w:t>
      </w:r>
      <w:r>
        <w:rPr>
          <w:rFonts w:ascii="Arial" w:cs="Arial" w:eastAsia="Arial" w:hAnsi="Arial"/>
          <w:sz w:val="17"/>
          <w:szCs w:val="17"/>
          <w:color w:val="auto"/>
        </w:rPr>
        <w:t>. The annual meeting of stockholders for the election of directors and for the transaction of such other business as may properly be brought before the meeting shall be held on a date and at a time designated by the Board of Directors, the Chairman of the Board, the Chief Executive Officer or the President (which date shall not be a legal holiday in the place where the meeting is to be held).</w:t>
      </w:r>
    </w:p>
    <w:p>
      <w:pPr>
        <w:spacing w:after="0" w:line="166"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for any purpose or purposes may be called at any time by only the Board of Directors, the Chairman of the Board, the Chief Executive Officer or the President, and may not be called by any other person or persons. The Board of Directors may postpone or reschedule any previously scheduled special meeting of stockholders. Business transacted at any special meeting of stockholders shall be limited to matters relating to the purpose or purposes stated in the notice of meeting.</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Notice of Meetings</w:t>
      </w:r>
      <w:r>
        <w:rPr>
          <w:rFonts w:ascii="Arial" w:cs="Arial" w:eastAsia="Arial" w:hAnsi="Arial"/>
          <w:sz w:val="16"/>
          <w:szCs w:val="16"/>
          <w:color w:val="auto"/>
        </w:rPr>
        <w:t>. Except as otherwise provided by law, notice of each meeting of stockholders, whether annual or special, shall be given not less than 10 nor more than 60 days before the date of the meeting to each stockholder entitled to vote at such meeting. Without limiting the manner by which notice otherwise may be given to stockholders, any notice shall be effective if given by a form of electronic transmission consented to (in a manner consistent with the General Corporation Law of the State of Delaware) by the stockholder to whom the notice is given. The notices of all meetings shall state the place, if any, date and time of the meeting and the means of remote communications, if any, by which stockholders and proxyholders may be deemed to be present in person and vote at such meeting. The notice of a special meeting shall state, in addition, the purpose or purposes for which the meeting is called. If notice is given by mail, such notice shall be deemed given when deposited in the United States mail, postage prepaid, directed to the stockholder at such stockholder’s address as it appears on the records of the corporation. If notice is given by electronic transmission, such notice shall be deemed given at the time specified in Section 232 of the General Corporation Law of the State of Delaware.</w:t>
      </w:r>
    </w:p>
    <w:p>
      <w:pPr>
        <w:spacing w:after="0" w:line="16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Voting List</w:t>
      </w:r>
      <w:r>
        <w:rPr>
          <w:rFonts w:ascii="Arial" w:cs="Arial" w:eastAsia="Arial" w:hAnsi="Arial"/>
          <w:sz w:val="17"/>
          <w:szCs w:val="17"/>
          <w:color w:val="auto"/>
        </w:rPr>
        <w:t>. The Secretary shall prepare,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10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73" w:name="page274"/>
    <w:bookmarkEnd w:id="273"/>
    <w:p>
      <w:pPr>
        <w:ind w:right="180"/>
        <w:spacing w:after="0" w:line="276" w:lineRule="auto"/>
        <w:rPr>
          <w:sz w:val="20"/>
          <w:szCs w:val="20"/>
          <w:color w:val="auto"/>
        </w:rPr>
      </w:pPr>
      <w:r>
        <w:rPr>
          <w:rFonts w:ascii="Arial" w:cs="Arial" w:eastAsia="Arial" w:hAnsi="Arial"/>
          <w:sz w:val="17"/>
          <w:szCs w:val="17"/>
          <w:color w:val="auto"/>
        </w:rPr>
        <w:t>be held at a physical location (and not solely by means of remote communication),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The list shall presumptively determine the identity of the stockholders entitled to vote at the meeting and the number of shares held by each of them.</w:t>
      </w:r>
    </w:p>
    <w:p>
      <w:pPr>
        <w:spacing w:after="0" w:line="17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Quorum</w:t>
      </w:r>
      <w:r>
        <w:rPr>
          <w:rFonts w:ascii="Arial" w:cs="Arial" w:eastAsia="Arial" w:hAnsi="Arial"/>
          <w:sz w:val="17"/>
          <w:szCs w:val="17"/>
          <w:color w:val="auto"/>
        </w:rPr>
        <w:t>. Except as otherwise provided by law, the Certificate of Incorporation or these Bylaws, the holders of a majority in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provided, however,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of Directors in its sole discretion, or represented by proxy, shall constitute a quorum entitled to take action with respect to the vote on such matter. A quorum, once established at a meeting, shall not be broken by the withdrawal of enough votes to leave less than a quorum.</w:t>
      </w:r>
    </w:p>
    <w:p>
      <w:pPr>
        <w:spacing w:after="0" w:line="17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Adjournments</w:t>
      </w:r>
      <w:r>
        <w:rPr>
          <w:rFonts w:ascii="Arial" w:cs="Arial" w:eastAsia="Arial" w:hAnsi="Arial"/>
          <w:sz w:val="18"/>
          <w:szCs w:val="18"/>
          <w:color w:val="auto"/>
        </w:rPr>
        <w:t>. Any meeting of stockholders may be adjourned from time to time to any other time and to any other place at which a meeting of stockholders may be held under these Bylaws by the chairman of the meeting or by the stockholders present or represented at the meeting and entitled to vote, although less than a quorum. It shall not be necessary to notify any stockholder of any adjournment of less than 30 days if the time and place, if any,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the adjourned meeting. At the adjourned meeting, the corporation may transact any business which might have been transacted at the original meeting.</w:t>
      </w:r>
    </w:p>
    <w:p>
      <w:pPr>
        <w:spacing w:after="0" w:line="18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Voting and Proxies</w:t>
      </w:r>
      <w:r>
        <w:rPr>
          <w:rFonts w:ascii="Arial" w:cs="Arial" w:eastAsia="Arial" w:hAnsi="Arial"/>
          <w:sz w:val="17"/>
          <w:szCs w:val="17"/>
          <w:color w:val="auto"/>
        </w:rPr>
        <w:t>. Each stockholder shall have one vote for each share of stock entitled to vote held of record by such stockholder and a proportionate vote for each fractional share so held, unless otherwise provided by law or the Certificate of Incorporation. Each stockholder of record entitled to vote at a meeting of stockholders, or to express consent or dissent to corporate action without a meeting, may vote or express such consent or dissent in person (including by means of remote communications, if any, by which stockholders may be deemed to be present in person and vote at such meeting) or may authorize another person or persons to vote or act for such stockholder by a proxy executed or transmitted in a manner permitted by the General Corporation Law of the State of Delaware by the stockholder or such stockholder’s authorized agent and delivered (including by electronic transmission) to the Secretary of the corporation. No such proxy shall be voted or acted upon after three years from the date of its execution, unless the proxy expressly provides for a longer period.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4" w:name="page275"/>
    <w:bookmarkEnd w:id="274"/>
    <w:p>
      <w:pPr>
        <w:ind w:right="20" w:firstLine="648"/>
        <w:spacing w:after="0" w:line="272"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u w:val="single" w:color="auto"/>
          <w:color w:val="auto"/>
        </w:rPr>
        <w:t>Action at Meeting</w:t>
      </w:r>
      <w:r>
        <w:rPr>
          <w:rFonts w:ascii="Arial" w:cs="Arial" w:eastAsia="Arial" w:hAnsi="Arial"/>
          <w:sz w:val="17"/>
          <w:szCs w:val="17"/>
          <w:color w:val="auto"/>
        </w:rPr>
        <w:t>. When a quorum is present at any meeting, any matter other than the election of directors to be voted upon by the stockholders at such meeting shall be decided by the vote of the holders of shares of stock having a majority in voting power of the votes cast by the holders of all of the shares of stock present or represented at the meeting and voting affirmatively or negatively on such matter (or if there are two or more classes or series of stock entitled to vote as separate classes, then in the case of each such class or series, the holders of a majority in voting power of the shares of stock of that class or series present or represented at the meeting and voting affirmatively or negatively on such matter), except when a different vote is required by law, the Certificate of Incorporation or these Bylaws. When a quorum is present at any meeting, any election by stockholders of directors shall be determined by a plurality of the votes cast by the stockholders entitled to vote on the election.</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u w:val="single" w:color="auto"/>
          <w:color w:val="auto"/>
        </w:rPr>
        <w:t>Conduct of Meetings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97" w:lineRule="auto"/>
        <w:tabs>
          <w:tab w:leader="none" w:pos="1942"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Chairman of Meeting</w:t>
      </w:r>
      <w:r>
        <w:rPr>
          <w:rFonts w:ascii="Arial" w:cs="Arial" w:eastAsia="Arial" w:hAnsi="Arial"/>
          <w:sz w:val="16"/>
          <w:szCs w:val="16"/>
          <w:color w:val="auto"/>
        </w:rPr>
        <w:t>. 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of Directors, or in the absence of such designation by a chairman chosen by vote of the stockholders at the meeting. The Secretary shall act as secretary of the meeting, but in the Secretary’s absence the chairman of the meeting may appoint any person to act as secretary of the meeting.</w:t>
      </w:r>
    </w:p>
    <w:p>
      <w:pPr>
        <w:spacing w:after="0" w:line="158" w:lineRule="exact"/>
        <w:rPr>
          <w:rFonts w:ascii="Arial" w:cs="Arial" w:eastAsia="Arial" w:hAnsi="Arial"/>
          <w:sz w:val="16"/>
          <w:szCs w:val="16"/>
          <w:color w:val="auto"/>
        </w:rPr>
      </w:pPr>
    </w:p>
    <w:p>
      <w:pPr>
        <w:jc w:val="both"/>
        <w:ind w:right="20" w:firstLine="1305"/>
        <w:spacing w:after="0" w:line="288" w:lineRule="auto"/>
        <w:tabs>
          <w:tab w:leader="none" w:pos="1952"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Rules, Regulations and Procedures</w:t>
      </w:r>
      <w:r>
        <w:rPr>
          <w:rFonts w:ascii="Arial" w:cs="Arial" w:eastAsia="Arial" w:hAnsi="Arial"/>
          <w:sz w:val="16"/>
          <w:szCs w:val="16"/>
          <w:color w:val="auto"/>
        </w:rPr>
        <w:t>. 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w:t>
      </w:r>
    </w:p>
    <w:p>
      <w:pPr>
        <w:spacing w:after="0" w:line="268" w:lineRule="auto"/>
        <w:rPr>
          <w:rFonts w:ascii="Arial" w:cs="Arial" w:eastAsia="Arial" w:hAnsi="Arial"/>
          <w:sz w:val="16"/>
          <w:szCs w:val="16"/>
          <w:color w:val="auto"/>
        </w:rPr>
      </w:pPr>
      <w:r>
        <w:rPr>
          <w:rFonts w:ascii="Arial" w:cs="Arial" w:eastAsia="Arial" w:hAnsi="Arial"/>
          <w:sz w:val="17"/>
          <w:szCs w:val="17"/>
          <w:color w:val="auto"/>
        </w:rPr>
        <w:t>Except to the extent inconsistent with such rules, regulations and procedures as adopted by the Board of Directors,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5" w:name="page276"/>
    <w:bookmarkEnd w:id="275"/>
    <w:p>
      <w:pPr>
        <w:ind w:left="640"/>
        <w:spacing w:after="0"/>
        <w:tabs>
          <w:tab w:leader="none" w:pos="12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u w:val="single" w:color="auto"/>
          <w:color w:val="auto"/>
        </w:rPr>
        <w:t>Action without Meeting</w:t>
      </w:r>
      <w:r>
        <w:rPr>
          <w:rFonts w:ascii="Arial" w:cs="Arial" w:eastAsia="Arial" w:hAnsi="Arial"/>
          <w:sz w:val="17"/>
          <w:szCs w:val="17"/>
          <w:color w:val="auto"/>
        </w:rPr>
        <w:t>.</w:t>
      </w:r>
    </w:p>
    <w:p>
      <w:pPr>
        <w:spacing w:after="0" w:line="225" w:lineRule="exact"/>
        <w:rPr>
          <w:sz w:val="20"/>
          <w:szCs w:val="20"/>
          <w:color w:val="auto"/>
        </w:rPr>
      </w:pPr>
    </w:p>
    <w:p>
      <w:pPr>
        <w:ind w:left="-20" w:firstLine="1305"/>
        <w:spacing w:after="0" w:line="255" w:lineRule="auto"/>
        <w:tabs>
          <w:tab w:leader="none" w:pos="1922"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Taking of Action by Consent</w:t>
      </w:r>
      <w:r>
        <w:rPr>
          <w:rFonts w:ascii="Arial" w:cs="Arial" w:eastAsia="Arial" w:hAnsi="Arial"/>
          <w:sz w:val="18"/>
          <w:szCs w:val="18"/>
          <w:color w:val="auto"/>
        </w:rPr>
        <w:t>. Any action required or permitted to be taken at any annual or special meeting of stockholders of the corporation may be taken without a meeting,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entitled to vote on such action were present and voted. Except as otherwise provided by the Certificate of Incorporation, stockholders may act by written consent to elect directors; provided, however, that, if such consent is less than unanimous, such action by written consent may be in lieu of holding an annual meeting only if all of the directorships to which directors could be elected at an annual meeting held at the effective time of such action are vacant and are filled by such action.</w:t>
      </w:r>
    </w:p>
    <w:p>
      <w:pPr>
        <w:spacing w:after="0" w:line="189" w:lineRule="exact"/>
        <w:rPr>
          <w:rFonts w:ascii="Arial" w:cs="Arial" w:eastAsia="Arial" w:hAnsi="Arial"/>
          <w:sz w:val="18"/>
          <w:szCs w:val="18"/>
          <w:color w:val="auto"/>
        </w:rPr>
      </w:pPr>
    </w:p>
    <w:p>
      <w:pPr>
        <w:ind w:left="-20" w:right="40" w:firstLine="1305"/>
        <w:spacing w:after="0" w:line="268" w:lineRule="auto"/>
        <w:tabs>
          <w:tab w:leader="none" w:pos="1932"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Electronic Transmission of Consents</w:t>
      </w:r>
      <w:r>
        <w:rPr>
          <w:rFonts w:ascii="Arial" w:cs="Arial" w:eastAsia="Arial" w:hAnsi="Arial"/>
          <w:sz w:val="17"/>
          <w:szCs w:val="17"/>
          <w:color w:val="auto"/>
        </w:rPr>
        <w:t>. A telegram, cablegram or other electronic transmission consenting to an action to be taken and transmitted by a stockholder or proxyholder, or by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or proxyholder and (ii)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80" w:lineRule="exact"/>
        <w:rPr>
          <w:rFonts w:ascii="Arial" w:cs="Arial" w:eastAsia="Arial" w:hAnsi="Arial"/>
          <w:sz w:val="17"/>
          <w:szCs w:val="17"/>
          <w:color w:val="auto"/>
        </w:rPr>
      </w:pPr>
    </w:p>
    <w:p>
      <w:pPr>
        <w:jc w:val="both"/>
        <w:ind w:left="-20" w:firstLine="1305"/>
        <w:spacing w:after="0" w:line="259" w:lineRule="auto"/>
        <w:tabs>
          <w:tab w:leader="none" w:pos="1935"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Notice of Taking of Corporate Action</w:t>
      </w:r>
      <w:r>
        <w:rPr>
          <w:rFonts w:ascii="Arial" w:cs="Arial" w:eastAsia="Arial" w:hAnsi="Arial"/>
          <w:sz w:val="18"/>
          <w:szCs w:val="18"/>
          <w:color w:val="auto"/>
        </w:rPr>
        <w:t>. Prompt notice of the taking of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276" w:name="page277"/>
    <w:bookmarkEnd w:id="276"/>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DIRECTORS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a Board of Directors, who may exercise all of the powers of the corporation except as otherwise provided by law or the Certificate of Incorporation.</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Number, Election and Qualification</w:t>
      </w:r>
      <w:r>
        <w:rPr>
          <w:rFonts w:ascii="Arial" w:cs="Arial" w:eastAsia="Arial" w:hAnsi="Arial"/>
          <w:sz w:val="18"/>
          <w:szCs w:val="18"/>
          <w:color w:val="auto"/>
        </w:rPr>
        <w:t>. Subject to the rights of holders of any series of Preferred Stock to elect directors, the number of directors of the corporation shall be established from time to time by the stockholders or the Board of Directors. The directors shall be elected at the annual meeting of stockholders by such stockholders as have the right to vote on such election. Election of directors need not be by written ballot. Directors need not be stockholders of the corporation.</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Chairman of the Board; Vice Chairman of the Board</w:t>
      </w:r>
      <w:r>
        <w:rPr>
          <w:rFonts w:ascii="Arial" w:cs="Arial" w:eastAsia="Arial" w:hAnsi="Arial"/>
          <w:sz w:val="17"/>
          <w:szCs w:val="17"/>
          <w:color w:val="auto"/>
        </w:rPr>
        <w:t>. The Board of Directors may appoint from its members a Chairman of the Board and a Vice Chairman of the Board, neither of whom need be an employee or officer of the corporation. If the Board of Directors appoints a Chairman of the Board, such Chairman shall perform such duties and possess such powers as are assigned by the Board of Directors and, if the Chairman of the Board is also designated as the corporation’s Chief Executive Officer, shall have the powers and duties of the Chief Executive Officer prescribed in Section 3.7 of these Bylaws. If the Board of Directors appoints a Vice Chairman of the Board, such Vice Chairman shall perform such duties and possess such powers as are assigned by the Board of Directors. Unless otherwise provided by the Board of Directors, the Chairman of the Board or, in the Chairman’s absence, the Vice Chairman of the Board, if any, shall preside at all meetings of the Board of Directors.</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Tenure</w:t>
      </w:r>
      <w:r>
        <w:rPr>
          <w:rFonts w:ascii="Arial" w:cs="Arial" w:eastAsia="Arial" w:hAnsi="Arial"/>
          <w:sz w:val="18"/>
          <w:szCs w:val="18"/>
          <w:color w:val="auto"/>
        </w:rPr>
        <w:t>. Each director shall hold office until the next annual meeting of stockholders and until a successor is elected and qualified, or until such director’s earlier death, resignation or removal.</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Quorum</w:t>
      </w:r>
      <w:r>
        <w:rPr>
          <w:rFonts w:ascii="Arial" w:cs="Arial" w:eastAsia="Arial" w:hAnsi="Arial"/>
          <w:sz w:val="18"/>
          <w:szCs w:val="18"/>
          <w:color w:val="auto"/>
        </w:rPr>
        <w:t>. The greater of (a) a majority of the directors at any time in office and (b) one-third of the number of directors fixed pursuant to Section 2.2 of these Bylaws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187"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Action at Meeting</w:t>
      </w:r>
      <w:r>
        <w:rPr>
          <w:rFonts w:ascii="Arial" w:cs="Arial" w:eastAsia="Arial" w:hAnsi="Arial"/>
          <w:sz w:val="18"/>
          <w:szCs w:val="18"/>
          <w:color w:val="auto"/>
        </w:rPr>
        <w:t>. Every act or decision done or made by a majority of the directors present at a meeting of the Board of Directors duly held at which a quorum is present shall be regarded as the act of the Board of Directors, unless a greater number is required by law or by the Certificate of Incorporation.</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Removal</w:t>
      </w:r>
      <w:r>
        <w:rPr>
          <w:rFonts w:ascii="Arial" w:cs="Arial" w:eastAsia="Arial" w:hAnsi="Arial"/>
          <w:sz w:val="18"/>
          <w:szCs w:val="18"/>
          <w:color w:val="auto"/>
        </w:rPr>
        <w:t>. Except as otherwise provided by the General Corporation Law of the State of Delaware, any one or more or all of the directors of the corporation may be removed, with or without cause, by the holders of a majority of the shares then entitled to vote at an election of directors, except that the directors elected by the holders of a particular class or series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t>of stock may be removed without cause only by vote of the holders of a majority of the outstanding shares of such class or series.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Vacancies</w:t>
      </w:r>
      <w:r>
        <w:rPr>
          <w:rFonts w:ascii="Arial" w:cs="Arial" w:eastAsia="Arial" w:hAnsi="Arial"/>
          <w:sz w:val="17"/>
          <w:szCs w:val="17"/>
          <w:color w:val="auto"/>
        </w:rPr>
        <w:t>. Subject to the rights of holders of any series of Preferred Stock to elect directors, unless and until filled by the stockholders, any vacancy or newly-created directorship on the Board of Directors, however occurring, may be filled by vote of a majority of the directors then in office, although less than a quorum, or by a sole remaining director. A director elected to fill a vacancy shall be elected for the unexpired term of such director’s predecessor in office, and a director chosen to fill a position resulting from a newly-created directorship shall hold office until the next annual meeting of stockholders and until a successor is elected and qualified, or until such director’s earlier death, resignation or removal.</w:t>
      </w:r>
    </w:p>
    <w:p>
      <w:pPr>
        <w:spacing w:after="0" w:line="17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by delivering a resignation in writing or by electronic transmission to the corporation at its principal office or to the Chairman of the Board, the Chief Executive Officer, the President or the Secretary. Such resignation shall be effective upon delivery unless it is specified to be effective at some later time or upon the happening of some later event.</w:t>
      </w:r>
    </w:p>
    <w:p>
      <w:pPr>
        <w:spacing w:after="0" w:line="18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without notice at such time and place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18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held at any time and place designated in a call by the Chairman of the Board, the Chief Executive Officer, the President, two or more directors, or by one director in the event that there is only a single director in office.</w:t>
      </w:r>
    </w:p>
    <w:p>
      <w:pPr>
        <w:spacing w:after="0" w:line="14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Notice of Special Meetings</w:t>
      </w:r>
      <w:r>
        <w:rPr>
          <w:rFonts w:ascii="Arial" w:cs="Arial" w:eastAsia="Arial" w:hAnsi="Arial"/>
          <w:sz w:val="17"/>
          <w:szCs w:val="17"/>
          <w:color w:val="auto"/>
        </w:rPr>
        <w:t>. Notice of the date, place, if any, and time of any special meeting of directors shall be given to each director by the Secretary or by the officer or one of the directors calling the meeting. Notice shall be duly given to each director (a) in person or by telephone at least 24 hours in advance of the meeting, (b) by sending written notice by reputable overnight courier, telecopy, facsimile or electronic transmission, or delivering written notice by hand, to such director’s last known business, home or electronic transmission address at least 48 hours in advance of the meeting, or (c) by sending written notice by first-class mail to such director’s last known business or home address at least 72 hours in advance of the meeting. A notice or waiver of notice of a meeting of the Board of Directors need not specify the purposes of the meeting.</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Meetings by Conference Communications Equipment</w:t>
      </w:r>
      <w:r>
        <w:rPr>
          <w:rFonts w:ascii="Arial" w:cs="Arial" w:eastAsia="Arial" w:hAnsi="Arial"/>
          <w:sz w:val="18"/>
          <w:szCs w:val="18"/>
          <w:color w:val="auto"/>
        </w:rPr>
        <w:t>. Directors may participate in meetings of the Board of Directors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78" w:name="page279"/>
    <w:bookmarkEnd w:id="278"/>
    <w:p>
      <w:pPr>
        <w:ind w:right="60" w:firstLine="648"/>
        <w:spacing w:after="0" w:line="302"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Action by Consent</w:t>
      </w:r>
      <w:r>
        <w:rPr>
          <w:rFonts w:ascii="Arial" w:cs="Arial" w:eastAsia="Arial" w:hAnsi="Arial"/>
          <w:sz w:val="16"/>
          <w:szCs w:val="16"/>
          <w:color w:val="auto"/>
        </w:rPr>
        <w:t>. Any action required or permitted to be taken at any meeting of the Board of Directors or of any committee thereof may be taken without a meeting, if all members of the Board of Directors or committee, as the case may be, consent to the action in writing or by electronic transmission, and the written consents or electronic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5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may designate one or more committees, each committee to consist of one or more of the directors of the corporation with such lawfully delegable powers and duties as the Board of Directors thereby confers, to serve at the pleasure of the Board of Directors.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law, shall have and may exercise all the powers and authority of the Board of Directors in the management of the business and affairs of the corporation and may authorize the seal of the corporation to be affixed to all papers which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8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Compensation of Directors</w:t>
      </w:r>
      <w:r>
        <w:rPr>
          <w:rFonts w:ascii="Arial" w:cs="Arial" w:eastAsia="Arial" w:hAnsi="Arial"/>
          <w:sz w:val="18"/>
          <w:szCs w:val="18"/>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entities in any other capacity and receiving compensation for such service.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OFFICERS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Titles</w:t>
      </w:r>
      <w:r>
        <w:rPr>
          <w:rFonts w:ascii="Arial" w:cs="Arial" w:eastAsia="Arial" w:hAnsi="Arial"/>
          <w:sz w:val="18"/>
          <w:szCs w:val="18"/>
          <w:color w:val="auto"/>
        </w:rPr>
        <w:t>. The officers of the corporation shall consist of a Chief Executive Officer, a President, a Secretary, a Treasurer and such other officers with such other titles as the Board of Directors shall determine, including one or more Vice Presidents, Assistant Treasurers and Assistant Secretaries. The Board of Directors may appoint such other officers as it may deem appropriate.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w:t>
      </w:r>
      <w:r>
        <w:rPr>
          <w:rFonts w:ascii="Arial" w:cs="Arial" w:eastAsia="Arial" w:hAnsi="Arial"/>
          <w:sz w:val="16"/>
          <w:szCs w:val="16"/>
          <w:color w:val="auto"/>
        </w:rPr>
        <w:t>. The Chief Executive Officer, President, Treasurer and Secretary shall be elected annually by the Board of Directors at its first meeting following the annual meeting of stockholders. Other officers may be appointed by the Board of Directors at such meeting or at any other meeting.</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Qualification</w:t>
      </w:r>
      <w:r>
        <w:rPr>
          <w:rFonts w:ascii="Arial" w:cs="Arial" w:eastAsia="Arial" w:hAnsi="Arial"/>
          <w:sz w:val="16"/>
          <w:szCs w:val="16"/>
          <w:color w:val="auto"/>
        </w:rPr>
        <w:t>. No officer need be a stockholder. Any two or more offices may be held by the same person.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law, by the Certificate of Incorporation or by these Bylaws, each officer shall hold office until such officer’s successor is elected and qualified, unless a different term is specified in the resolution electing or appointing such officer, or until such officer’s earlier death, resignation or removal.</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Any officer may resign by delivering a written resignation to the corporation at its principal office or to the Chief Executive Officer, the President or the Secretary. Such resignation shall be effective upon receipt unless it is specified to be effective at some later time or upon the happening of some later event. Any officer may be removed at any time, with or without cause, by vote of a majority of the directors then in office. 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18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Vacancies</w:t>
      </w:r>
      <w:r>
        <w:rPr>
          <w:rFonts w:ascii="Arial" w:cs="Arial" w:eastAsia="Arial" w:hAnsi="Arial"/>
          <w:sz w:val="18"/>
          <w:szCs w:val="18"/>
          <w:color w:val="auto"/>
        </w:rPr>
        <w:t>. The Board of Directors may fill any vacancy occurring in any office for any reason and may, in its discretion, leave unfilled for such period as it may determine any offices other than those of Chief Executive Officer, President, Treasurer and Secretary. Each such successor shall hold office for the unexpired term of such officer’s predecessor and until a successor is elected and qualified, or until such officer’s earlier death, resignation or removal.</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President; Chief Executive Officer</w:t>
      </w:r>
      <w:r>
        <w:rPr>
          <w:rFonts w:ascii="Arial" w:cs="Arial" w:eastAsia="Arial" w:hAnsi="Arial"/>
          <w:sz w:val="16"/>
          <w:szCs w:val="16"/>
          <w:color w:val="auto"/>
        </w:rPr>
        <w:t>. Unless the Board of Directors has designated another person as the corporation’s Chief Executive Officer, the President shall be the Chief Executive Officer of the corporation. The Chief Executive Officer shall have general charge and supervision of the business of the corporation subject to the direction of the Board of Directors, and shall perform all duties and have all powers that are commonly incident to the office of chief executive or that are delegated to such officer by the Board of Directors. The President shall perform such other duties and shall have such other powers as the Board of Directors or the Chief Executive Officer (if the President is not the Chief Executive Officer) may from time to time prescribe. In the event of the absence, inability or refusal to act of the Chief Executive Officer or the President (if the President is not the Chief Executive Officer), the Vice President (or if there shall be more than one, the Vice Presidents in the order determined by the Board of Directors) shall perform the duties of the Chief Executive Officer and when so performing such duties shall have all the powers of and be subject to all the restrictions upon the Chief Executive Officer.</w:t>
      </w:r>
    </w:p>
    <w:p>
      <w:pPr>
        <w:spacing w:after="0" w:line="16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Vice Presidents</w:t>
      </w:r>
      <w:r>
        <w:rPr>
          <w:rFonts w:ascii="Arial" w:cs="Arial" w:eastAsia="Arial" w:hAnsi="Arial"/>
          <w:sz w:val="18"/>
          <w:szCs w:val="18"/>
          <w:color w:val="auto"/>
        </w:rPr>
        <w:t>. Each Vice President shall perform such duties and possess such powers as the Board of Directors or the Chief Executive Officer may from time to time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775" w:gutter="0" w:footer="0" w:header="0"/>
        </w:sectPr>
      </w:pPr>
    </w:p>
    <w:bookmarkStart w:id="279" w:name="page280"/>
    <w:bookmarkEnd w:id="279"/>
    <w:p>
      <w:pPr>
        <w:ind w:right="140"/>
        <w:spacing w:after="0" w:line="277" w:lineRule="auto"/>
        <w:rPr>
          <w:sz w:val="20"/>
          <w:szCs w:val="20"/>
          <w:color w:val="auto"/>
        </w:rPr>
      </w:pPr>
      <w:r>
        <w:rPr>
          <w:rFonts w:ascii="Arial" w:cs="Arial" w:eastAsia="Arial" w:hAnsi="Arial"/>
          <w:sz w:val="18"/>
          <w:szCs w:val="18"/>
          <w:color w:val="auto"/>
        </w:rPr>
        <w:t>prescribe. The Board of Directors may assign to any Vice President the title of Executive Vice President, Senior Vice President or any other title selected by the Board of Directors.</w:t>
      </w:r>
    </w:p>
    <w:p>
      <w:pPr>
        <w:spacing w:after="0" w:line="17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Secretary and Assistant Secretaries</w:t>
      </w:r>
      <w:r>
        <w:rPr>
          <w:rFonts w:ascii="Arial" w:cs="Arial" w:eastAsia="Arial" w:hAnsi="Arial"/>
          <w:sz w:val="16"/>
          <w:szCs w:val="16"/>
          <w:color w:val="auto"/>
        </w:rPr>
        <w:t>. The Secretary shall perform such duties and shall have such powers as the Board of Directors or the 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attend all meetings of stockholders and the Board of Directors and keep a record of the proceedings, to maintain a stock ledger and prepare lists of stockholders and their addresses as required, to be custodian of corporate records and the corporate seal and to affix and attest to the same on documents.</w:t>
      </w:r>
    </w:p>
    <w:p>
      <w:pPr>
        <w:spacing w:after="0" w:line="158"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Any Assistant Secretary shall perform such duties and possess such powers as the Board of Directors, the Chief Executive Officer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the absence of the Secretary or any Assistant Secretary at any meeting of stockholders or directors, the chairman of the meeting shall designate a temporary secretary to keep a record of the meeting.</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Treasurer and Assistant Treasurers</w:t>
      </w:r>
      <w:r>
        <w:rPr>
          <w:rFonts w:ascii="Arial" w:cs="Arial" w:eastAsia="Arial" w:hAnsi="Arial"/>
          <w:sz w:val="18"/>
          <w:szCs w:val="18"/>
          <w:color w:val="auto"/>
        </w:rPr>
        <w:t>. The Treasurer shall perform such duties and shall have such powers as may from time to time be assigned by the Board of Directors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of Directors, to make proper accounts of such funds, and to render as required by the Board of Directors statements of all such transactions and of the financial condition of the corporation.</w:t>
      </w:r>
    </w:p>
    <w:p>
      <w:pPr>
        <w:spacing w:after="0" w:line="19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Assistant Treasurers shall perform such duties and possess such powers as the Board of Directors, the Chief Executive Officer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spacing w:after="0" w:line="14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Salaries</w:t>
      </w:r>
      <w:r>
        <w:rPr>
          <w:rFonts w:ascii="Arial" w:cs="Arial" w:eastAsia="Arial" w:hAnsi="Arial"/>
          <w:sz w:val="18"/>
          <w:szCs w:val="18"/>
          <w:color w:val="auto"/>
        </w:rPr>
        <w:t>. Officers of the corporation shall be entitled to such salaries, compensation or reimbursement as shall be fixed or allowed from time to time by the Board of Directors.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Board of Directors may from time to time delegate the powers or duties of any officer to any other officer or agent, notwithstanding any provision 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80" w:name="page281"/>
    <w:bookmarkEnd w:id="280"/>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Issuance of Stock</w:t>
      </w:r>
      <w:r>
        <w:rPr>
          <w:rFonts w:ascii="Arial" w:cs="Arial" w:eastAsia="Arial" w:hAnsi="Arial"/>
          <w:sz w:val="18"/>
          <w:szCs w:val="18"/>
          <w:color w:val="auto"/>
        </w:rPr>
        <w:t>.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of Directors in such manner, for such lawful consideration and on such terms as the Board of Directors may determine.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Stock Certificates; Uncertificated Shares</w:t>
      </w:r>
      <w:r>
        <w:rPr>
          <w:rFonts w:ascii="Arial" w:cs="Arial" w:eastAsia="Arial" w:hAnsi="Arial"/>
          <w:sz w:val="18"/>
          <w:szCs w:val="18"/>
          <w:color w:val="auto"/>
        </w:rPr>
        <w:t>. The shares of the corporation shall be represented by certificates, provided that the Board of Directors may provide by resolution or resolutions that some or all of any or all classes or series of the corporation’s stock shall be uncertificated shares. Every holder of stock of the corporation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General Corporation Law of the State of Delaware.</w:t>
      </w:r>
    </w:p>
    <w:p>
      <w:pPr>
        <w:spacing w:after="0" w:line="18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18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Within a reasonable time after the issuance or transfer of uncertificated shares, the corporation shall send to the registered owner thereof a written notice containing the information required to be set forth or stated on certificates pursuant to Sections 151, 202(a) or 218(a) of the General Corporation Law of the State of Delaware or, with respect to Section 151 of the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1" w:name="page282"/>
    <w:bookmarkEnd w:id="281"/>
    <w:p>
      <w:pPr>
        <w:ind w:firstLine="648"/>
        <w:spacing w:after="0" w:line="270"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Transfers</w:t>
      </w:r>
      <w:r>
        <w:rPr>
          <w:rFonts w:ascii="Arial" w:cs="Arial" w:eastAsia="Arial" w:hAnsi="Arial"/>
          <w:sz w:val="17"/>
          <w:szCs w:val="17"/>
          <w:color w:val="auto"/>
        </w:rPr>
        <w:t>. Shares of stock of the corporation shall be transferable in the manner prescribed by law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8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in place of any previously issued certificate alleged to have been lost, stolen or destroyed, upon such terms and conditions as the Board of Directors may prescribe, including the presentation of reasonable evidence of such loss, theft or destruction and the giving of such indemnity and posting of such bond as the Board of Directors may require for the protection of the corporation or any transfer agent or registrar.</w:t>
      </w:r>
    </w:p>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Record Date</w:t>
      </w:r>
      <w:r>
        <w:rPr>
          <w:rFonts w:ascii="Arial" w:cs="Arial" w:eastAsia="Arial" w:hAnsi="Arial"/>
          <w:sz w:val="17"/>
          <w:szCs w:val="17"/>
          <w:color w:val="auto"/>
        </w:rPr>
        <w:t>. The Board of Directors may fix in advance a date as a record date for the determination of the stockholders entitled to notice of or to vote at any meeting of stockholders or to express consent (or dissent) to corporate action without a meeting, or entitled to receive payment of any dividend or other distribution or allotment of any rights in respect of any change, conversion or exchange of stock, or for the purpose of any other lawful action. Such record date shall not precede the date on which the resolution fixing the record date is adopted, and such record date shall not be more than 60 nor less than 10 days before the date of such meeting, nor more than 10 days after the date of adoption of a record date for a consent without a meeting, nor more than 60 days prior to any other action to which such record date relates.</w:t>
      </w:r>
    </w:p>
    <w:p>
      <w:pPr>
        <w:spacing w:after="0" w:line="17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If no record date is fixed,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If no record date is fixed, the record date for determining stockholders entitled to express consent to corporate action without a meeting, when no prior action by the Board of Directors is necessary, shall be the day on which the first consent is properly delivered to the corporation. If no record date is fixed, the record date for determining stockholders for any other purpose shall be at the close of business on the day on which the Board of Directors adopts the resolution relating to such purpose.</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82" w:name="page283"/>
    <w:bookmarkEnd w:id="282"/>
    <w:p>
      <w:pPr>
        <w:ind w:right="740" w:firstLine="648"/>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Regulations</w:t>
      </w:r>
      <w:r>
        <w:rPr>
          <w:rFonts w:ascii="Arial" w:cs="Arial" w:eastAsia="Arial" w:hAnsi="Arial"/>
          <w:sz w:val="18"/>
          <w:szCs w:val="18"/>
          <w:color w:val="auto"/>
        </w:rPr>
        <w:t>. The issue, transfer, conversion and registration of shares of stock of the corporation shall be governed by such other regulations as the Board of Directors may establish.</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Fiscal Year</w:t>
      </w:r>
      <w:r>
        <w:rPr>
          <w:rFonts w:ascii="Arial" w:cs="Arial" w:eastAsia="Arial" w:hAnsi="Arial"/>
          <w:sz w:val="18"/>
          <w:szCs w:val="18"/>
          <w:color w:val="auto"/>
        </w:rPr>
        <w:t>. Except as from time to time otherwise designated by the Board of Directors, the fiscal year of the corporation shall begin on the first day of January of each year and end on the last day of December in each year.</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Corporate Seal</w:t>
      </w:r>
      <w:r>
        <w:rPr>
          <w:rFonts w:ascii="Arial" w:cs="Arial" w:eastAsia="Arial" w:hAnsi="Arial"/>
          <w:sz w:val="16"/>
          <w:szCs w:val="16"/>
          <w:color w:val="auto"/>
        </w:rPr>
        <w:t>. The corporate seal shall be in such form as shall be approved by the Board of Directors.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notice is required to be given by law, by the Certificate of Incorporation or by these Bylaws, a written waiver, signed by the person entitled to notice, or a waiver by electronic transmission by the person entitled to notice, whether before, at or after the time of the event for which notice is to be given, shall be deemed equivalent to notice required to be given to such person. Neither the business nor the purpose of any meeting need be specified in any such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Voting of Securities</w:t>
      </w:r>
      <w:r>
        <w:rPr>
          <w:rFonts w:ascii="Arial" w:cs="Arial" w:eastAsia="Arial" w:hAnsi="Arial"/>
          <w:sz w:val="18"/>
          <w:szCs w:val="18"/>
          <w:color w:val="auto"/>
        </w:rPr>
        <w:t>. Except as the Board of Directors may otherwise designate, the Chief Executive Officer, the President or the Treasurer may waive notice of, vote, or appoint any person or persons to vote, on behalf of the corporation at, and act as, or appoint any person or persons to act as, proxy or attorney-in-fact for this corporation (with or without power of substitution) at, any meeting of stockholders or securityholders of any other entity, the securities of which may be held by this corporation.</w:t>
      </w:r>
    </w:p>
    <w:p>
      <w:pPr>
        <w:spacing w:after="0" w:line="18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Evidence of Authority</w:t>
      </w:r>
      <w:r>
        <w:rPr>
          <w:rFonts w:ascii="Arial" w:cs="Arial" w:eastAsia="Arial" w:hAnsi="Arial"/>
          <w:sz w:val="18"/>
          <w:szCs w:val="18"/>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All references in these Bylaws to the Certificate of Incorporation shall be deemed to refer to the Certificate of Incorporation of the corporation, as amended and in effect from time to time.</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Severability</w:t>
      </w:r>
      <w:r>
        <w:rPr>
          <w:rFonts w:ascii="Arial" w:cs="Arial" w:eastAsia="Arial" w:hAnsi="Arial"/>
          <w:sz w:val="18"/>
          <w:szCs w:val="18"/>
          <w:color w:val="auto"/>
        </w:rPr>
        <w:t>. Any determination that any provision of these Bylaws is for any reason inapplicable, illegal or ineffective shall not affect or invalidate any other provision of these Bylaws.</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Pronouns</w:t>
      </w:r>
      <w:r>
        <w:rPr>
          <w:rFonts w:ascii="Arial" w:cs="Arial" w:eastAsia="Arial" w:hAnsi="Arial"/>
          <w:sz w:val="18"/>
          <w:szCs w:val="18"/>
          <w:color w:val="auto"/>
        </w:rPr>
        <w:t>. All pronouns used in these Bylaws shall be deemed to refer to the masculine, feminine or neuter, singular or plural, as the identity of the person or persons may require.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283" w:name="page284"/>
    <w:bookmarkEnd w:id="283"/>
    <w:p>
      <w:pPr>
        <w:jc w:val="center"/>
        <w:ind w:right="-17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AMENDMENTS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By the Board of Directors</w:t>
      </w:r>
      <w:r>
        <w:rPr>
          <w:rFonts w:ascii="Arial" w:cs="Arial" w:eastAsia="Arial" w:hAnsi="Arial"/>
          <w:sz w:val="18"/>
          <w:szCs w:val="18"/>
          <w:color w:val="auto"/>
        </w:rPr>
        <w:t>. These Bylaws may be altered, amended or repealed, in whole or in part, or new bylaws may be adopted by the Board of Directors.</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By the Stockholders</w:t>
      </w:r>
      <w:r>
        <w:rPr>
          <w:rFonts w:ascii="Arial" w:cs="Arial" w:eastAsia="Arial" w:hAnsi="Arial"/>
          <w:sz w:val="18"/>
          <w:szCs w:val="18"/>
          <w:color w:val="auto"/>
        </w:rPr>
        <w:t>. These Bylaws may be altered, amended or repealed, in whole or in part, or new bylaws may be adopted by the affirmative vote of the holders of a majority of the shares of the capital stock of the corporation issued and outstanding and entitled to vote at any annual meeting of stockholders, or at any special meeting of stockholders, provided notice of such alteration, amendment, repeal or adoption of new bylaws shall have been stated in the notice of such special meeting.</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37" w:right="41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August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220980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6660" w:type="dxa"/>
            <w:vAlign w:val="bottom"/>
            <w:gridSpan w:val="4"/>
          </w:tcPr>
          <w:p>
            <w:pPr>
              <w:jc w:val="right"/>
              <w:ind w:right="4840"/>
              <w:spacing w:after="0"/>
              <w:rPr>
                <w:sz w:val="20"/>
                <w:szCs w:val="20"/>
                <w:color w:val="auto"/>
              </w:rPr>
            </w:pPr>
            <w:r>
              <w:rPr>
                <w:rFonts w:ascii="Arial" w:cs="Arial" w:eastAsia="Arial" w:hAnsi="Arial"/>
                <w:sz w:val="18"/>
                <w:szCs w:val="18"/>
                <w:color w:val="auto"/>
                <w:w w:val="94"/>
              </w:rPr>
              <w:t>TABLE OF CONTENTS</w:t>
            </w:r>
          </w:p>
        </w:tc>
      </w:tr>
      <w:tr>
        <w:trPr>
          <w:trHeight w:val="385"/>
        </w:trPr>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3660" w:type="dxa"/>
            <w:vAlign w:val="bottom"/>
          </w:tcPr>
          <w:p>
            <w:pPr>
              <w:spacing w:after="0"/>
              <w:rPr>
                <w:sz w:val="24"/>
                <w:szCs w:val="24"/>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1.</w:t>
            </w:r>
          </w:p>
        </w:tc>
        <w:tc>
          <w:tcPr>
            <w:tcW w:w="4480" w:type="dxa"/>
            <w:vAlign w:val="bottom"/>
            <w:gridSpan w:val="2"/>
          </w:tcPr>
          <w:p>
            <w:pPr>
              <w:ind w:left="180"/>
              <w:spacing w:after="0"/>
              <w:rPr>
                <w:sz w:val="20"/>
                <w:szCs w:val="20"/>
                <w:color w:val="auto"/>
              </w:rPr>
            </w:pPr>
            <w:r>
              <w:rPr>
                <w:rFonts w:ascii="Arial" w:cs="Arial" w:eastAsia="Arial" w:hAnsi="Arial"/>
                <w:sz w:val="18"/>
                <w:szCs w:val="18"/>
                <w:color w:val="auto"/>
              </w:rPr>
              <w:t>Definitions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2.</w:t>
            </w:r>
          </w:p>
        </w:tc>
        <w:tc>
          <w:tcPr>
            <w:tcW w:w="4480" w:type="dxa"/>
            <w:vAlign w:val="bottom"/>
            <w:gridSpan w:val="2"/>
          </w:tcPr>
          <w:p>
            <w:pPr>
              <w:ind w:left="180"/>
              <w:spacing w:after="0"/>
              <w:rPr>
                <w:sz w:val="20"/>
                <w:szCs w:val="20"/>
                <w:color w:val="auto"/>
              </w:rPr>
            </w:pPr>
            <w:r>
              <w:rPr>
                <w:rFonts w:ascii="Arial" w:cs="Arial" w:eastAsia="Arial" w:hAnsi="Arial"/>
                <w:sz w:val="18"/>
                <w:szCs w:val="18"/>
                <w:color w:val="auto"/>
              </w:rPr>
              <w:t>Registration Rights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2.1</w:t>
            </w:r>
          </w:p>
        </w:tc>
        <w:tc>
          <w:tcPr>
            <w:tcW w:w="3860" w:type="dxa"/>
            <w:vAlign w:val="bottom"/>
          </w:tcPr>
          <w:p>
            <w:pPr>
              <w:ind w:left="120"/>
              <w:spacing w:after="0"/>
              <w:rPr>
                <w:sz w:val="20"/>
                <w:szCs w:val="20"/>
                <w:color w:val="auto"/>
              </w:rPr>
            </w:pPr>
            <w:r>
              <w:rPr>
                <w:rFonts w:ascii="Arial" w:cs="Arial" w:eastAsia="Arial" w:hAnsi="Arial"/>
                <w:sz w:val="18"/>
                <w:szCs w:val="18"/>
                <w:color w:val="auto"/>
              </w:rPr>
              <w:t>Demand Registration</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2.2</w:t>
            </w:r>
          </w:p>
        </w:tc>
        <w:tc>
          <w:tcPr>
            <w:tcW w:w="3860" w:type="dxa"/>
            <w:vAlign w:val="bottom"/>
          </w:tcPr>
          <w:p>
            <w:pPr>
              <w:ind w:left="120"/>
              <w:spacing w:after="0"/>
              <w:rPr>
                <w:sz w:val="20"/>
                <w:szCs w:val="20"/>
                <w:color w:val="auto"/>
              </w:rPr>
            </w:pPr>
            <w:r>
              <w:rPr>
                <w:rFonts w:ascii="Arial" w:cs="Arial" w:eastAsia="Arial" w:hAnsi="Arial"/>
                <w:sz w:val="18"/>
                <w:szCs w:val="18"/>
                <w:color w:val="auto"/>
              </w:rPr>
              <w:t>Company Registration</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2.3</w:t>
            </w:r>
          </w:p>
        </w:tc>
        <w:tc>
          <w:tcPr>
            <w:tcW w:w="3860" w:type="dxa"/>
            <w:vAlign w:val="bottom"/>
          </w:tcPr>
          <w:p>
            <w:pPr>
              <w:ind w:left="120"/>
              <w:spacing w:after="0"/>
              <w:rPr>
                <w:sz w:val="20"/>
                <w:szCs w:val="20"/>
                <w:color w:val="auto"/>
              </w:rPr>
            </w:pPr>
            <w:r>
              <w:rPr>
                <w:rFonts w:ascii="Arial" w:cs="Arial" w:eastAsia="Arial" w:hAnsi="Arial"/>
                <w:sz w:val="18"/>
                <w:szCs w:val="18"/>
                <w:color w:val="auto"/>
              </w:rPr>
              <w:t>Underwriting Requirements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2.4</w:t>
            </w:r>
          </w:p>
        </w:tc>
        <w:tc>
          <w:tcPr>
            <w:tcW w:w="3860" w:type="dxa"/>
            <w:vAlign w:val="bottom"/>
          </w:tcPr>
          <w:p>
            <w:pPr>
              <w:ind w:left="120"/>
              <w:spacing w:after="0"/>
              <w:rPr>
                <w:sz w:val="20"/>
                <w:szCs w:val="20"/>
                <w:color w:val="auto"/>
              </w:rPr>
            </w:pPr>
            <w:r>
              <w:rPr>
                <w:rFonts w:ascii="Arial" w:cs="Arial" w:eastAsia="Arial" w:hAnsi="Arial"/>
                <w:sz w:val="18"/>
                <w:szCs w:val="18"/>
                <w:color w:val="auto"/>
              </w:rPr>
              <w:t>Obligations of the Company</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8</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2.5</w:t>
            </w:r>
          </w:p>
        </w:tc>
        <w:tc>
          <w:tcPr>
            <w:tcW w:w="3860" w:type="dxa"/>
            <w:vAlign w:val="bottom"/>
          </w:tcPr>
          <w:p>
            <w:pPr>
              <w:ind w:left="120"/>
              <w:spacing w:after="0"/>
              <w:rPr>
                <w:sz w:val="20"/>
                <w:szCs w:val="20"/>
                <w:color w:val="auto"/>
              </w:rPr>
            </w:pPr>
            <w:r>
              <w:rPr>
                <w:rFonts w:ascii="Arial" w:cs="Arial" w:eastAsia="Arial" w:hAnsi="Arial"/>
                <w:sz w:val="18"/>
                <w:szCs w:val="18"/>
                <w:color w:val="auto"/>
              </w:rPr>
              <w:t>Furnish Information</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2.6</w:t>
            </w:r>
          </w:p>
        </w:tc>
        <w:tc>
          <w:tcPr>
            <w:tcW w:w="3860" w:type="dxa"/>
            <w:vAlign w:val="bottom"/>
          </w:tcPr>
          <w:p>
            <w:pPr>
              <w:ind w:left="120"/>
              <w:spacing w:after="0"/>
              <w:rPr>
                <w:sz w:val="20"/>
                <w:szCs w:val="20"/>
                <w:color w:val="auto"/>
              </w:rPr>
            </w:pPr>
            <w:r>
              <w:rPr>
                <w:rFonts w:ascii="Arial" w:cs="Arial" w:eastAsia="Arial" w:hAnsi="Arial"/>
                <w:sz w:val="18"/>
                <w:szCs w:val="18"/>
                <w:color w:val="auto"/>
              </w:rPr>
              <w:t>Expenses of Registration</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2.7</w:t>
            </w:r>
          </w:p>
        </w:tc>
        <w:tc>
          <w:tcPr>
            <w:tcW w:w="3860" w:type="dxa"/>
            <w:vAlign w:val="bottom"/>
          </w:tcPr>
          <w:p>
            <w:pPr>
              <w:ind w:left="120"/>
              <w:spacing w:after="0"/>
              <w:rPr>
                <w:sz w:val="20"/>
                <w:szCs w:val="20"/>
                <w:color w:val="auto"/>
              </w:rPr>
            </w:pPr>
            <w:r>
              <w:rPr>
                <w:rFonts w:ascii="Arial" w:cs="Arial" w:eastAsia="Arial" w:hAnsi="Arial"/>
                <w:sz w:val="18"/>
                <w:szCs w:val="18"/>
                <w:color w:val="auto"/>
              </w:rPr>
              <w:t>Delay of Registration</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2.8</w:t>
            </w:r>
          </w:p>
        </w:tc>
        <w:tc>
          <w:tcPr>
            <w:tcW w:w="386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2.9</w:t>
            </w:r>
          </w:p>
        </w:tc>
        <w:tc>
          <w:tcPr>
            <w:tcW w:w="3860" w:type="dxa"/>
            <w:vAlign w:val="bottom"/>
          </w:tcPr>
          <w:p>
            <w:pPr>
              <w:ind w:left="120"/>
              <w:spacing w:after="0"/>
              <w:rPr>
                <w:sz w:val="20"/>
                <w:szCs w:val="20"/>
                <w:color w:val="auto"/>
              </w:rPr>
            </w:pPr>
            <w:r>
              <w:rPr>
                <w:rFonts w:ascii="Arial" w:cs="Arial" w:eastAsia="Arial" w:hAnsi="Arial"/>
                <w:sz w:val="18"/>
                <w:szCs w:val="18"/>
                <w:color w:val="auto"/>
              </w:rPr>
              <w:t>Reports Under Exchange Act</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2.10</w:t>
            </w:r>
          </w:p>
        </w:tc>
        <w:tc>
          <w:tcPr>
            <w:tcW w:w="3860" w:type="dxa"/>
            <w:vAlign w:val="bottom"/>
          </w:tcPr>
          <w:p>
            <w:pPr>
              <w:ind w:left="120"/>
              <w:spacing w:after="0"/>
              <w:rPr>
                <w:sz w:val="20"/>
                <w:szCs w:val="20"/>
                <w:color w:val="auto"/>
              </w:rPr>
            </w:pPr>
            <w:r>
              <w:rPr>
                <w:rFonts w:ascii="Arial" w:cs="Arial" w:eastAsia="Arial" w:hAnsi="Arial"/>
                <w:sz w:val="18"/>
                <w:szCs w:val="18"/>
                <w:color w:val="auto"/>
              </w:rPr>
              <w:t>Limitations on Subsequent Registration Rights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13</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2.11</w:t>
            </w:r>
          </w:p>
        </w:tc>
        <w:tc>
          <w:tcPr>
            <w:tcW w:w="3860" w:type="dxa"/>
            <w:vAlign w:val="bottom"/>
          </w:tcPr>
          <w:p>
            <w:pPr>
              <w:ind w:left="120"/>
              <w:spacing w:after="0"/>
              <w:rPr>
                <w:sz w:val="20"/>
                <w:szCs w:val="20"/>
                <w:color w:val="auto"/>
              </w:rPr>
            </w:pPr>
            <w:r>
              <w:rPr>
                <w:rFonts w:ascii="Arial" w:cs="Arial" w:eastAsia="Arial" w:hAnsi="Arial"/>
                <w:sz w:val="18"/>
                <w:szCs w:val="18"/>
                <w:color w:val="auto"/>
              </w:rPr>
              <w:t>“Market Stand-off” Agreement</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13</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2.12</w:t>
            </w:r>
          </w:p>
        </w:tc>
        <w:tc>
          <w:tcPr>
            <w:tcW w:w="3860" w:type="dxa"/>
            <w:vAlign w:val="bottom"/>
          </w:tcPr>
          <w:p>
            <w:pPr>
              <w:ind w:left="120"/>
              <w:spacing w:after="0"/>
              <w:rPr>
                <w:sz w:val="20"/>
                <w:szCs w:val="20"/>
                <w:color w:val="auto"/>
              </w:rPr>
            </w:pPr>
            <w:r>
              <w:rPr>
                <w:rFonts w:ascii="Arial" w:cs="Arial" w:eastAsia="Arial" w:hAnsi="Arial"/>
                <w:sz w:val="18"/>
                <w:szCs w:val="18"/>
                <w:color w:val="auto"/>
              </w:rPr>
              <w:t>Restrictions on Transfer</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14</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2.13</w:t>
            </w:r>
          </w:p>
        </w:tc>
        <w:tc>
          <w:tcPr>
            <w:tcW w:w="3860" w:type="dxa"/>
            <w:vAlign w:val="bottom"/>
          </w:tcPr>
          <w:p>
            <w:pPr>
              <w:ind w:left="120"/>
              <w:spacing w:after="0"/>
              <w:rPr>
                <w:sz w:val="20"/>
                <w:szCs w:val="20"/>
                <w:color w:val="auto"/>
              </w:rPr>
            </w:pPr>
            <w:r>
              <w:rPr>
                <w:rFonts w:ascii="Arial" w:cs="Arial" w:eastAsia="Arial" w:hAnsi="Arial"/>
                <w:sz w:val="18"/>
                <w:szCs w:val="18"/>
                <w:color w:val="auto"/>
              </w:rPr>
              <w:t>Termination of Registration Rights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3.</w:t>
            </w:r>
          </w:p>
        </w:tc>
        <w:tc>
          <w:tcPr>
            <w:tcW w:w="4480" w:type="dxa"/>
            <w:vAlign w:val="bottom"/>
            <w:gridSpan w:val="2"/>
          </w:tcPr>
          <w:p>
            <w:pPr>
              <w:ind w:left="180"/>
              <w:spacing w:after="0"/>
              <w:rPr>
                <w:sz w:val="20"/>
                <w:szCs w:val="20"/>
                <w:color w:val="auto"/>
              </w:rPr>
            </w:pPr>
            <w:r>
              <w:rPr>
                <w:rFonts w:ascii="Arial" w:cs="Arial" w:eastAsia="Arial" w:hAnsi="Arial"/>
                <w:sz w:val="18"/>
                <w:szCs w:val="18"/>
                <w:color w:val="auto"/>
              </w:rPr>
              <w:t>Information and Observer Rights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3.1</w:t>
            </w:r>
          </w:p>
        </w:tc>
        <w:tc>
          <w:tcPr>
            <w:tcW w:w="3860" w:type="dxa"/>
            <w:vAlign w:val="bottom"/>
          </w:tcPr>
          <w:p>
            <w:pPr>
              <w:ind w:left="120"/>
              <w:spacing w:after="0"/>
              <w:rPr>
                <w:sz w:val="20"/>
                <w:szCs w:val="20"/>
                <w:color w:val="auto"/>
              </w:rPr>
            </w:pPr>
            <w:r>
              <w:rPr>
                <w:rFonts w:ascii="Arial" w:cs="Arial" w:eastAsia="Arial" w:hAnsi="Arial"/>
                <w:sz w:val="18"/>
                <w:szCs w:val="18"/>
                <w:color w:val="auto"/>
              </w:rPr>
              <w:t>Delivery of Financial Statements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3.2</w:t>
            </w:r>
          </w:p>
        </w:tc>
        <w:tc>
          <w:tcPr>
            <w:tcW w:w="3860" w:type="dxa"/>
            <w:vAlign w:val="bottom"/>
          </w:tcPr>
          <w:p>
            <w:pPr>
              <w:ind w:left="120"/>
              <w:spacing w:after="0"/>
              <w:rPr>
                <w:sz w:val="20"/>
                <w:szCs w:val="20"/>
                <w:color w:val="auto"/>
              </w:rPr>
            </w:pPr>
            <w:r>
              <w:rPr>
                <w:rFonts w:ascii="Arial" w:cs="Arial" w:eastAsia="Arial" w:hAnsi="Arial"/>
                <w:sz w:val="18"/>
                <w:szCs w:val="18"/>
                <w:color w:val="auto"/>
              </w:rPr>
              <w:t>Inspection</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3.3</w:t>
            </w:r>
          </w:p>
        </w:tc>
        <w:tc>
          <w:tcPr>
            <w:tcW w:w="3860" w:type="dxa"/>
            <w:vAlign w:val="bottom"/>
          </w:tcPr>
          <w:p>
            <w:pPr>
              <w:ind w:left="120"/>
              <w:spacing w:after="0"/>
              <w:rPr>
                <w:sz w:val="20"/>
                <w:szCs w:val="20"/>
                <w:color w:val="auto"/>
              </w:rPr>
            </w:pPr>
            <w:r>
              <w:rPr>
                <w:rFonts w:ascii="Arial" w:cs="Arial" w:eastAsia="Arial" w:hAnsi="Arial"/>
                <w:sz w:val="18"/>
                <w:szCs w:val="18"/>
                <w:color w:val="auto"/>
              </w:rPr>
              <w:t>Observer Rights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3.4</w:t>
            </w:r>
          </w:p>
        </w:tc>
        <w:tc>
          <w:tcPr>
            <w:tcW w:w="3860" w:type="dxa"/>
            <w:vAlign w:val="bottom"/>
          </w:tcPr>
          <w:p>
            <w:pPr>
              <w:ind w:left="120"/>
              <w:spacing w:after="0"/>
              <w:rPr>
                <w:sz w:val="20"/>
                <w:szCs w:val="20"/>
                <w:color w:val="auto"/>
              </w:rPr>
            </w:pPr>
            <w:r>
              <w:rPr>
                <w:rFonts w:ascii="Arial" w:cs="Arial" w:eastAsia="Arial" w:hAnsi="Arial"/>
                <w:sz w:val="18"/>
                <w:szCs w:val="18"/>
                <w:color w:val="auto"/>
              </w:rPr>
              <w:t>Termination of Information Rights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3.5</w:t>
            </w:r>
          </w:p>
        </w:tc>
        <w:tc>
          <w:tcPr>
            <w:tcW w:w="386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4.</w:t>
            </w:r>
          </w:p>
        </w:tc>
        <w:tc>
          <w:tcPr>
            <w:tcW w:w="4480" w:type="dxa"/>
            <w:vAlign w:val="bottom"/>
            <w:gridSpan w:val="2"/>
          </w:tcPr>
          <w:p>
            <w:pPr>
              <w:ind w:left="180"/>
              <w:spacing w:after="0"/>
              <w:rPr>
                <w:sz w:val="20"/>
                <w:szCs w:val="20"/>
                <w:color w:val="auto"/>
              </w:rPr>
            </w:pPr>
            <w:r>
              <w:rPr>
                <w:rFonts w:ascii="Arial" w:cs="Arial" w:eastAsia="Arial" w:hAnsi="Arial"/>
                <w:sz w:val="18"/>
                <w:szCs w:val="18"/>
                <w:color w:val="auto"/>
              </w:rPr>
              <w:t>Rights to Future Stock Issuances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18</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4.1</w:t>
            </w:r>
          </w:p>
        </w:tc>
        <w:tc>
          <w:tcPr>
            <w:tcW w:w="3860" w:type="dxa"/>
            <w:vAlign w:val="bottom"/>
          </w:tcPr>
          <w:p>
            <w:pPr>
              <w:ind w:left="120"/>
              <w:spacing w:after="0"/>
              <w:rPr>
                <w:sz w:val="20"/>
                <w:szCs w:val="20"/>
                <w:color w:val="auto"/>
              </w:rPr>
            </w:pPr>
            <w:r>
              <w:rPr>
                <w:rFonts w:ascii="Arial" w:cs="Arial" w:eastAsia="Arial" w:hAnsi="Arial"/>
                <w:sz w:val="18"/>
                <w:szCs w:val="18"/>
                <w:color w:val="auto"/>
              </w:rPr>
              <w:t>Right of First Offer</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18</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4.2</w:t>
            </w:r>
          </w:p>
        </w:tc>
        <w:tc>
          <w:tcPr>
            <w:tcW w:w="386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5.</w:t>
            </w:r>
          </w:p>
        </w:tc>
        <w:tc>
          <w:tcPr>
            <w:tcW w:w="4480" w:type="dxa"/>
            <w:vAlign w:val="bottom"/>
            <w:gridSpan w:val="2"/>
          </w:tcPr>
          <w:p>
            <w:pPr>
              <w:ind w:left="180"/>
              <w:spacing w:after="0"/>
              <w:rPr>
                <w:sz w:val="20"/>
                <w:szCs w:val="20"/>
                <w:color w:val="auto"/>
              </w:rPr>
            </w:pPr>
            <w:r>
              <w:rPr>
                <w:rFonts w:ascii="Arial" w:cs="Arial" w:eastAsia="Arial" w:hAnsi="Arial"/>
                <w:sz w:val="18"/>
                <w:szCs w:val="18"/>
                <w:color w:val="auto"/>
              </w:rPr>
              <w:t>Additional Covenants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5.1</w:t>
            </w:r>
          </w:p>
        </w:tc>
        <w:tc>
          <w:tcPr>
            <w:tcW w:w="386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5.2</w:t>
            </w:r>
          </w:p>
        </w:tc>
        <w:tc>
          <w:tcPr>
            <w:tcW w:w="3860" w:type="dxa"/>
            <w:vAlign w:val="bottom"/>
          </w:tcPr>
          <w:p>
            <w:pPr>
              <w:ind w:left="120"/>
              <w:spacing w:after="0"/>
              <w:rPr>
                <w:sz w:val="20"/>
                <w:szCs w:val="20"/>
                <w:color w:val="auto"/>
              </w:rPr>
            </w:pPr>
            <w:r>
              <w:rPr>
                <w:rFonts w:ascii="Arial" w:cs="Arial" w:eastAsia="Arial" w:hAnsi="Arial"/>
                <w:sz w:val="18"/>
                <w:szCs w:val="18"/>
                <w:color w:val="auto"/>
              </w:rPr>
              <w:t>Employee Agreements</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5.3</w:t>
            </w:r>
          </w:p>
        </w:tc>
        <w:tc>
          <w:tcPr>
            <w:tcW w:w="3860" w:type="dxa"/>
            <w:vAlign w:val="bottom"/>
          </w:tcPr>
          <w:p>
            <w:pPr>
              <w:ind w:left="120"/>
              <w:spacing w:after="0"/>
              <w:rPr>
                <w:sz w:val="20"/>
                <w:szCs w:val="20"/>
                <w:color w:val="auto"/>
              </w:rPr>
            </w:pPr>
            <w:r>
              <w:rPr>
                <w:rFonts w:ascii="Arial" w:cs="Arial" w:eastAsia="Arial" w:hAnsi="Arial"/>
                <w:sz w:val="18"/>
                <w:szCs w:val="18"/>
                <w:color w:val="auto"/>
              </w:rPr>
              <w:t>Employee Vesting</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20</w:t>
            </w:r>
          </w:p>
        </w:tc>
      </w:tr>
      <w:tr>
        <w:trPr>
          <w:trHeight w:val="432"/>
        </w:trPr>
        <w:tc>
          <w:tcPr>
            <w:tcW w:w="32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5.4</w:t>
            </w:r>
          </w:p>
        </w:tc>
        <w:tc>
          <w:tcPr>
            <w:tcW w:w="3860" w:type="dxa"/>
            <w:vAlign w:val="bottom"/>
          </w:tcPr>
          <w:p>
            <w:pPr>
              <w:ind w:left="120"/>
              <w:spacing w:after="0"/>
              <w:rPr>
                <w:sz w:val="20"/>
                <w:szCs w:val="20"/>
                <w:color w:val="auto"/>
              </w:rPr>
            </w:pPr>
            <w:r>
              <w:rPr>
                <w:rFonts w:ascii="Arial" w:cs="Arial" w:eastAsia="Arial" w:hAnsi="Arial"/>
                <w:sz w:val="18"/>
                <w:szCs w:val="18"/>
                <w:color w:val="auto"/>
              </w:rPr>
              <w:t>Matters Requiring Investor Director Approval</w:t>
            </w:r>
          </w:p>
        </w:tc>
        <w:tc>
          <w:tcPr>
            <w:tcW w:w="6660" w:type="dxa"/>
            <w:vAlign w:val="bottom"/>
            <w:gridSpan w:val="4"/>
          </w:tcPr>
          <w:p>
            <w:pPr>
              <w:jc w:val="right"/>
              <w:ind w:right="40"/>
              <w:spacing w:after="0"/>
              <w:rPr>
                <w:sz w:val="20"/>
                <w:szCs w:val="20"/>
                <w:color w:val="auto"/>
              </w:rPr>
            </w:pPr>
            <w:r>
              <w:rPr>
                <w:rFonts w:ascii="Arial" w:cs="Arial" w:eastAsia="Arial" w:hAnsi="Arial"/>
                <w:sz w:val="18"/>
                <w:szCs w:val="18"/>
                <w:color w:val="auto"/>
              </w:rPr>
              <w:t>20</w:t>
            </w:r>
          </w:p>
        </w:tc>
      </w:tr>
      <w:tr>
        <w:trPr>
          <w:trHeight w:val="432"/>
        </w:trPr>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660" w:type="dxa"/>
            <w:vAlign w:val="bottom"/>
            <w:gridSpan w:val="4"/>
          </w:tcPr>
          <w:p>
            <w:pPr>
              <w:jc w:val="right"/>
              <w:ind w:right="5720"/>
              <w:spacing w:after="0"/>
              <w:rPr>
                <w:sz w:val="20"/>
                <w:szCs w:val="20"/>
                <w:color w:val="auto"/>
              </w:rPr>
            </w:pPr>
            <w:r>
              <w:rPr>
                <w:rFonts w:ascii="Arial" w:cs="Arial" w:eastAsia="Arial" w:hAnsi="Arial"/>
                <w:sz w:val="18"/>
                <w:szCs w:val="18"/>
                <w:color w:val="auto"/>
              </w:rPr>
              <w:t>i</w:t>
            </w:r>
          </w:p>
        </w:tc>
      </w:tr>
      <w:tr>
        <w:trPr>
          <w:trHeight w:val="132"/>
        </w:trPr>
        <w:tc>
          <w:tcPr>
            <w:tcW w:w="3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386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36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5.5</w:t>
            </w:r>
          </w:p>
        </w:tc>
        <w:tc>
          <w:tcPr>
            <w:tcW w:w="4140" w:type="dxa"/>
            <w:vAlign w:val="bottom"/>
          </w:tcPr>
          <w:p>
            <w:pPr>
              <w:ind w:left="100"/>
              <w:spacing w:after="0"/>
              <w:rPr>
                <w:sz w:val="20"/>
                <w:szCs w:val="20"/>
                <w:color w:val="auto"/>
              </w:rPr>
            </w:pPr>
            <w:r>
              <w:rPr>
                <w:rFonts w:ascii="Arial" w:cs="Arial" w:eastAsia="Arial" w:hAnsi="Arial"/>
                <w:sz w:val="18"/>
                <w:szCs w:val="18"/>
                <w:color w:val="auto"/>
              </w:rPr>
              <w:t>Meetings of the Board of Directors; Committees</w:t>
            </w:r>
          </w:p>
        </w:tc>
        <w:tc>
          <w:tcPr>
            <w:tcW w:w="6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5.6</w:t>
            </w:r>
          </w:p>
        </w:tc>
        <w:tc>
          <w:tcPr>
            <w:tcW w:w="4140" w:type="dxa"/>
            <w:vAlign w:val="bottom"/>
          </w:tcPr>
          <w:p>
            <w:pPr>
              <w:ind w:left="100"/>
              <w:spacing w:after="0"/>
              <w:rPr>
                <w:sz w:val="20"/>
                <w:szCs w:val="20"/>
                <w:color w:val="auto"/>
              </w:rPr>
            </w:pPr>
            <w:r>
              <w:rPr>
                <w:rFonts w:ascii="Arial" w:cs="Arial" w:eastAsia="Arial" w:hAnsi="Arial"/>
                <w:sz w:val="18"/>
                <w:szCs w:val="18"/>
                <w:color w:val="auto"/>
              </w:rPr>
              <w:t>Successor Indemnification</w:t>
            </w:r>
          </w:p>
        </w:tc>
        <w:tc>
          <w:tcPr>
            <w:tcW w:w="6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5.7</w:t>
            </w:r>
          </w:p>
        </w:tc>
        <w:tc>
          <w:tcPr>
            <w:tcW w:w="4140" w:type="dxa"/>
            <w:vAlign w:val="bottom"/>
          </w:tcPr>
          <w:p>
            <w:pPr>
              <w:ind w:left="100"/>
              <w:spacing w:after="0"/>
              <w:rPr>
                <w:sz w:val="20"/>
                <w:szCs w:val="20"/>
                <w:color w:val="auto"/>
              </w:rPr>
            </w:pPr>
            <w:r>
              <w:rPr>
                <w:rFonts w:ascii="Arial" w:cs="Arial" w:eastAsia="Arial" w:hAnsi="Arial"/>
                <w:sz w:val="18"/>
                <w:szCs w:val="18"/>
                <w:color w:val="auto"/>
              </w:rPr>
              <w:t>Board Expenses</w:t>
            </w:r>
          </w:p>
        </w:tc>
        <w:tc>
          <w:tcPr>
            <w:tcW w:w="6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5.8</w:t>
            </w:r>
          </w:p>
        </w:tc>
        <w:tc>
          <w:tcPr>
            <w:tcW w:w="4140" w:type="dxa"/>
            <w:vAlign w:val="bottom"/>
          </w:tcPr>
          <w:p>
            <w:pPr>
              <w:ind w:left="100"/>
              <w:spacing w:after="0"/>
              <w:rPr>
                <w:sz w:val="20"/>
                <w:szCs w:val="20"/>
                <w:color w:val="auto"/>
              </w:rPr>
            </w:pPr>
            <w:r>
              <w:rPr>
                <w:rFonts w:ascii="Arial" w:cs="Arial" w:eastAsia="Arial" w:hAnsi="Arial"/>
                <w:sz w:val="18"/>
                <w:szCs w:val="18"/>
                <w:color w:val="auto"/>
              </w:rPr>
              <w:t>Directors’ Liability and Indemnification</w:t>
            </w:r>
          </w:p>
        </w:tc>
        <w:tc>
          <w:tcPr>
            <w:tcW w:w="6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5.9</w:t>
            </w:r>
          </w:p>
        </w:tc>
        <w:tc>
          <w:tcPr>
            <w:tcW w:w="4140" w:type="dxa"/>
            <w:vAlign w:val="bottom"/>
          </w:tcPr>
          <w:p>
            <w:pPr>
              <w:ind w:left="100"/>
              <w:spacing w:after="0"/>
              <w:rPr>
                <w:sz w:val="20"/>
                <w:szCs w:val="20"/>
                <w:color w:val="auto"/>
              </w:rPr>
            </w:pPr>
            <w:r>
              <w:rPr>
                <w:rFonts w:ascii="Arial" w:cs="Arial" w:eastAsia="Arial" w:hAnsi="Arial"/>
                <w:sz w:val="18"/>
                <w:szCs w:val="18"/>
                <w:color w:val="auto"/>
              </w:rPr>
              <w:t>Right to Conduct Activities</w:t>
            </w:r>
          </w:p>
        </w:tc>
        <w:tc>
          <w:tcPr>
            <w:tcW w:w="6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5.10</w:t>
            </w:r>
          </w:p>
        </w:tc>
        <w:tc>
          <w:tcPr>
            <w:tcW w:w="4140" w:type="dxa"/>
            <w:vAlign w:val="bottom"/>
          </w:tcPr>
          <w:p>
            <w:pPr>
              <w:ind w:left="100"/>
              <w:spacing w:after="0"/>
              <w:rPr>
                <w:sz w:val="20"/>
                <w:szCs w:val="20"/>
                <w:color w:val="auto"/>
              </w:rPr>
            </w:pPr>
            <w:r>
              <w:rPr>
                <w:rFonts w:ascii="Arial" w:cs="Arial" w:eastAsia="Arial" w:hAnsi="Arial"/>
                <w:sz w:val="18"/>
                <w:szCs w:val="18"/>
                <w:color w:val="auto"/>
              </w:rPr>
              <w:t>ERISA</w:t>
            </w:r>
          </w:p>
        </w:tc>
        <w:tc>
          <w:tcPr>
            <w:tcW w:w="6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5.11</w:t>
            </w:r>
          </w:p>
        </w:tc>
        <w:tc>
          <w:tcPr>
            <w:tcW w:w="4140" w:type="dxa"/>
            <w:vAlign w:val="bottom"/>
          </w:tcPr>
          <w:p>
            <w:pPr>
              <w:ind w:left="100"/>
              <w:spacing w:after="0"/>
              <w:rPr>
                <w:sz w:val="20"/>
                <w:szCs w:val="20"/>
                <w:color w:val="auto"/>
              </w:rPr>
            </w:pPr>
            <w:r>
              <w:rPr>
                <w:rFonts w:ascii="Arial" w:cs="Arial" w:eastAsia="Arial" w:hAnsi="Arial"/>
                <w:sz w:val="18"/>
                <w:szCs w:val="18"/>
                <w:color w:val="auto"/>
              </w:rPr>
              <w:t>Termination of Covenants</w:t>
            </w:r>
          </w:p>
        </w:tc>
        <w:tc>
          <w:tcPr>
            <w:tcW w:w="6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6.</w:t>
            </w:r>
          </w:p>
        </w:tc>
        <w:tc>
          <w:tcPr>
            <w:tcW w:w="4780" w:type="dxa"/>
            <w:vAlign w:val="bottom"/>
            <w:gridSpan w:val="2"/>
          </w:tcPr>
          <w:p>
            <w:pPr>
              <w:ind w:left="180"/>
              <w:spacing w:after="0"/>
              <w:rPr>
                <w:sz w:val="20"/>
                <w:szCs w:val="20"/>
                <w:color w:val="auto"/>
              </w:rPr>
            </w:pPr>
            <w:r>
              <w:rPr>
                <w:rFonts w:ascii="Arial" w:cs="Arial" w:eastAsia="Arial" w:hAnsi="Arial"/>
                <w:sz w:val="18"/>
                <w:szCs w:val="18"/>
                <w:color w:val="auto"/>
              </w:rPr>
              <w:t>Miscellaneous</w:t>
            </w:r>
          </w:p>
        </w:tc>
        <w:tc>
          <w:tcPr>
            <w:tcW w:w="6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6.1</w:t>
            </w:r>
          </w:p>
        </w:tc>
        <w:tc>
          <w:tcPr>
            <w:tcW w:w="414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6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6.2</w:t>
            </w:r>
          </w:p>
        </w:tc>
        <w:tc>
          <w:tcPr>
            <w:tcW w:w="41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6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6.3</w:t>
            </w:r>
          </w:p>
        </w:tc>
        <w:tc>
          <w:tcPr>
            <w:tcW w:w="4140" w:type="dxa"/>
            <w:vAlign w:val="bottom"/>
          </w:tcPr>
          <w:p>
            <w:pPr>
              <w:ind w:left="100"/>
              <w:spacing w:after="0"/>
              <w:rPr>
                <w:sz w:val="20"/>
                <w:szCs w:val="20"/>
                <w:color w:val="auto"/>
              </w:rPr>
            </w:pPr>
            <w:r>
              <w:rPr>
                <w:rFonts w:ascii="Arial" w:cs="Arial" w:eastAsia="Arial" w:hAnsi="Arial"/>
                <w:sz w:val="18"/>
                <w:szCs w:val="18"/>
                <w:color w:val="auto"/>
              </w:rPr>
              <w:t>Counterparts; Facsimile</w:t>
            </w:r>
          </w:p>
        </w:tc>
        <w:tc>
          <w:tcPr>
            <w:tcW w:w="6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6.4</w:t>
            </w:r>
          </w:p>
        </w:tc>
        <w:tc>
          <w:tcPr>
            <w:tcW w:w="4140" w:type="dxa"/>
            <w:vAlign w:val="bottom"/>
          </w:tcPr>
          <w:p>
            <w:pPr>
              <w:ind w:left="100"/>
              <w:spacing w:after="0"/>
              <w:rPr>
                <w:sz w:val="20"/>
                <w:szCs w:val="20"/>
                <w:color w:val="auto"/>
              </w:rPr>
            </w:pPr>
            <w:r>
              <w:rPr>
                <w:rFonts w:ascii="Arial" w:cs="Arial" w:eastAsia="Arial" w:hAnsi="Arial"/>
                <w:sz w:val="18"/>
                <w:szCs w:val="18"/>
                <w:color w:val="auto"/>
              </w:rPr>
              <w:t>Titles and Subtitles</w:t>
            </w:r>
          </w:p>
        </w:tc>
        <w:tc>
          <w:tcPr>
            <w:tcW w:w="6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6.5</w:t>
            </w:r>
          </w:p>
        </w:tc>
        <w:tc>
          <w:tcPr>
            <w:tcW w:w="4140" w:type="dxa"/>
            <w:vAlign w:val="bottom"/>
          </w:tcPr>
          <w:p>
            <w:pPr>
              <w:ind w:left="100"/>
              <w:spacing w:after="0"/>
              <w:rPr>
                <w:sz w:val="20"/>
                <w:szCs w:val="20"/>
                <w:color w:val="auto"/>
              </w:rPr>
            </w:pPr>
            <w:r>
              <w:rPr>
                <w:rFonts w:ascii="Arial" w:cs="Arial" w:eastAsia="Arial" w:hAnsi="Arial"/>
                <w:sz w:val="18"/>
                <w:szCs w:val="18"/>
                <w:color w:val="auto"/>
              </w:rPr>
              <w:t>Notices</w:t>
            </w:r>
          </w:p>
        </w:tc>
        <w:tc>
          <w:tcPr>
            <w:tcW w:w="6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6.6</w:t>
            </w:r>
          </w:p>
        </w:tc>
        <w:tc>
          <w:tcPr>
            <w:tcW w:w="4140" w:type="dxa"/>
            <w:vAlign w:val="bottom"/>
          </w:tcPr>
          <w:p>
            <w:pPr>
              <w:ind w:left="100"/>
              <w:spacing w:after="0"/>
              <w:rPr>
                <w:sz w:val="20"/>
                <w:szCs w:val="20"/>
                <w:color w:val="auto"/>
              </w:rPr>
            </w:pPr>
            <w:r>
              <w:rPr>
                <w:rFonts w:ascii="Arial" w:cs="Arial" w:eastAsia="Arial" w:hAnsi="Arial"/>
                <w:sz w:val="18"/>
                <w:szCs w:val="18"/>
                <w:color w:val="auto"/>
              </w:rPr>
              <w:t>Amendments and Waivers</w:t>
            </w:r>
          </w:p>
        </w:tc>
        <w:tc>
          <w:tcPr>
            <w:tcW w:w="6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6.7</w:t>
            </w:r>
          </w:p>
        </w:tc>
        <w:tc>
          <w:tcPr>
            <w:tcW w:w="41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6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6.8</w:t>
            </w:r>
          </w:p>
        </w:tc>
        <w:tc>
          <w:tcPr>
            <w:tcW w:w="4140" w:type="dxa"/>
            <w:vAlign w:val="bottom"/>
          </w:tcPr>
          <w:p>
            <w:pPr>
              <w:ind w:left="100"/>
              <w:spacing w:after="0"/>
              <w:rPr>
                <w:sz w:val="20"/>
                <w:szCs w:val="20"/>
                <w:color w:val="auto"/>
              </w:rPr>
            </w:pPr>
            <w:r>
              <w:rPr>
                <w:rFonts w:ascii="Arial" w:cs="Arial" w:eastAsia="Arial" w:hAnsi="Arial"/>
                <w:sz w:val="18"/>
                <w:szCs w:val="18"/>
                <w:color w:val="auto"/>
              </w:rPr>
              <w:t>Aggregation of Stock</w:t>
            </w:r>
          </w:p>
        </w:tc>
        <w:tc>
          <w:tcPr>
            <w:tcW w:w="6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6.9</w:t>
            </w:r>
          </w:p>
        </w:tc>
        <w:tc>
          <w:tcPr>
            <w:tcW w:w="4140" w:type="dxa"/>
            <w:vAlign w:val="bottom"/>
          </w:tcPr>
          <w:p>
            <w:pPr>
              <w:ind w:left="100"/>
              <w:spacing w:after="0"/>
              <w:rPr>
                <w:sz w:val="20"/>
                <w:szCs w:val="20"/>
                <w:color w:val="auto"/>
              </w:rPr>
            </w:pPr>
            <w:r>
              <w:rPr>
                <w:rFonts w:ascii="Arial" w:cs="Arial" w:eastAsia="Arial" w:hAnsi="Arial"/>
                <w:sz w:val="18"/>
                <w:szCs w:val="18"/>
                <w:color w:val="auto"/>
              </w:rPr>
              <w:t>Additional Investors</w:t>
            </w:r>
          </w:p>
        </w:tc>
        <w:tc>
          <w:tcPr>
            <w:tcW w:w="6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6.10</w:t>
            </w:r>
          </w:p>
        </w:tc>
        <w:tc>
          <w:tcPr>
            <w:tcW w:w="414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6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6.11</w:t>
            </w:r>
          </w:p>
        </w:tc>
        <w:tc>
          <w:tcPr>
            <w:tcW w:w="4140" w:type="dxa"/>
            <w:vAlign w:val="bottom"/>
          </w:tcPr>
          <w:p>
            <w:pPr>
              <w:ind w:left="100"/>
              <w:spacing w:after="0"/>
              <w:rPr>
                <w:sz w:val="20"/>
                <w:szCs w:val="20"/>
                <w:color w:val="auto"/>
              </w:rPr>
            </w:pPr>
            <w:r>
              <w:rPr>
                <w:rFonts w:ascii="Arial" w:cs="Arial" w:eastAsia="Arial" w:hAnsi="Arial"/>
                <w:sz w:val="18"/>
                <w:szCs w:val="18"/>
                <w:color w:val="auto"/>
              </w:rPr>
              <w:t>Delays or Omissions</w:t>
            </w:r>
          </w:p>
        </w:tc>
        <w:tc>
          <w:tcPr>
            <w:tcW w:w="6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6.12</w:t>
            </w:r>
          </w:p>
        </w:tc>
        <w:tc>
          <w:tcPr>
            <w:tcW w:w="4140" w:type="dxa"/>
            <w:vAlign w:val="bottom"/>
          </w:tcPr>
          <w:p>
            <w:pPr>
              <w:ind w:left="100"/>
              <w:spacing w:after="0"/>
              <w:rPr>
                <w:sz w:val="20"/>
                <w:szCs w:val="20"/>
                <w:color w:val="auto"/>
              </w:rPr>
            </w:pPr>
            <w:r>
              <w:rPr>
                <w:rFonts w:ascii="Arial" w:cs="Arial" w:eastAsia="Arial" w:hAnsi="Arial"/>
                <w:sz w:val="18"/>
                <w:szCs w:val="18"/>
                <w:color w:val="auto"/>
              </w:rPr>
              <w:t>Submission to Jurisdiction</w:t>
            </w:r>
          </w:p>
        </w:tc>
        <w:tc>
          <w:tcPr>
            <w:tcW w:w="6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color w:val="auto"/>
              </w:rPr>
              <w:t>Schedule A</w:t>
            </w:r>
          </w:p>
        </w:tc>
        <w:tc>
          <w:tcPr>
            <w:tcW w:w="4140" w:type="dxa"/>
            <w:vAlign w:val="bottom"/>
          </w:tcPr>
          <w:p>
            <w:pPr>
              <w:ind w:left="100"/>
              <w:spacing w:after="0"/>
              <w:rPr>
                <w:sz w:val="20"/>
                <w:szCs w:val="20"/>
                <w:color w:val="auto"/>
              </w:rPr>
            </w:pPr>
            <w:r>
              <w:rPr>
                <w:rFonts w:ascii="Arial" w:cs="Arial" w:eastAsia="Arial" w:hAnsi="Arial"/>
                <w:sz w:val="18"/>
                <w:szCs w:val="18"/>
                <w:color w:val="auto"/>
              </w:rPr>
              <w:t>- Schedule of Investors</w:t>
            </w:r>
          </w:p>
        </w:tc>
        <w:tc>
          <w:tcPr>
            <w:tcW w:w="636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360" w:type="dxa"/>
            <w:vAlign w:val="bottom"/>
          </w:tcPr>
          <w:p>
            <w:pPr>
              <w:jc w:val="right"/>
              <w:ind w:right="5610"/>
              <w:spacing w:after="0"/>
              <w:rPr>
                <w:sz w:val="20"/>
                <w:szCs w:val="20"/>
                <w:color w:val="auto"/>
              </w:rPr>
            </w:pPr>
            <w:r>
              <w:rPr>
                <w:rFonts w:ascii="Arial" w:cs="Arial" w:eastAsia="Arial" w:hAnsi="Arial"/>
                <w:sz w:val="18"/>
                <w:szCs w:val="18"/>
                <w:color w:val="auto"/>
              </w:rPr>
              <w:t>ii</w:t>
            </w:r>
          </w:p>
        </w:tc>
      </w:tr>
      <w:tr>
        <w:trPr>
          <w:trHeight w:val="132"/>
        </w:trPr>
        <w:tc>
          <w:tcPr>
            <w:tcW w:w="32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140" w:type="dxa"/>
            <w:vAlign w:val="bottom"/>
            <w:tcBorders>
              <w:bottom w:val="single" w:sz="8" w:color="808080"/>
            </w:tcBorders>
          </w:tcPr>
          <w:p>
            <w:pPr>
              <w:spacing w:after="0"/>
              <w:rPr>
                <w:sz w:val="11"/>
                <w:szCs w:val="11"/>
                <w:color w:val="auto"/>
              </w:rPr>
            </w:pPr>
          </w:p>
        </w:tc>
        <w:tc>
          <w:tcPr>
            <w:tcW w:w="6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25"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THIS AMENDED AND RESTATED INVESTORS’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August 24, 2018, by and among Fulcrum 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each investor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referred to in this Agreement as an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i w:val="1"/>
          <w:iCs w:val="1"/>
          <w:color w:val="auto"/>
        </w:rPr>
        <w:t>:</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certain of the Investors (the “</w:t>
      </w:r>
      <w:r>
        <w:rPr>
          <w:rFonts w:ascii="Arial" w:cs="Arial" w:eastAsia="Arial" w:hAnsi="Arial"/>
          <w:sz w:val="17"/>
          <w:szCs w:val="17"/>
          <w:b w:val="1"/>
          <w:bCs w:val="1"/>
          <w:color w:val="auto"/>
        </w:rPr>
        <w:t>Existing Investors</w:t>
      </w:r>
      <w:r>
        <w:rPr>
          <w:rFonts w:ascii="Arial" w:cs="Arial" w:eastAsia="Arial" w:hAnsi="Arial"/>
          <w:sz w:val="17"/>
          <w:szCs w:val="17"/>
          <w:color w:val="auto"/>
        </w:rPr>
        <w:t>”) hold shares of the Company’s Series A Preferred Stock and/or shares of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issued upon conversion thereof and possess registration rights, information rights, rights of first offer, and other rights pursuant to that certain Investors’ Rights Agreement, dated as of July 18, 2016, by and among the Company and such Existing Investors (the “</w:t>
      </w:r>
      <w:r>
        <w:rPr>
          <w:rFonts w:ascii="Arial" w:cs="Arial" w:eastAsia="Arial" w:hAnsi="Arial"/>
          <w:sz w:val="17"/>
          <w:szCs w:val="17"/>
          <w:b w:val="1"/>
          <w:bCs w:val="1"/>
          <w:color w:val="auto"/>
        </w:rPr>
        <w:t>Prior Agreement</w:t>
      </w:r>
      <w:r>
        <w:rPr>
          <w:rFonts w:ascii="Arial" w:cs="Arial" w:eastAsia="Arial" w:hAnsi="Arial"/>
          <w:sz w:val="17"/>
          <w:szCs w:val="17"/>
          <w:color w:val="auto"/>
        </w:rPr>
        <w:t>”);</w:t>
      </w:r>
    </w:p>
    <w:p>
      <w:pPr>
        <w:spacing w:after="0" w:line="158" w:lineRule="exact"/>
        <w:rPr>
          <w:sz w:val="20"/>
          <w:szCs w:val="20"/>
          <w:color w:val="auto"/>
        </w:rPr>
      </w:pPr>
    </w:p>
    <w:p>
      <w:pPr>
        <w:ind w:right="460"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Section 6.6 of the Prior Agreement, the Prior Agreement may be amended by written consent of the Company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of at least a majority in interest of the Registrable Securities of the Company (as defined in the Prior Agreement);</w:t>
      </w:r>
    </w:p>
    <w:p>
      <w:pPr>
        <w:spacing w:after="0" w:line="138"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are parties to that certain Series B Preferred Stock Purchase Agreement of even date herewith by and among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such Investors (the “</w:t>
      </w:r>
      <w:r>
        <w:rPr>
          <w:rFonts w:ascii="Arial" w:cs="Arial" w:eastAsia="Arial" w:hAnsi="Arial"/>
          <w:sz w:val="18"/>
          <w:szCs w:val="18"/>
          <w:b w:val="1"/>
          <w:bCs w:val="1"/>
          <w:color w:val="auto"/>
        </w:rPr>
        <w:t>Purchase Agreement</w:t>
      </w:r>
      <w:r>
        <w:rPr>
          <w:rFonts w:ascii="Arial" w:cs="Arial" w:eastAsia="Arial" w:hAnsi="Arial"/>
          <w:sz w:val="18"/>
          <w:szCs w:val="18"/>
          <w:color w:val="auto"/>
        </w:rPr>
        <w:t>”), under which certain of the Company’s and such Investors’ obligations are conditioned upon the execution and delivery of this Agreement by such Investors, Existing Investors holding at least a majority in interest of the Registrable Securities (as defined in the Prior Agreement), and the Company;</w:t>
      </w:r>
    </w:p>
    <w:p>
      <w:pPr>
        <w:spacing w:after="0" w:line="180"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Existing Investors hold at least a majority in interest of the Registrable Securities of the Company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Prior Agreement); and</w:t>
      </w:r>
    </w:p>
    <w:p>
      <w:pPr>
        <w:spacing w:after="0" w:line="162"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and the consummation of the sale and purchase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Series B Preferred Stock (as defined below) pursuant to the Purchase Agreement and the other valuation consideration, receipt of which is hereby acknowledged, the undersigned Existing Investors hereby agree that the Prior Agreement shall be amended and restated, and the parties to this Agreement further agree as follows:</w:t>
      </w:r>
    </w:p>
    <w:p>
      <w:pPr>
        <w:sectPr>
          <w:pgSz w:w="11900" w:h="16838" w:orient="portrait"/>
          <w:cols w:equalWidth="0" w:num="1">
            <w:col w:w="11460"/>
          </w:cols>
          <w:pgMar w:left="240" w:top="342" w:right="199" w:bottom="0" w:gutter="0" w:footer="0" w:header="0"/>
        </w:sectPr>
      </w:pPr>
    </w:p>
    <w:bookmarkStart w:id="287" w:name="page288"/>
    <w:bookmarkEnd w:id="287"/>
    <w:p>
      <w:pPr>
        <w:ind w:left="1300" w:hanging="644"/>
        <w:spacing w:after="0"/>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Agreement:</w:t>
      </w:r>
    </w:p>
    <w:p>
      <w:pPr>
        <w:spacing w:after="0" w:line="221"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or which, directly or indirectly, controls, is controlled by, or is under common control with such specified Person, including without limitation any general partner, officer, director, or manager of such Person and any venture capital fund or other investment fund now or hereafter existing that is controlled by one or more general partners or managing members of, or shares the same management company or investment adviser with, such Person.</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88" w:name="page289"/>
    <w:bookmarkEnd w:id="288"/>
    <w:p>
      <w:pPr>
        <w:ind w:left="1300"/>
        <w:spacing w:after="0"/>
        <w:tabs>
          <w:tab w:leader="none" w:pos="19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 xml:space="preserve">“Board of Directors” </w:t>
      </w:r>
      <w:r>
        <w:rPr>
          <w:rFonts w:ascii="Arial" w:cs="Arial" w:eastAsia="Arial" w:hAnsi="Arial"/>
          <w:sz w:val="16"/>
          <w:szCs w:val="16"/>
          <w:color w:val="auto"/>
        </w:rPr>
        <w:t>means the Company’s Board of Directors.</w:t>
      </w:r>
    </w:p>
    <w:p>
      <w:pPr>
        <w:spacing w:after="0" w:line="225" w:lineRule="exact"/>
        <w:rPr>
          <w:sz w:val="20"/>
          <w:szCs w:val="20"/>
          <w:color w:val="auto"/>
        </w:rPr>
      </w:pPr>
    </w:p>
    <w:p>
      <w:pPr>
        <w:ind w:right="280" w:firstLine="1297"/>
        <w:spacing w:after="0" w:line="282"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means the Company’s Amended and Restated Certificate of Incorporation, as the same may be amended, restated or otherwise modified from time to time.</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shares of the Company’s common stock, par value $0.001 per share.</w:t>
      </w:r>
    </w:p>
    <w:p>
      <w:pPr>
        <w:spacing w:after="0" w:line="225"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1.5 “</w:t>
      </w:r>
      <w:r>
        <w:rPr>
          <w:rFonts w:ascii="Arial" w:cs="Arial" w:eastAsia="Arial" w:hAnsi="Arial"/>
          <w:sz w:val="17"/>
          <w:szCs w:val="17"/>
          <w:b w:val="1"/>
          <w:bCs w:val="1"/>
          <w:color w:val="auto"/>
        </w:rPr>
        <w:t>Damages</w:t>
      </w:r>
      <w:r>
        <w:rPr>
          <w:rFonts w:ascii="Arial" w:cs="Arial" w:eastAsia="Arial" w:hAnsi="Arial"/>
          <w:sz w:val="17"/>
          <w:szCs w:val="17"/>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7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Deemed Liquidation Event</w:t>
      </w:r>
      <w:r>
        <w:rPr>
          <w:rFonts w:ascii="Arial" w:cs="Arial" w:eastAsia="Arial" w:hAnsi="Arial"/>
          <w:sz w:val="16"/>
          <w:szCs w:val="16"/>
          <w:color w:val="auto"/>
        </w:rPr>
        <w:t>” shall have the meaning given to such term in the Certificate of Incorporation.</w:t>
      </w:r>
    </w:p>
    <w:p>
      <w:pPr>
        <w:spacing w:after="0" w:line="225"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Common Stock, including options and warrants.</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25" w:lineRule="exact"/>
        <w:rPr>
          <w:sz w:val="20"/>
          <w:szCs w:val="20"/>
          <w:color w:val="auto"/>
        </w:rPr>
      </w:pPr>
    </w:p>
    <w:p>
      <w:pPr>
        <w:ind w:right="240" w:firstLine="1297"/>
        <w:spacing w:after="0" w:line="261"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(i) a registration relating to the sale of securities to employees of the Company or a subsidiary pursuant to a stock option, stock purchase, or similar plan; (ii) a registration relating to an SEC Rule 145 transaction; or (iii) a registration on any form that does not include substantially the same information as would be required to be included in a registration statement covering the sale of the Registrable Securities.</w:t>
      </w:r>
    </w:p>
    <w:p>
      <w:pPr>
        <w:spacing w:after="0" w:line="180" w:lineRule="exact"/>
        <w:rPr>
          <w:sz w:val="20"/>
          <w:szCs w:val="20"/>
          <w:color w:val="auto"/>
        </w:rPr>
      </w:pPr>
    </w:p>
    <w:p>
      <w:pPr>
        <w:ind w:right="80" w:firstLine="1297"/>
        <w:spacing w:after="0" w:line="282"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Fidelity</w:t>
      </w:r>
      <w:r>
        <w:rPr>
          <w:rFonts w:ascii="Arial" w:cs="Arial" w:eastAsia="Arial" w:hAnsi="Arial"/>
          <w:sz w:val="18"/>
          <w:szCs w:val="18"/>
          <w:color w:val="auto"/>
        </w:rPr>
        <w:t>” shall mean Fidelity Management &amp; Research Company and any successor or affiliated registered investment advisor to the Fidelity Investors.</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Fidelity Investors</w:t>
      </w:r>
      <w:r>
        <w:rPr>
          <w:rFonts w:ascii="Arial" w:cs="Arial" w:eastAsia="Arial" w:hAnsi="Arial"/>
          <w:sz w:val="16"/>
          <w:szCs w:val="16"/>
          <w:color w:val="auto"/>
        </w:rPr>
        <w:t>” shall mean any Investors advised or subadvised by Fidelity or one of its Affiliates.</w:t>
      </w:r>
    </w:p>
    <w:p>
      <w:pPr>
        <w:spacing w:after="0" w:line="225"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9" w:name="page290"/>
    <w:bookmarkEnd w:id="289"/>
    <w:p>
      <w:pPr>
        <w:ind w:right="120" w:firstLine="1297"/>
        <w:spacing w:after="0" w:line="266"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in the United States.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means any holder of Registrable Securities who is a party to this Agreement.</w:t>
      </w:r>
    </w:p>
    <w:p>
      <w:pPr>
        <w:spacing w:after="0" w:line="225" w:lineRule="exact"/>
        <w:rPr>
          <w:sz w:val="20"/>
          <w:szCs w:val="20"/>
          <w:color w:val="auto"/>
        </w:rPr>
      </w:pPr>
    </w:p>
    <w:p>
      <w:pPr>
        <w:ind w:right="200" w:firstLine="1297"/>
        <w:spacing w:after="0" w:line="347"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b w:val="1"/>
          <w:bCs w:val="1"/>
          <w:color w:val="auto"/>
        </w:rPr>
        <w:t>Immediate Family Member</w:t>
      </w:r>
      <w:r>
        <w:rPr>
          <w:rFonts w:ascii="Arial" w:cs="Arial" w:eastAsia="Arial" w:hAnsi="Arial"/>
          <w:sz w:val="16"/>
          <w:szCs w:val="16"/>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1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Initiating Holders</w:t>
      </w:r>
      <w:r>
        <w:rPr>
          <w:rFonts w:ascii="Arial" w:cs="Arial" w:eastAsia="Arial" w:hAnsi="Arial"/>
          <w:sz w:val="16"/>
          <w:szCs w:val="16"/>
          <w:color w:val="auto"/>
        </w:rPr>
        <w:t>” means, collectively, Holders who properly initiate a registration request under this Agreement.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Investor Directors</w:t>
      </w:r>
      <w:r>
        <w:rPr>
          <w:rFonts w:ascii="Arial" w:cs="Arial" w:eastAsia="Arial" w:hAnsi="Arial"/>
          <w:sz w:val="16"/>
          <w:szCs w:val="16"/>
          <w:color w:val="auto"/>
        </w:rPr>
        <w:t>” means, collectively, the Series A Director and the Series B Director.</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the Company’s first underwritten public offering of its Common Stock under the Securities Act.</w:t>
      </w:r>
    </w:p>
    <w:p>
      <w:pPr>
        <w:spacing w:after="0" w:line="225" w:lineRule="exact"/>
        <w:rPr>
          <w:sz w:val="20"/>
          <w:szCs w:val="20"/>
          <w:color w:val="auto"/>
        </w:rPr>
      </w:pPr>
    </w:p>
    <w:p>
      <w:pPr>
        <w:ind w:right="200" w:firstLine="1297"/>
        <w:spacing w:after="0" w:line="266"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Key Employee</w:t>
      </w:r>
      <w:r>
        <w:rPr>
          <w:rFonts w:ascii="Arial" w:cs="Arial" w:eastAsia="Arial" w:hAnsi="Arial"/>
          <w:sz w:val="18"/>
          <w:szCs w:val="18"/>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176" w:lineRule="exact"/>
        <w:rPr>
          <w:sz w:val="20"/>
          <w:szCs w:val="20"/>
          <w:color w:val="auto"/>
        </w:rPr>
      </w:pPr>
    </w:p>
    <w:p>
      <w:pPr>
        <w:ind w:firstLine="1297"/>
        <w:spacing w:after="0" w:line="313" w:lineRule="auto"/>
        <w:rPr>
          <w:sz w:val="20"/>
          <w:szCs w:val="20"/>
          <w:color w:val="auto"/>
        </w:rPr>
      </w:pPr>
      <w:r>
        <w:rPr>
          <w:rFonts w:ascii="Arial" w:cs="Arial" w:eastAsia="Arial" w:hAnsi="Arial"/>
          <w:sz w:val="17"/>
          <w:szCs w:val="17"/>
          <w:color w:val="auto"/>
        </w:rPr>
        <w:t>1.21 “</w:t>
      </w:r>
      <w:r>
        <w:rPr>
          <w:rFonts w:ascii="Arial" w:cs="Arial" w:eastAsia="Arial" w:hAnsi="Arial"/>
          <w:sz w:val="17"/>
          <w:szCs w:val="17"/>
          <w:b w:val="1"/>
          <w:bCs w:val="1"/>
          <w:color w:val="auto"/>
        </w:rPr>
        <w:t>Major Investor</w:t>
      </w:r>
      <w:r>
        <w:rPr>
          <w:rFonts w:ascii="Arial" w:cs="Arial" w:eastAsia="Arial" w:hAnsi="Arial"/>
          <w:sz w:val="17"/>
          <w:szCs w:val="17"/>
          <w:color w:val="auto"/>
        </w:rPr>
        <w:t>” means any Investor that, individually or together with such Investor’s Affiliates, holds at least 750,000 shares of Registrable Securities (subject to appropriate adjustment in the event of any stock dividend, stock split, combination or other similar recapitalization).</w:t>
      </w:r>
    </w:p>
    <w:p>
      <w:pPr>
        <w:spacing w:after="0" w:line="138" w:lineRule="exact"/>
        <w:rPr>
          <w:sz w:val="20"/>
          <w:szCs w:val="20"/>
          <w:color w:val="auto"/>
        </w:rPr>
      </w:pPr>
    </w:p>
    <w:p>
      <w:pPr>
        <w:jc w:val="both"/>
        <w:ind w:right="360" w:firstLine="1297"/>
        <w:spacing w:after="0" w:line="266"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Preferred Stock</w:t>
      </w:r>
      <w:r>
        <w:rPr>
          <w:rFonts w:ascii="Arial" w:cs="Arial" w:eastAsia="Arial" w:hAnsi="Arial"/>
          <w:sz w:val="16"/>
          <w:szCs w:val="16"/>
          <w:color w:val="auto"/>
        </w:rPr>
        <w:t>” means the Series A Preferred Stock and the Series B Preferred Stock.</w:t>
      </w:r>
    </w:p>
    <w:p>
      <w:pPr>
        <w:spacing w:after="0" w:line="225" w:lineRule="exact"/>
        <w:rPr>
          <w:sz w:val="20"/>
          <w:szCs w:val="20"/>
          <w:color w:val="auto"/>
        </w:rPr>
      </w:pPr>
    </w:p>
    <w:p>
      <w:pPr>
        <w:ind w:right="660" w:firstLine="1297"/>
        <w:spacing w:after="0" w:line="282"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Registrable Securities</w:t>
      </w:r>
      <w:r>
        <w:rPr>
          <w:rFonts w:ascii="Arial" w:cs="Arial" w:eastAsia="Arial" w:hAnsi="Arial"/>
          <w:sz w:val="18"/>
          <w:szCs w:val="18"/>
          <w:color w:val="auto"/>
        </w:rPr>
        <w:t>” means (i) the Common Stock issuable or issued upon conversion of th</w:t>
      </w:r>
      <w:r>
        <w:rPr>
          <w:rFonts w:ascii="Arial" w:cs="Arial" w:eastAsia="Arial" w:hAnsi="Arial"/>
          <w:sz w:val="18"/>
          <w:szCs w:val="18"/>
          <w:b w:val="1"/>
          <w:bCs w:val="1"/>
          <w:color w:val="auto"/>
        </w:rPr>
        <w:t>e</w:t>
      </w:r>
      <w:r>
        <w:rPr>
          <w:rFonts w:ascii="Arial" w:cs="Arial" w:eastAsia="Arial" w:hAnsi="Arial"/>
          <w:sz w:val="18"/>
          <w:szCs w:val="18"/>
          <w:color w:val="auto"/>
        </w:rPr>
        <w:t xml:space="preserve"> Preferred Stock; (ii) any Common Stock, or any Common Stock issued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90" w:name="page291"/>
    <w:bookmarkEnd w:id="290"/>
    <w:p>
      <w:pPr>
        <w:spacing w:after="0" w:line="297" w:lineRule="auto"/>
        <w:rPr>
          <w:sz w:val="20"/>
          <w:szCs w:val="20"/>
          <w:color w:val="auto"/>
        </w:rPr>
      </w:pPr>
      <w:r>
        <w:rPr>
          <w:rFonts w:ascii="Arial" w:cs="Arial" w:eastAsia="Arial" w:hAnsi="Arial"/>
          <w:sz w:val="16"/>
          <w:szCs w:val="16"/>
          <w:color w:val="auto"/>
        </w:rPr>
        <w:t xml:space="preserve">issuable (directly or indirectly) upon conversion and/or exercise of any other securities of the Company, held by the Investors or acquired by the Investors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excluding in all cases, however, any Registrable Securities sold by a Person in a transaction in which the applicable rights under this Agreement are not assigned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excluding for purposes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any shares for which registration rights have terminated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of this Agreement.</w:t>
      </w:r>
    </w:p>
    <w:p>
      <w:pPr>
        <w:spacing w:after="0" w:line="154"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at a point in time determined by adding the number of shares of outstanding Common Stock that are Registrable Securities at such time and the number of shares of Common Stock issuable (directly or indirectly) at such time pursuant to then exercisable and/or convertible securities that are Registrable Securities.</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Restricted Securities</w:t>
      </w:r>
      <w:r>
        <w:rPr>
          <w:rFonts w:ascii="Arial" w:cs="Arial" w:eastAsia="Arial" w:hAnsi="Arial"/>
          <w:sz w:val="16"/>
          <w:szCs w:val="16"/>
          <w:color w:val="auto"/>
        </w:rPr>
        <w:t xml:space="preserve">” means the securities of the Company required to bear the legend set forth in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hereof.</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Securities and Exchange Commission.</w:t>
      </w:r>
    </w:p>
    <w:p>
      <w:pPr>
        <w:spacing w:after="0" w:line="225" w:lineRule="exact"/>
        <w:rPr>
          <w:sz w:val="20"/>
          <w:szCs w:val="20"/>
          <w:color w:val="auto"/>
        </w:rPr>
      </w:pPr>
    </w:p>
    <w:p>
      <w:pPr>
        <w:jc w:val="center"/>
        <w:ind w:right="-59"/>
        <w:spacing w:after="0"/>
        <w:tabs>
          <w:tab w:leader="none" w:pos="30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144</w:t>
      </w:r>
      <w:r>
        <w:rPr>
          <w:rFonts w:ascii="Arial" w:cs="Arial" w:eastAsia="Arial" w:hAnsi="Arial"/>
          <w:sz w:val="16"/>
          <w:szCs w:val="16"/>
          <w:color w:val="auto"/>
        </w:rPr>
        <w:t>” means Rule 144 promulgated by the SEC under the Securities Act, or any successor provisions.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145</w:t>
      </w:r>
      <w:r>
        <w:rPr>
          <w:rFonts w:ascii="Arial" w:cs="Arial" w:eastAsia="Arial" w:hAnsi="Arial"/>
          <w:sz w:val="16"/>
          <w:szCs w:val="16"/>
          <w:color w:val="auto"/>
        </w:rPr>
        <w:t>” means Rule 145 promulgated by the SEC under the Securities Act, or any successor provisions.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225" w:lineRule="exact"/>
        <w:rPr>
          <w:sz w:val="20"/>
          <w:szCs w:val="20"/>
          <w:color w:val="auto"/>
        </w:rPr>
      </w:pPr>
    </w:p>
    <w:p>
      <w:pPr>
        <w:ind w:right="60" w:firstLine="1297"/>
        <w:spacing w:after="0" w:line="266"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Section 2.6.</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Selling Holder Counsel</w:t>
      </w:r>
      <w:r>
        <w:rPr>
          <w:rFonts w:ascii="Arial" w:cs="Arial" w:eastAsia="Arial" w:hAnsi="Arial"/>
          <w:sz w:val="16"/>
          <w:szCs w:val="16"/>
          <w:color w:val="auto"/>
        </w:rPr>
        <w:t xml:space="preserve">” shall have the meaning assigned to it in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225"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Series A Director</w:t>
      </w:r>
      <w:r>
        <w:rPr>
          <w:rFonts w:ascii="Arial" w:cs="Arial" w:eastAsia="Arial" w:hAnsi="Arial"/>
          <w:sz w:val="18"/>
          <w:szCs w:val="18"/>
          <w:color w:val="auto"/>
        </w:rPr>
        <w:t>” means the director of the Company that has been solely elected or designated by the holders of record of the Series A Preferred Stock pursuant to the Certificate of Incorporation, the Stockholders Agreement or otherwise.</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A Preferred Stock</w:t>
      </w:r>
      <w:r>
        <w:rPr>
          <w:rFonts w:ascii="Arial" w:cs="Arial" w:eastAsia="Arial" w:hAnsi="Arial"/>
          <w:sz w:val="16"/>
          <w:szCs w:val="16"/>
          <w:color w:val="auto"/>
        </w:rPr>
        <w:t>” means shares of the Company’s Series A Preferred Stock, par value $0.001 per share.</w:t>
      </w:r>
    </w:p>
    <w:p>
      <w:pPr>
        <w:spacing w:after="0" w:line="225"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color w:val="auto"/>
        </w:rPr>
        <w:t>1.36 “</w:t>
      </w:r>
      <w:r>
        <w:rPr>
          <w:rFonts w:ascii="Arial" w:cs="Arial" w:eastAsia="Arial" w:hAnsi="Arial"/>
          <w:sz w:val="18"/>
          <w:szCs w:val="18"/>
          <w:b w:val="1"/>
          <w:bCs w:val="1"/>
          <w:color w:val="auto"/>
        </w:rPr>
        <w:t>Series B Director</w:t>
      </w:r>
      <w:r>
        <w:rPr>
          <w:rFonts w:ascii="Arial" w:cs="Arial" w:eastAsia="Arial" w:hAnsi="Arial"/>
          <w:sz w:val="18"/>
          <w:szCs w:val="18"/>
          <w:color w:val="auto"/>
        </w:rPr>
        <w:t>” means the director of the Company that has been solely elected or designated by the holders of record of the Series B Preferred Stock pursuant to the Certificate of Incorporation, the Stockholders Agreement or otherwise.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91" w:name="page292"/>
    <w:bookmarkEnd w:id="291"/>
    <w:p>
      <w:pPr>
        <w:ind w:left="1300"/>
        <w:spacing w:after="0"/>
        <w:tabs>
          <w:tab w:leader="none" w:pos="19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B Preferred Stock</w:t>
      </w:r>
      <w:r>
        <w:rPr>
          <w:rFonts w:ascii="Arial" w:cs="Arial" w:eastAsia="Arial" w:hAnsi="Arial"/>
          <w:sz w:val="16"/>
          <w:szCs w:val="16"/>
          <w:color w:val="auto"/>
        </w:rPr>
        <w:t>” means shares of the Company’s Series B Preferred Stock, par value $0.001 per share.</w:t>
      </w:r>
    </w:p>
    <w:p>
      <w:pPr>
        <w:spacing w:after="0" w:line="225" w:lineRule="exact"/>
        <w:rPr>
          <w:sz w:val="20"/>
          <w:szCs w:val="20"/>
          <w:color w:val="auto"/>
        </w:rPr>
      </w:pPr>
    </w:p>
    <w:p>
      <w:pPr>
        <w:ind w:right="60" w:firstLine="1297"/>
        <w:spacing w:after="0" w:line="347" w:lineRule="auto"/>
        <w:rPr>
          <w:sz w:val="20"/>
          <w:szCs w:val="20"/>
          <w:color w:val="auto"/>
        </w:rPr>
      </w:pPr>
      <w:r>
        <w:rPr>
          <w:rFonts w:ascii="Arial" w:cs="Arial" w:eastAsia="Arial" w:hAnsi="Arial"/>
          <w:sz w:val="16"/>
          <w:szCs w:val="16"/>
          <w:color w:val="auto"/>
        </w:rPr>
        <w:t>1.38 “</w:t>
      </w:r>
      <w:r>
        <w:rPr>
          <w:rFonts w:ascii="Arial" w:cs="Arial" w:eastAsia="Arial" w:hAnsi="Arial"/>
          <w:sz w:val="16"/>
          <w:szCs w:val="16"/>
          <w:b w:val="1"/>
          <w:bCs w:val="1"/>
          <w:color w:val="auto"/>
        </w:rPr>
        <w:t>Stockholders Agreement</w:t>
      </w:r>
      <w:r>
        <w:rPr>
          <w:rFonts w:ascii="Arial" w:cs="Arial" w:eastAsia="Arial" w:hAnsi="Arial"/>
          <w:sz w:val="16"/>
          <w:szCs w:val="16"/>
          <w:color w:val="auto"/>
        </w:rPr>
        <w:t>” means the Amended and Restated Stockholders Agreement dated as of the date hereof, by and among the Company, the Investors, and Key Holders (as defined therein), as the same may be amended, restated or otherwise modified from time to time.</w:t>
      </w:r>
    </w:p>
    <w:p>
      <w:pPr>
        <w:spacing w:after="0" w:line="120" w:lineRule="exact"/>
        <w:rPr>
          <w:sz w:val="20"/>
          <w:szCs w:val="20"/>
          <w:color w:val="auto"/>
        </w:rPr>
      </w:pPr>
    </w:p>
    <w:p>
      <w:pPr>
        <w:ind w:left="1300" w:hanging="644"/>
        <w:spacing w:after="0"/>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covenants and agrees as follows: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firstLine="1953"/>
        <w:spacing w:after="0" w:line="289" w:lineRule="auto"/>
        <w:tabs>
          <w:tab w:leader="none" w:pos="2590" w:val="left"/>
        </w:tabs>
        <w:numPr>
          <w:ilvl w:val="1"/>
          <w:numId w:val="162"/>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Beginning upon the earlier of (i) five (5) years after the date of this Agreement or (ii) six (6) months after the effective date of the registration statement for the IPO, if the Company receives a request from Holders of at least forty percent (40%) of the Registrable Securities then outstanding that the Company file a Form S-1 registration statement with respect to at least forty percent (40%) of the Registrable Securities then outstanding, having the anticipated aggregate offering amount of at least $5.0 million, then the Company shall (x) within ten (10) days after the date such request is given, give notice thereof (the “</w:t>
      </w:r>
      <w:r>
        <w:rPr>
          <w:rFonts w:ascii="Arial" w:cs="Arial" w:eastAsia="Arial" w:hAnsi="Arial"/>
          <w:sz w:val="16"/>
          <w:szCs w:val="16"/>
          <w:b w:val="1"/>
          <w:bCs w:val="1"/>
          <w:color w:val="auto"/>
        </w:rPr>
        <w:t>Demand Notice</w:t>
      </w:r>
      <w:r>
        <w:rPr>
          <w:rFonts w:ascii="Arial" w:cs="Arial" w:eastAsia="Arial" w:hAnsi="Arial"/>
          <w:sz w:val="16"/>
          <w:szCs w:val="16"/>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after the date the Demand Notice is given, and in each case, subject to the limitations of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2.3.</w:t>
      </w:r>
    </w:p>
    <w:p>
      <w:pPr>
        <w:spacing w:after="0" w:line="166" w:lineRule="exact"/>
        <w:rPr>
          <w:rFonts w:ascii="Arial" w:cs="Arial" w:eastAsia="Arial" w:hAnsi="Arial"/>
          <w:sz w:val="16"/>
          <w:szCs w:val="16"/>
          <w:color w:val="auto"/>
        </w:rPr>
      </w:pPr>
    </w:p>
    <w:p>
      <w:pPr>
        <w:ind w:firstLine="1953"/>
        <w:spacing w:after="0" w:line="271" w:lineRule="auto"/>
        <w:tabs>
          <w:tab w:leader="none" w:pos="2600" w:val="left"/>
        </w:tabs>
        <w:numPr>
          <w:ilvl w:val="1"/>
          <w:numId w:val="162"/>
        </w:numPr>
        <w:rPr>
          <w:rFonts w:ascii="Arial" w:cs="Arial" w:eastAsia="Arial" w:hAnsi="Arial"/>
          <w:sz w:val="17"/>
          <w:szCs w:val="17"/>
          <w:color w:val="auto"/>
        </w:rPr>
      </w:pPr>
      <w:r>
        <w:rPr>
          <w:rFonts w:ascii="Arial" w:cs="Arial" w:eastAsia="Arial" w:hAnsi="Arial"/>
          <w:sz w:val="17"/>
          <w:szCs w:val="17"/>
          <w:u w:val="single" w:color="auto"/>
          <w:color w:val="auto"/>
        </w:rPr>
        <w:t>Form S-3 Demand</w:t>
      </w:r>
      <w:r>
        <w:rPr>
          <w:rFonts w:ascii="Arial" w:cs="Arial" w:eastAsia="Arial" w:hAnsi="Arial"/>
          <w:sz w:val="17"/>
          <w:szCs w:val="17"/>
          <w:color w:val="auto"/>
        </w:rPr>
        <w:t xml:space="preserve">. If at any time when it is eligible to use a Form S-3 registration statement, the Company receives a request from Holders of at least twenty-five percent (25%) of the Registrable Securities then outstanding that the Company file a Form S-3 registration statement with respect to outstanding Registrable Securities of such Holders having an anticipated aggregate offering amount, net of Selling Expenses, of at least $3.0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100" w:firstLine="1953"/>
        <w:spacing w:after="0" w:line="312" w:lineRule="auto"/>
        <w:tabs>
          <w:tab w:leader="none" w:pos="2604" w:val="left"/>
        </w:tabs>
        <w:numPr>
          <w:ilvl w:val="1"/>
          <w:numId w:val="162"/>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 certificate signed by the Company’s chief executive officer or other most senior executive officer then in office stating that in the good faith judgment of the Board of Directors it would be materially detrimental to the Company and its stockholders for such registration statement to either become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92" w:name="page293"/>
    <w:bookmarkEnd w:id="292"/>
    <w:p>
      <w:pPr>
        <w:spacing w:after="0"/>
        <w:rPr>
          <w:sz w:val="20"/>
          <w:szCs w:val="20"/>
          <w:color w:val="auto"/>
        </w:rPr>
      </w:pPr>
      <w:r>
        <w:rPr>
          <w:rFonts w:ascii="Arial" w:cs="Arial" w:eastAsia="Arial" w:hAnsi="Arial"/>
          <w:sz w:val="17"/>
          <w:szCs w:val="17"/>
          <w:color w:val="auto"/>
        </w:rPr>
        <w:t>effective or remain effective for as long as such registration statement otherwise would be required to remain effective, because such action would</w:t>
      </w:r>
    </w:p>
    <w:p>
      <w:pPr>
        <w:spacing w:after="0" w:line="35" w:lineRule="exact"/>
        <w:rPr>
          <w:sz w:val="20"/>
          <w:szCs w:val="20"/>
          <w:color w:val="auto"/>
        </w:rPr>
      </w:pPr>
    </w:p>
    <w:p>
      <w:pPr>
        <w:ind w:right="120" w:firstLine="8"/>
        <w:spacing w:after="0" w:line="288" w:lineRule="auto"/>
        <w:tabs>
          <w:tab w:leader="none" w:pos="21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one hundred twenty (120) days after the request of the Initiating Holders is given;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Company may not invoke this right more than once in any twelve (12) month period, nor shall the Company invoke this right more than twice in all periods;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register any securities for its own account or that of any other stockholder during either one hundred twenty (120) day period other than an Excluded Registration.</w:t>
      </w:r>
    </w:p>
    <w:p>
      <w:pPr>
        <w:spacing w:after="0" w:line="169" w:lineRule="exact"/>
        <w:rPr>
          <w:sz w:val="20"/>
          <w:szCs w:val="20"/>
          <w:color w:val="auto"/>
        </w:rPr>
      </w:pPr>
    </w:p>
    <w:p>
      <w:pPr>
        <w:ind w:left="2600" w:hanging="647"/>
        <w:spacing w:after="0"/>
        <w:tabs>
          <w:tab w:leader="none" w:pos="26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shall not be obligated to effect, or to take any action to effect, any registration pursuant to</w:t>
      </w:r>
    </w:p>
    <w:p>
      <w:pPr>
        <w:spacing w:after="0" w:line="23" w:lineRule="exact"/>
        <w:rPr>
          <w:sz w:val="20"/>
          <w:szCs w:val="20"/>
          <w:color w:val="auto"/>
        </w:rPr>
      </w:pPr>
    </w:p>
    <w:p>
      <w:pPr>
        <w:spacing w:after="0" w:line="281" w:lineRule="auto"/>
        <w:rPr>
          <w:sz w:val="20"/>
          <w:szCs w:val="20"/>
          <w:color w:val="auto"/>
        </w:rPr>
      </w:pP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(i) if it delivers notice to the Holders within thirty (30) days after any registration request of its intent to file a registration statement for a public offering within ninety (90) days; (ii) during the period that is one hundred eighty (180) days after commencing a Company-initiated registration; (iii) after the Company has effected two (2) registrations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(iv) if the Initiating Holders propose to dispose of shares of Registrable Securities that may be immediately registered on Form S-3 pursuant to a request made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The Company shall not be obligated to effect, or to take any action to effect, any registration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if the Company has effected two (2) registrations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within the twelve (12) month period immediately preceding the date of such request. A registration shall not be counted as “effected” for purposes of this</w:t>
      </w:r>
    </w:p>
    <w:p>
      <w:pPr>
        <w:spacing w:after="0" w:line="4"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until such time as the applicable registration statement has been declared effective by the SEC, unless the Initiating Holders withdraw their request for such registration (other than as a result of a material adverse change to the Company), elect not to pay the registration expenses therefor, and forfeit their right to one demand registration statement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in which case such withdrawn registration statement shall be counted as “effected” for purposes of this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190"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 Registration</w:t>
      </w:r>
      <w:r>
        <w:rPr>
          <w:rFonts w:ascii="Arial" w:cs="Arial" w:eastAsia="Arial" w:hAnsi="Arial"/>
          <w:sz w:val="18"/>
          <w:szCs w:val="18"/>
          <w:color w:val="auto"/>
        </w:rPr>
        <w:t xml:space="preserve">. If the Company proposes to register (including, for this purpose, a registration effected by the Company for stockholders other than the Holders) any of its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3" w:name="page294"/>
    <w:bookmarkEnd w:id="293"/>
    <w:p>
      <w:pPr>
        <w:ind w:left="1300"/>
        <w:spacing w:after="0"/>
        <w:tabs>
          <w:tab w:leader="none" w:pos="19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68" w:lineRule="auto"/>
        <w:tabs>
          <w:tab w:leader="none" w:pos="259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If,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the Company shall include such information in the Demand Notice. The underwriter(s) will be selected by the Company and shall be reasonably acceptable to a majority-in-interest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7"/>
          <w:szCs w:val="17"/>
          <w:u w:val="single" w:color="auto"/>
          <w:color w:val="auto"/>
        </w:rPr>
        <w:t>Section 2.4(e)</w:t>
      </w:r>
      <w:r>
        <w:rPr>
          <w:rFonts w:ascii="Arial" w:cs="Arial" w:eastAsia="Arial" w:hAnsi="Arial"/>
          <w:sz w:val="17"/>
          <w:szCs w:val="17"/>
          <w:color w:val="auto"/>
        </w:rPr>
        <w:t xml:space="preserve">) enter into an underwriting agreement in customary form with the underwriter(s) selected for such underwriting. Notwithstanding any other provision of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if the managing underwriter(s) advise the Initiating Holders in writing that marketing factors require a limitation on the number of shares to be underwritten, then the Initiating Holders shall so advise all Holders that otherwise would be underwritten pursuant hereto, and the number of Registrable Securities that may be included in the underwriting shall be allocated among such Holders, including the Initiating Holders, in proportion (as nearly as practicable) to the number of Registrable Securities owned by each, or in such other proportion as shall mutually be agreed to by all such selling Holders;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w:t>
      </w:r>
    </w:p>
    <w:p>
      <w:pPr>
        <w:spacing w:after="0" w:line="185" w:lineRule="exact"/>
        <w:rPr>
          <w:rFonts w:ascii="Arial" w:cs="Arial" w:eastAsia="Arial" w:hAnsi="Arial"/>
          <w:sz w:val="17"/>
          <w:szCs w:val="17"/>
          <w:color w:val="auto"/>
        </w:rPr>
      </w:pPr>
    </w:p>
    <w:p>
      <w:pPr>
        <w:ind w:left="2600" w:hanging="647"/>
        <w:spacing w:after="0"/>
        <w:tabs>
          <w:tab w:leader="none" w:pos="26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connection with any offering involving an underwriting of shares of the Company’s capital stock pursuant to</w:t>
      </w:r>
    </w:p>
    <w:p>
      <w:pPr>
        <w:spacing w:after="0" w:line="23" w:lineRule="exact"/>
        <w:rPr>
          <w:sz w:val="20"/>
          <w:szCs w:val="20"/>
          <w:color w:val="auto"/>
        </w:rPr>
      </w:pPr>
    </w:p>
    <w:p>
      <w:pPr>
        <w:spacing w:after="0" w:line="285" w:lineRule="auto"/>
        <w:rPr>
          <w:sz w:val="20"/>
          <w:szCs w:val="20"/>
          <w:color w:val="auto"/>
        </w:rPr>
      </w:pPr>
      <w:r>
        <w:rPr>
          <w:rFonts w:ascii="Arial" w:cs="Arial" w:eastAsia="Arial" w:hAnsi="Arial"/>
          <w:sz w:val="16"/>
          <w:szCs w:val="16"/>
          <w:u w:val="single" w:color="auto"/>
          <w:color w:val="auto"/>
        </w:rPr>
        <w:t>Section 2.2</w:t>
      </w:r>
      <w:r>
        <w:rPr>
          <w:rFonts w:ascii="Arial" w:cs="Arial" w:eastAsia="Arial" w:hAnsi="Arial"/>
          <w:sz w:val="16"/>
          <w:szCs w:val="16"/>
          <w:color w:val="auto"/>
        </w:rPr>
        <w:t>, the Company shall not be required to include any of the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or (ii) the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94" w:name="page295"/>
    <w:bookmarkEnd w:id="294"/>
    <w:p>
      <w:pPr>
        <w:spacing w:after="0" w:line="291" w:lineRule="auto"/>
        <w:rPr>
          <w:sz w:val="20"/>
          <w:szCs w:val="20"/>
          <w:color w:val="auto"/>
        </w:rPr>
      </w:pPr>
      <w:r>
        <w:rPr>
          <w:rFonts w:ascii="Arial" w:cs="Arial" w:eastAsia="Arial" w:hAnsi="Arial"/>
          <w:sz w:val="16"/>
          <w:szCs w:val="16"/>
          <w:color w:val="auto"/>
        </w:rPr>
        <w:t xml:space="preserve">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67" w:lineRule="exact"/>
        <w:rPr>
          <w:sz w:val="20"/>
          <w:szCs w:val="20"/>
          <w:color w:val="auto"/>
        </w:rPr>
      </w:pPr>
    </w:p>
    <w:p>
      <w:pPr>
        <w:ind w:right="200" w:firstLine="1953"/>
        <w:spacing w:after="0" w:line="264" w:lineRule="auto"/>
        <w:tabs>
          <w:tab w:leader="none" w:pos="260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 registration shall not be counted as “effected” if, as a result of an exercise of the underwriter’s cutback provisions in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less than the total number of Registrable Securities that Holders have requested to be included in such registration statement are actually included.</w:t>
      </w:r>
    </w:p>
    <w:p>
      <w:pPr>
        <w:spacing w:after="0" w:line="18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Whenever required under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to effect the registration of any Registrable Securities, the Company shall, as expeditiously as reasonably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possible:</w:t>
      </w:r>
    </w:p>
    <w:p>
      <w:pPr>
        <w:spacing w:after="0" w:line="211" w:lineRule="exact"/>
        <w:rPr>
          <w:sz w:val="20"/>
          <w:szCs w:val="20"/>
          <w:color w:val="auto"/>
        </w:rPr>
      </w:pPr>
    </w:p>
    <w:p>
      <w:pPr>
        <w:ind w:right="20" w:firstLine="1953"/>
        <w:spacing w:after="0" w:line="271" w:lineRule="auto"/>
        <w:tabs>
          <w:tab w:leader="none" w:pos="259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at least 65%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 such one hundred twenty (120) day period shall be extended for a period of time equal to the period the Holder refrains, at the request of an underwriter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one hundred eighty (180) days, if necessary, to keep the registration statement effective until all such Registrable Securities are sold;</w:t>
      </w:r>
    </w:p>
    <w:p>
      <w:pPr>
        <w:spacing w:after="0" w:line="178" w:lineRule="exact"/>
        <w:rPr>
          <w:rFonts w:ascii="Arial" w:cs="Arial" w:eastAsia="Arial" w:hAnsi="Arial"/>
          <w:sz w:val="17"/>
          <w:szCs w:val="17"/>
          <w:color w:val="auto"/>
        </w:rPr>
      </w:pPr>
    </w:p>
    <w:p>
      <w:pPr>
        <w:ind w:right="140" w:firstLine="1953"/>
        <w:spacing w:after="0" w:line="264" w:lineRule="auto"/>
        <w:tabs>
          <w:tab w:leader="none" w:pos="26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81" w:lineRule="exact"/>
        <w:rPr>
          <w:rFonts w:ascii="Arial" w:cs="Arial" w:eastAsia="Arial" w:hAnsi="Arial"/>
          <w:sz w:val="18"/>
          <w:szCs w:val="18"/>
          <w:color w:val="auto"/>
        </w:rPr>
      </w:pPr>
    </w:p>
    <w:p>
      <w:pPr>
        <w:ind w:right="140" w:firstLine="1953"/>
        <w:spacing w:after="0" w:line="342" w:lineRule="auto"/>
        <w:tabs>
          <w:tab w:leader="none" w:pos="260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5" w:name="page296"/>
    <w:bookmarkEnd w:id="295"/>
    <w:p>
      <w:pPr>
        <w:ind w:right="40" w:firstLine="1953"/>
        <w:spacing w:after="0" w:line="259" w:lineRule="auto"/>
        <w:tabs>
          <w:tab w:leader="none" w:pos="26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86" w:lineRule="exact"/>
        <w:rPr>
          <w:rFonts w:ascii="Arial" w:cs="Arial" w:eastAsia="Arial" w:hAnsi="Arial"/>
          <w:sz w:val="18"/>
          <w:szCs w:val="18"/>
          <w:color w:val="auto"/>
        </w:rPr>
      </w:pPr>
    </w:p>
    <w:p>
      <w:pPr>
        <w:ind w:right="120" w:firstLine="1953"/>
        <w:spacing w:after="0" w:line="277" w:lineRule="auto"/>
        <w:tabs>
          <w:tab w:leader="none" w:pos="260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70" w:lineRule="exact"/>
        <w:rPr>
          <w:rFonts w:ascii="Arial" w:cs="Arial" w:eastAsia="Arial" w:hAnsi="Arial"/>
          <w:sz w:val="18"/>
          <w:szCs w:val="18"/>
          <w:color w:val="auto"/>
        </w:rPr>
      </w:pPr>
    </w:p>
    <w:p>
      <w:pPr>
        <w:ind w:firstLine="1953"/>
        <w:spacing w:after="0" w:line="264" w:lineRule="auto"/>
        <w:tabs>
          <w:tab w:leader="none" w:pos="259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1" w:lineRule="exact"/>
        <w:rPr>
          <w:rFonts w:ascii="Arial" w:cs="Arial" w:eastAsia="Arial" w:hAnsi="Arial"/>
          <w:sz w:val="18"/>
          <w:szCs w:val="18"/>
          <w:color w:val="auto"/>
        </w:rPr>
      </w:pPr>
    </w:p>
    <w:p>
      <w:pPr>
        <w:ind w:right="240" w:firstLine="1953"/>
        <w:spacing w:after="0" w:line="277" w:lineRule="auto"/>
        <w:tabs>
          <w:tab w:leader="none" w:pos="261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right="120" w:firstLine="1953"/>
        <w:spacing w:after="0" w:line="255" w:lineRule="auto"/>
        <w:tabs>
          <w:tab w:leader="none" w:pos="26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93" w:lineRule="exact"/>
        <w:rPr>
          <w:rFonts w:ascii="Arial" w:cs="Arial" w:eastAsia="Arial" w:hAnsi="Arial"/>
          <w:sz w:val="18"/>
          <w:szCs w:val="18"/>
          <w:color w:val="auto"/>
        </w:rPr>
      </w:pPr>
    </w:p>
    <w:p>
      <w:pPr>
        <w:ind w:right="560" w:firstLine="1953"/>
        <w:spacing w:after="0" w:line="342" w:lineRule="auto"/>
        <w:tabs>
          <w:tab w:leader="none" w:pos="261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23" w:lineRule="exact"/>
        <w:rPr>
          <w:rFonts w:ascii="Arial" w:cs="Arial" w:eastAsia="Arial" w:hAnsi="Arial"/>
          <w:sz w:val="16"/>
          <w:szCs w:val="16"/>
          <w:color w:val="auto"/>
        </w:rPr>
      </w:pPr>
    </w:p>
    <w:p>
      <w:pPr>
        <w:ind w:right="660" w:firstLine="1953"/>
        <w:spacing w:after="0" w:line="277" w:lineRule="auto"/>
        <w:tabs>
          <w:tab w:leader="none" w:pos="260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7" w:lineRule="exact"/>
        <w:rPr>
          <w:sz w:val="20"/>
          <w:szCs w:val="20"/>
          <w:color w:val="auto"/>
        </w:rPr>
      </w:pPr>
    </w:p>
    <w:p>
      <w:pPr>
        <w:ind w:right="660" w:firstLine="1297"/>
        <w:spacing w:after="0" w:line="30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Expenses of Registration</w:t>
      </w:r>
      <w:r>
        <w:rPr>
          <w:rFonts w:ascii="Arial" w:cs="Arial" w:eastAsia="Arial" w:hAnsi="Arial"/>
          <w:sz w:val="17"/>
          <w:szCs w:val="17"/>
          <w:color w:val="auto"/>
        </w:rPr>
        <w:t xml:space="preserve">. All expenses (other than Selling Expenses) incurred in connection with registrations, filings, or qualifications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including all registration, filing, and qualification fees; printers’ and accounting fees; fees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6" w:name="page297"/>
    <w:bookmarkEnd w:id="296"/>
    <w:p>
      <w:pPr>
        <w:spacing w:after="0" w:line="270" w:lineRule="auto"/>
        <w:rPr>
          <w:sz w:val="20"/>
          <w:szCs w:val="20"/>
          <w:color w:val="auto"/>
        </w:rPr>
      </w:pPr>
      <w:r>
        <w:rPr>
          <w:rFonts w:ascii="Arial" w:cs="Arial" w:eastAsia="Arial" w:hAnsi="Arial"/>
          <w:sz w:val="17"/>
          <w:szCs w:val="17"/>
          <w:color w:val="auto"/>
        </w:rPr>
        <w:t>disbursements of counsel for the Company; and the reasonable fees and disbursements of one counsel for the selling Holders (“</w:t>
      </w:r>
      <w:r>
        <w:rPr>
          <w:rFonts w:ascii="Arial" w:cs="Arial" w:eastAsia="Arial" w:hAnsi="Arial"/>
          <w:sz w:val="17"/>
          <w:szCs w:val="17"/>
          <w:b w:val="1"/>
          <w:bCs w:val="1"/>
          <w:color w:val="auto"/>
        </w:rPr>
        <w:t>Selling Holder Counsel</w:t>
      </w:r>
      <w:r>
        <w:rPr>
          <w:rFonts w:ascii="Arial" w:cs="Arial" w:eastAsia="Arial" w:hAnsi="Arial"/>
          <w:sz w:val="17"/>
          <w:szCs w:val="17"/>
          <w:color w:val="auto"/>
        </w:rPr>
        <w:t xml:space="preserve">”) selected by the Holders of at least 65% of the Registrable Securities, shall be borne and paid by the Company;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Company shall not be required to pay for any expenses of any registration proceeding begun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if the registration request is subsequently withdrawn at the request of the Holders of at least 65% of the Registrable Securities to be registered (in which case all selling Holders shall bear such expenses pro rata based upon the number of Registrable Securities that were to be included in the withdrawn registration), unless the Holders of at least 65% of the Registrable Securities agree to forfeit their right to one registration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as the case may be;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the time of such withdrawal, the Holders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All Selling Expenses relating to Registrable Securities registered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borne and paid by the Holders pro rata on the basis of the number of Registrable Securities registered on their behalf.</w:t>
      </w:r>
    </w:p>
    <w:p>
      <w:pPr>
        <w:spacing w:after="0" w:line="178" w:lineRule="exact"/>
        <w:rPr>
          <w:sz w:val="20"/>
          <w:szCs w:val="20"/>
          <w:color w:val="auto"/>
        </w:rPr>
      </w:pPr>
    </w:p>
    <w:p>
      <w:pPr>
        <w:ind w:right="100" w:firstLine="1297"/>
        <w:spacing w:after="0" w:line="34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2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If any Registrable Securities are included in a registration statement under this</w:t>
      </w:r>
      <w:r>
        <w:rPr>
          <w:rFonts w:ascii="Arial" w:cs="Arial" w:eastAsia="Arial" w:hAnsi="Arial"/>
          <w:sz w:val="16"/>
          <w:szCs w:val="16"/>
          <w:u w:val="single" w:color="auto"/>
          <w:color w:val="auto"/>
        </w:rPr>
        <w:t xml:space="preserve"> Section 2</w:t>
      </w:r>
      <w:r>
        <w:rPr>
          <w:rFonts w:ascii="Arial" w:cs="Arial" w:eastAsia="Arial" w:hAnsi="Arial"/>
          <w:sz w:val="16"/>
          <w:szCs w:val="16"/>
          <w:color w:val="auto"/>
        </w:rPr>
        <w:t>:</w:t>
      </w:r>
    </w:p>
    <w:p>
      <w:pPr>
        <w:spacing w:after="0" w:line="225" w:lineRule="exact"/>
        <w:rPr>
          <w:sz w:val="20"/>
          <w:szCs w:val="20"/>
          <w:color w:val="auto"/>
        </w:rPr>
      </w:pPr>
    </w:p>
    <w:p>
      <w:pPr>
        <w:ind w:right="20" w:firstLine="1953"/>
        <w:spacing w:after="0" w:line="270" w:lineRule="auto"/>
        <w:tabs>
          <w:tab w:leader="none" w:pos="259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To the extent permitted by law, the Company will indemnify and hold harmless each selling Holder, and the partners, members, officers, directors, and stockholders of each such Holder; legal counsel, accountants and investment advisers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77" w:lineRule="exact"/>
        <w:rPr>
          <w:rFonts w:ascii="Arial" w:cs="Arial" w:eastAsia="Arial" w:hAnsi="Arial"/>
          <w:sz w:val="17"/>
          <w:szCs w:val="17"/>
          <w:color w:val="auto"/>
        </w:rPr>
      </w:pPr>
    </w:p>
    <w:p>
      <w:pPr>
        <w:ind w:right="140" w:firstLine="1953"/>
        <w:spacing w:after="0" w:line="264" w:lineRule="auto"/>
        <w:tabs>
          <w:tab w:leader="none" w:pos="2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indemnity agreement contained in this </w:t>
      </w:r>
      <w:r>
        <w:rPr>
          <w:rFonts w:ascii="Arial" w:cs="Arial" w:eastAsia="Arial" w:hAnsi="Arial"/>
          <w:sz w:val="18"/>
          <w:szCs w:val="18"/>
          <w:u w:val="single" w:color="auto"/>
          <w:color w:val="auto"/>
        </w:rPr>
        <w:t>Section 2.8(b)</w:t>
      </w:r>
      <w:r>
        <w:rPr>
          <w:rFonts w:ascii="Arial" w:cs="Arial" w:eastAsia="Arial" w:hAnsi="Arial"/>
          <w:sz w:val="18"/>
          <w:szCs w:val="18"/>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no event shall the aggregate amounts payable by any Holder by way of indemnity or contribution under this </w:t>
      </w:r>
      <w:r>
        <w:rPr>
          <w:rFonts w:ascii="Arial" w:cs="Arial" w:eastAsia="Arial" w:hAnsi="Arial"/>
          <w:sz w:val="18"/>
          <w:szCs w:val="18"/>
          <w:u w:val="single" w:color="auto"/>
          <w:color w:val="auto"/>
        </w:rPr>
        <w:t>Section 2.8(b)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2.8(d)</w:t>
      </w:r>
      <w:r>
        <w:rPr>
          <w:rFonts w:ascii="Arial" w:cs="Arial" w:eastAsia="Arial" w:hAnsi="Arial"/>
          <w:sz w:val="18"/>
          <w:szCs w:val="18"/>
          <w:color w:val="auto"/>
        </w:rPr>
        <w:t xml:space="preserve"> exceed the proceeds from the offering received by such Holder (net of any Selling Expenses paid by such Holder), except in the case of fraud or willful misconduct by such Holder.</w:t>
      </w:r>
    </w:p>
    <w:p>
      <w:pPr>
        <w:spacing w:after="0" w:line="195" w:lineRule="exact"/>
        <w:rPr>
          <w:sz w:val="20"/>
          <w:szCs w:val="20"/>
          <w:color w:val="auto"/>
        </w:rPr>
      </w:pPr>
    </w:p>
    <w:p>
      <w:pPr>
        <w:ind w:right="80" w:firstLine="1953"/>
        <w:spacing w:after="0" w:line="269" w:lineRule="auto"/>
        <w:tabs>
          <w:tab w:leader="none" w:pos="260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right="80" w:firstLine="1953"/>
        <w:spacing w:after="0" w:line="272" w:lineRule="auto"/>
        <w:tabs>
          <w:tab w:leader="none" w:pos="26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provides for indemnification in such case, or (ii) contribution under the Securities Act may be required on the part of any party hereto for which indemnification is provided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then, and in each such case, such parties will contribute to the aggregate losses, claims, damages, liabilities, or expenses to which they may be subject (after contribution from others) in such proportion as is appropriate to reflect the relative fault of each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97" w:name="page298"/>
    <w:bookmarkEnd w:id="297"/>
    <w:p>
      <w:pPr>
        <w:ind w:right="20" w:firstLine="41"/>
        <w:spacing w:after="0" w:line="288" w:lineRule="auto"/>
        <w:rPr>
          <w:sz w:val="20"/>
          <w:szCs w:val="20"/>
          <w:color w:val="auto"/>
        </w:rPr>
      </w:pPr>
      <w:r>
        <w:rPr>
          <w:rFonts w:ascii="Arial" w:cs="Arial" w:eastAsia="Arial" w:hAnsi="Arial"/>
          <w:sz w:val="16"/>
          <w:szCs w:val="16"/>
          <w:color w:val="auto"/>
        </w:rPr>
        <w:t xml:space="preserve">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a Holder’s liability pursuant to this </w:t>
      </w:r>
      <w:r>
        <w:rPr>
          <w:rFonts w:ascii="Arial" w:cs="Arial" w:eastAsia="Arial" w:hAnsi="Arial"/>
          <w:sz w:val="16"/>
          <w:szCs w:val="16"/>
          <w:u w:val="single" w:color="auto"/>
          <w:color w:val="auto"/>
        </w:rPr>
        <w:t>Section 2.8(d)</w:t>
      </w:r>
      <w:r>
        <w:rPr>
          <w:rFonts w:ascii="Arial" w:cs="Arial" w:eastAsia="Arial" w:hAnsi="Arial"/>
          <w:sz w:val="16"/>
          <w:szCs w:val="16"/>
          <w:color w:val="auto"/>
        </w:rPr>
        <w:t xml:space="preserve">, when combined with the amounts paid or payable by such Holder pursuant to </w:t>
      </w:r>
      <w:r>
        <w:rPr>
          <w:rFonts w:ascii="Arial" w:cs="Arial" w:eastAsia="Arial" w:hAnsi="Arial"/>
          <w:sz w:val="16"/>
          <w:szCs w:val="16"/>
          <w:u w:val="single" w:color="auto"/>
          <w:color w:val="auto"/>
        </w:rPr>
        <w:t>Section 2.8(b)</w:t>
      </w:r>
      <w:r>
        <w:rPr>
          <w:rFonts w:ascii="Arial" w:cs="Arial" w:eastAsia="Arial" w:hAnsi="Arial"/>
          <w:sz w:val="16"/>
          <w:szCs w:val="16"/>
          <w:color w:val="auto"/>
        </w:rPr>
        <w:t>, exceed the proceeds from the offering received by such Holder (net of any Selling Expenses paid by such Holder), except in the case of willful misconduct or fraud by such Holder.</w:t>
      </w:r>
    </w:p>
    <w:p>
      <w:pPr>
        <w:spacing w:after="0" w:line="169" w:lineRule="exact"/>
        <w:rPr>
          <w:sz w:val="20"/>
          <w:szCs w:val="20"/>
          <w:color w:val="auto"/>
        </w:rPr>
      </w:pPr>
    </w:p>
    <w:p>
      <w:pPr>
        <w:ind w:right="280" w:firstLine="1953"/>
        <w:spacing w:after="0" w:line="264" w:lineRule="auto"/>
        <w:tabs>
          <w:tab w:leader="none" w:pos="260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1" w:lineRule="exact"/>
        <w:rPr>
          <w:rFonts w:ascii="Arial" w:cs="Arial" w:eastAsia="Arial" w:hAnsi="Arial"/>
          <w:sz w:val="18"/>
          <w:szCs w:val="18"/>
          <w:color w:val="auto"/>
        </w:rPr>
      </w:pPr>
    </w:p>
    <w:p>
      <w:pPr>
        <w:ind w:right="520" w:firstLine="1953"/>
        <w:spacing w:after="0" w:line="264" w:lineRule="auto"/>
        <w:tabs>
          <w:tab w:leader="none" w:pos="259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81"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81" w:lineRule="exact"/>
        <w:rPr>
          <w:sz w:val="20"/>
          <w:szCs w:val="20"/>
          <w:color w:val="auto"/>
        </w:rPr>
      </w:pPr>
    </w:p>
    <w:p>
      <w:pPr>
        <w:ind w:firstLine="1953"/>
        <w:spacing w:after="0" w:line="277" w:lineRule="auto"/>
        <w:tabs>
          <w:tab w:leader="none" w:pos="259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70" w:lineRule="exact"/>
        <w:rPr>
          <w:rFonts w:ascii="Arial" w:cs="Arial" w:eastAsia="Arial" w:hAnsi="Arial"/>
          <w:sz w:val="18"/>
          <w:szCs w:val="18"/>
          <w:color w:val="auto"/>
        </w:rPr>
      </w:pPr>
    </w:p>
    <w:p>
      <w:pPr>
        <w:ind w:right="180" w:firstLine="1953"/>
        <w:spacing w:after="0" w:line="342" w:lineRule="auto"/>
        <w:tabs>
          <w:tab w:leader="none" w:pos="26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23" w:lineRule="exact"/>
        <w:rPr>
          <w:rFonts w:ascii="Arial" w:cs="Arial" w:eastAsia="Arial" w:hAnsi="Arial"/>
          <w:sz w:val="16"/>
          <w:szCs w:val="16"/>
          <w:color w:val="auto"/>
        </w:rPr>
      </w:pPr>
    </w:p>
    <w:p>
      <w:pPr>
        <w:ind w:right="200" w:firstLine="1953"/>
        <w:spacing w:after="0" w:line="264" w:lineRule="auto"/>
        <w:tabs>
          <w:tab w:leader="none" w:pos="260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8" w:name="page299"/>
    <w:bookmarkEnd w:id="298"/>
    <w:p>
      <w:pPr>
        <w:spacing w:after="0" w:line="297" w:lineRule="auto"/>
        <w:rPr>
          <w:sz w:val="20"/>
          <w:szCs w:val="20"/>
          <w:color w:val="auto"/>
        </w:rPr>
      </w:pPr>
      <w:r>
        <w:rPr>
          <w:rFonts w:ascii="Arial" w:cs="Arial" w:eastAsia="Arial" w:hAnsi="Arial"/>
          <w:sz w:val="16"/>
          <w:szCs w:val="16"/>
          <w:color w:val="auto"/>
        </w:rPr>
        <w:t>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58"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From and after the date of this Agreement, the Company shall not, without the prior written consent of the Holders of at least 65% in interest of the Registrable Securities then outstanding (the “</w:t>
      </w:r>
      <w:r>
        <w:rPr>
          <w:rFonts w:ascii="Arial" w:cs="Arial" w:eastAsia="Arial" w:hAnsi="Arial"/>
          <w:sz w:val="18"/>
          <w:szCs w:val="18"/>
          <w:b w:val="1"/>
          <w:bCs w:val="1"/>
          <w:color w:val="auto"/>
        </w:rPr>
        <w:t>Requisite Vote</w:t>
      </w:r>
      <w:r>
        <w:rPr>
          <w:rFonts w:ascii="Arial" w:cs="Arial" w:eastAsia="Arial" w:hAnsi="Arial"/>
          <w:sz w:val="18"/>
          <w:szCs w:val="18"/>
          <w:color w:val="auto"/>
        </w:rPr>
        <w:t xml:space="preserve">”), enter into any agreement with any holder or prospective holder of any securities of the Company that would allow such holder or prospective holder (i)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(ii) to demand registration of any securities held by such holder or prospective holder;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limitation shall not apply to any additional Investor who becomes a party to this Agreement in accordance with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189"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“Market Stand-off” Agreement</w:t>
      </w:r>
      <w:r>
        <w:rPr>
          <w:rFonts w:ascii="Arial" w:cs="Arial" w:eastAsia="Arial" w:hAnsi="Arial"/>
          <w:sz w:val="17"/>
          <w:szCs w:val="17"/>
          <w:color w:val="auto"/>
        </w:rPr>
        <w:t xml:space="preserve">. Each Holder hereby agrees that, if required by the managing underwriter, it will not, during the period commencing on the date of the final prospectus relating to the IPO and ending on the date specified by the Company and the managing underwriter (such period not to exceed one hundred eighty (180) days, which period may be extended upon the request of the managing underwriter for such longer period of time as is necessary to enable such underwriter to issue a research report or to make a public appearance that relates to an earnings release or announcement by the Company within fifteen (15) days prior to or after the day that is one hundred eighty (180) days after the effective date of the registration statement relating to such offering, but in any event not to exceed two hundred ten (210) days following the effective date of the registration statement relating to such offering),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 shall apply only to the IPO, (B) shall not apply to the sale of shares of Common Stock acquired in the IPO or in the open market following the IPO, (C) shall not apply to the sale of any shares to an underwriter pursuant to an underwriting agreement, and (D) shall be applicable to the Holders only if all officers, directors, and stockholders individually owning more than one percent (1%) of the Company’s outstanding Common Stock (after giving effect to conversion into Common Stock of all outstanding Preferred Stock) are subject to the same restrictions. The underwriters in connection with such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99" w:name="page300"/>
    <w:bookmarkEnd w:id="299"/>
    <w:p>
      <w:pPr>
        <w:ind w:firstLine="41"/>
        <w:spacing w:after="0" w:line="289" w:lineRule="auto"/>
        <w:rPr>
          <w:sz w:val="20"/>
          <w:szCs w:val="20"/>
          <w:color w:val="auto"/>
        </w:rPr>
      </w:pPr>
      <w:r>
        <w:rPr>
          <w:rFonts w:ascii="Arial" w:cs="Arial" w:eastAsia="Arial" w:hAnsi="Arial"/>
          <w:sz w:val="16"/>
          <w:szCs w:val="16"/>
          <w:color w:val="auto"/>
        </w:rPr>
        <w:t xml:space="preserve">registration are intended third-party beneficiaries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or that are necessary to give further effect thereto. The Company agrees to use its reasonable efforts to obtain the agreement of the managing underwriter to periodic early releases of portions of the securities subject to such lock-up agreements upon the request of a Holder to such early release, provided that in the event of any early release, all Holders will be released on a pro rata basis from such agreements. If any of the obligations described in this Section 2.11 are waived or terminated with respect to any of the securities of any such Holder, officer, director or greater than one-percent stockholder (in any such case, the “Released Securities”), the foregoing provisions shall be waived or terminated, as applicable, to the same extent and with respect to the same percentage of securities of each Holder as the percentage of Released Securities represent with respect to the securities held by the applicable Holder, officer, director or greater than one-percent stockholder</w:t>
      </w:r>
    </w:p>
    <w:p>
      <w:pPr>
        <w:spacing w:after="0" w:line="16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225" w:lineRule="exact"/>
        <w:rPr>
          <w:sz w:val="20"/>
          <w:szCs w:val="20"/>
          <w:color w:val="auto"/>
        </w:rPr>
      </w:pPr>
    </w:p>
    <w:p>
      <w:pPr>
        <w:ind w:right="80" w:firstLine="1953"/>
        <w:spacing w:after="0" w:line="273" w:lineRule="auto"/>
        <w:tabs>
          <w:tab w:leader="none" w:pos="259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Preferred Stock and the Registrable Securities shall not be sold, pledged, or otherwise transferred, and the Company shall not recognize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in each case, to be bound by the terms of this Agreement.</w:t>
      </w:r>
    </w:p>
    <w:p>
      <w:pPr>
        <w:spacing w:after="0" w:line="178" w:lineRule="exact"/>
        <w:rPr>
          <w:rFonts w:ascii="Arial" w:cs="Arial" w:eastAsia="Arial" w:hAnsi="Arial"/>
          <w:sz w:val="17"/>
          <w:szCs w:val="17"/>
          <w:color w:val="auto"/>
        </w:rPr>
      </w:pPr>
    </w:p>
    <w:p>
      <w:pPr>
        <w:ind w:right="180" w:firstLine="1953"/>
        <w:spacing w:after="0" w:line="259" w:lineRule="auto"/>
        <w:tabs>
          <w:tab w:leader="none" w:pos="26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Each certificate or instrument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8"/>
          <w:szCs w:val="18"/>
          <w:u w:val="single" w:color="auto"/>
          <w:color w:val="auto"/>
        </w:rPr>
        <w:t>Section 2.12(c)</w:t>
      </w:r>
      <w:r>
        <w:rPr>
          <w:rFonts w:ascii="Arial" w:cs="Arial" w:eastAsia="Arial" w:hAnsi="Arial"/>
          <w:sz w:val="18"/>
          <w:szCs w:val="18"/>
          <w:color w:val="auto"/>
        </w:rPr>
        <w:t>) be stamped or otherwise imprinted with a legend substantially in the following form:</w:t>
      </w:r>
    </w:p>
    <w:p>
      <w:pPr>
        <w:spacing w:after="0" w:line="187"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AS AMENDED. SUCH SHARES MAY NOT BE SOLD, PLEDGED, OR TRANSFERRED IN THE ABSENCE OF SUCH REGISTRATION OR A VALID EXEMPTION FROM THE REGISTRATION AND PROSPECTUS DELIVERY REQUIREMENTS OF SAID ACT.</w:t>
      </w:r>
    </w:p>
    <w:p>
      <w:pPr>
        <w:spacing w:after="0" w:line="187" w:lineRule="exact"/>
        <w:rPr>
          <w:sz w:val="20"/>
          <w:szCs w:val="20"/>
          <w:color w:val="auto"/>
        </w:rPr>
      </w:pPr>
    </w:p>
    <w:p>
      <w:pPr>
        <w:ind w:left="660" w:right="340"/>
        <w:spacing w:after="0" w:line="264"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0" w:name="page301"/>
    <w:bookmarkEnd w:id="300"/>
    <w:p>
      <w:pPr>
        <w:ind w:right="380"/>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Section 2.12.</w:t>
      </w:r>
    </w:p>
    <w:p>
      <w:pPr>
        <w:spacing w:after="0" w:line="170" w:lineRule="exact"/>
        <w:rPr>
          <w:sz w:val="20"/>
          <w:szCs w:val="20"/>
          <w:color w:val="auto"/>
        </w:rPr>
      </w:pPr>
    </w:p>
    <w:p>
      <w:pPr>
        <w:ind w:firstLine="1953"/>
        <w:spacing w:after="0" w:line="285" w:lineRule="auto"/>
        <w:tabs>
          <w:tab w:leader="none" w:pos="260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The holder of each certificate representing Restricted Securities, by acceptance thereof, agrees to comply in all respects with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provided that, with respect to transfers under the foregoing clause (y), each transferee agrees in writing to be subject to the terms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Each certificate or instrument evidencing the Restricted Securities transferred as above provided shall bear, except if such transfer is made pursuant to SEC Rule 144 or pursuant to an effective registration statement, the appropriate restrictive legend set forth in </w:t>
      </w:r>
      <w:r>
        <w:rPr>
          <w:rFonts w:ascii="Arial" w:cs="Arial" w:eastAsia="Arial" w:hAnsi="Arial"/>
          <w:sz w:val="16"/>
          <w:szCs w:val="16"/>
          <w:u w:val="single" w:color="auto"/>
          <w:color w:val="auto"/>
        </w:rPr>
        <w:t>Section 2.12(b)</w:t>
      </w:r>
      <w:r>
        <w:rPr>
          <w:rFonts w:ascii="Arial" w:cs="Arial" w:eastAsia="Arial" w:hAnsi="Arial"/>
          <w:sz w:val="16"/>
          <w:szCs w:val="16"/>
          <w:color w:val="auto"/>
        </w:rPr>
        <w:t>, except that such certificate shall not bear such restrictive legend if, in the opinion of counsel for such Holder and the Company, such legend is not required in order to establish compliance with any provisions of the Securities Act.</w:t>
      </w:r>
    </w:p>
    <w:p>
      <w:pPr>
        <w:spacing w:after="0" w:line="17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terminate upon the earliest to occur of:</w:t>
      </w:r>
    </w:p>
    <w:p>
      <w:pPr>
        <w:spacing w:after="0" w:line="170" w:lineRule="exact"/>
        <w:rPr>
          <w:sz w:val="20"/>
          <w:szCs w:val="20"/>
          <w:color w:val="auto"/>
        </w:rPr>
      </w:pPr>
    </w:p>
    <w:p>
      <w:pPr>
        <w:ind w:left="2600" w:hanging="647"/>
        <w:spacing w:after="0"/>
        <w:tabs>
          <w:tab w:leader="none" w:pos="26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the Certificate of Incorporation;</w:t>
      </w:r>
    </w:p>
    <w:p>
      <w:pPr>
        <w:spacing w:after="0" w:line="225" w:lineRule="exact"/>
        <w:rPr>
          <w:rFonts w:ascii="Arial" w:cs="Arial" w:eastAsia="Arial" w:hAnsi="Arial"/>
          <w:sz w:val="18"/>
          <w:szCs w:val="18"/>
          <w:color w:val="auto"/>
        </w:rPr>
      </w:pPr>
    </w:p>
    <w:p>
      <w:pPr>
        <w:ind w:firstLine="1953"/>
        <w:spacing w:after="0" w:line="277" w:lineRule="auto"/>
        <w:tabs>
          <w:tab w:leader="none" w:pos="26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following the IPO, such time as Rule 144 or another similar exemption under the Securities Act is available for the sale of all of such Holder’s shares without limitation during a three-month period without registration; and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fifth (5</w:t>
      </w:r>
      <w:r>
        <w:rPr>
          <w:rFonts w:ascii="Arial" w:cs="Arial" w:eastAsia="Arial" w:hAnsi="Arial"/>
          <w:sz w:val="23"/>
          <w:szCs w:val="23"/>
          <w:color w:val="auto"/>
          <w:vertAlign w:val="superscript"/>
        </w:rPr>
        <w:t>th</w:t>
      </w:r>
      <w:r>
        <w:rPr>
          <w:rFonts w:ascii="Arial" w:cs="Arial" w:eastAsia="Arial" w:hAnsi="Arial"/>
          <w:sz w:val="18"/>
          <w:szCs w:val="18"/>
          <w:color w:val="auto"/>
        </w:rPr>
        <w:t>) anniversary of the IPO.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1" w:name="page302"/>
    <w:bookmarkEnd w:id="301"/>
    <w:p>
      <w:pPr>
        <w:ind w:left="1300" w:hanging="644"/>
        <w:spacing w:after="0"/>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Information and Observer Rights</w:t>
      </w:r>
      <w:r>
        <w:rPr>
          <w:rFonts w:ascii="Arial" w:cs="Arial" w:eastAsia="Arial" w:hAnsi="Arial"/>
          <w:sz w:val="18"/>
          <w:szCs w:val="18"/>
          <w:color w:val="auto"/>
        </w:rPr>
        <w:t>.</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The Company shall deliver to each Major Investor the required items listed below, except that the Company shall deliver to all Investors the items required by Sections 3.1(b) and (c):</w:t>
      </w:r>
    </w:p>
    <w:p>
      <w:pPr>
        <w:spacing w:after="0" w:line="170" w:lineRule="exact"/>
        <w:rPr>
          <w:sz w:val="20"/>
          <w:szCs w:val="20"/>
          <w:color w:val="auto"/>
        </w:rPr>
      </w:pPr>
    </w:p>
    <w:p>
      <w:pPr>
        <w:ind w:firstLine="1953"/>
        <w:spacing w:after="0" w:line="288" w:lineRule="auto"/>
        <w:tabs>
          <w:tab w:leader="none" w:pos="259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as soon as practicable, but in any event within ninety (90) days after the end of each fiscal year of the Company, unaudited statements of income and of cash flows for such fiscal year, and an unaudited balance sheet and a statement of stockholders’ equity as of the end of such fiscal year, all prepared in accordance with GAAP (except that such financial statements may (i) be subject to normal year-end audit adjustments and</w:t>
      </w:r>
    </w:p>
    <w:p>
      <w:pPr>
        <w:ind w:left="280" w:hanging="272"/>
        <w:spacing w:after="0"/>
        <w:tabs>
          <w:tab w:leader="none" w:pos="2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not contain all notes thereto that may be required in accordance with GAAP);</w:t>
      </w:r>
    </w:p>
    <w:p>
      <w:pPr>
        <w:spacing w:after="0" w:line="210" w:lineRule="exact"/>
        <w:rPr>
          <w:rFonts w:ascii="Arial" w:cs="Arial" w:eastAsia="Arial" w:hAnsi="Arial"/>
          <w:sz w:val="18"/>
          <w:szCs w:val="18"/>
          <w:color w:val="auto"/>
        </w:rPr>
      </w:pPr>
    </w:p>
    <w:p>
      <w:pPr>
        <w:ind w:firstLine="1953"/>
        <w:spacing w:after="0" w:line="259" w:lineRule="auto"/>
        <w:tabs>
          <w:tab w:leader="none" w:pos="26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as soon as practicable, but in any event within one hundred twenty (120) days after the end of each fiscal year of the Company, (i) a balance sheet as of the end of such year, (ii) statements of income and of cash flows for such year, and (iii) a statement of stockholders’ equity as of the end of such year, all such financial statements audited and certified by independent public accountants of nationally or regionally recognized standing selected by the Company and approved by the Board of Directors;</w:t>
      </w:r>
    </w:p>
    <w:p>
      <w:pPr>
        <w:spacing w:after="0" w:line="186" w:lineRule="exact"/>
        <w:rPr>
          <w:rFonts w:ascii="Arial" w:cs="Arial" w:eastAsia="Arial" w:hAnsi="Arial"/>
          <w:sz w:val="18"/>
          <w:szCs w:val="18"/>
          <w:color w:val="auto"/>
        </w:rPr>
      </w:pPr>
    </w:p>
    <w:p>
      <w:pPr>
        <w:ind w:right="60" w:firstLine="1953"/>
        <w:spacing w:after="0" w:line="279" w:lineRule="auto"/>
        <w:tabs>
          <w:tab w:leader="none" w:pos="2604" w:val="left"/>
        </w:tabs>
        <w:numPr>
          <w:ilvl w:val="1"/>
          <w:numId w:val="178"/>
        </w:numPr>
        <w:rPr>
          <w:rFonts w:ascii="Arial" w:cs="Arial" w:eastAsia="Arial" w:hAnsi="Arial"/>
          <w:sz w:val="17"/>
          <w:szCs w:val="17"/>
          <w:color w:val="auto"/>
        </w:rPr>
      </w:pPr>
      <w:r>
        <w:rPr>
          <w:rFonts w:ascii="Arial" w:cs="Arial" w:eastAsia="Arial" w:hAnsi="Arial"/>
          <w:sz w:val="17"/>
          <w:szCs w:val="17"/>
          <w:color w:val="auto"/>
        </w:rPr>
        <w:t>as soon as practicable but in any event within forty-five (45) days after the end of each of the first three (3) quarters of each fiscal year of the Company, unaudited statements of income and of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71" w:lineRule="exact"/>
        <w:rPr>
          <w:rFonts w:ascii="Arial" w:cs="Arial" w:eastAsia="Arial" w:hAnsi="Arial"/>
          <w:sz w:val="17"/>
          <w:szCs w:val="17"/>
          <w:color w:val="auto"/>
        </w:rPr>
      </w:pPr>
    </w:p>
    <w:p>
      <w:pPr>
        <w:ind w:right="100" w:firstLine="1953"/>
        <w:spacing w:after="0" w:line="259" w:lineRule="auto"/>
        <w:tabs>
          <w:tab w:leader="none" w:pos="26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as soon as practicable, but in any event within thirty (30) days after the end of each month, an unaudited income statement and statement of cash flows for such month, and an unaudited balance sheet and statement of stockholders’ equity as of the end of such month, all prepared in accordance with GAAP (except that such financial statements may (i) be subject to normal year-end audit adjustments and (ii) not contain all notes thereto that may be required in accordance with GAAP);</w:t>
      </w:r>
    </w:p>
    <w:p>
      <w:pPr>
        <w:spacing w:after="0" w:line="186" w:lineRule="exact"/>
        <w:rPr>
          <w:rFonts w:ascii="Arial" w:cs="Arial" w:eastAsia="Arial" w:hAnsi="Arial"/>
          <w:sz w:val="18"/>
          <w:szCs w:val="18"/>
          <w:color w:val="auto"/>
        </w:rPr>
      </w:pPr>
    </w:p>
    <w:p>
      <w:pPr>
        <w:ind w:right="100" w:firstLine="1953"/>
        <w:spacing w:after="0" w:line="255" w:lineRule="auto"/>
        <w:tabs>
          <w:tab w:leader="none" w:pos="2604"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as soon as practicable, but in any event within forty-five (45) days after the end of each of the first three (3) quarters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each Major Investor to calculate their respective percentage equity ownership in the Company, and certified by the chief financial officer or chief executive officer of the Company as being true, complete, and correct.</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302" w:name="page303"/>
    <w:bookmarkEnd w:id="302"/>
    <w:p>
      <w:pPr>
        <w:ind w:right="120" w:firstLine="1953"/>
        <w:spacing w:after="0" w:line="312" w:lineRule="auto"/>
        <w:tabs>
          <w:tab w:leader="none" w:pos="259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as soon as practicable, but in any event thirty (30) days before the end of each fiscal year, a budget and business plan for the next fiscal year (collectively, the “</w:t>
      </w:r>
      <w:r>
        <w:rPr>
          <w:rFonts w:ascii="Arial" w:cs="Arial" w:eastAsia="Arial" w:hAnsi="Arial"/>
          <w:sz w:val="16"/>
          <w:szCs w:val="16"/>
          <w:b w:val="1"/>
          <w:bCs w:val="1"/>
          <w:color w:val="auto"/>
        </w:rPr>
        <w:t>Budget</w:t>
      </w:r>
      <w:r>
        <w:rPr>
          <w:rFonts w:ascii="Arial" w:cs="Arial" w:eastAsia="Arial" w:hAnsi="Arial"/>
          <w:sz w:val="16"/>
          <w:szCs w:val="16"/>
          <w:color w:val="auto"/>
        </w:rPr>
        <w:t>”), approved by the Board of Directors and prepared on a monthly basis, including balance sheets, income statements, and statements of cash flow for such months and, promptly after prepared, any other budgets or revised budgets prepared by the Company; and</w:t>
      </w:r>
    </w:p>
    <w:p>
      <w:pPr>
        <w:spacing w:after="0" w:line="146" w:lineRule="exact"/>
        <w:rPr>
          <w:rFonts w:ascii="Arial" w:cs="Arial" w:eastAsia="Arial" w:hAnsi="Arial"/>
          <w:sz w:val="16"/>
          <w:szCs w:val="16"/>
          <w:color w:val="auto"/>
        </w:rPr>
      </w:pPr>
    </w:p>
    <w:p>
      <w:pPr>
        <w:ind w:right="60" w:firstLine="1953"/>
        <w:spacing w:after="0" w:line="259" w:lineRule="auto"/>
        <w:tabs>
          <w:tab w:leader="none" w:pos="261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such other information relating to the financial condition, business, prospects, or corporate affairs of the Company as any Major Investor may from time to time reasonably request;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Company shall not be obligated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provide information (i) that the Company reasonably determines in good faith to be a trade secret or confidential information or (ii) the disclosure of which would adversely affect the attorney-client privilege between the Company and its counsel.</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Notwithstanding anything else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during the period starting with the date thirty (30) days before the Company’s good-faith estimate of the date of filing of a registration statement if it reasonably concludes it must do so to comply with the SEC rules applicable to such registration statement and related offering; provided that the Company’s covenants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188"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Inspection</w:t>
      </w:r>
      <w:r>
        <w:rPr>
          <w:rFonts w:ascii="Arial" w:cs="Arial" w:eastAsia="Arial" w:hAnsi="Arial"/>
          <w:sz w:val="18"/>
          <w:szCs w:val="18"/>
          <w:color w:val="auto"/>
        </w:rPr>
        <w:t xml:space="preserve">. The Company shall permit each Major Investor,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Company shall not be obligated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to provide access to any information that it reasonably considers to be a trade secret or confidential information or the disclosure of which would adversely affect the attorney-client privilege between the Company and its counsel.</w:t>
      </w:r>
    </w:p>
    <w:p>
      <w:pPr>
        <w:spacing w:after="0" w:line="188"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Observer Rights</w:t>
      </w:r>
      <w:r>
        <w:rPr>
          <w:rFonts w:ascii="Arial" w:cs="Arial" w:eastAsia="Arial" w:hAnsi="Arial"/>
          <w:sz w:val="18"/>
          <w:szCs w:val="18"/>
          <w:color w:val="auto"/>
        </w:rPr>
        <w:t>. As long as Aventis Inc. (“Aventis”) continues to own not less than fifty percent (50%) of the shares of the Series B Preferred Stock it is purchasing under the Purchase Agreement (subject to appropriate adjustment in the event of any stock dividend, stock split, combination or other similar recapitalization) (or an equivalent amount of Common Stock issued upon conversion thereof), the Company shall invite one representative of Aventis to attend all meetings of the Board of Directors in a nonvoting observer capacity (the “Aventis Observer”). As long as Casdin Partners Master Fund L.P. (“Casdin”) continues to own not less than fifty percent (50%) of the shares of the Series B Preferred Stock it is purchasing under the Purchase Agreement (subject to appropriate adjustment in the event of any stock dividend, stock split, combination or other similar recapitalization) (or an equivalent amount of Common Stock issued upon conversion thereof), the Company shall invite one representative of Casdin to attend all meetings of the Board of Directors in a nonvoting observer capacity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3" w:name="page304"/>
    <w:bookmarkEnd w:id="303"/>
    <w:p>
      <w:pPr>
        <w:spacing w:after="0" w:line="288" w:lineRule="auto"/>
        <w:rPr>
          <w:sz w:val="20"/>
          <w:szCs w:val="20"/>
          <w:color w:val="auto"/>
        </w:rPr>
      </w:pPr>
      <w:r>
        <w:rPr>
          <w:rFonts w:ascii="Arial" w:cs="Arial" w:eastAsia="Arial" w:hAnsi="Arial"/>
          <w:sz w:val="16"/>
          <w:szCs w:val="16"/>
          <w:color w:val="auto"/>
        </w:rPr>
        <w:t>“Casdin Observer”). As long as 6 Dimensions Capital L.P. and 6 Dimensions Affiliates Fund, L.P. (together, “6 Dimensions”) continue to own in the aggregate not less than fifty percent (50%) of the shares of the Series B Preferred Stock 6 Dimensions is purchasing under the Purchase Agreement (subject to appropriate adjustment in the event of any stock dividend, stock split, combination or other similar recapitalization) (or an equivalent amount of Common Stock issued upon conversion thereof), the Company shall invite one representative of 6 Dimensions to attend all meetings of the Board of Directors in a nonvoting observer capacity (the “6 Dimensions Observer”, and, together with the Aventis Observer and the Casdin Observer, the “Board Observers”). The Company shall give to each Board Observer copies of all notices, minutes, consents, and other materials that it provides to its directors at the same time and in the same manner as provided to such directors; provided, however, that each Board Observer shall agree to hold in confidence and trust and to act in a fiduciary manner with respect to all information so provided; and provided further, that the Company reserves the right to withhold any information and to exclude a Board Observer from any meeting or portion thereof if access to such information or attendance at such meeting could adversely affect the attorney-client privilege between the Company and its counsel or result in disclosure of trade secrets or a conflict of interest.</w:t>
      </w:r>
    </w:p>
    <w:p>
      <w:pPr>
        <w:spacing w:after="0" w:line="169"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Termination of Information Rights</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Sections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shall terminate and be of no further force or effect upon the earliest to occur of (i) immediately before, but subject to, the consummation of the IPO, (ii) when the Company first becomes subject to the periodic reporting requirements of Section 12(g) or 15(d) of the Exchange Act, or (iii) upon a Deemed Liquidation Event; provided, that, with respect to clause (iii), the covenants set forth in Section 3.1 shall only terminate if the consideration received by the Investors in such Deemed Liquidation Event is in the form of cash and/or publicly traded securities unless the Investors receive financial information from the acquiring company or other successor to the Company comparable to those set forth in Section 3.1.</w:t>
      </w:r>
    </w:p>
    <w:p>
      <w:pPr>
        <w:spacing w:after="0" w:line="193" w:lineRule="exact"/>
        <w:rPr>
          <w:sz w:val="20"/>
          <w:szCs w:val="20"/>
          <w:color w:val="auto"/>
        </w:rPr>
      </w:pPr>
    </w:p>
    <w:p>
      <w:pPr>
        <w:ind w:right="20" w:firstLine="1297"/>
        <w:spacing w:after="0" w:line="287"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6"/>
          <w:szCs w:val="16"/>
          <w:u w:val="single" w:color="auto"/>
          <w:color w:val="auto"/>
        </w:rPr>
        <w:t>Section 3.5</w:t>
      </w:r>
      <w:r>
        <w:rPr>
          <w:rFonts w:ascii="Arial" w:cs="Arial" w:eastAsia="Arial" w:hAnsi="Arial"/>
          <w:sz w:val="16"/>
          <w:szCs w:val="16"/>
          <w:color w:val="auto"/>
        </w:rPr>
        <w:t>; (iii) to any existing or prospective Affiliate, partner, member, stockholder, or wholly owned subsidiary of such Investor in the ordinary course of business, provided that such Investor informs such Person that such information is confidential and directs such Person to maintain the confidentiality of such information; or (iv) as may otherwise be required by law, provided that the Investor promptly notifies the Company of such disclosure and takes reasonable steps to minimize the extent of any such required disclosure.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04" w:name="page305"/>
    <w:bookmarkEnd w:id="304"/>
    <w:p>
      <w:pPr>
        <w:ind w:left="1300" w:hanging="644"/>
        <w:spacing w:after="0"/>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r>
        <w:rPr>
          <w:rFonts w:ascii="Arial" w:cs="Arial" w:eastAsia="Arial" w:hAnsi="Arial"/>
          <w:sz w:val="18"/>
          <w:szCs w:val="18"/>
          <w:color w:val="auto"/>
        </w:rPr>
        <w:t>.</w:t>
      </w:r>
    </w:p>
    <w:p>
      <w:pPr>
        <w:spacing w:after="0" w:line="225" w:lineRule="exact"/>
        <w:rPr>
          <w:sz w:val="20"/>
          <w:szCs w:val="20"/>
          <w:color w:val="auto"/>
        </w:rPr>
      </w:pPr>
    </w:p>
    <w:p>
      <w:pPr>
        <w:ind w:right="200" w:firstLine="1297"/>
        <w:spacing w:after="0" w:line="27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Right of First Offer</w:t>
      </w:r>
      <w:r>
        <w:rPr>
          <w:rFonts w:ascii="Arial" w:cs="Arial" w:eastAsia="Arial" w:hAnsi="Arial"/>
          <w:sz w:val="17"/>
          <w:szCs w:val="17"/>
          <w:color w:val="auto"/>
        </w:rPr>
        <w:t xml:space="preserve">. Subject to the terms and conditions of this Section </w:t>
      </w:r>
      <w:r>
        <w:rPr>
          <w:rFonts w:ascii="Arial" w:cs="Arial" w:eastAsia="Arial" w:hAnsi="Arial"/>
          <w:sz w:val="17"/>
          <w:szCs w:val="17"/>
          <w:u w:val="single" w:color="auto"/>
          <w:color w:val="auto"/>
        </w:rPr>
        <w:t>4.1</w:t>
      </w:r>
      <w:r>
        <w:rPr>
          <w:rFonts w:ascii="Arial" w:cs="Arial" w:eastAsia="Arial" w:hAnsi="Arial"/>
          <w:sz w:val="17"/>
          <w:szCs w:val="17"/>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among itself and its Affiliates in such proportions as it deems appropriate; provided that each such Affiliate agrees to enter into this Agreement and the Stockholders Agreement as an “Investor” under each such agreement.</w:t>
      </w:r>
    </w:p>
    <w:p>
      <w:pPr>
        <w:spacing w:after="0" w:line="167" w:lineRule="exact"/>
        <w:rPr>
          <w:sz w:val="20"/>
          <w:szCs w:val="20"/>
          <w:color w:val="auto"/>
        </w:rPr>
      </w:pPr>
    </w:p>
    <w:p>
      <w:pPr>
        <w:ind w:firstLine="1953"/>
        <w:spacing w:after="0" w:line="266" w:lineRule="auto"/>
        <w:tabs>
          <w:tab w:leader="none" w:pos="259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Company shall give notice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80" w:lineRule="exact"/>
        <w:rPr>
          <w:rFonts w:ascii="Arial" w:cs="Arial" w:eastAsia="Arial" w:hAnsi="Arial"/>
          <w:sz w:val="18"/>
          <w:szCs w:val="18"/>
          <w:color w:val="auto"/>
        </w:rPr>
      </w:pPr>
    </w:p>
    <w:p>
      <w:pPr>
        <w:ind w:right="20" w:firstLine="1953"/>
        <w:spacing w:after="0" w:line="284" w:lineRule="auto"/>
        <w:tabs>
          <w:tab w:leader="none" w:pos="260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then issuable (directly or indirectly) upon conversion and/or exercise, as applicable, of the Preferred Stock and any other Derivative Securities then held by such Major Investor) bears to the total number of shares of Common Stock of the Company then outstanding (assuming full conversion and/or exercise, as applicable, of all shares of Preferred Stock and other Derivative Securities). At the expiration of such twenty (20) day period, the Company shall promptly notify each Major Investor that elects to purchase or acquire all the shares available to it (each, a “</w:t>
      </w:r>
      <w:r>
        <w:rPr>
          <w:rFonts w:ascii="Arial" w:cs="Arial" w:eastAsia="Arial" w:hAnsi="Arial"/>
          <w:sz w:val="16"/>
          <w:szCs w:val="16"/>
          <w:b w:val="1"/>
          <w:bCs w:val="1"/>
          <w:color w:val="auto"/>
        </w:rPr>
        <w:t>Fully Exercising Investor</w:t>
      </w:r>
      <w:r>
        <w:rPr>
          <w:rFonts w:ascii="Arial" w:cs="Arial" w:eastAsia="Arial" w:hAnsi="Arial"/>
          <w:sz w:val="16"/>
          <w:szCs w:val="16"/>
          <w:color w:val="auto"/>
        </w:rPr>
        <w:t>”) of any other Major Investor’s failure to do likewise. During the ten</w:t>
      </w:r>
    </w:p>
    <w:p>
      <w:pPr>
        <w:spacing w:after="0" w:line="2" w:lineRule="exact"/>
        <w:rPr>
          <w:rFonts w:ascii="Arial" w:cs="Arial" w:eastAsia="Arial" w:hAnsi="Arial"/>
          <w:sz w:val="16"/>
          <w:szCs w:val="16"/>
          <w:color w:val="auto"/>
        </w:rPr>
      </w:pPr>
    </w:p>
    <w:p>
      <w:pPr>
        <w:ind w:firstLine="8"/>
        <w:spacing w:after="0" w:line="268" w:lineRule="auto"/>
        <w:tabs>
          <w:tab w:leader="none" w:pos="34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portion is equal to the proportion that the Common Stock issued and held, or issuable upon conversion and/or exercise, as applicable, of Preferred Stock and any other Derivative Securities then held, by such Fully Exercising Investor bears to the number of shares of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shall occur within the later of one hundred twenty (120</w:t>
      </w:r>
      <w:r>
        <w:rPr>
          <w:rFonts w:ascii="Arial" w:cs="Arial" w:eastAsia="Arial" w:hAnsi="Arial"/>
          <w:sz w:val="17"/>
          <w:szCs w:val="17"/>
          <w:b w:val="1"/>
          <w:bCs w:val="1"/>
          <w:color w:val="auto"/>
        </w:rPr>
        <w:t>)</w:t>
      </w:r>
      <w:r>
        <w:rPr>
          <w:rFonts w:ascii="Arial" w:cs="Arial" w:eastAsia="Arial" w:hAnsi="Arial"/>
          <w:sz w:val="17"/>
          <w:szCs w:val="17"/>
          <w:color w:val="auto"/>
        </w:rPr>
        <w:t xml:space="preserve"> days after the date that the Offer Notice is given and the date of initial sale of New Securities pursuant to </w:t>
      </w:r>
      <w:r>
        <w:rPr>
          <w:rFonts w:ascii="Arial" w:cs="Arial" w:eastAsia="Arial" w:hAnsi="Arial"/>
          <w:sz w:val="17"/>
          <w:szCs w:val="17"/>
          <w:u w:val="single" w:color="auto"/>
          <w:color w:val="auto"/>
        </w:rPr>
        <w:t>Section 4.1(c)</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left="2620" w:hanging="667"/>
        <w:spacing w:after="0"/>
        <w:tabs>
          <w:tab w:leader="none" w:pos="26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If all New Securities referred to in the Offer Notice are not elected to be purchased or acquired as provided in</w:t>
      </w:r>
    </w:p>
    <w:p>
      <w:pPr>
        <w:spacing w:after="0" w:line="23"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the Company may, during the ninety (90) day period following the expiration of the periods provided in </w:t>
      </w:r>
      <w:r>
        <w:rPr>
          <w:rFonts w:ascii="Arial" w:cs="Arial" w:eastAsia="Arial" w:hAnsi="Arial"/>
          <w:sz w:val="16"/>
          <w:szCs w:val="16"/>
          <w:u w:val="single" w:color="auto"/>
          <w:color w:val="auto"/>
        </w:rPr>
        <w:t>Section 4.1(b)</w:t>
      </w:r>
      <w:r>
        <w:rPr>
          <w:rFonts w:ascii="Arial" w:cs="Arial" w:eastAsia="Arial" w:hAnsi="Arial"/>
          <w:sz w:val="16"/>
          <w:szCs w:val="16"/>
          <w:color w:val="auto"/>
        </w:rPr>
        <w:t>,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color w:val="auto"/>
        </w:rPr>
        <w:t xml:space="preserve">Securities shall not be offered unless first reoffered to the Major Investors in accordance with this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right="220" w:firstLine="1953"/>
        <w:spacing w:after="0" w:line="255" w:lineRule="auto"/>
        <w:tabs>
          <w:tab w:leader="none" w:pos="26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the event that the rights of any Major Investor to purchase New Securities under this Section 4.1 are waived with respect to a particular offering of New Securities (the “Offering”) without such Major Investor’s prior written consent (a “Waived Investor”) and any Major Investor that participated in waiving such rights actually purchases New Securities in such offering, then the Company shall grant, and hereby grants, each Waived Investor the right to purchase, in a subsequent closing of such issuance on substantially the same terms and conditions and within 30 days of the initial closing of the Offering, the same percentage of its full pro rata share of such New Securities as the highest percentage of any such purchasing Major Investor.</w:t>
      </w:r>
    </w:p>
    <w:p>
      <w:pPr>
        <w:spacing w:after="0" w:line="193" w:lineRule="exact"/>
        <w:rPr>
          <w:rFonts w:ascii="Arial" w:cs="Arial" w:eastAsia="Arial" w:hAnsi="Arial"/>
          <w:sz w:val="18"/>
          <w:szCs w:val="18"/>
          <w:color w:val="auto"/>
        </w:rPr>
      </w:pPr>
    </w:p>
    <w:p>
      <w:pPr>
        <w:ind w:right="200" w:firstLine="1953"/>
        <w:spacing w:after="0" w:line="277" w:lineRule="auto"/>
        <w:tabs>
          <w:tab w:leader="none" w:pos="260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not be applicable to (i) Exempted Securities (as defined in the Certificate of Incorporation), and (ii) shares of Common Stock issued in the IPO.</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The covenants set forth in</w:t>
      </w:r>
      <w:r>
        <w:rPr>
          <w:rFonts w:ascii="Arial" w:cs="Arial" w:eastAsia="Arial" w:hAnsi="Arial"/>
          <w:sz w:val="16"/>
          <w:szCs w:val="16"/>
          <w:u w:val="single" w:color="auto"/>
          <w:color w:val="auto"/>
        </w:rPr>
        <w:t xml:space="preserve"> Section 4.1 </w:t>
      </w:r>
      <w:r>
        <w:rPr>
          <w:rFonts w:ascii="Arial" w:cs="Arial" w:eastAsia="Arial" w:hAnsi="Arial"/>
          <w:sz w:val="16"/>
          <w:szCs w:val="16"/>
          <w:color w:val="auto"/>
        </w:rPr>
        <w:t>shall terminate and be of no further force or effect upon the earliest to occur of</w:t>
      </w:r>
    </w:p>
    <w:p>
      <w:pPr>
        <w:spacing w:after="0" w:line="23" w:lineRule="exact"/>
        <w:rPr>
          <w:sz w:val="20"/>
          <w:szCs w:val="20"/>
          <w:color w:val="auto"/>
        </w:rPr>
      </w:pPr>
    </w:p>
    <w:p>
      <w:pPr>
        <w:ind w:right="240" w:firstLine="8"/>
        <w:spacing w:after="0" w:line="261" w:lineRule="auto"/>
        <w:tabs>
          <w:tab w:leader="none" w:pos="21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immediately before, but subject to, the consummation of the IPO, (ii) when the Company first becomes subject to the periodic reporting requirements of Section 12(g) or 15(d) of the Exchange Act, or (iii) upon a Deemed Liquidation Event.</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184"/>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Insurance</w:t>
      </w:r>
      <w:r>
        <w:rPr>
          <w:rFonts w:ascii="Arial" w:cs="Arial" w:eastAsia="Arial" w:hAnsi="Arial"/>
          <w:sz w:val="18"/>
          <w:szCs w:val="18"/>
          <w:color w:val="auto"/>
        </w:rPr>
        <w:t>. Within a reasonable period of time after requested by the Board of Directors, the Company shall obtain from financially sound and reputable insurers Directors and Officers Errors and Omissions insurance in an amount satisfactory to the Board of Directors, and will use commercially reasonable efforts to cause such insurance policy to be maintained until such time as the Board of Directors determines that such insurance should be discontinued.</w:t>
      </w:r>
    </w:p>
    <w:p>
      <w:pPr>
        <w:spacing w:after="0" w:line="187"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Employee Agreements</w:t>
      </w:r>
      <w:r>
        <w:rPr>
          <w:rFonts w:ascii="Arial" w:cs="Arial" w:eastAsia="Arial" w:hAnsi="Arial"/>
          <w:sz w:val="17"/>
          <w:szCs w:val="17"/>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Key Employee to enter into a one (1) year noncompetition and nonsolicitation agreement, substantially in the form approved by the Board of Directors, including at least one Investor Director. In addition, the Company shall not amend, modify, terminate, waive, or otherwise alter, in whole or in part, any of the above-referenced agreements or any restricted stock agreement between the Company and any employee, without the approval by the Board of Directors, including at least one Investor Director.</w:t>
      </w:r>
    </w:p>
    <w:p>
      <w:pPr>
        <w:spacing w:after="0" w:line="178"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Employee Vesting</w:t>
      </w:r>
      <w:r>
        <w:rPr>
          <w:rFonts w:ascii="Arial" w:cs="Arial" w:eastAsia="Arial" w:hAnsi="Arial"/>
          <w:sz w:val="18"/>
          <w:szCs w:val="18"/>
          <w:color w:val="auto"/>
        </w:rPr>
        <w:t>. Unless otherwise approved by the Board of Directors, which approval shall include at least one Investor Director, all current and future employees and consultants of the Company who purchase, receive options to purchase, or receive awards of shares of the Company’s capital stock after the date hereof shall be required to execute restricted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stock or option agreements, as applicable, providing for (i) vesting of shares, not faster than, over a four (4) year period, with the first twenty-five percent (25%) of such shares vesting following twelve (12) months of continued employment or service, and the remaining shares vesting in equal monthly installments over the following three (3) years, and (ii) a market stand-off provision substantially similar to that in </w:t>
      </w:r>
      <w:r>
        <w:rPr>
          <w:rFonts w:ascii="Arial" w:cs="Arial" w:eastAsia="Arial" w:hAnsi="Arial"/>
          <w:sz w:val="16"/>
          <w:szCs w:val="16"/>
          <w:u w:val="single" w:color="auto"/>
          <w:color w:val="auto"/>
        </w:rPr>
        <w:t>Section 2.11</w:t>
      </w:r>
      <w:r>
        <w:rPr>
          <w:rFonts w:ascii="Arial" w:cs="Arial" w:eastAsia="Arial" w:hAnsi="Arial"/>
          <w:sz w:val="16"/>
          <w:szCs w:val="16"/>
          <w:color w:val="auto"/>
        </w:rPr>
        <w:t>. In addition, unless otherwise approved by the Board of Directors, including at least one of the Investor Directors, the Company shall retain a “right of first refusal” on employee transfers until the Company’s IPO and shall have the right to repurchase unvested shares at cost upon termination of employment of a holder of restricted stock.</w:t>
      </w:r>
    </w:p>
    <w:p>
      <w:pPr>
        <w:spacing w:after="0" w:line="158"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Matters Requiring Investor Director Approval</w:t>
      </w:r>
      <w:r>
        <w:rPr>
          <w:rFonts w:ascii="Arial" w:cs="Arial" w:eastAsia="Arial" w:hAnsi="Arial"/>
          <w:sz w:val="18"/>
          <w:szCs w:val="18"/>
          <w:color w:val="auto"/>
        </w:rPr>
        <w:t>. So long as any shares of Preferred Stock remain outstanding, the Company hereby covenants and agrees with each of the Investors that it shall not, without first obtaining the approval of the Board of Directors, which approval must include the affirmative vote of at least one Investor Director:</w:t>
      </w:r>
    </w:p>
    <w:p>
      <w:pPr>
        <w:spacing w:after="0" w:line="181" w:lineRule="exact"/>
        <w:rPr>
          <w:sz w:val="20"/>
          <w:szCs w:val="20"/>
          <w:color w:val="auto"/>
        </w:rPr>
      </w:pPr>
    </w:p>
    <w:p>
      <w:pPr>
        <w:ind w:right="60" w:firstLine="1953"/>
        <w:spacing w:after="0" w:line="277" w:lineRule="auto"/>
        <w:tabs>
          <w:tab w:leader="none" w:pos="259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or own any stock or other securities of, any subsidiary or other corporation, partnership, or other entity unless it is wholly owned by the Company;</w:t>
      </w:r>
    </w:p>
    <w:p>
      <w:pPr>
        <w:spacing w:after="0" w:line="170" w:lineRule="exact"/>
        <w:rPr>
          <w:rFonts w:ascii="Arial" w:cs="Arial" w:eastAsia="Arial" w:hAnsi="Arial"/>
          <w:sz w:val="18"/>
          <w:szCs w:val="18"/>
          <w:color w:val="auto"/>
        </w:rPr>
      </w:pPr>
    </w:p>
    <w:p>
      <w:pPr>
        <w:jc w:val="both"/>
        <w:ind w:right="120" w:firstLine="1953"/>
        <w:spacing w:after="0" w:line="264" w:lineRule="auto"/>
        <w:tabs>
          <w:tab w:leader="none" w:pos="26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any Person, including, without limitation, any employee or director of the Company or any subsidiary, except advances and similar expenditures in the ordinary course of business or under the terms of an employee stock or option plan approved by the Board of Directors;</w:t>
      </w:r>
    </w:p>
    <w:p>
      <w:pPr>
        <w:spacing w:after="0" w:line="181" w:lineRule="exact"/>
        <w:rPr>
          <w:rFonts w:ascii="Arial" w:cs="Arial" w:eastAsia="Arial" w:hAnsi="Arial"/>
          <w:sz w:val="18"/>
          <w:szCs w:val="18"/>
          <w:color w:val="auto"/>
        </w:rPr>
      </w:pPr>
    </w:p>
    <w:p>
      <w:pPr>
        <w:ind w:right="120" w:firstLine="1953"/>
        <w:spacing w:after="0" w:line="277" w:lineRule="auto"/>
        <w:tabs>
          <w:tab w:leader="none" w:pos="260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guarantee, directly or indirectly, or permit any subsidiary to guarantee, directly or indirectly, any indebtedness except for trade accounts of the Company or any subsidiary arising in the ordinary course of business;</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make any investment inconsistent with any investment policy approved by the Board of Directors;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incur indebtedness in excess of $75,000 in the aggregate that is not covered by the Budget, other than trade credit incurred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the ordinary course of business;</w:t>
      </w:r>
    </w:p>
    <w:p>
      <w:pPr>
        <w:spacing w:after="0" w:line="210" w:lineRule="exact"/>
        <w:rPr>
          <w:rFonts w:ascii="Arial" w:cs="Arial" w:eastAsia="Arial" w:hAnsi="Arial"/>
          <w:sz w:val="16"/>
          <w:szCs w:val="16"/>
          <w:color w:val="auto"/>
        </w:rPr>
      </w:pPr>
    </w:p>
    <w:p>
      <w:pPr>
        <w:ind w:right="640" w:firstLine="1953"/>
        <w:spacing w:after="0" w:line="277" w:lineRule="auto"/>
        <w:tabs>
          <w:tab w:leader="none" w:pos="259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otherwise enter into or be a party to any transaction with any director, officer or employee of the Company or any “associate” (as defined in Rule 12b-2 promulgated under the Exchange Act) of any such Person;</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hire, terminate, or change the compensation of the executive officers, including approving any option grants or stock</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awards to executive officers;</w:t>
      </w:r>
    </w:p>
    <w:p>
      <w:pPr>
        <w:spacing w:after="0" w:line="210" w:lineRule="exact"/>
        <w:rPr>
          <w:rFonts w:ascii="Arial" w:cs="Arial" w:eastAsia="Arial" w:hAnsi="Arial"/>
          <w:sz w:val="17"/>
          <w:szCs w:val="17"/>
          <w:color w:val="auto"/>
        </w:rPr>
      </w:pPr>
    </w:p>
    <w:p>
      <w:pPr>
        <w:ind w:left="2600" w:hanging="647"/>
        <w:spacing w:after="0"/>
        <w:tabs>
          <w:tab w:leader="none" w:pos="26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change the principal business of the Company, or enter into a new line of business, or exit the existing line of business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left="2620" w:hanging="667"/>
        <w:spacing w:after="0"/>
        <w:tabs>
          <w:tab w:leader="none" w:pos="262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sell, assign, license, pledge or encumber material technology or intellectual property, other than licenses granted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ordinary course of business; 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41" w:right="239" w:bottom="0" w:gutter="0" w:footer="0" w:header="0"/>
        </w:sectPr>
      </w:pPr>
    </w:p>
    <w:bookmarkStart w:id="306" w:name="page307"/>
    <w:bookmarkEnd w:id="3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7" w:name="page308"/>
    <w:bookmarkEnd w:id="307"/>
    <w:p>
      <w:pPr>
        <w:ind w:firstLine="1953"/>
        <w:spacing w:after="0" w:line="277" w:lineRule="auto"/>
        <w:tabs>
          <w:tab w:leader="none" w:pos="260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enter into any corporate strategic relationship involving the payment contribution or assignment by the Company or to the Company of money or assets greater than $200,000.</w:t>
      </w:r>
    </w:p>
    <w:p>
      <w:pPr>
        <w:spacing w:after="0" w:line="170" w:lineRule="exact"/>
        <w:rPr>
          <w:sz w:val="20"/>
          <w:szCs w:val="20"/>
          <w:color w:val="auto"/>
        </w:rPr>
      </w:pPr>
    </w:p>
    <w:p>
      <w:pPr>
        <w:ind w:right="240" w:firstLine="1297"/>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Meetings of the Board of Directors; Committees</w:t>
      </w:r>
      <w:r>
        <w:rPr>
          <w:rFonts w:ascii="Arial" w:cs="Arial" w:eastAsia="Arial" w:hAnsi="Arial"/>
          <w:sz w:val="18"/>
          <w:szCs w:val="18"/>
          <w:color w:val="auto"/>
        </w:rPr>
        <w:t>. Unless otherwise determined by the vote of a majority of the directors then in office, the Board of Directors shall meet at least four (4) times per year, and at least once per quarter, in accordance with an agreed-upon schedule, unless otherwise agreed by a vote of the majority of the directors. Each non-employee director shall be entitled in such person’s discretion to be a member of any committee of the Board of Directors.</w:t>
      </w:r>
    </w:p>
    <w:p>
      <w:pPr>
        <w:spacing w:after="0" w:line="187"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the Certificate of Incorporation, or elsewhere, as the case may be.</w:t>
      </w:r>
    </w:p>
    <w:p>
      <w:pPr>
        <w:spacing w:after="0" w:line="188" w:lineRule="exact"/>
        <w:rPr>
          <w:sz w:val="20"/>
          <w:szCs w:val="20"/>
          <w:color w:val="auto"/>
        </w:rPr>
      </w:pPr>
    </w:p>
    <w:p>
      <w:pPr>
        <w:ind w:right="140" w:firstLine="1297"/>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Board Expenses</w:t>
      </w:r>
      <w:r>
        <w:rPr>
          <w:rFonts w:ascii="Arial" w:cs="Arial" w:eastAsia="Arial" w:hAnsi="Arial"/>
          <w:sz w:val="17"/>
          <w:szCs w:val="17"/>
          <w:color w:val="auto"/>
        </w:rPr>
        <w:t>. The Company shall reimburse the non-employee directors and board observers for all reasonable out-of-pocket expenses incurred (consistent with the Company’s policies) in connection with their role as a director or a board observer of the Company.</w:t>
      </w:r>
    </w:p>
    <w:p>
      <w:pPr>
        <w:spacing w:after="0" w:line="14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7"/>
          <w:szCs w:val="17"/>
          <w:u w:val="single" w:color="auto"/>
          <w:color w:val="auto"/>
        </w:rPr>
        <w:t>Directors’ Liability and Indemnification</w:t>
      </w:r>
      <w:r>
        <w:rPr>
          <w:rFonts w:ascii="Arial" w:cs="Arial" w:eastAsia="Arial" w:hAnsi="Arial"/>
          <w:sz w:val="17"/>
          <w:szCs w:val="17"/>
          <w:color w:val="auto"/>
        </w:rPr>
        <w:t>.</w:t>
      </w:r>
    </w:p>
    <w:p>
      <w:pPr>
        <w:spacing w:after="0" w:line="225" w:lineRule="exact"/>
        <w:rPr>
          <w:sz w:val="20"/>
          <w:szCs w:val="20"/>
          <w:color w:val="auto"/>
        </w:rPr>
      </w:pPr>
    </w:p>
    <w:p>
      <w:pPr>
        <w:jc w:val="both"/>
        <w:ind w:right="20" w:firstLine="1953"/>
        <w:spacing w:after="0" w:line="297" w:lineRule="auto"/>
        <w:tabs>
          <w:tab w:leader="none" w:pos="259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Certificate of Incorporation and By-laws (as such By-laws of the Company may be amended from time to time) shall provide (i) for limitation of the liability of directors to the maximum extent permitted by law, and (ii) for indemnification of directors for acts on behalf of the Company to the maximum extent permitted by law. In the event any suit is filed or claim is asserted against a director or former director of the Company as a result of such director’s or former director’s service on the Board of Directors, the Company will provide such director or former director access to all records and files of the Company as he or she may reasonably request in defending against or preparing to defend against any such suit or claim.</w:t>
      </w:r>
    </w:p>
    <w:p>
      <w:pPr>
        <w:spacing w:after="0" w:line="158" w:lineRule="exact"/>
        <w:rPr>
          <w:rFonts w:ascii="Arial" w:cs="Arial" w:eastAsia="Arial" w:hAnsi="Arial"/>
          <w:sz w:val="16"/>
          <w:szCs w:val="16"/>
          <w:color w:val="auto"/>
        </w:rPr>
      </w:pPr>
    </w:p>
    <w:p>
      <w:pPr>
        <w:ind w:firstLine="1953"/>
        <w:spacing w:after="0" w:line="272" w:lineRule="auto"/>
        <w:tabs>
          <w:tab w:leader="none" w:pos="26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Company hereby acknowledges that one or more of the directors nominated by holders of Preferred Stock may have certain rights to indemnification, advancement of expenses and/or insurance provided by one or more of the Investors and certain of their affiliates (collectively, the “</w:t>
      </w:r>
      <w:r>
        <w:rPr>
          <w:rFonts w:ascii="Arial" w:cs="Arial" w:eastAsia="Arial" w:hAnsi="Arial"/>
          <w:sz w:val="17"/>
          <w:szCs w:val="17"/>
          <w:b w:val="1"/>
          <w:bCs w:val="1"/>
          <w:color w:val="auto"/>
        </w:rPr>
        <w:t>Fund Indemnitors</w:t>
      </w:r>
      <w:r>
        <w:rPr>
          <w:rFonts w:ascii="Arial" w:cs="Arial" w:eastAsia="Arial" w:hAnsi="Arial"/>
          <w:sz w:val="17"/>
          <w:szCs w:val="17"/>
          <w:color w:val="auto"/>
        </w:rPr>
        <w:t>”) for alleged acts or omissions in their capacities as directors of the Company. The Company hereby agrees (i) that it is the indemnitor of first resort (i.e., its obligations to any such director are primary and any obligation of the Fund Indemnitors to advance expenses or to provide indemnification for the same expenses or liabilities incurred by such director are secondary), (ii) that it shall be required to advance the full amount of expenses incurred by such director and shall be liable for the full amount of all expenses, judgments, penalties, fines and amounts paid in settlement by or on behalf of any such director to the extent legally permitted and as required by the Certificate of Incorporation or By-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8" w:name="page309"/>
    <w:bookmarkEnd w:id="308"/>
    <w:p>
      <w:pPr>
        <w:ind w:right="160"/>
        <w:spacing w:after="0" w:line="255" w:lineRule="auto"/>
        <w:rPr>
          <w:sz w:val="20"/>
          <w:szCs w:val="20"/>
          <w:color w:val="auto"/>
        </w:rPr>
      </w:pPr>
      <w:r>
        <w:rPr>
          <w:rFonts w:ascii="Arial" w:cs="Arial" w:eastAsia="Arial" w:hAnsi="Arial"/>
          <w:sz w:val="18"/>
          <w:szCs w:val="18"/>
          <w:color w:val="auto"/>
        </w:rPr>
        <w:t>laws of the Company (or any agreement between the Company and such director), without regard to any rights such director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director with respect to any claim for which such director has sought indemnification from the Company shall affect the foregoing and the Fund Indemnitors shall have a right of contribution and/or be subrogated to the extent of such advancement or payment to all of the rights of recovery of such director against the Company.</w:t>
      </w:r>
    </w:p>
    <w:p>
      <w:pPr>
        <w:spacing w:after="0" w:line="193" w:lineRule="exact"/>
        <w:rPr>
          <w:sz w:val="20"/>
          <w:szCs w:val="20"/>
          <w:color w:val="auto"/>
        </w:rPr>
      </w:pPr>
    </w:p>
    <w:p>
      <w:pPr>
        <w:ind w:firstLine="1297"/>
        <w:spacing w:after="0" w:line="283"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Right to Conduct Activities</w:t>
      </w:r>
      <w:r>
        <w:rPr>
          <w:rFonts w:ascii="Arial" w:cs="Arial" w:eastAsia="Arial" w:hAnsi="Arial"/>
          <w:sz w:val="16"/>
          <w:szCs w:val="16"/>
          <w:color w:val="auto"/>
        </w:rPr>
        <w:t>. The Company hereby agrees and acknowledges that certain of the Investors (together with their Affiliates) are professional investment organizations or funds or corporate venture capital entities, and as such invest in numerous portfolio companies, some of which may be deemed competitive with the Company’s business (as currently conducted or as currently proposed to be conducted). The Company hereby agrees that, to the extent permitted under applicable law, such Investors shall not be liable to the Company for any claim arising out of, or based upon, (i) the investment by such Investors or their Affiliates in any entity competitive with the Company, or (ii) actions taken by any partner, officer or other representative of such Investor (or its Affiliates) to assist any such competitive company, whether or not such action was taken as a member of the board of directors of such competitive company or otherwise, and whether or not such action has a detrimental effect on the Company. Furthermore, the Company acknowledges that the execution of this Agreement and the access to the Company’s confidential information hereunder shall in no way be construed to prohibit or restrict an Investor or its investment adviser or such investment adviser’s other investment advisory clients from maintaining, making or considering investments in public or private companies, including, without limitation, companies that may compete either directly or indirectly with the Company, or from otherwise operating in the ordinary course of business. Notwithstanding anything in this Section 5.9 to the contrary, however, nothing herein shall relieve (x) any of the Investors from liability associated with the unauthorized disclosure of the Company’s confidential information obtained pursuant to this Agreement, 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(y) any director or officer of the Company from any liability associated with his or her fiduciary duties to the Company.</w:t>
      </w:r>
    </w:p>
    <w:p>
      <w:pPr>
        <w:spacing w:after="0" w:line="211" w:lineRule="exact"/>
        <w:rPr>
          <w:sz w:val="20"/>
          <w:szCs w:val="20"/>
          <w:color w:val="auto"/>
        </w:rPr>
      </w:pPr>
    </w:p>
    <w:p>
      <w:pPr>
        <w:ind w:right="360" w:firstLine="1297"/>
        <w:spacing w:after="0" w:line="279"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ERISA</w:t>
      </w:r>
      <w:r>
        <w:rPr>
          <w:rFonts w:ascii="Arial" w:cs="Arial" w:eastAsia="Arial" w:hAnsi="Arial"/>
          <w:sz w:val="17"/>
          <w:szCs w:val="17"/>
          <w:color w:val="auto"/>
        </w:rPr>
        <w:t>. The Company will exercise its reasonable best efforts to ensure that, at all times during which any Investor holds any shares of Preferred Stock or Common Stock, the assets of the Company will not be deemed to be “plan assets” for purposes of the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The Company agrees to provide notice, in writing, to each Investor as soon as is reasonably practicable upon determining that the assets of the Company are reasonably likely to be deemed “plan assets” for purposes of ERISA.</w:t>
      </w:r>
    </w:p>
    <w:p>
      <w:pPr>
        <w:spacing w:after="0" w:line="171" w:lineRule="exact"/>
        <w:rPr>
          <w:sz w:val="20"/>
          <w:szCs w:val="20"/>
          <w:color w:val="auto"/>
        </w:rPr>
      </w:pPr>
    </w:p>
    <w:p>
      <w:pPr>
        <w:jc w:val="both"/>
        <w:ind w:right="140" w:firstLine="1297"/>
        <w:spacing w:after="0" w:line="286"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Termination of Covenants</w:t>
      </w:r>
      <w:r>
        <w:rPr>
          <w:rFonts w:ascii="Arial" w:cs="Arial" w:eastAsia="Arial" w:hAnsi="Arial"/>
          <w:sz w:val="17"/>
          <w:szCs w:val="17"/>
          <w:color w:val="auto"/>
        </w:rPr>
        <w:t xml:space="preserve">. The covenants set forth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except for </w:t>
      </w:r>
      <w:r>
        <w:rPr>
          <w:rFonts w:ascii="Arial" w:cs="Arial" w:eastAsia="Arial" w:hAnsi="Arial"/>
          <w:sz w:val="17"/>
          <w:szCs w:val="17"/>
          <w:u w:val="single" w:color="auto"/>
          <w:color w:val="auto"/>
        </w:rPr>
        <w:t>Sections 5.6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5.8</w:t>
      </w:r>
      <w:r>
        <w:rPr>
          <w:rFonts w:ascii="Arial" w:cs="Arial" w:eastAsia="Arial" w:hAnsi="Arial"/>
          <w:sz w:val="17"/>
          <w:szCs w:val="17"/>
          <w:color w:val="auto"/>
        </w:rPr>
        <w:t>, shall terminate and be of no further force or effect upon the earliest to occur of (i) immediately before but subject to the consummation of an IPO; (ii) when the Company first becomes subject to the periodic reporting requirements of Section 12(g) or 15(d) of the Exchange Act; or (iii) upon a Deemed Liquidation Event.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9" w:name="page310"/>
    <w:bookmarkEnd w:id="309"/>
    <w:p>
      <w:pPr>
        <w:ind w:left="1300" w:hanging="644"/>
        <w:spacing w:after="0"/>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The rights under this Agreement may be assigned (but only with all related obligations) by a Holder to a transferee of Registrable Securities that (i) is an Affiliate, partner, member, limited partner, retired partner, retired member, or stockholder of a Holder; (ii) is a Holder’s Immediate Family Member or trust for the benefit of an individual Holder or one or more of such Holder’s Immediate Family Members; or (iii) after such transfer, holds at least 1,000,000 shares of Registrable Securities (subject to appropriate adjustment for stock splits, stock dividends, combinations, and other recapitalizations), or, if less, all of the Registrable Securities held by such Holder; provided, however,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6"/>
          <w:szCs w:val="16"/>
          <w:u w:val="single" w:color="auto"/>
          <w:color w:val="auto"/>
        </w:rPr>
        <w:t>Section 2.11</w:t>
      </w:r>
      <w:r>
        <w:rPr>
          <w:rFonts w:ascii="Arial" w:cs="Arial" w:eastAsia="Arial" w:hAnsi="Arial"/>
          <w:sz w:val="16"/>
          <w:szCs w:val="16"/>
          <w:color w:val="auto"/>
        </w:rPr>
        <w:t>. For the purposes of determining the number of shares of Registrable Securities held by a transferee, the holdings of a transferee (1) that is an Affiliate, limited partner, retired partner, member, retired member, or stockholder of a Holder; (2) who is a Holder’s Immediate Family Member; or (3) that is a trust for the benefit of an individual Holder or such Holder’s Immediate Family Member shall be aggregated together and with those of the transferring Holder; provided further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including without limitation, the Investor’s affiliated partnership or funds management by such Investor or any of its respective directors, officers or partners.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78"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 that would result in the application of any law other than the law of the Commonwealth of Massachusetts.</w:t>
      </w:r>
    </w:p>
    <w:p>
      <w:pPr>
        <w:spacing w:after="0" w:line="187"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Counterparts; Facsimile</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This Agreement may also be executed and delivered by facsimile signature, email signature, or other form of electronic transmission.</w:t>
      </w:r>
    </w:p>
    <w:p>
      <w:pPr>
        <w:spacing w:after="0" w:line="181"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70"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given or made pursuant to this Agreement shall be in writing and shall be deemed effectively given, delivered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0" w:name="page311"/>
    <w:bookmarkEnd w:id="310"/>
    <w:p>
      <w:pPr>
        <w:ind w:right="40"/>
        <w:spacing w:after="0" w:line="271" w:lineRule="auto"/>
        <w:rPr>
          <w:sz w:val="20"/>
          <w:szCs w:val="20"/>
          <w:color w:val="auto"/>
        </w:rPr>
      </w:pPr>
      <w:r>
        <w:rPr>
          <w:rFonts w:ascii="Arial" w:cs="Arial" w:eastAsia="Arial" w:hAnsi="Arial"/>
          <w:sz w:val="17"/>
          <w:szCs w:val="17"/>
          <w:color w:val="auto"/>
        </w:rPr>
        <w:t xml:space="preserve">and received (i) upon personal delivery to the party to be notified; (ii) when sent by confirmed electronic mail or facsimile if sent during normal business hours of the recipient, and if not so confirmed, then on the next business day; (iii) five (5) days after having been sent by registered or certified mail, return receipt requested, postage prepaid; or (iv) one (1) business day after the business day of deposit with a nationally recognized overnight courier, specifying next-day delivery, with written verification of receipt. All communications shall be sent to the respective parties at their addresses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Arial" w:cs="Arial" w:eastAsia="Arial" w:hAnsi="Arial"/>
          <w:sz w:val="17"/>
          <w:szCs w:val="17"/>
          <w:u w:val="single" w:color="auto"/>
          <w:color w:val="auto"/>
        </w:rPr>
        <w:t>Section 6.5</w:t>
      </w:r>
      <w:r>
        <w:rPr>
          <w:rFonts w:ascii="Arial" w:cs="Arial" w:eastAsia="Arial" w:hAnsi="Arial"/>
          <w:sz w:val="17"/>
          <w:szCs w:val="17"/>
          <w:color w:val="auto"/>
        </w:rPr>
        <w:t>. If notice is given to the Company, a copy, which shall not constitute notice, shall also be sent to Lia Der Marderosian, Esq. at Wilmer Cutler Pickering Hale and Dorr LLP, 60 State Street, Boston, MA 02109 and via electronic mail at Lia.DerMarderosian@wilmerhale.com.</w:t>
      </w:r>
    </w:p>
    <w:p>
      <w:pPr>
        <w:spacing w:after="0" w:line="179"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Any term of this Agreement, including without limitation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may be amended and the observance of any term of this Agreement may be waived (either generally or in a particular instance, and either retroactively or prospectively) only with the written consent of the Company and the holders representing the Requisite Vote;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Company may in its sole discretion waive compliance with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(and the Company’s failure to object promptly in writing after notification of a proposed assignment allegedly in violation of</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u w:val="single" w:color="auto"/>
          <w:color w:val="auto"/>
        </w:rPr>
        <w:t>Section 2.12(c)</w:t>
      </w:r>
      <w:r>
        <w:rPr>
          <w:rFonts w:ascii="Arial" w:cs="Arial" w:eastAsia="Arial" w:hAnsi="Arial"/>
          <w:sz w:val="17"/>
          <w:szCs w:val="17"/>
          <w:color w:val="auto"/>
        </w:rPr>
        <w:t xml:space="preserve"> shall be deemed to be a waiver); and provided further that any provision hereof may be waived by any waiving party on such party’s own behalf, without the consent of any other party. Notwithstanding the foregoing,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80" w:lineRule="exact"/>
        <w:rPr>
          <w:sz w:val="20"/>
          <w:szCs w:val="20"/>
          <w:color w:val="auto"/>
        </w:rPr>
      </w:pPr>
    </w:p>
    <w:p>
      <w:pPr>
        <w:jc w:val="both"/>
        <w:ind w:right="60" w:firstLine="1297"/>
        <w:spacing w:after="0" w:line="312"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47"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Affiliates may apportion such rights as among themselves in any manner they deem appropriate.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1" w:name="page312"/>
    <w:bookmarkEnd w:id="311"/>
    <w:p>
      <w:pPr>
        <w:jc w:val="both"/>
        <w:ind w:right="80" w:firstLine="1297"/>
        <w:spacing w:after="0" w:line="276"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Additional Investors</w:t>
      </w:r>
      <w:r>
        <w:rPr>
          <w:rFonts w:ascii="Arial" w:cs="Arial" w:eastAsia="Arial" w:hAnsi="Arial"/>
          <w:sz w:val="17"/>
          <w:szCs w:val="17"/>
          <w:color w:val="auto"/>
        </w:rPr>
        <w:t>. Notwithstanding anything to the contrary contained herein, if the Company issues additional shares of the Series B Preferred Stock after the date hereof, any purchaser of such shares of Series B Preferred Stock may become a party to this Agreement by executing and delivering an additional counterpart signature page or joinder agreement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73"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171"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73"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The parties hereto submit to the exclusive jurisdiction of any federal or state court located within the Commonwealth of Massachusetts over any dispute arising out of or relating to the Agreement or any of the transactions contemplated hereby and each party hereby agree that all claims in respect of such dispute or any suit, action or proceeding related thereto may be heard and determined in such courts. The parties waive, to the fullest extent permitted by applicable law, any objection which they may not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2" w:name="page313"/>
    <w:bookmarkEnd w:id="312"/>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jc w:val="center"/>
        <w:ind w:left="1000"/>
        <w:spacing w:after="0"/>
        <w:rPr>
          <w:sz w:val="20"/>
          <w:szCs w:val="20"/>
          <w:color w:val="auto"/>
        </w:rPr>
      </w:pP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FULCRUM THERAPEUTICS, INC.</w:t>
      </w:r>
    </w:p>
    <w:p>
      <w:pPr>
        <w:spacing w:after="0" w:line="200" w:lineRule="exact"/>
        <w:rPr>
          <w:sz w:val="20"/>
          <w:szCs w:val="20"/>
          <w:color w:val="auto"/>
        </w:rPr>
      </w:pPr>
    </w:p>
    <w:p>
      <w:pPr>
        <w:spacing w:after="0" w:line="245"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Gould</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Robert Gould</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313" w:name="page314"/>
    <w:bookmarkEnd w:id="313"/>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THIRD ROCK VENTURES III, L.P.</w:t>
      </w:r>
    </w:p>
    <w:p>
      <w:pPr>
        <w:spacing w:after="0" w:line="229"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Third Rock Ventures GP III, L.P., its general partner</w:t>
      </w:r>
    </w:p>
    <w:p>
      <w:pPr>
        <w:spacing w:after="0" w:line="23"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TRV GP III, LLC, its general partner</w:t>
      </w:r>
    </w:p>
    <w:p>
      <w:pPr>
        <w:spacing w:after="0" w:line="200" w:lineRule="exact"/>
        <w:rPr>
          <w:sz w:val="20"/>
          <w:szCs w:val="20"/>
          <w:color w:val="auto"/>
        </w:rPr>
      </w:pPr>
    </w:p>
    <w:p>
      <w:pPr>
        <w:spacing w:after="0" w:line="227"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Kevin Gillis</w:t>
      </w:r>
    </w:p>
    <w:p>
      <w:pPr>
        <w:spacing w:after="0" w:line="23" w:lineRule="exact"/>
        <w:rPr>
          <w:sz w:val="20"/>
          <w:szCs w:val="20"/>
          <w:color w:val="auto"/>
        </w:rPr>
      </w:pPr>
    </w:p>
    <w:p>
      <w:pPr>
        <w:ind w:left="5540"/>
        <w:spacing w:after="0"/>
        <w:tabs>
          <w:tab w:leader="none" w:pos="6260" w:val="left"/>
        </w:tabs>
        <w:rPr>
          <w:sz w:val="20"/>
          <w:szCs w:val="20"/>
          <w:color w:val="auto"/>
        </w:rPr>
      </w:pPr>
      <w:r>
        <w:rPr>
          <w:rFonts w:ascii="Arial" w:cs="Arial" w:eastAsia="Arial" w:hAnsi="Arial"/>
          <w:sz w:val="18"/>
          <w:szCs w:val="18"/>
          <w:color w:val="auto"/>
        </w:rPr>
        <w:t>Name:</w:t>
        <w:tab/>
        <w:t>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CFO</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THIRD ROCK VENTURES IV, L.P.</w:t>
      </w:r>
    </w:p>
    <w:p>
      <w:pPr>
        <w:spacing w:after="0" w:line="229"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Third Rock Ventures GP IV, L.P., its general partner</w:t>
      </w:r>
    </w:p>
    <w:p>
      <w:pPr>
        <w:spacing w:after="0" w:line="23"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TRV GP IV, LLC, its general partner</w:t>
      </w:r>
    </w:p>
    <w:p>
      <w:pPr>
        <w:spacing w:after="0" w:line="211"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Kevin Gillis</w:t>
      </w:r>
    </w:p>
    <w:p>
      <w:pPr>
        <w:spacing w:after="0" w:line="23" w:lineRule="exact"/>
        <w:rPr>
          <w:sz w:val="20"/>
          <w:szCs w:val="20"/>
          <w:color w:val="auto"/>
        </w:rPr>
      </w:pPr>
    </w:p>
    <w:p>
      <w:pPr>
        <w:ind w:left="5540"/>
        <w:spacing w:after="0"/>
        <w:tabs>
          <w:tab w:leader="none" w:pos="6260" w:val="left"/>
        </w:tabs>
        <w:rPr>
          <w:sz w:val="20"/>
          <w:szCs w:val="20"/>
          <w:color w:val="auto"/>
        </w:rPr>
      </w:pPr>
      <w:r>
        <w:rPr>
          <w:rFonts w:ascii="Arial" w:cs="Arial" w:eastAsia="Arial" w:hAnsi="Arial"/>
          <w:sz w:val="18"/>
          <w:szCs w:val="18"/>
          <w:color w:val="auto"/>
        </w:rPr>
        <w:t>Name:</w:t>
        <w:tab/>
        <w:t>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CFO</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360"/>
          </w:cols>
          <w:pgMar w:left="900" w:top="341" w:right="639" w:bottom="1440" w:gutter="0" w:footer="0" w:header="0"/>
        </w:sectPr>
      </w:pPr>
    </w:p>
    <w:bookmarkStart w:id="314" w:name="page315"/>
    <w:bookmarkEnd w:id="314"/>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FORESITE CAPITAL FUND IV, L.P.</w:t>
      </w:r>
    </w:p>
    <w:p>
      <w:pPr>
        <w:spacing w:after="0" w:line="200" w:lineRule="exact"/>
        <w:rPr>
          <w:sz w:val="20"/>
          <w:szCs w:val="20"/>
          <w:color w:val="auto"/>
        </w:rPr>
      </w:pPr>
    </w:p>
    <w:p>
      <w:pPr>
        <w:spacing w:after="0" w:line="245" w:lineRule="exact"/>
        <w:rPr>
          <w:sz w:val="20"/>
          <w:szCs w:val="20"/>
          <w:color w:val="auto"/>
        </w:rPr>
      </w:pPr>
    </w:p>
    <w:p>
      <w:pPr>
        <w:ind w:left="5040"/>
        <w:spacing w:after="0"/>
        <w:tabs>
          <w:tab w:leader="none" w:pos="5500" w:val="left"/>
        </w:tabs>
        <w:rPr>
          <w:sz w:val="20"/>
          <w:szCs w:val="20"/>
          <w:color w:val="auto"/>
        </w:rPr>
      </w:pPr>
      <w:r>
        <w:rPr>
          <w:rFonts w:ascii="Arial" w:cs="Arial" w:eastAsia="Arial" w:hAnsi="Arial"/>
          <w:sz w:val="18"/>
          <w:szCs w:val="18"/>
          <w:color w:val="auto"/>
        </w:rPr>
        <w:t>By:</w:t>
        <w:tab/>
        <w:t>Foresite Capital Management IV, LLC,</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5040"/>
        <w:spacing w:after="0"/>
        <w:tabs>
          <w:tab w:leader="none" w:pos="5500" w:val="left"/>
        </w:tabs>
        <w:rPr>
          <w:sz w:val="20"/>
          <w:szCs w:val="20"/>
          <w:color w:val="auto"/>
        </w:rPr>
      </w:pPr>
      <w:r>
        <w:rPr>
          <w:rFonts w:ascii="Arial" w:cs="Arial" w:eastAsia="Arial" w:hAnsi="Arial"/>
          <w:sz w:val="18"/>
          <w:szCs w:val="18"/>
          <w:color w:val="auto"/>
        </w:rPr>
        <w:t>By:</w:t>
        <w:tab/>
        <w:t>/s/ Dennis D Ryan</w:t>
      </w:r>
    </w:p>
    <w:p>
      <w:pPr>
        <w:spacing w:after="0" w:line="23" w:lineRule="exact"/>
        <w:rPr>
          <w:sz w:val="20"/>
          <w:szCs w:val="20"/>
          <w:color w:val="auto"/>
        </w:rPr>
      </w:pPr>
    </w:p>
    <w:tbl>
      <w:tblPr>
        <w:tblLayout w:type="fixed"/>
        <w:tblInd w:w="552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Dennis D. Ryan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315" w:name="page316"/>
    <w:bookmarkEnd w:id="315"/>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FIDELITY MT. VERNON STREET TRUST:</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FIDELITY GROWTH COMPANY FUND</w:t>
      </w:r>
    </w:p>
    <w:p>
      <w:pPr>
        <w:spacing w:after="0" w:line="200" w:lineRule="exact"/>
        <w:rPr>
          <w:sz w:val="20"/>
          <w:szCs w:val="20"/>
          <w:color w:val="auto"/>
        </w:rPr>
      </w:pPr>
    </w:p>
    <w:p>
      <w:pPr>
        <w:spacing w:after="0" w:line="227"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Colm Hogan</w:t>
      </w:r>
    </w:p>
    <w:p>
      <w:pPr>
        <w:spacing w:after="0" w:line="23" w:lineRule="exact"/>
        <w:rPr>
          <w:sz w:val="20"/>
          <w:szCs w:val="20"/>
          <w:color w:val="auto"/>
        </w:rPr>
      </w:pPr>
    </w:p>
    <w:tbl>
      <w:tblPr>
        <w:tblLayout w:type="fixed"/>
        <w:tblInd w:w="554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Colm Hogan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FIDELITY MT. VERNON STREET TRUST:</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FIDELITY SERIES GROWTH COMPANY FUND</w:t>
      </w:r>
    </w:p>
    <w:p>
      <w:pPr>
        <w:spacing w:after="0" w:line="200" w:lineRule="exact"/>
        <w:rPr>
          <w:sz w:val="20"/>
          <w:szCs w:val="20"/>
          <w:color w:val="auto"/>
        </w:rPr>
      </w:pPr>
    </w:p>
    <w:p>
      <w:pPr>
        <w:spacing w:after="0" w:line="227"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Colm Hogan</w:t>
      </w:r>
    </w:p>
    <w:p>
      <w:pPr>
        <w:spacing w:after="0" w:line="23" w:lineRule="exact"/>
        <w:rPr>
          <w:sz w:val="20"/>
          <w:szCs w:val="20"/>
          <w:color w:val="auto"/>
        </w:rPr>
      </w:pPr>
    </w:p>
    <w:tbl>
      <w:tblPr>
        <w:tblLayout w:type="fixed"/>
        <w:tblInd w:w="554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Colm Hogan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FIDELITY GROWTH COMPANY COMMINGLED POOL</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Fidelity Management Trust Company, as Trustee</w:t>
      </w:r>
    </w:p>
    <w:p>
      <w:pPr>
        <w:spacing w:after="0" w:line="200" w:lineRule="exact"/>
        <w:rPr>
          <w:sz w:val="20"/>
          <w:szCs w:val="20"/>
          <w:color w:val="auto"/>
        </w:rPr>
      </w:pPr>
    </w:p>
    <w:p>
      <w:pPr>
        <w:spacing w:after="0" w:line="241"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Colm Hogan</w:t>
      </w:r>
    </w:p>
    <w:p>
      <w:pPr>
        <w:spacing w:after="0" w:line="23" w:lineRule="exact"/>
        <w:rPr>
          <w:sz w:val="20"/>
          <w:szCs w:val="20"/>
          <w:color w:val="auto"/>
        </w:rPr>
      </w:pPr>
    </w:p>
    <w:tbl>
      <w:tblPr>
        <w:tblLayout w:type="fixed"/>
        <w:tblInd w:w="554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Colm Hogan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CASDIN PARTNERS MASTER FUND, L.P.</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Casdin Partners GP, LLC, 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 Casdin</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Eli Casdin</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18"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316" w:name="page317"/>
    <w:bookmarkEnd w:id="316"/>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6 DIMENSIONS CAPITAL, L.P.</w:t>
      </w:r>
    </w:p>
    <w:p>
      <w:pPr>
        <w:spacing w:after="0" w:line="200" w:lineRule="exact"/>
        <w:rPr>
          <w:sz w:val="20"/>
          <w:szCs w:val="20"/>
          <w:color w:val="auto"/>
        </w:rPr>
      </w:pPr>
    </w:p>
    <w:p>
      <w:pPr>
        <w:spacing w:after="0" w:line="245"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Christina Chung</w:t>
            </w:r>
          </w:p>
        </w:tc>
      </w:tr>
      <w:tr>
        <w:trPr>
          <w:trHeight w:val="195"/>
        </w:trPr>
        <w:tc>
          <w:tcPr>
            <w:tcW w:w="6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Pr>
          <w:p>
            <w:pPr>
              <w:ind w:left="140"/>
              <w:spacing w:after="0" w:line="195" w:lineRule="exact"/>
              <w:rPr>
                <w:sz w:val="20"/>
                <w:szCs w:val="20"/>
                <w:color w:val="auto"/>
              </w:rPr>
            </w:pPr>
            <w:r>
              <w:rPr>
                <w:rFonts w:ascii="Arial" w:cs="Arial" w:eastAsia="Arial" w:hAnsi="Arial"/>
                <w:sz w:val="18"/>
                <w:szCs w:val="18"/>
                <w:color w:val="auto"/>
              </w:rPr>
              <w:t>Christina Chung</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140"/>
              <w:spacing w:after="0"/>
              <w:rPr>
                <w:sz w:val="20"/>
                <w:szCs w:val="20"/>
                <w:color w:val="auto"/>
              </w:rPr>
            </w:pPr>
            <w:r>
              <w:rPr>
                <w:rFonts w:ascii="Arial" w:cs="Arial" w:eastAsia="Arial" w:hAnsi="Arial"/>
                <w:sz w:val="18"/>
                <w:szCs w:val="18"/>
                <w:color w:val="auto"/>
              </w:rPr>
              <w:t>CFO</w:t>
            </w:r>
          </w:p>
        </w:tc>
      </w:tr>
    </w:tbl>
    <w:p>
      <w:pPr>
        <w:spacing w:after="0" w:line="200" w:lineRule="exact"/>
        <w:rPr>
          <w:sz w:val="20"/>
          <w:szCs w:val="20"/>
          <w:color w:val="auto"/>
        </w:rPr>
      </w:pPr>
    </w:p>
    <w:p>
      <w:pPr>
        <w:spacing w:after="0" w:line="21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6 DIMENSIONS AFFILIATES FUND, L.P.</w:t>
      </w:r>
    </w:p>
    <w:p>
      <w:pPr>
        <w:spacing w:after="0" w:line="200" w:lineRule="exact"/>
        <w:rPr>
          <w:sz w:val="20"/>
          <w:szCs w:val="20"/>
          <w:color w:val="auto"/>
        </w:rPr>
      </w:pPr>
    </w:p>
    <w:p>
      <w:pPr>
        <w:spacing w:after="0" w:line="245"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Christina Chung</w:t>
            </w:r>
          </w:p>
        </w:tc>
      </w:tr>
      <w:tr>
        <w:trPr>
          <w:trHeight w:val="195"/>
        </w:trPr>
        <w:tc>
          <w:tcPr>
            <w:tcW w:w="6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Pr>
          <w:p>
            <w:pPr>
              <w:ind w:left="140"/>
              <w:spacing w:after="0" w:line="195" w:lineRule="exact"/>
              <w:rPr>
                <w:sz w:val="20"/>
                <w:szCs w:val="20"/>
                <w:color w:val="auto"/>
              </w:rPr>
            </w:pPr>
            <w:r>
              <w:rPr>
                <w:rFonts w:ascii="Arial" w:cs="Arial" w:eastAsia="Arial" w:hAnsi="Arial"/>
                <w:sz w:val="18"/>
                <w:szCs w:val="18"/>
                <w:color w:val="auto"/>
              </w:rPr>
              <w:t>Christina Chung</w:t>
            </w:r>
          </w:p>
        </w:tc>
      </w:tr>
      <w:tr>
        <w:trPr>
          <w:trHeight w:val="230"/>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140"/>
              <w:spacing w:after="0"/>
              <w:rPr>
                <w:sz w:val="20"/>
                <w:szCs w:val="20"/>
                <w:color w:val="auto"/>
              </w:rPr>
            </w:pPr>
            <w:r>
              <w:rPr>
                <w:rFonts w:ascii="Arial" w:cs="Arial" w:eastAsia="Arial" w:hAnsi="Arial"/>
                <w:sz w:val="18"/>
                <w:szCs w:val="18"/>
                <w:color w:val="auto"/>
              </w:rPr>
              <w:t>CFO</w:t>
            </w: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317" w:name="page318"/>
    <w:bookmarkEnd w:id="317"/>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SECTION 32 FUND 2, LP</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Section 32 GP 2, LLC, 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Jennifer L. Kercher</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Jennifer L. Kercher</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Chief Operating Officer</w:t>
            </w: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318" w:name="page319"/>
    <w:bookmarkEnd w:id="318"/>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AVENTIS INC.</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Bernard Davitian</w:t>
      </w:r>
    </w:p>
    <w:p>
      <w:pPr>
        <w:spacing w:after="0" w:line="23" w:lineRule="exact"/>
        <w:rPr>
          <w:sz w:val="20"/>
          <w:szCs w:val="20"/>
          <w:color w:val="auto"/>
        </w:rPr>
      </w:pPr>
    </w:p>
    <w:tbl>
      <w:tblPr>
        <w:tblLayout w:type="fixed"/>
        <w:tblInd w:w="564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Bernard Davitian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SVP &amp; Managing Director, Sanofi Ventures</w:t>
            </w: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319" w:name="page320"/>
    <w:bookmarkEnd w:id="319"/>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GBG-1 CORPORATION</w:t>
      </w:r>
    </w:p>
    <w:p>
      <w:pPr>
        <w:spacing w:after="0" w:line="229"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Junkyu Park</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Junkyu Park</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320" w:name="page321"/>
    <w:bookmarkEnd w:id="320"/>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MERITZ NS GLOBAL BIO FUND</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 co-managing partners</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NS Investment Co., Ltd.</w:t>
      </w:r>
    </w:p>
    <w:p>
      <w:pPr>
        <w:spacing w:after="0" w:line="225"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Tae-Kyoung Sohn</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Tae-Kyoung Sohn</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Managing director</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Meritz Securities Co., Ltd.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Min-kyu Song</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Min-kyu Song</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Deputy General Manager</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Paratus Investment Co., Ltd.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Chan-Ho Lee</w:t>
            </w:r>
          </w:p>
        </w:tc>
      </w:tr>
      <w:tr>
        <w:trPr>
          <w:trHeight w:val="195"/>
        </w:trPr>
        <w:tc>
          <w:tcPr>
            <w:tcW w:w="5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Chan-Ho Lee</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321" w:name="page322"/>
    <w:bookmarkEnd w:id="321"/>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LEERINK HOLDINGS LLC</w:t>
      </w:r>
    </w:p>
    <w:p>
      <w:pPr>
        <w:spacing w:after="0" w:line="200" w:lineRule="exact"/>
        <w:rPr>
          <w:sz w:val="20"/>
          <w:szCs w:val="20"/>
          <w:color w:val="auto"/>
        </w:rPr>
      </w:pPr>
    </w:p>
    <w:p>
      <w:pPr>
        <w:spacing w:after="0" w:line="245" w:lineRule="exact"/>
        <w:rPr>
          <w:sz w:val="20"/>
          <w:szCs w:val="20"/>
          <w:color w:val="auto"/>
        </w:rPr>
      </w:pPr>
    </w:p>
    <w:p>
      <w:pPr>
        <w:ind w:left="5080"/>
        <w:spacing w:after="0"/>
        <w:tabs>
          <w:tab w:leader="none" w:pos="5580" w:val="left"/>
        </w:tabs>
        <w:rPr>
          <w:sz w:val="20"/>
          <w:szCs w:val="20"/>
          <w:color w:val="auto"/>
        </w:rPr>
      </w:pPr>
      <w:r>
        <w:rPr>
          <w:rFonts w:ascii="Arial" w:cs="Arial" w:eastAsia="Arial" w:hAnsi="Arial"/>
          <w:sz w:val="18"/>
          <w:szCs w:val="18"/>
          <w:color w:val="auto"/>
        </w:rPr>
        <w:t>By:</w:t>
        <w:tab/>
        <w:t>/s/ Joseph R. Gentile</w:t>
      </w:r>
    </w:p>
    <w:p>
      <w:pPr>
        <w:spacing w:after="0" w:line="23" w:lineRule="exact"/>
        <w:rPr>
          <w:sz w:val="20"/>
          <w:szCs w:val="20"/>
          <w:color w:val="auto"/>
        </w:rPr>
      </w:pPr>
    </w:p>
    <w:p>
      <w:pPr>
        <w:ind w:left="5600"/>
        <w:spacing w:after="0"/>
        <w:tabs>
          <w:tab w:leader="none" w:pos="6280" w:val="left"/>
        </w:tabs>
        <w:rPr>
          <w:sz w:val="20"/>
          <w:szCs w:val="20"/>
          <w:color w:val="auto"/>
        </w:rPr>
      </w:pPr>
      <w:r>
        <w:rPr>
          <w:rFonts w:ascii="Arial" w:cs="Arial" w:eastAsia="Arial" w:hAnsi="Arial"/>
          <w:sz w:val="18"/>
          <w:szCs w:val="18"/>
          <w:color w:val="auto"/>
        </w:rPr>
        <w:t>Name:</w:t>
        <w:tab/>
        <w:t>Joseph R.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-130810</wp:posOffset>
            </wp:positionV>
            <wp:extent cx="327596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560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CAO</w:t>
      </w:r>
    </w:p>
    <w:p>
      <w:pPr>
        <w:spacing w:after="0" w:line="200" w:lineRule="exact"/>
        <w:rPr>
          <w:sz w:val="20"/>
          <w:szCs w:val="20"/>
          <w:color w:val="auto"/>
        </w:rPr>
      </w:pPr>
    </w:p>
    <w:p>
      <w:pPr>
        <w:spacing w:after="0" w:line="22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LEERINK PARTNERS CO-INVESTMENT FUND, LLC</w:t>
      </w:r>
    </w:p>
    <w:p>
      <w:pPr>
        <w:spacing w:after="0" w:line="200" w:lineRule="exact"/>
        <w:rPr>
          <w:sz w:val="20"/>
          <w:szCs w:val="20"/>
          <w:color w:val="auto"/>
        </w:rPr>
      </w:pPr>
    </w:p>
    <w:p>
      <w:pPr>
        <w:spacing w:after="0" w:line="245" w:lineRule="exact"/>
        <w:rPr>
          <w:sz w:val="20"/>
          <w:szCs w:val="20"/>
          <w:color w:val="auto"/>
        </w:rPr>
      </w:pPr>
    </w:p>
    <w:p>
      <w:pPr>
        <w:ind w:left="5080"/>
        <w:spacing w:after="0"/>
        <w:tabs>
          <w:tab w:leader="none" w:pos="5580" w:val="left"/>
        </w:tabs>
        <w:rPr>
          <w:sz w:val="20"/>
          <w:szCs w:val="20"/>
          <w:color w:val="auto"/>
        </w:rPr>
      </w:pPr>
      <w:r>
        <w:rPr>
          <w:rFonts w:ascii="Arial" w:cs="Arial" w:eastAsia="Arial" w:hAnsi="Arial"/>
          <w:sz w:val="18"/>
          <w:szCs w:val="18"/>
          <w:color w:val="auto"/>
        </w:rPr>
        <w:t>By:</w:t>
        <w:tab/>
        <w:t>/s/ Joseph R. Gentile</w:t>
      </w:r>
    </w:p>
    <w:p>
      <w:pPr>
        <w:spacing w:after="0" w:line="23" w:lineRule="exact"/>
        <w:rPr>
          <w:sz w:val="20"/>
          <w:szCs w:val="20"/>
          <w:color w:val="auto"/>
        </w:rPr>
      </w:pPr>
    </w:p>
    <w:p>
      <w:pPr>
        <w:ind w:left="5600"/>
        <w:spacing w:after="0"/>
        <w:tabs>
          <w:tab w:leader="none" w:pos="6280" w:val="left"/>
        </w:tabs>
        <w:rPr>
          <w:sz w:val="20"/>
          <w:szCs w:val="20"/>
          <w:color w:val="auto"/>
        </w:rPr>
      </w:pPr>
      <w:r>
        <w:rPr>
          <w:rFonts w:ascii="Arial" w:cs="Arial" w:eastAsia="Arial" w:hAnsi="Arial"/>
          <w:sz w:val="18"/>
          <w:szCs w:val="18"/>
          <w:color w:val="auto"/>
        </w:rPr>
        <w:t>Name:</w:t>
        <w:tab/>
        <w:t>Joseph R.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-130810</wp:posOffset>
            </wp:positionV>
            <wp:extent cx="327596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560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360"/>
          </w:cols>
          <w:pgMar w:left="900" w:top="341" w:right="639" w:bottom="1440" w:gutter="0" w:footer="0" w:header="0"/>
        </w:sectPr>
      </w:pPr>
    </w:p>
    <w:bookmarkStart w:id="322" w:name="page323"/>
    <w:bookmarkEnd w:id="322"/>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PORTLAND INVESTMENT — EP, LLC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By: Partners Healthcare Master Trust for ERISA Assets, its Managing</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John R. Barker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John R.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Chief Investment Officer</w:t>
      </w: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PORTLAND INVESTMENT — PIA, LLC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By: Partners HealthCare System Pooled Investment Accounts, LLC, its</w:t>
      </w:r>
    </w:p>
    <w:p>
      <w:pPr>
        <w:spacing w:after="0" w:line="4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John R. Barker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John R.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Chief Investment Officer</w:t>
      </w: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PH INVESTMENTS, LLC</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Benjamin A. Gomez</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Benjamin A. Gomez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SCUBED CAPITAL, LLC</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Mark Stevens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Mark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Managing Partner</w:t>
      </w: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FIFTH AVENUE PRIVATE EQUITY 14 LLC</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Charles D. Bryceland</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Charles D. Bryceland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360"/>
          </w:cols>
          <w:pgMar w:left="900" w:top="341" w:right="639" w:bottom="1440" w:gutter="0" w:footer="0" w:header="0"/>
        </w:sectPr>
      </w:pPr>
    </w:p>
    <w:bookmarkStart w:id="323" w:name="page324"/>
    <w:bookmarkEnd w:id="323"/>
    <w:p>
      <w:pPr>
        <w:ind w:left="660"/>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SOBRATO CAPITAL,</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DBA of Sobrato Family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California limited liability company</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Matthew W. Sonsini</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Matthew W. Sonsini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Title: Chief Executive Officer, on behalf of Sobrato Family Holdings,</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LLC</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HARVARD MANAGEMENT PRIVATE EQUITY CORPORATION</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Elise McDonald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Elise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Richard W. Slocum</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Richard W. Slocum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ADOPTION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Adoption Agreement (“</w:t>
      </w:r>
      <w:r>
        <w:rPr>
          <w:rFonts w:ascii="Arial" w:cs="Arial" w:eastAsia="Arial" w:hAnsi="Arial"/>
          <w:sz w:val="16"/>
          <w:szCs w:val="16"/>
          <w:b w:val="1"/>
          <w:bCs w:val="1"/>
          <w:color w:val="auto"/>
        </w:rPr>
        <w:t>Adoption Agreement</w:t>
      </w:r>
      <w:r>
        <w:rPr>
          <w:rFonts w:ascii="Arial" w:cs="Arial" w:eastAsia="Arial" w:hAnsi="Arial"/>
          <w:sz w:val="16"/>
          <w:szCs w:val="16"/>
          <w:color w:val="auto"/>
        </w:rPr>
        <w:t>”) is executed on February 8, 2019, by the undersigned (the “</w:t>
      </w:r>
      <w:r>
        <w:rPr>
          <w:rFonts w:ascii="Arial" w:cs="Arial" w:eastAsia="Arial" w:hAnsi="Arial"/>
          <w:sz w:val="16"/>
          <w:szCs w:val="16"/>
          <w:b w:val="1"/>
          <w:bCs w:val="1"/>
          <w:color w:val="auto"/>
        </w:rPr>
        <w:t>Holder</w:t>
      </w:r>
      <w:r>
        <w:rPr>
          <w:rFonts w:ascii="Arial" w:cs="Arial" w:eastAsia="Arial" w:hAnsi="Arial"/>
          <w:sz w:val="16"/>
          <w:szCs w:val="16"/>
          <w:color w:val="auto"/>
        </w:rPr>
        <w:t>”) pursuant to the terms of</w:t>
      </w:r>
    </w:p>
    <w:p>
      <w:pPr>
        <w:spacing w:after="0" w:line="50" w:lineRule="exact"/>
        <w:rPr>
          <w:sz w:val="20"/>
          <w:szCs w:val="20"/>
          <w:color w:val="auto"/>
        </w:rPr>
      </w:pPr>
    </w:p>
    <w:p>
      <w:pPr>
        <w:ind w:right="60" w:firstLine="8"/>
        <w:spacing w:after="0" w:line="290" w:lineRule="auto"/>
        <w:tabs>
          <w:tab w:leader="none" w:pos="21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that certain Amended and Restated Stockholders Agreement dated as of August 24, 2018 (as amended, restated, or otherwise modified from time to time, the “</w:t>
      </w:r>
      <w:r>
        <w:rPr>
          <w:rFonts w:ascii="Arial" w:cs="Arial" w:eastAsia="Arial" w:hAnsi="Arial"/>
          <w:sz w:val="16"/>
          <w:szCs w:val="16"/>
          <w:b w:val="1"/>
          <w:bCs w:val="1"/>
          <w:color w:val="auto"/>
        </w:rPr>
        <w:t>Stockholders Agreement</w:t>
      </w:r>
      <w:r>
        <w:rPr>
          <w:rFonts w:ascii="Arial" w:cs="Arial" w:eastAsia="Arial" w:hAnsi="Arial"/>
          <w:sz w:val="16"/>
          <w:szCs w:val="16"/>
          <w:color w:val="auto"/>
        </w:rPr>
        <w:t>”), by and among the Company and certain of its Stockholders, as such Agreement may be amended or amended and restated hereafter and (ii) that certain Amended and Restated Investors’s Rights Agreement dated as of August 24, 2018 (as amended, restated, or otherwise modified from time to time, the “</w:t>
      </w:r>
      <w:r>
        <w:rPr>
          <w:rFonts w:ascii="Arial" w:cs="Arial" w:eastAsia="Arial" w:hAnsi="Arial"/>
          <w:sz w:val="16"/>
          <w:szCs w:val="16"/>
          <w:b w:val="1"/>
          <w:bCs w:val="1"/>
          <w:color w:val="auto"/>
        </w:rPr>
        <w:t>IRA</w:t>
      </w:r>
      <w:r>
        <w:rPr>
          <w:rFonts w:ascii="Arial" w:cs="Arial" w:eastAsia="Arial" w:hAnsi="Arial"/>
          <w:sz w:val="16"/>
          <w:szCs w:val="16"/>
          <w:color w:val="auto"/>
        </w:rPr>
        <w:t>”), by and among the Company and certain of its Stockholders, as such Agreement may be amended or amended and restated hereafter and Capitalized terms used but not defined in this Adoption Agreement shall have the respective meanings ascribed to such terms in the Stockholders Agreement and the IRA. By the execution of this Adoption Agreement, the Holder agrees as follows.</w:t>
      </w:r>
    </w:p>
    <w:p>
      <w:pPr>
        <w:spacing w:after="0" w:line="160" w:lineRule="exact"/>
        <w:rPr>
          <w:sz w:val="20"/>
          <w:szCs w:val="20"/>
          <w:color w:val="auto"/>
        </w:rPr>
      </w:pPr>
    </w:p>
    <w:p>
      <w:pPr>
        <w:ind w:right="400" w:firstLine="648"/>
        <w:spacing w:after="0" w:line="313"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Acknowledgement</w:t>
      </w:r>
      <w:r>
        <w:rPr>
          <w:rFonts w:ascii="Arial" w:cs="Arial" w:eastAsia="Arial" w:hAnsi="Arial"/>
          <w:sz w:val="17"/>
          <w:szCs w:val="17"/>
          <w:color w:val="auto"/>
        </w:rPr>
        <w:t>. Holder acknowledges that Holder is acquiring certain shares of the capital stock of the Company (the “</w:t>
      </w:r>
      <w:r>
        <w:rPr>
          <w:rFonts w:ascii="Arial" w:cs="Arial" w:eastAsia="Arial" w:hAnsi="Arial"/>
          <w:sz w:val="17"/>
          <w:szCs w:val="17"/>
          <w:b w:val="1"/>
          <w:bCs w:val="1"/>
          <w:color w:val="auto"/>
        </w:rPr>
        <w:t>Stock</w:t>
      </w:r>
      <w:r>
        <w:rPr>
          <w:rFonts w:ascii="Arial" w:cs="Arial" w:eastAsia="Arial" w:hAnsi="Arial"/>
          <w:sz w:val="17"/>
          <w:szCs w:val="17"/>
          <w:color w:val="auto"/>
        </w:rPr>
        <w:t>”) or options, warrants or other rights to purchase such Stock (the “</w:t>
      </w:r>
      <w:r>
        <w:rPr>
          <w:rFonts w:ascii="Arial" w:cs="Arial" w:eastAsia="Arial" w:hAnsi="Arial"/>
          <w:sz w:val="17"/>
          <w:szCs w:val="17"/>
          <w:b w:val="1"/>
          <w:bCs w:val="1"/>
          <w:color w:val="auto"/>
        </w:rPr>
        <w:t>Options</w:t>
      </w:r>
      <w:r>
        <w:rPr>
          <w:rFonts w:ascii="Arial" w:cs="Arial" w:eastAsia="Arial" w:hAnsi="Arial"/>
          <w:sz w:val="17"/>
          <w:szCs w:val="17"/>
          <w:color w:val="auto"/>
        </w:rPr>
        <w:t>”), for one of the following reasons (Check the correct box):</w:t>
      </w:r>
    </w:p>
    <w:p>
      <w:pPr>
        <w:spacing w:after="0" w:line="142" w:lineRule="exact"/>
        <w:rPr>
          <w:sz w:val="20"/>
          <w:szCs w:val="20"/>
          <w:color w:val="auto"/>
        </w:rPr>
      </w:pPr>
    </w:p>
    <w:p>
      <w:pPr>
        <w:ind w:left="660" w:hanging="4"/>
        <w:spacing w:after="0" w:line="277" w:lineRule="auto"/>
        <w:tabs>
          <w:tab w:leader="none" w:pos="123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as a transferee of Shares from a party in such party’s capacity as an “Investor” bound by the Agreement, and after such transfer, Holder shall be considered an “Investor” and a “Stockholder” for all purposes of the Agreement.</w:t>
      </w:r>
    </w:p>
    <w:p>
      <w:pPr>
        <w:spacing w:after="0" w:line="170" w:lineRule="exact"/>
        <w:rPr>
          <w:rFonts w:ascii="Arial" w:cs="Arial" w:eastAsia="Arial" w:hAnsi="Arial"/>
          <w:sz w:val="18"/>
          <w:szCs w:val="18"/>
          <w:color w:val="auto"/>
        </w:rPr>
      </w:pPr>
    </w:p>
    <w:p>
      <w:pPr>
        <w:ind w:left="660" w:right="220" w:hanging="4"/>
        <w:spacing w:after="0" w:line="277" w:lineRule="auto"/>
        <w:tabs>
          <w:tab w:leader="none" w:pos="123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as a transferee of Shares from a party in such party’s capacity as a “Key Holder” bound by the Agreement, and after such transfer, Holder shall be considered a “Key Holder” and a “Stockholder” for all purposes of the Agreement.</w:t>
      </w:r>
    </w:p>
    <w:p>
      <w:pPr>
        <w:spacing w:after="0" w:line="170" w:lineRule="exact"/>
        <w:rPr>
          <w:sz w:val="20"/>
          <w:szCs w:val="20"/>
          <w:color w:val="auto"/>
        </w:rPr>
      </w:pPr>
    </w:p>
    <w:p>
      <w:pPr>
        <w:ind w:left="660" w:right="40" w:hanging="4"/>
        <w:spacing w:after="0" w:line="257" w:lineRule="auto"/>
        <w:tabs>
          <w:tab w:leader="none" w:pos="120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as a new Investor in accordance with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of the Stockholders Agreement, in which case Holder will be an “Investor” and a “Stockholder” for all purposes of the Stockholders Agreement and in accordance with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of the IRA, in which case Holder will be an “Investor” and a “Holder” for all purposes under the IRA, and shall be deemed a “Major Investor” for all purposes under the IRA so long as Holder, individually or together with such Holder’s Affiliates (as defined in the IRA), holds at least 750,000 shares of Registrable Securities (as defined in the IRA) in accordance with Section 1.21 of the IRA.</w:t>
      </w:r>
    </w:p>
    <w:p>
      <w:pPr>
        <w:spacing w:after="0" w:line="188" w:lineRule="exact"/>
        <w:rPr>
          <w:sz w:val="20"/>
          <w:szCs w:val="20"/>
          <w:color w:val="auto"/>
        </w:rPr>
      </w:pPr>
    </w:p>
    <w:p>
      <w:pPr>
        <w:ind w:left="660" w:right="60" w:hanging="4"/>
        <w:spacing w:after="0" w:line="277" w:lineRule="auto"/>
        <w:tabs>
          <w:tab w:leader="none" w:pos="123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in accordance with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of the Agreement, as a new party who is not a new Investor, in which case Holder will be a “Key Holder” and a “Stockholder” for all purposes of the Agreement.</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Agreement</w:t>
      </w:r>
      <w:r>
        <w:rPr>
          <w:rFonts w:ascii="Arial" w:cs="Arial" w:eastAsia="Arial" w:hAnsi="Arial"/>
          <w:sz w:val="17"/>
          <w:szCs w:val="17"/>
          <w:color w:val="auto"/>
        </w:rPr>
        <w:t>. Holder hereby (a) agrees that the Stock and any other shares of capital stock or securities required by the Stockholders Agreement and the IRA to be bound thereby, shall be bound by and subject to the terms of the Stockholders Agreement and IRA, respectively and (b) adopts the Stockholders Agreement and the IRA with the same force and effect as if Holder were originally a party to each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24" w:name="page325"/>
    <w:bookmarkEnd w:id="324"/>
    <w:p>
      <w:pPr>
        <w:ind w:firstLine="648"/>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Notice</w:t>
      </w:r>
      <w:r>
        <w:rPr>
          <w:rFonts w:ascii="Arial" w:cs="Arial" w:eastAsia="Arial" w:hAnsi="Arial"/>
          <w:sz w:val="18"/>
          <w:szCs w:val="18"/>
          <w:color w:val="auto"/>
        </w:rPr>
        <w:t>. Any notice required or permitted by Stockholders Agreement and the IRA shall be given to Holder at the address or facsimile number listed below Holder’s signature hereto.</w:t>
      </w:r>
    </w:p>
    <w:p>
      <w:pPr>
        <w:spacing w:after="0" w:line="17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60"/>
          </w:cols>
          <w:pgMar w:left="240" w:top="341" w:right="69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234"/>
        </w:trPr>
        <w:tc>
          <w:tcPr>
            <w:tcW w:w="5440" w:type="dxa"/>
            <w:vAlign w:val="bottom"/>
            <w:gridSpan w:val="3"/>
          </w:tcPr>
          <w:p>
            <w:pPr>
              <w:spacing w:after="0"/>
              <w:rPr>
                <w:sz w:val="20"/>
                <w:szCs w:val="20"/>
                <w:color w:val="auto"/>
              </w:rPr>
            </w:pPr>
            <w:r>
              <w:rPr>
                <w:rFonts w:ascii="Arial" w:cs="Arial" w:eastAsia="Arial" w:hAnsi="Arial"/>
                <w:sz w:val="18"/>
                <w:szCs w:val="18"/>
                <w:b w:val="1"/>
                <w:bCs w:val="1"/>
                <w:color w:val="auto"/>
              </w:rPr>
              <w:t>GLAXO GROUP LIMITED</w:t>
            </w:r>
          </w:p>
        </w:tc>
        <w:tc>
          <w:tcPr>
            <w:tcW w:w="3140" w:type="dxa"/>
            <w:vAlign w:val="bottom"/>
          </w:tcPr>
          <w:p>
            <w:pPr>
              <w:ind w:left="280"/>
              <w:spacing w:after="0"/>
              <w:rPr>
                <w:sz w:val="20"/>
                <w:szCs w:val="20"/>
                <w:color w:val="auto"/>
              </w:rPr>
            </w:pPr>
            <w:r>
              <w:rPr>
                <w:rFonts w:ascii="Arial" w:cs="Arial" w:eastAsia="Arial" w:hAnsi="Arial"/>
                <w:sz w:val="18"/>
                <w:szCs w:val="18"/>
                <w:color w:val="auto"/>
              </w:rPr>
              <w:t>ACCEPTED AND AGREED:</w:t>
            </w:r>
          </w:p>
        </w:tc>
      </w:tr>
      <w:tr>
        <w:trPr>
          <w:trHeight w:val="432"/>
        </w:trPr>
        <w:tc>
          <w:tcPr>
            <w:tcW w:w="5440" w:type="dxa"/>
            <w:vAlign w:val="bottom"/>
            <w:gridSpan w:val="3"/>
          </w:tcPr>
          <w:p>
            <w:pPr>
              <w:spacing w:after="0"/>
              <w:rPr>
                <w:sz w:val="20"/>
                <w:szCs w:val="20"/>
                <w:color w:val="auto"/>
              </w:rPr>
            </w:pPr>
            <w:r>
              <w:rPr>
                <w:rFonts w:ascii="Arial" w:cs="Arial" w:eastAsia="Arial" w:hAnsi="Arial"/>
                <w:sz w:val="18"/>
                <w:szCs w:val="18"/>
                <w:color w:val="auto"/>
              </w:rPr>
              <w:t>By:   /s/ John Sadler</w:t>
            </w:r>
          </w:p>
        </w:tc>
        <w:tc>
          <w:tcPr>
            <w:tcW w:w="3140" w:type="dxa"/>
            <w:vAlign w:val="bottom"/>
          </w:tcPr>
          <w:p>
            <w:pPr>
              <w:ind w:left="280"/>
              <w:spacing w:after="0"/>
              <w:rPr>
                <w:sz w:val="20"/>
                <w:szCs w:val="20"/>
                <w:color w:val="auto"/>
              </w:rPr>
            </w:pPr>
            <w:r>
              <w:rPr>
                <w:rFonts w:ascii="Arial" w:cs="Arial" w:eastAsia="Arial" w:hAnsi="Arial"/>
                <w:sz w:val="18"/>
                <w:szCs w:val="18"/>
                <w:b w:val="1"/>
                <w:bCs w:val="1"/>
                <w:color w:val="auto"/>
              </w:rPr>
              <w:t>FULCRUM THERAPEUTICS, INC.</w:t>
            </w:r>
          </w:p>
        </w:tc>
      </w:tr>
      <w:tr>
        <w:trPr>
          <w:trHeight w:val="411"/>
        </w:trPr>
        <w:tc>
          <w:tcPr>
            <w:tcW w:w="500" w:type="dxa"/>
            <w:vAlign w:val="bottom"/>
          </w:tcPr>
          <w:p>
            <w:pPr>
              <w:spacing w:after="0"/>
              <w:rPr>
                <w:sz w:val="24"/>
                <w:szCs w:val="24"/>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John Sadler</w:t>
            </w:r>
          </w:p>
        </w:tc>
        <w:tc>
          <w:tcPr>
            <w:tcW w:w="314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140"/>
              <w:spacing w:after="0"/>
              <w:rPr>
                <w:sz w:val="20"/>
                <w:szCs w:val="20"/>
                <w:color w:val="auto"/>
              </w:rPr>
            </w:pPr>
            <w:r>
              <w:rPr>
                <w:rFonts w:ascii="Arial" w:cs="Arial" w:eastAsia="Arial" w:hAnsi="Arial"/>
                <w:sz w:val="18"/>
                <w:szCs w:val="18"/>
                <w:color w:val="auto"/>
              </w:rPr>
              <w:t>Authorised Signatory</w:t>
            </w:r>
          </w:p>
        </w:tc>
        <w:tc>
          <w:tcPr>
            <w:tcW w:w="31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For and on behalf of</w:t>
            </w:r>
          </w:p>
        </w:tc>
        <w:tc>
          <w:tcPr>
            <w:tcW w:w="31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Edinburgh Pharmaceutical</w:t>
            </w:r>
          </w:p>
        </w:tc>
        <w:tc>
          <w:tcPr>
            <w:tcW w:w="31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Industries Limited</w:t>
            </w:r>
          </w:p>
        </w:tc>
        <w:tc>
          <w:tcPr>
            <w:tcW w:w="31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Corporate Director</w:t>
            </w:r>
          </w:p>
        </w:tc>
        <w:tc>
          <w:tcPr>
            <w:tcW w:w="3140" w:type="dxa"/>
            <w:vAlign w:val="bottom"/>
          </w:tcPr>
          <w:p>
            <w:pPr>
              <w:spacing w:after="0"/>
              <w:rPr>
                <w:sz w:val="20"/>
                <w:szCs w:val="20"/>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Address:</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Gould</w:t>
            </w:r>
          </w:p>
        </w:tc>
        <w:tc>
          <w:tcPr>
            <w:tcW w:w="40" w:type="dxa"/>
            <w:vAlign w:val="bottom"/>
          </w:tcPr>
          <w:p>
            <w:pPr>
              <w:spacing w:after="0"/>
              <w:rPr>
                <w:sz w:val="20"/>
                <w:szCs w:val="20"/>
                <w:color w:val="auto"/>
              </w:rPr>
            </w:pPr>
          </w:p>
        </w:tc>
      </w:tr>
      <w:tr>
        <w:trPr>
          <w:trHeight w:val="182"/>
        </w:trPr>
        <w:tc>
          <w:tcPr>
            <w:tcW w:w="3640" w:type="dxa"/>
            <w:vAlign w:val="bottom"/>
          </w:tcPr>
          <w:p>
            <w:pPr>
              <w:spacing w:after="0" w:line="182" w:lineRule="exact"/>
              <w:rPr>
                <w:sz w:val="20"/>
                <w:szCs w:val="20"/>
                <w:color w:val="auto"/>
              </w:rPr>
            </w:pPr>
            <w:r>
              <w:rPr>
                <w:rFonts w:ascii="Arial" w:cs="Arial" w:eastAsia="Arial" w:hAnsi="Arial"/>
                <w:sz w:val="18"/>
                <w:szCs w:val="18"/>
                <w:color w:val="auto"/>
              </w:rPr>
              <w:t>980 Great West Road</w:t>
            </w:r>
          </w:p>
        </w:tc>
        <w:tc>
          <w:tcPr>
            <w:tcW w:w="264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Brentford, Middlesex</w:t>
            </w:r>
          </w:p>
        </w:tc>
        <w:tc>
          <w:tcPr>
            <w:tcW w:w="2640" w:type="dxa"/>
            <w:vAlign w:val="bottom"/>
          </w:tcPr>
          <w:p>
            <w:pPr>
              <w:ind w:left="208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CEO</w:t>
            </w:r>
          </w:p>
        </w:tc>
        <w:tc>
          <w:tcPr>
            <w:tcW w:w="40" w:type="dxa"/>
            <w:vAlign w:val="bottom"/>
          </w:tcPr>
          <w:p>
            <w:pPr>
              <w:spacing w:after="0"/>
              <w:rPr>
                <w:sz w:val="20"/>
                <w:szCs w:val="20"/>
                <w:color w:val="auto"/>
              </w:rPr>
            </w:pPr>
          </w:p>
        </w:tc>
      </w:tr>
      <w:tr>
        <w:trPr>
          <w:trHeight w:val="210"/>
        </w:trPr>
        <w:tc>
          <w:tcPr>
            <w:tcW w:w="3640" w:type="dxa"/>
            <w:vAlign w:val="bottom"/>
          </w:tcPr>
          <w:p>
            <w:pPr>
              <w:spacing w:after="0"/>
              <w:rPr>
                <w:sz w:val="20"/>
                <w:szCs w:val="20"/>
                <w:color w:val="auto"/>
              </w:rPr>
            </w:pPr>
            <w:r>
              <w:rPr>
                <w:rFonts w:ascii="Arial" w:cs="Arial" w:eastAsia="Arial" w:hAnsi="Arial"/>
                <w:sz w:val="18"/>
                <w:szCs w:val="18"/>
                <w:color w:val="auto"/>
              </w:rPr>
              <w:t>TW8 9GS England</w:t>
            </w:r>
          </w:p>
        </w:tc>
        <w:tc>
          <w:tcPr>
            <w:tcW w:w="26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34"/>
        </w:trPr>
        <w:tc>
          <w:tcPr>
            <w:tcW w:w="364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26" w:name="page327"/>
    <w:bookmarkEnd w:id="326"/>
    <w:p>
      <w:pPr>
        <w:jc w:val="center"/>
        <w:ind w:right="-120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jc w:val="right"/>
        <w:ind w:right="3319"/>
        <w:spacing w:after="0"/>
        <w:rPr>
          <w:sz w:val="20"/>
          <w:szCs w:val="20"/>
          <w:color w:val="auto"/>
        </w:rPr>
      </w:pPr>
      <w:r>
        <w:rPr>
          <w:rFonts w:ascii="Arial" w:cs="Arial" w:eastAsia="Arial" w:hAnsi="Arial"/>
          <w:sz w:val="18"/>
          <w:szCs w:val="18"/>
          <w:b w:val="1"/>
          <w:bCs w:val="1"/>
          <w:color w:val="auto"/>
        </w:rPr>
        <w:t>Name and Contact of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ROCK VENTURES III, L.P.</w:t>
      </w:r>
    </w:p>
    <w:p>
      <w:pPr>
        <w:spacing w:after="0" w:line="222" w:lineRule="auto"/>
        <w:rPr>
          <w:sz w:val="20"/>
          <w:szCs w:val="20"/>
          <w:color w:val="auto"/>
        </w:rPr>
      </w:pPr>
      <w:r>
        <w:rPr>
          <w:rFonts w:ascii="Arial" w:cs="Arial" w:eastAsia="Arial" w:hAnsi="Arial"/>
          <w:sz w:val="18"/>
          <w:szCs w:val="18"/>
          <w:color w:val="auto"/>
        </w:rPr>
        <w:t>29 Newbury Street;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GV 2016,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Attn: Daphne Chang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GV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1600 Amphitheatre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 94043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ROCK VENTURES IV, L.P.</w:t>
      </w:r>
    </w:p>
    <w:p>
      <w:pPr>
        <w:spacing w:after="0" w:line="222" w:lineRule="auto"/>
        <w:rPr>
          <w:sz w:val="20"/>
          <w:szCs w:val="20"/>
          <w:color w:val="auto"/>
        </w:rPr>
      </w:pPr>
      <w:r>
        <w:rPr>
          <w:rFonts w:ascii="Arial" w:cs="Arial" w:eastAsia="Arial" w:hAnsi="Arial"/>
          <w:sz w:val="18"/>
          <w:szCs w:val="18"/>
          <w:color w:val="auto"/>
        </w:rPr>
        <w:t>29 Newbury Street;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FORESITE CAPITAL FUND IV,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AVENTIS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55 Corporate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Bridgewater, New Jersey 08807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 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should not constitute notice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Sanofi Ventures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 Binney Street — 02142 CAMBRIDGE —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Jason Hafler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FUND 2,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2033 San Elijo Avenue, #565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Cardiff by the Sea, CA 92007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 INVESTMENTS,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Pilot House, Lewis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Ben Gomez; John Vander Vort;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Robinson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SCUBED CAPITAL,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2061 Avy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Mark Stevens; Margo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b w:val="1"/>
          <w:bCs w:val="1"/>
          <w:color w:val="auto"/>
        </w:rPr>
        <w:t>SOBRATO CAPITAL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Sobrato Family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10600 N. De Anza Blvd.,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Cupertino, CA 95014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Matt Sonsini and Albert Chiang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HARVARD MANAGEMENT PRIVATE EQUITY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600 Atlantic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Elise McDonald and Emily Carroll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PORTLAND INVESTMENT — EP,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Partners HealthCare Investment Office</w:t>
      </w:r>
    </w:p>
    <w:p>
      <w:pPr>
        <w:spacing w:after="0" w:line="205" w:lineRule="auto"/>
        <w:rPr>
          <w:sz w:val="20"/>
          <w:szCs w:val="20"/>
          <w:color w:val="auto"/>
        </w:rPr>
      </w:pPr>
      <w:r>
        <w:rPr>
          <w:rFonts w:ascii="Arial" w:cs="Arial" w:eastAsia="Arial" w:hAnsi="Arial"/>
          <w:sz w:val="18"/>
          <w:szCs w:val="18"/>
          <w:color w:val="auto"/>
        </w:rPr>
        <w:t>101 Merrimac St.,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Boston, MA 02114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Kate Kamm, Portfolio Manager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PORTLAND INVESTMENT — PIA,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Partners HealthCare Investment Office</w:t>
      </w:r>
    </w:p>
    <w:p>
      <w:pPr>
        <w:spacing w:after="0" w:line="205" w:lineRule="auto"/>
        <w:rPr>
          <w:sz w:val="20"/>
          <w:szCs w:val="20"/>
          <w:color w:val="auto"/>
        </w:rPr>
      </w:pPr>
      <w:r>
        <w:rPr>
          <w:rFonts w:ascii="Arial" w:cs="Arial" w:eastAsia="Arial" w:hAnsi="Arial"/>
          <w:sz w:val="18"/>
          <w:szCs w:val="18"/>
          <w:color w:val="auto"/>
        </w:rPr>
        <w:t>101 Merrimac St.,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Boston, MA 02114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Kate Kamm, Portfolio Manager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FIFTH AVENUE PRIVATE EQUITY 14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630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LEERINK HOLDINGS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LEERINK PARTNERS CO-INVESTMENT FUND,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CASDIN PARTNERS MASTER FUND,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1350 Avenue of the Americas, Suite 2405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b w:val="1"/>
          <w:bCs w:val="1"/>
          <w:color w:val="auto"/>
        </w:rPr>
        <w:t>FIDELITY MT. VERNON STREET TRUST: FIDELITY GROWTH COMPANY FUND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BNY Mellon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Stacey Wolfe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525 William Penn Place Rm 0400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Pittsburgh, PA 15259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MT. VERNON STREET TRUST: FIDELITY SERIES GROWTH COMPANY FUND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State Street Bank &amp;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5756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02206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WAVELENGTH + CO Fidelity Mt. Vernon Street Trust: Fidelity Series Growth Company Fund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GROWTH COMPANY COMMINGLED POOL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Mag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Brown Brothers Harriman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Actions /Vault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140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DIMENSIONS CAPITAL,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 Box 309, Ugland House Grand Cayman,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KY1-1104, Cayman Islands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DIMENSIONS AFFILIATES FUND,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 Box 309, Ugland House Grand Cayman,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KY1-1104, Cayman Islands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GBG-1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Walkers Corporate Limited, Cayman Corporate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 Hospital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 Town, Grand Cayman KY1-9008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MERITZ NS GLOBAL BIO FUND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15, Gukjegeumyung-ro 6-gil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Yeongdeungpo-gu, Seoul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Republic of Korea 07330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GLAXO GROUP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980 Great West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Brentford, Middlesex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TW8 9GS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2016 STOCK INCENTIVE PLAN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(Adopted by the Board of Directors and approved by the stockholders on July 11, 2016)</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(First amendment adopted by the Board of Directors on August 2, 2017)</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(First amendment approved by the stockholders on August 9, 2017)</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amendment adopted by the Board of Directors on January 23, 2018)</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amendment approved by the stockholders on January 23, 2018)</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(Third amendment adopted by the Board of Directors on August 23, 2018)</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(Third amendment approved by the stockholders on August 23, 2018)</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(Fourth amendment adopted by the Board of Directors on February 6, 2019)</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(Fourth amendment approved by the stockholders on February 7, 2019)</w:t>
      </w:r>
    </w:p>
    <w:p>
      <w:pPr>
        <w:spacing w:after="0" w:line="200" w:lineRule="exact"/>
        <w:rPr>
          <w:sz w:val="20"/>
          <w:szCs w:val="20"/>
          <w:color w:val="auto"/>
        </w:rPr>
      </w:pPr>
    </w:p>
    <w:p>
      <w:pPr>
        <w:spacing w:after="0" w:line="24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330" w:name="page331"/>
    <w:bookmarkEnd w:id="330"/>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9500" w:type="dxa"/>
            <w:vAlign w:val="bottom"/>
          </w:tcPr>
          <w:p>
            <w:pPr>
              <w:ind w:left="398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80" w:type="dxa"/>
            <w:vAlign w:val="bottom"/>
            <w:vMerge w:val="restart"/>
          </w:tcPr>
          <w:p>
            <w:pPr>
              <w:spacing w:after="0"/>
              <w:rPr>
                <w:sz w:val="20"/>
                <w:szCs w:val="20"/>
                <w:color w:val="auto"/>
              </w:rPr>
            </w:pPr>
            <w:r>
              <w:rPr>
                <w:rFonts w:ascii="Arial" w:cs="Arial" w:eastAsia="Arial" w:hAnsi="Arial"/>
                <w:sz w:val="18"/>
                <w:szCs w:val="18"/>
                <w:color w:val="auto"/>
              </w:rPr>
              <w:t>1.</w:t>
            </w:r>
          </w:p>
        </w:tc>
        <w:tc>
          <w:tcPr>
            <w:tcW w:w="9500" w:type="dxa"/>
            <w:vAlign w:val="bottom"/>
            <w:vMerge w:val="restart"/>
          </w:tcPr>
          <w:p>
            <w:pPr>
              <w:ind w:left="280"/>
              <w:spacing w:after="0"/>
              <w:rPr>
                <w:sz w:val="20"/>
                <w:szCs w:val="20"/>
                <w:color w:val="auto"/>
              </w:rPr>
            </w:pPr>
            <w:r>
              <w:rPr>
                <w:rFonts w:ascii="Arial" w:cs="Arial" w:eastAsia="Arial" w:hAnsi="Arial"/>
                <w:sz w:val="18"/>
                <w:szCs w:val="18"/>
                <w:color w:val="auto"/>
              </w:rPr>
              <w:t>Purpose</w:t>
            </w: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780" w:type="dxa"/>
            <w:vAlign w:val="bottom"/>
            <w:vMerge w:val="continue"/>
          </w:tcPr>
          <w:p>
            <w:pPr>
              <w:spacing w:after="0"/>
              <w:rPr>
                <w:sz w:val="16"/>
                <w:szCs w:val="16"/>
                <w:color w:val="auto"/>
              </w:rPr>
            </w:pPr>
          </w:p>
        </w:tc>
        <w:tc>
          <w:tcPr>
            <w:tcW w:w="9500" w:type="dxa"/>
            <w:vAlign w:val="bottom"/>
            <w:vMerge w:val="continue"/>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w:t>
            </w:r>
          </w:p>
        </w:tc>
        <w:tc>
          <w:tcPr>
            <w:tcW w:w="9500" w:type="dxa"/>
            <w:vAlign w:val="bottom"/>
          </w:tcPr>
          <w:p>
            <w:pPr>
              <w:ind w:left="280"/>
              <w:spacing w:after="0"/>
              <w:rPr>
                <w:sz w:val="20"/>
                <w:szCs w:val="20"/>
                <w:color w:val="auto"/>
              </w:rPr>
            </w:pPr>
            <w:r>
              <w:rPr>
                <w:rFonts w:ascii="Arial" w:cs="Arial" w:eastAsia="Arial" w:hAnsi="Arial"/>
                <w:sz w:val="18"/>
                <w:szCs w:val="18"/>
                <w:color w:val="auto"/>
              </w:rPr>
              <w:t>Eligibility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w:t>
            </w:r>
          </w:p>
        </w:tc>
        <w:tc>
          <w:tcPr>
            <w:tcW w:w="9500" w:type="dxa"/>
            <w:vAlign w:val="bottom"/>
          </w:tcPr>
          <w:p>
            <w:pPr>
              <w:ind w:left="280"/>
              <w:spacing w:after="0"/>
              <w:rPr>
                <w:sz w:val="20"/>
                <w:szCs w:val="20"/>
                <w:color w:val="auto"/>
              </w:rPr>
            </w:pPr>
            <w:r>
              <w:rPr>
                <w:rFonts w:ascii="Arial" w:cs="Arial" w:eastAsia="Arial" w:hAnsi="Arial"/>
                <w:sz w:val="18"/>
                <w:szCs w:val="18"/>
                <w:color w:val="auto"/>
              </w:rPr>
              <w:t>Administration and Delegation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(a)</w:t>
            </w:r>
          </w:p>
        </w:tc>
        <w:tc>
          <w:tcPr>
            <w:tcW w:w="9500" w:type="dxa"/>
            <w:vAlign w:val="bottom"/>
          </w:tcPr>
          <w:p>
            <w:pPr>
              <w:ind w:left="460"/>
              <w:spacing w:after="0"/>
              <w:rPr>
                <w:sz w:val="20"/>
                <w:szCs w:val="20"/>
                <w:color w:val="auto"/>
              </w:rPr>
            </w:pPr>
            <w:r>
              <w:rPr>
                <w:rFonts w:ascii="Arial" w:cs="Arial" w:eastAsia="Arial" w:hAnsi="Arial"/>
                <w:sz w:val="18"/>
                <w:szCs w:val="18"/>
                <w:color w:val="auto"/>
              </w:rPr>
              <w:t>Administration by the Board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(b)</w:t>
            </w:r>
          </w:p>
        </w:tc>
        <w:tc>
          <w:tcPr>
            <w:tcW w:w="9500" w:type="dxa"/>
            <w:vAlign w:val="bottom"/>
          </w:tcPr>
          <w:p>
            <w:pPr>
              <w:ind w:left="460"/>
              <w:spacing w:after="0"/>
              <w:rPr>
                <w:sz w:val="20"/>
                <w:szCs w:val="20"/>
                <w:color w:val="auto"/>
              </w:rPr>
            </w:pPr>
            <w:r>
              <w:rPr>
                <w:rFonts w:ascii="Arial" w:cs="Arial" w:eastAsia="Arial" w:hAnsi="Arial"/>
                <w:sz w:val="18"/>
                <w:szCs w:val="18"/>
                <w:color w:val="auto"/>
              </w:rPr>
              <w:t>Appointment of Committees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4.</w:t>
            </w:r>
          </w:p>
        </w:tc>
        <w:tc>
          <w:tcPr>
            <w:tcW w:w="9500" w:type="dxa"/>
            <w:vAlign w:val="bottom"/>
          </w:tcPr>
          <w:p>
            <w:pPr>
              <w:ind w:left="280"/>
              <w:spacing w:after="0"/>
              <w:rPr>
                <w:sz w:val="20"/>
                <w:szCs w:val="20"/>
                <w:color w:val="auto"/>
              </w:rPr>
            </w:pPr>
            <w:r>
              <w:rPr>
                <w:rFonts w:ascii="Arial" w:cs="Arial" w:eastAsia="Arial" w:hAnsi="Arial"/>
                <w:sz w:val="18"/>
                <w:szCs w:val="18"/>
                <w:color w:val="auto"/>
              </w:rPr>
              <w:t>Stock Available for Awards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(a)</w:t>
            </w:r>
          </w:p>
        </w:tc>
        <w:tc>
          <w:tcPr>
            <w:tcW w:w="9500" w:type="dxa"/>
            <w:vAlign w:val="bottom"/>
          </w:tcPr>
          <w:p>
            <w:pPr>
              <w:ind w:left="460"/>
              <w:spacing w:after="0"/>
              <w:rPr>
                <w:sz w:val="20"/>
                <w:szCs w:val="20"/>
                <w:color w:val="auto"/>
              </w:rPr>
            </w:pPr>
            <w:r>
              <w:rPr>
                <w:rFonts w:ascii="Arial" w:cs="Arial" w:eastAsia="Arial" w:hAnsi="Arial"/>
                <w:sz w:val="18"/>
                <w:szCs w:val="18"/>
                <w:color w:val="auto"/>
              </w:rPr>
              <w:t>Number of Shares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(b)</w:t>
            </w:r>
          </w:p>
        </w:tc>
        <w:tc>
          <w:tcPr>
            <w:tcW w:w="9500" w:type="dxa"/>
            <w:vAlign w:val="bottom"/>
          </w:tcPr>
          <w:p>
            <w:pPr>
              <w:ind w:left="460"/>
              <w:spacing w:after="0"/>
              <w:rPr>
                <w:sz w:val="20"/>
                <w:szCs w:val="20"/>
                <w:color w:val="auto"/>
              </w:rPr>
            </w:pPr>
            <w:r>
              <w:rPr>
                <w:rFonts w:ascii="Arial" w:cs="Arial" w:eastAsia="Arial" w:hAnsi="Arial"/>
                <w:sz w:val="18"/>
                <w:szCs w:val="18"/>
                <w:color w:val="auto"/>
              </w:rPr>
              <w:t>Substitute Awards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5.</w:t>
            </w:r>
          </w:p>
        </w:tc>
        <w:tc>
          <w:tcPr>
            <w:tcW w:w="950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(a)</w:t>
            </w:r>
          </w:p>
        </w:tc>
        <w:tc>
          <w:tcPr>
            <w:tcW w:w="9500" w:type="dxa"/>
            <w:vAlign w:val="bottom"/>
          </w:tcPr>
          <w:p>
            <w:pPr>
              <w:ind w:left="460"/>
              <w:spacing w:after="0"/>
              <w:rPr>
                <w:sz w:val="20"/>
                <w:szCs w:val="20"/>
                <w:color w:val="auto"/>
              </w:rPr>
            </w:pPr>
            <w:r>
              <w:rPr>
                <w:rFonts w:ascii="Arial" w:cs="Arial" w:eastAsia="Arial" w:hAnsi="Arial"/>
                <w:sz w:val="18"/>
                <w:szCs w:val="18"/>
                <w:color w:val="auto"/>
              </w:rPr>
              <w:t>General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(b)</w:t>
            </w:r>
          </w:p>
        </w:tc>
        <w:tc>
          <w:tcPr>
            <w:tcW w:w="9500" w:type="dxa"/>
            <w:vAlign w:val="bottom"/>
          </w:tcPr>
          <w:p>
            <w:pPr>
              <w:ind w:left="460"/>
              <w:spacing w:after="0"/>
              <w:rPr>
                <w:sz w:val="20"/>
                <w:szCs w:val="20"/>
                <w:color w:val="auto"/>
              </w:rPr>
            </w:pPr>
            <w:r>
              <w:rPr>
                <w:rFonts w:ascii="Arial" w:cs="Arial" w:eastAsia="Arial" w:hAnsi="Arial"/>
                <w:sz w:val="18"/>
                <w:szCs w:val="18"/>
                <w:color w:val="auto"/>
              </w:rPr>
              <w:t>Incentive Stock Options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(c)</w:t>
            </w:r>
          </w:p>
        </w:tc>
        <w:tc>
          <w:tcPr>
            <w:tcW w:w="9500" w:type="dxa"/>
            <w:vAlign w:val="bottom"/>
          </w:tcPr>
          <w:p>
            <w:pPr>
              <w:ind w:left="460"/>
              <w:spacing w:after="0"/>
              <w:rPr>
                <w:sz w:val="20"/>
                <w:szCs w:val="20"/>
                <w:color w:val="auto"/>
              </w:rPr>
            </w:pPr>
            <w:r>
              <w:rPr>
                <w:rFonts w:ascii="Arial" w:cs="Arial" w:eastAsia="Arial" w:hAnsi="Arial"/>
                <w:sz w:val="18"/>
                <w:szCs w:val="18"/>
                <w:color w:val="auto"/>
              </w:rPr>
              <w:t>Exercise Price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(d)</w:t>
            </w:r>
          </w:p>
        </w:tc>
        <w:tc>
          <w:tcPr>
            <w:tcW w:w="9500" w:type="dxa"/>
            <w:vAlign w:val="bottom"/>
          </w:tcPr>
          <w:p>
            <w:pPr>
              <w:ind w:left="460"/>
              <w:spacing w:after="0"/>
              <w:rPr>
                <w:sz w:val="20"/>
                <w:szCs w:val="20"/>
                <w:color w:val="auto"/>
              </w:rPr>
            </w:pPr>
            <w:r>
              <w:rPr>
                <w:rFonts w:ascii="Arial" w:cs="Arial" w:eastAsia="Arial" w:hAnsi="Arial"/>
                <w:sz w:val="18"/>
                <w:szCs w:val="18"/>
                <w:color w:val="auto"/>
              </w:rPr>
              <w:t>Duration of Options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(e)</w:t>
            </w:r>
          </w:p>
        </w:tc>
        <w:tc>
          <w:tcPr>
            <w:tcW w:w="9500" w:type="dxa"/>
            <w:vAlign w:val="bottom"/>
          </w:tcPr>
          <w:p>
            <w:pPr>
              <w:ind w:left="460"/>
              <w:spacing w:after="0"/>
              <w:rPr>
                <w:sz w:val="20"/>
                <w:szCs w:val="20"/>
                <w:color w:val="auto"/>
              </w:rPr>
            </w:pPr>
            <w:r>
              <w:rPr>
                <w:rFonts w:ascii="Arial" w:cs="Arial" w:eastAsia="Arial" w:hAnsi="Arial"/>
                <w:sz w:val="18"/>
                <w:szCs w:val="18"/>
                <w:color w:val="auto"/>
              </w:rPr>
              <w:t>Exercise of Options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(f)</w:t>
            </w:r>
          </w:p>
        </w:tc>
        <w:tc>
          <w:tcPr>
            <w:tcW w:w="9500" w:type="dxa"/>
            <w:vAlign w:val="bottom"/>
          </w:tcPr>
          <w:p>
            <w:pPr>
              <w:ind w:left="460"/>
              <w:spacing w:after="0"/>
              <w:rPr>
                <w:sz w:val="20"/>
                <w:szCs w:val="20"/>
                <w:color w:val="auto"/>
              </w:rPr>
            </w:pPr>
            <w:r>
              <w:rPr>
                <w:rFonts w:ascii="Arial" w:cs="Arial" w:eastAsia="Arial" w:hAnsi="Arial"/>
                <w:sz w:val="18"/>
                <w:szCs w:val="18"/>
                <w:color w:val="auto"/>
              </w:rPr>
              <w:t>Payment Upon Exercise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6.</w:t>
            </w:r>
          </w:p>
        </w:tc>
        <w:tc>
          <w:tcPr>
            <w:tcW w:w="9500" w:type="dxa"/>
            <w:vAlign w:val="bottom"/>
          </w:tcPr>
          <w:p>
            <w:pPr>
              <w:ind w:left="280"/>
              <w:spacing w:after="0"/>
              <w:rPr>
                <w:sz w:val="20"/>
                <w:szCs w:val="20"/>
                <w:color w:val="auto"/>
              </w:rPr>
            </w:pPr>
            <w:r>
              <w:rPr>
                <w:rFonts w:ascii="Arial" w:cs="Arial" w:eastAsia="Arial" w:hAnsi="Arial"/>
                <w:sz w:val="18"/>
                <w:szCs w:val="18"/>
                <w:color w:val="auto"/>
              </w:rPr>
              <w:t>Stock Appreciation Rights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(a)</w:t>
            </w:r>
          </w:p>
        </w:tc>
        <w:tc>
          <w:tcPr>
            <w:tcW w:w="9500" w:type="dxa"/>
            <w:vAlign w:val="bottom"/>
          </w:tcPr>
          <w:p>
            <w:pPr>
              <w:ind w:left="460"/>
              <w:spacing w:after="0"/>
              <w:rPr>
                <w:sz w:val="20"/>
                <w:szCs w:val="20"/>
                <w:color w:val="auto"/>
              </w:rPr>
            </w:pPr>
            <w:r>
              <w:rPr>
                <w:rFonts w:ascii="Arial" w:cs="Arial" w:eastAsia="Arial" w:hAnsi="Arial"/>
                <w:sz w:val="18"/>
                <w:szCs w:val="18"/>
                <w:color w:val="auto"/>
              </w:rPr>
              <w:t>General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(b)</w:t>
            </w:r>
          </w:p>
        </w:tc>
        <w:tc>
          <w:tcPr>
            <w:tcW w:w="9500" w:type="dxa"/>
            <w:vAlign w:val="bottom"/>
          </w:tcPr>
          <w:p>
            <w:pPr>
              <w:ind w:left="460"/>
              <w:spacing w:after="0"/>
              <w:rPr>
                <w:sz w:val="20"/>
                <w:szCs w:val="20"/>
                <w:color w:val="auto"/>
              </w:rPr>
            </w:pPr>
            <w:r>
              <w:rPr>
                <w:rFonts w:ascii="Arial" w:cs="Arial" w:eastAsia="Arial" w:hAnsi="Arial"/>
                <w:sz w:val="18"/>
                <w:szCs w:val="18"/>
                <w:color w:val="auto"/>
              </w:rPr>
              <w:t>Measurement Price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(c)</w:t>
            </w:r>
          </w:p>
        </w:tc>
        <w:tc>
          <w:tcPr>
            <w:tcW w:w="9500" w:type="dxa"/>
            <w:vAlign w:val="bottom"/>
          </w:tcPr>
          <w:p>
            <w:pPr>
              <w:ind w:left="460"/>
              <w:spacing w:after="0"/>
              <w:rPr>
                <w:sz w:val="20"/>
                <w:szCs w:val="20"/>
                <w:color w:val="auto"/>
              </w:rPr>
            </w:pPr>
            <w:r>
              <w:rPr>
                <w:rFonts w:ascii="Arial" w:cs="Arial" w:eastAsia="Arial" w:hAnsi="Arial"/>
                <w:sz w:val="18"/>
                <w:szCs w:val="18"/>
                <w:color w:val="auto"/>
              </w:rPr>
              <w:t>Duration of SARs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(d)</w:t>
            </w:r>
          </w:p>
        </w:tc>
        <w:tc>
          <w:tcPr>
            <w:tcW w:w="9500" w:type="dxa"/>
            <w:vAlign w:val="bottom"/>
          </w:tcPr>
          <w:p>
            <w:pPr>
              <w:ind w:left="460"/>
              <w:spacing w:after="0"/>
              <w:rPr>
                <w:sz w:val="20"/>
                <w:szCs w:val="20"/>
                <w:color w:val="auto"/>
              </w:rPr>
            </w:pPr>
            <w:r>
              <w:rPr>
                <w:rFonts w:ascii="Arial" w:cs="Arial" w:eastAsia="Arial" w:hAnsi="Arial"/>
                <w:sz w:val="18"/>
                <w:szCs w:val="18"/>
                <w:color w:val="auto"/>
              </w:rPr>
              <w:t>Exercise of SARs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7.</w:t>
            </w:r>
          </w:p>
        </w:tc>
        <w:tc>
          <w:tcPr>
            <w:tcW w:w="9500" w:type="dxa"/>
            <w:vAlign w:val="bottom"/>
          </w:tcPr>
          <w:p>
            <w:pPr>
              <w:ind w:left="280"/>
              <w:spacing w:after="0"/>
              <w:rPr>
                <w:sz w:val="20"/>
                <w:szCs w:val="20"/>
                <w:color w:val="auto"/>
              </w:rPr>
            </w:pPr>
            <w:r>
              <w:rPr>
                <w:rFonts w:ascii="Arial" w:cs="Arial" w:eastAsia="Arial" w:hAnsi="Arial"/>
                <w:sz w:val="18"/>
                <w:szCs w:val="18"/>
                <w:color w:val="auto"/>
              </w:rPr>
              <w:t>Restricted Stock; Restricted Stock Units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(a)</w:t>
            </w:r>
          </w:p>
        </w:tc>
        <w:tc>
          <w:tcPr>
            <w:tcW w:w="9500" w:type="dxa"/>
            <w:vAlign w:val="bottom"/>
          </w:tcPr>
          <w:p>
            <w:pPr>
              <w:ind w:left="460"/>
              <w:spacing w:after="0"/>
              <w:rPr>
                <w:sz w:val="20"/>
                <w:szCs w:val="20"/>
                <w:color w:val="auto"/>
              </w:rPr>
            </w:pPr>
            <w:r>
              <w:rPr>
                <w:rFonts w:ascii="Arial" w:cs="Arial" w:eastAsia="Arial" w:hAnsi="Arial"/>
                <w:sz w:val="18"/>
                <w:szCs w:val="18"/>
                <w:color w:val="auto"/>
              </w:rPr>
              <w:t>General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(b)</w:t>
            </w:r>
          </w:p>
        </w:tc>
        <w:tc>
          <w:tcPr>
            <w:tcW w:w="9500" w:type="dxa"/>
            <w:vAlign w:val="bottom"/>
          </w:tcPr>
          <w:p>
            <w:pPr>
              <w:ind w:left="460"/>
              <w:spacing w:after="0"/>
              <w:rPr>
                <w:sz w:val="20"/>
                <w:szCs w:val="20"/>
                <w:color w:val="auto"/>
              </w:rPr>
            </w:pPr>
            <w:r>
              <w:rPr>
                <w:rFonts w:ascii="Arial" w:cs="Arial" w:eastAsia="Arial" w:hAnsi="Arial"/>
                <w:sz w:val="18"/>
                <w:szCs w:val="18"/>
                <w:color w:val="auto"/>
              </w:rPr>
              <w:t>Terms and Conditions for All Restricted Stock Awards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(c)</w:t>
            </w:r>
          </w:p>
        </w:tc>
        <w:tc>
          <w:tcPr>
            <w:tcW w:w="9500" w:type="dxa"/>
            <w:vAlign w:val="bottom"/>
          </w:tcPr>
          <w:p>
            <w:pPr>
              <w:ind w:left="460"/>
              <w:spacing w:after="0"/>
              <w:rPr>
                <w:sz w:val="20"/>
                <w:szCs w:val="20"/>
                <w:color w:val="auto"/>
              </w:rPr>
            </w:pPr>
            <w:r>
              <w:rPr>
                <w:rFonts w:ascii="Arial" w:cs="Arial" w:eastAsia="Arial" w:hAnsi="Arial"/>
                <w:sz w:val="18"/>
                <w:szCs w:val="18"/>
                <w:color w:val="auto"/>
              </w:rPr>
              <w:t>Additional Provisions Relating to Restricted Stock</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(d)</w:t>
            </w:r>
          </w:p>
        </w:tc>
        <w:tc>
          <w:tcPr>
            <w:tcW w:w="9500" w:type="dxa"/>
            <w:vAlign w:val="bottom"/>
          </w:tcPr>
          <w:p>
            <w:pPr>
              <w:ind w:left="460"/>
              <w:spacing w:after="0"/>
              <w:rPr>
                <w:sz w:val="20"/>
                <w:szCs w:val="20"/>
                <w:color w:val="auto"/>
              </w:rPr>
            </w:pPr>
            <w:r>
              <w:rPr>
                <w:rFonts w:ascii="Arial" w:cs="Arial" w:eastAsia="Arial" w:hAnsi="Arial"/>
                <w:sz w:val="18"/>
                <w:szCs w:val="18"/>
                <w:color w:val="auto"/>
              </w:rPr>
              <w:t>Additional Provisions Relating to Restricted Stock Units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8.</w:t>
            </w:r>
          </w:p>
        </w:tc>
        <w:tc>
          <w:tcPr>
            <w:tcW w:w="9500" w:type="dxa"/>
            <w:vAlign w:val="bottom"/>
          </w:tcPr>
          <w:p>
            <w:pPr>
              <w:ind w:left="280"/>
              <w:spacing w:after="0"/>
              <w:rPr>
                <w:sz w:val="20"/>
                <w:szCs w:val="20"/>
                <w:color w:val="auto"/>
              </w:rPr>
            </w:pPr>
            <w:r>
              <w:rPr>
                <w:rFonts w:ascii="Arial" w:cs="Arial" w:eastAsia="Arial" w:hAnsi="Arial"/>
                <w:sz w:val="18"/>
                <w:szCs w:val="18"/>
                <w:color w:val="auto"/>
              </w:rPr>
              <w:t>Other Stock-Based Awards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(a)</w:t>
            </w:r>
          </w:p>
        </w:tc>
        <w:tc>
          <w:tcPr>
            <w:tcW w:w="9500" w:type="dxa"/>
            <w:vAlign w:val="bottom"/>
          </w:tcPr>
          <w:p>
            <w:pPr>
              <w:ind w:left="460"/>
              <w:spacing w:after="0"/>
              <w:rPr>
                <w:sz w:val="20"/>
                <w:szCs w:val="20"/>
                <w:color w:val="auto"/>
              </w:rPr>
            </w:pPr>
            <w:r>
              <w:rPr>
                <w:rFonts w:ascii="Arial" w:cs="Arial" w:eastAsia="Arial" w:hAnsi="Arial"/>
                <w:sz w:val="18"/>
                <w:szCs w:val="18"/>
                <w:color w:val="auto"/>
              </w:rPr>
              <w:t>General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(b)</w:t>
            </w:r>
          </w:p>
        </w:tc>
        <w:tc>
          <w:tcPr>
            <w:tcW w:w="9500" w:type="dxa"/>
            <w:vAlign w:val="bottom"/>
          </w:tcPr>
          <w:p>
            <w:pPr>
              <w:ind w:left="460"/>
              <w:spacing w:after="0"/>
              <w:rPr>
                <w:sz w:val="20"/>
                <w:szCs w:val="20"/>
                <w:color w:val="auto"/>
              </w:rPr>
            </w:pPr>
            <w:r>
              <w:rPr>
                <w:rFonts w:ascii="Arial" w:cs="Arial" w:eastAsia="Arial" w:hAnsi="Arial"/>
                <w:sz w:val="18"/>
                <w:szCs w:val="18"/>
                <w:color w:val="auto"/>
              </w:rPr>
              <w:t>Terms and Conditions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9.</w:t>
            </w:r>
          </w:p>
        </w:tc>
        <w:tc>
          <w:tcPr>
            <w:tcW w:w="9500" w:type="dxa"/>
            <w:vAlign w:val="bottom"/>
          </w:tcPr>
          <w:p>
            <w:pPr>
              <w:ind w:left="280"/>
              <w:spacing w:after="0"/>
              <w:rPr>
                <w:sz w:val="20"/>
                <w:szCs w:val="20"/>
                <w:color w:val="auto"/>
              </w:rPr>
            </w:pPr>
            <w:r>
              <w:rPr>
                <w:rFonts w:ascii="Arial" w:cs="Arial" w:eastAsia="Arial" w:hAnsi="Arial"/>
                <w:sz w:val="18"/>
                <w:szCs w:val="18"/>
                <w:color w:val="auto"/>
              </w:rPr>
              <w:t>Adjustments for Changes in Common Stock and Certain Other Events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(a)</w:t>
            </w:r>
          </w:p>
        </w:tc>
        <w:tc>
          <w:tcPr>
            <w:tcW w:w="9500" w:type="dxa"/>
            <w:vAlign w:val="bottom"/>
          </w:tcPr>
          <w:p>
            <w:pPr>
              <w:ind w:left="460"/>
              <w:spacing w:after="0"/>
              <w:rPr>
                <w:sz w:val="20"/>
                <w:szCs w:val="20"/>
                <w:color w:val="auto"/>
              </w:rPr>
            </w:pPr>
            <w:r>
              <w:rPr>
                <w:rFonts w:ascii="Arial" w:cs="Arial" w:eastAsia="Arial" w:hAnsi="Arial"/>
                <w:sz w:val="18"/>
                <w:szCs w:val="18"/>
                <w:color w:val="auto"/>
              </w:rPr>
              <w:t>Changes in Capitalization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(b)</w:t>
            </w:r>
          </w:p>
        </w:tc>
        <w:tc>
          <w:tcPr>
            <w:tcW w:w="9500" w:type="dxa"/>
            <w:vAlign w:val="bottom"/>
          </w:tcPr>
          <w:p>
            <w:pPr>
              <w:ind w:left="460"/>
              <w:spacing w:after="0"/>
              <w:rPr>
                <w:sz w:val="20"/>
                <w:szCs w:val="20"/>
                <w:color w:val="auto"/>
              </w:rPr>
            </w:pPr>
            <w:r>
              <w:rPr>
                <w:rFonts w:ascii="Arial" w:cs="Arial" w:eastAsia="Arial" w:hAnsi="Arial"/>
                <w:sz w:val="18"/>
                <w:szCs w:val="18"/>
                <w:color w:val="auto"/>
              </w:rPr>
              <w:t>Reorganization Events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w:t>
            </w:r>
          </w:p>
        </w:tc>
        <w:tc>
          <w:tcPr>
            <w:tcW w:w="9500" w:type="dxa"/>
            <w:vAlign w:val="bottom"/>
          </w:tcPr>
          <w:p>
            <w:pPr>
              <w:ind w:left="280"/>
              <w:spacing w:after="0"/>
              <w:rPr>
                <w:sz w:val="20"/>
                <w:szCs w:val="20"/>
                <w:color w:val="auto"/>
              </w:rPr>
            </w:pPr>
            <w:r>
              <w:rPr>
                <w:rFonts w:ascii="Arial" w:cs="Arial" w:eastAsia="Arial" w:hAnsi="Arial"/>
                <w:sz w:val="18"/>
                <w:szCs w:val="18"/>
                <w:color w:val="auto"/>
              </w:rPr>
              <w:t>General Provisions Applicable to Awards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(a)</w:t>
            </w:r>
          </w:p>
        </w:tc>
        <w:tc>
          <w:tcPr>
            <w:tcW w:w="9500" w:type="dxa"/>
            <w:vAlign w:val="bottom"/>
          </w:tcPr>
          <w:p>
            <w:pPr>
              <w:ind w:left="460"/>
              <w:spacing w:after="0"/>
              <w:rPr>
                <w:sz w:val="20"/>
                <w:szCs w:val="20"/>
                <w:color w:val="auto"/>
              </w:rPr>
            </w:pPr>
            <w:r>
              <w:rPr>
                <w:rFonts w:ascii="Arial" w:cs="Arial" w:eastAsia="Arial" w:hAnsi="Arial"/>
                <w:sz w:val="18"/>
                <w:szCs w:val="18"/>
                <w:color w:val="auto"/>
              </w:rPr>
              <w:t>Transferability of Awards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(b)</w:t>
            </w:r>
          </w:p>
        </w:tc>
        <w:tc>
          <w:tcPr>
            <w:tcW w:w="9500" w:type="dxa"/>
            <w:vAlign w:val="bottom"/>
          </w:tcPr>
          <w:p>
            <w:pPr>
              <w:ind w:left="460"/>
              <w:spacing w:after="0"/>
              <w:rPr>
                <w:sz w:val="20"/>
                <w:szCs w:val="20"/>
                <w:color w:val="auto"/>
              </w:rPr>
            </w:pPr>
            <w:r>
              <w:rPr>
                <w:rFonts w:ascii="Arial" w:cs="Arial" w:eastAsia="Arial" w:hAnsi="Arial"/>
                <w:sz w:val="18"/>
                <w:szCs w:val="18"/>
                <w:color w:val="auto"/>
              </w:rPr>
              <w:t>Documentation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(c)</w:t>
            </w:r>
          </w:p>
        </w:tc>
        <w:tc>
          <w:tcPr>
            <w:tcW w:w="9500" w:type="dxa"/>
            <w:vAlign w:val="bottom"/>
          </w:tcPr>
          <w:p>
            <w:pPr>
              <w:ind w:left="460"/>
              <w:spacing w:after="0"/>
              <w:rPr>
                <w:sz w:val="20"/>
                <w:szCs w:val="20"/>
                <w:color w:val="auto"/>
              </w:rPr>
            </w:pPr>
            <w:r>
              <w:rPr>
                <w:rFonts w:ascii="Arial" w:cs="Arial" w:eastAsia="Arial" w:hAnsi="Arial"/>
                <w:sz w:val="18"/>
                <w:szCs w:val="18"/>
                <w:color w:val="auto"/>
              </w:rPr>
              <w:t>Board Discretion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(d)</w:t>
            </w:r>
          </w:p>
        </w:tc>
        <w:tc>
          <w:tcPr>
            <w:tcW w:w="9500" w:type="dxa"/>
            <w:vAlign w:val="bottom"/>
          </w:tcPr>
          <w:p>
            <w:pPr>
              <w:ind w:left="460"/>
              <w:spacing w:after="0"/>
              <w:rPr>
                <w:sz w:val="20"/>
                <w:szCs w:val="20"/>
                <w:color w:val="auto"/>
              </w:rPr>
            </w:pPr>
            <w:r>
              <w:rPr>
                <w:rFonts w:ascii="Arial" w:cs="Arial" w:eastAsia="Arial" w:hAnsi="Arial"/>
                <w:sz w:val="18"/>
                <w:szCs w:val="18"/>
                <w:color w:val="auto"/>
              </w:rPr>
              <w:t>Termination of Status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(e)</w:t>
            </w:r>
          </w:p>
        </w:tc>
        <w:tc>
          <w:tcPr>
            <w:tcW w:w="9500" w:type="dxa"/>
            <w:vAlign w:val="bottom"/>
          </w:tcPr>
          <w:p>
            <w:pPr>
              <w:ind w:left="460"/>
              <w:spacing w:after="0"/>
              <w:rPr>
                <w:sz w:val="20"/>
                <w:szCs w:val="20"/>
                <w:color w:val="auto"/>
              </w:rPr>
            </w:pPr>
            <w:r>
              <w:rPr>
                <w:rFonts w:ascii="Arial" w:cs="Arial" w:eastAsia="Arial" w:hAnsi="Arial"/>
                <w:sz w:val="18"/>
                <w:szCs w:val="18"/>
                <w:color w:val="auto"/>
              </w:rPr>
              <w:t>Withholding</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(f)</w:t>
            </w:r>
          </w:p>
        </w:tc>
        <w:tc>
          <w:tcPr>
            <w:tcW w:w="9500" w:type="dxa"/>
            <w:vAlign w:val="bottom"/>
          </w:tcPr>
          <w:p>
            <w:pPr>
              <w:ind w:left="460"/>
              <w:spacing w:after="0"/>
              <w:rPr>
                <w:sz w:val="20"/>
                <w:szCs w:val="20"/>
                <w:color w:val="auto"/>
              </w:rPr>
            </w:pPr>
            <w:r>
              <w:rPr>
                <w:rFonts w:ascii="Arial" w:cs="Arial" w:eastAsia="Arial" w:hAnsi="Arial"/>
                <w:sz w:val="18"/>
                <w:szCs w:val="18"/>
                <w:color w:val="auto"/>
              </w:rPr>
              <w:t>Amendment of Award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(g)</w:t>
            </w:r>
          </w:p>
        </w:tc>
        <w:tc>
          <w:tcPr>
            <w:tcW w:w="9500" w:type="dxa"/>
            <w:vAlign w:val="bottom"/>
          </w:tcPr>
          <w:p>
            <w:pPr>
              <w:ind w:left="460"/>
              <w:spacing w:after="0"/>
              <w:rPr>
                <w:sz w:val="20"/>
                <w:szCs w:val="20"/>
                <w:color w:val="auto"/>
              </w:rPr>
            </w:pPr>
            <w:r>
              <w:rPr>
                <w:rFonts w:ascii="Arial" w:cs="Arial" w:eastAsia="Arial" w:hAnsi="Arial"/>
                <w:sz w:val="18"/>
                <w:szCs w:val="18"/>
                <w:color w:val="auto"/>
              </w:rPr>
              <w:t>Conditions on Delivery of Stock</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80" w:type="dxa"/>
            <w:vAlign w:val="bottom"/>
          </w:tcPr>
          <w:p>
            <w:pPr>
              <w:ind w:left="300"/>
              <w:spacing w:after="0"/>
              <w:rPr>
                <w:sz w:val="20"/>
                <w:szCs w:val="20"/>
                <w:color w:val="auto"/>
              </w:rPr>
            </w:pPr>
            <w:r>
              <w:rPr>
                <w:rFonts w:ascii="Arial" w:cs="Arial" w:eastAsia="Arial" w:hAnsi="Arial"/>
                <w:sz w:val="18"/>
                <w:szCs w:val="18"/>
                <w:color w:val="auto"/>
              </w:rPr>
              <w:t>(h)</w:t>
            </w:r>
          </w:p>
        </w:tc>
        <w:tc>
          <w:tcPr>
            <w:tcW w:w="9500" w:type="dxa"/>
            <w:vAlign w:val="bottom"/>
          </w:tcPr>
          <w:p>
            <w:pPr>
              <w:ind w:left="460"/>
              <w:spacing w:after="0"/>
              <w:rPr>
                <w:sz w:val="20"/>
                <w:szCs w:val="20"/>
                <w:color w:val="auto"/>
              </w:rPr>
            </w:pPr>
            <w:r>
              <w:rPr>
                <w:rFonts w:ascii="Arial" w:cs="Arial" w:eastAsia="Arial" w:hAnsi="Arial"/>
                <w:sz w:val="18"/>
                <w:szCs w:val="18"/>
                <w:color w:val="auto"/>
              </w:rPr>
              <w:t>Acceleration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11.</w:t>
            </w:r>
          </w:p>
        </w:tc>
        <w:tc>
          <w:tcPr>
            <w:tcW w:w="9500" w:type="dxa"/>
            <w:vAlign w:val="bottom"/>
          </w:tcPr>
          <w:p>
            <w:pPr>
              <w:ind w:left="280"/>
              <w:spacing w:after="0"/>
              <w:rPr>
                <w:sz w:val="20"/>
                <w:szCs w:val="20"/>
                <w:color w:val="auto"/>
              </w:rPr>
            </w:pPr>
            <w:r>
              <w:rPr>
                <w:rFonts w:ascii="Arial" w:cs="Arial" w:eastAsia="Arial" w:hAnsi="Arial"/>
                <w:sz w:val="18"/>
                <w:szCs w:val="18"/>
                <w:color w:val="auto"/>
              </w:rPr>
              <w:t>Miscellaneous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780" w:type="dxa"/>
            <w:vAlign w:val="bottom"/>
          </w:tcPr>
          <w:p>
            <w:pPr>
              <w:ind w:left="300"/>
              <w:spacing w:after="0"/>
              <w:rPr>
                <w:sz w:val="20"/>
                <w:szCs w:val="20"/>
                <w:color w:val="auto"/>
              </w:rPr>
            </w:pPr>
            <w:r>
              <w:rPr>
                <w:rFonts w:ascii="Arial" w:cs="Arial" w:eastAsia="Arial" w:hAnsi="Arial"/>
                <w:sz w:val="18"/>
                <w:szCs w:val="18"/>
                <w:color w:val="auto"/>
              </w:rPr>
              <w:t>(a)</w:t>
            </w:r>
          </w:p>
        </w:tc>
        <w:tc>
          <w:tcPr>
            <w:tcW w:w="9500" w:type="dxa"/>
            <w:vAlign w:val="bottom"/>
          </w:tcPr>
          <w:p>
            <w:pPr>
              <w:ind w:left="460"/>
              <w:spacing w:after="0"/>
              <w:rPr>
                <w:sz w:val="20"/>
                <w:szCs w:val="20"/>
                <w:color w:val="auto"/>
              </w:rPr>
            </w:pPr>
            <w:r>
              <w:rPr>
                <w:rFonts w:ascii="Arial" w:cs="Arial" w:eastAsia="Arial" w:hAnsi="Arial"/>
                <w:sz w:val="18"/>
                <w:szCs w:val="18"/>
                <w:color w:val="auto"/>
              </w:rPr>
              <w:t>No Right To Employment or Other Status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48"/>
        </w:trPr>
        <w:tc>
          <w:tcPr>
            <w:tcW w:w="780" w:type="dxa"/>
            <w:vAlign w:val="bottom"/>
            <w:tcBorders>
              <w:bottom w:val="single" w:sz="8" w:color="808080"/>
            </w:tcBorders>
          </w:tcPr>
          <w:p>
            <w:pPr>
              <w:spacing w:after="0"/>
              <w:rPr>
                <w:sz w:val="24"/>
                <w:szCs w:val="24"/>
                <w:color w:val="auto"/>
              </w:rPr>
            </w:pPr>
          </w:p>
        </w:tc>
        <w:tc>
          <w:tcPr>
            <w:tcW w:w="95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31" w:name="page332"/>
    <w:bookmarkEnd w:id="331"/>
    <w:tbl>
      <w:tblPr>
        <w:tblLayout w:type="fixed"/>
        <w:tblInd w:w="3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w:t>
            </w:r>
          </w:p>
        </w:tc>
        <w:tc>
          <w:tcPr>
            <w:tcW w:w="7900" w:type="dxa"/>
            <w:vAlign w:val="bottom"/>
          </w:tcPr>
          <w:p>
            <w:pPr>
              <w:ind w:left="360"/>
              <w:spacing w:after="0"/>
              <w:rPr>
                <w:sz w:val="20"/>
                <w:szCs w:val="20"/>
                <w:color w:val="auto"/>
              </w:rPr>
            </w:pPr>
            <w:r>
              <w:rPr>
                <w:rFonts w:ascii="Arial" w:cs="Arial" w:eastAsia="Arial" w:hAnsi="Arial"/>
                <w:sz w:val="18"/>
                <w:szCs w:val="18"/>
                <w:color w:val="auto"/>
              </w:rPr>
              <w:t>No Rights As Stockholder</w:t>
            </w:r>
          </w:p>
        </w:tc>
        <w:tc>
          <w:tcPr>
            <w:tcW w:w="2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(c)</w:t>
            </w:r>
          </w:p>
        </w:tc>
        <w:tc>
          <w:tcPr>
            <w:tcW w:w="7900" w:type="dxa"/>
            <w:vAlign w:val="bottom"/>
          </w:tcPr>
          <w:p>
            <w:pPr>
              <w:ind w:left="360"/>
              <w:spacing w:after="0"/>
              <w:rPr>
                <w:sz w:val="20"/>
                <w:szCs w:val="20"/>
                <w:color w:val="auto"/>
              </w:rPr>
            </w:pPr>
            <w:r>
              <w:rPr>
                <w:rFonts w:ascii="Arial" w:cs="Arial" w:eastAsia="Arial" w:hAnsi="Arial"/>
                <w:sz w:val="18"/>
                <w:szCs w:val="18"/>
                <w:color w:val="auto"/>
              </w:rPr>
              <w:t>Effective Date and Term of Plan</w:t>
            </w:r>
          </w:p>
        </w:tc>
        <w:tc>
          <w:tcPr>
            <w:tcW w:w="2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(d)</w:t>
            </w:r>
          </w:p>
        </w:tc>
        <w:tc>
          <w:tcPr>
            <w:tcW w:w="7900" w:type="dxa"/>
            <w:vAlign w:val="bottom"/>
          </w:tcPr>
          <w:p>
            <w:pPr>
              <w:ind w:left="360"/>
              <w:spacing w:after="0"/>
              <w:rPr>
                <w:sz w:val="20"/>
                <w:szCs w:val="20"/>
                <w:color w:val="auto"/>
              </w:rPr>
            </w:pPr>
            <w:r>
              <w:rPr>
                <w:rFonts w:ascii="Arial" w:cs="Arial" w:eastAsia="Arial" w:hAnsi="Arial"/>
                <w:sz w:val="18"/>
                <w:szCs w:val="18"/>
                <w:color w:val="auto"/>
              </w:rPr>
              <w:t>Amendment of Plan</w:t>
            </w:r>
          </w:p>
        </w:tc>
        <w:tc>
          <w:tcPr>
            <w:tcW w:w="2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(e)</w:t>
            </w:r>
          </w:p>
        </w:tc>
        <w:tc>
          <w:tcPr>
            <w:tcW w:w="7900" w:type="dxa"/>
            <w:vAlign w:val="bottom"/>
          </w:tcPr>
          <w:p>
            <w:pPr>
              <w:ind w:left="360"/>
              <w:spacing w:after="0"/>
              <w:rPr>
                <w:sz w:val="20"/>
                <w:szCs w:val="20"/>
                <w:color w:val="auto"/>
              </w:rPr>
            </w:pPr>
            <w:r>
              <w:rPr>
                <w:rFonts w:ascii="Arial" w:cs="Arial" w:eastAsia="Arial" w:hAnsi="Arial"/>
                <w:sz w:val="18"/>
                <w:szCs w:val="18"/>
                <w:color w:val="auto"/>
              </w:rPr>
              <w:t>Authorization of Sub-Plans (including Grants to non-U.S. Employees)</w:t>
            </w:r>
          </w:p>
        </w:tc>
        <w:tc>
          <w:tcPr>
            <w:tcW w:w="2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(f)</w:t>
            </w:r>
          </w:p>
        </w:tc>
        <w:tc>
          <w:tcPr>
            <w:tcW w:w="7900" w:type="dxa"/>
            <w:vAlign w:val="bottom"/>
          </w:tcPr>
          <w:p>
            <w:pPr>
              <w:ind w:left="360"/>
              <w:spacing w:after="0"/>
              <w:rPr>
                <w:sz w:val="20"/>
                <w:szCs w:val="20"/>
                <w:color w:val="auto"/>
              </w:rPr>
            </w:pPr>
            <w:r>
              <w:rPr>
                <w:rFonts w:ascii="Arial" w:cs="Arial" w:eastAsia="Arial" w:hAnsi="Arial"/>
                <w:sz w:val="18"/>
                <w:szCs w:val="18"/>
                <w:color w:val="auto"/>
              </w:rPr>
              <w:t>Compliance with Section 409A of the Code</w:t>
            </w:r>
          </w:p>
        </w:tc>
        <w:tc>
          <w:tcPr>
            <w:tcW w:w="2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(g)</w:t>
            </w:r>
          </w:p>
        </w:tc>
        <w:tc>
          <w:tcPr>
            <w:tcW w:w="7900" w:type="dxa"/>
            <w:vAlign w:val="bottom"/>
          </w:tcPr>
          <w:p>
            <w:pPr>
              <w:ind w:left="360"/>
              <w:spacing w:after="0"/>
              <w:rPr>
                <w:sz w:val="20"/>
                <w:szCs w:val="20"/>
                <w:color w:val="auto"/>
              </w:rPr>
            </w:pPr>
            <w:r>
              <w:rPr>
                <w:rFonts w:ascii="Arial" w:cs="Arial" w:eastAsia="Arial" w:hAnsi="Arial"/>
                <w:sz w:val="18"/>
                <w:szCs w:val="18"/>
                <w:color w:val="auto"/>
              </w:rPr>
              <w:t>Limitations on Liability</w:t>
            </w:r>
          </w:p>
        </w:tc>
        <w:tc>
          <w:tcPr>
            <w:tcW w:w="2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(h)</w:t>
            </w:r>
          </w:p>
        </w:tc>
        <w:tc>
          <w:tcPr>
            <w:tcW w:w="7900" w:type="dxa"/>
            <w:vAlign w:val="bottom"/>
          </w:tcPr>
          <w:p>
            <w:pPr>
              <w:ind w:left="360"/>
              <w:spacing w:after="0"/>
              <w:rPr>
                <w:sz w:val="20"/>
                <w:szCs w:val="20"/>
                <w:color w:val="auto"/>
              </w:rPr>
            </w:pPr>
            <w:r>
              <w:rPr>
                <w:rFonts w:ascii="Arial" w:cs="Arial" w:eastAsia="Arial" w:hAnsi="Arial"/>
                <w:sz w:val="18"/>
                <w:szCs w:val="18"/>
                <w:color w:val="auto"/>
              </w:rPr>
              <w:t>Governing Law</w:t>
            </w:r>
          </w:p>
        </w:tc>
        <w:tc>
          <w:tcPr>
            <w:tcW w:w="264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STOCK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ind w:left="660" w:hanging="652"/>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22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purpose of this 2016 Stock Incentive Plan (the “</w:t>
      </w:r>
      <w:r>
        <w:rPr>
          <w:rFonts w:ascii="Arial" w:cs="Arial" w:eastAsia="Arial" w:hAnsi="Arial"/>
          <w:sz w:val="17"/>
          <w:szCs w:val="17"/>
          <w:b w:val="1"/>
          <w:bCs w:val="1"/>
          <w:color w:val="auto"/>
        </w:rPr>
        <w:t>Plan</w:t>
      </w:r>
      <w:r>
        <w:rPr>
          <w:rFonts w:ascii="Arial" w:cs="Arial" w:eastAsia="Arial" w:hAnsi="Arial"/>
          <w:sz w:val="17"/>
          <w:szCs w:val="17"/>
          <w:color w:val="auto"/>
        </w:rPr>
        <w:t>”) of Fulcrum Therapeutics,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Arial" w:cs="Arial" w:eastAsia="Arial" w:hAnsi="Arial"/>
          <w:sz w:val="17"/>
          <w:szCs w:val="17"/>
          <w:b w:val="1"/>
          <w:bCs w:val="1"/>
          <w:color w:val="auto"/>
        </w:rPr>
        <w:t>Company</w:t>
      </w:r>
      <w:r>
        <w:rPr>
          <w:rFonts w:ascii="Arial" w:cs="Arial" w:eastAsia="Arial" w:hAnsi="Arial"/>
          <w:sz w:val="17"/>
          <w:szCs w:val="17"/>
          <w:color w:val="auto"/>
        </w:rPr>
        <w:t>” shall include any of the Company’s present or future parent or subsidiary corporations as defined in Sections 424(e) or (f) of the Internal Revenue Code of 1986, as amended, and any regulations thereunder (the “</w:t>
      </w:r>
      <w:r>
        <w:rPr>
          <w:rFonts w:ascii="Arial" w:cs="Arial" w:eastAsia="Arial" w:hAnsi="Arial"/>
          <w:sz w:val="17"/>
          <w:szCs w:val="17"/>
          <w:b w:val="1"/>
          <w:bCs w:val="1"/>
          <w:color w:val="auto"/>
        </w:rPr>
        <w:t>Code</w:t>
      </w:r>
      <w:r>
        <w:rPr>
          <w:rFonts w:ascii="Arial" w:cs="Arial" w:eastAsia="Arial" w:hAnsi="Arial"/>
          <w:sz w:val="17"/>
          <w:szCs w:val="17"/>
          <w:color w:val="auto"/>
        </w:rPr>
        <w:t>”) and any other business venture (including, without limitation, joint venture or limited liability company) in which the Company has a controlling interest, as determined by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other business ventures shall be limited to entities that, where required by Section 409A of the Code, are eligible issuers of service recipient stock (as defined in Treas. Reg. Section 1.409A-1(b)(5)(iii)(E), or applicable successor regulation).</w:t>
      </w:r>
    </w:p>
    <w:p>
      <w:pPr>
        <w:spacing w:after="0" w:line="178" w:lineRule="exact"/>
        <w:rPr>
          <w:sz w:val="20"/>
          <w:szCs w:val="20"/>
          <w:color w:val="auto"/>
        </w:rPr>
      </w:pPr>
    </w:p>
    <w:p>
      <w:pPr>
        <w:ind w:left="660" w:hanging="652"/>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All of the Company’s employees, officers and directors, as well as consultants and advisors to the Company (as such terms consultants and advisors are defined and interpreted for purposes of Rule 701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(or any successor rule)) are eligible to be granted Awards under the Plan. Each person who is granted an Award under the Plan is deemed a “</w:t>
      </w:r>
      <w:r>
        <w:rPr>
          <w:rFonts w:ascii="Arial" w:cs="Arial" w:eastAsia="Arial" w:hAnsi="Arial"/>
          <w:sz w:val="18"/>
          <w:szCs w:val="18"/>
          <w:b w:val="1"/>
          <w:bCs w:val="1"/>
          <w:color w:val="auto"/>
        </w:rPr>
        <w:t>Participant</w:t>
      </w:r>
      <w:r>
        <w:rPr>
          <w:rFonts w:ascii="Arial" w:cs="Arial" w:eastAsia="Arial" w:hAnsi="Arial"/>
          <w:sz w:val="18"/>
          <w:szCs w:val="18"/>
          <w:color w:val="auto"/>
        </w:rPr>
        <w:t>.” “</w:t>
      </w:r>
      <w:r>
        <w:rPr>
          <w:rFonts w:ascii="Arial" w:cs="Arial" w:eastAsia="Arial" w:hAnsi="Arial"/>
          <w:sz w:val="18"/>
          <w:szCs w:val="18"/>
          <w:b w:val="1"/>
          <w:bCs w:val="1"/>
          <w:color w:val="auto"/>
        </w:rPr>
        <w:t>Award</w:t>
      </w:r>
      <w:r>
        <w:rPr>
          <w:rFonts w:ascii="Arial" w:cs="Arial" w:eastAsia="Arial" w:hAnsi="Arial"/>
          <w:sz w:val="18"/>
          <w:szCs w:val="18"/>
          <w:color w:val="auto"/>
        </w:rPr>
        <w:t>” means Options (as defined in Section 5), SARs (as defined in Section 6), Restricted Stock (as defined in Section 7), Restricted Stock Units (as defined in Section 7) and Other Stock-Based Awards (as defined in Section 8).</w:t>
      </w:r>
    </w:p>
    <w:p>
      <w:pPr>
        <w:spacing w:after="0" w:line="188" w:lineRule="exact"/>
        <w:rPr>
          <w:sz w:val="20"/>
          <w:szCs w:val="20"/>
          <w:color w:val="auto"/>
        </w:rPr>
      </w:pPr>
    </w:p>
    <w:p>
      <w:pPr>
        <w:ind w:left="660" w:hanging="652"/>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Administration and Delegation</w:t>
      </w:r>
    </w:p>
    <w:p>
      <w:pPr>
        <w:spacing w:after="0" w:line="225" w:lineRule="exact"/>
        <w:rPr>
          <w:rFonts w:ascii="Arial" w:cs="Arial" w:eastAsia="Arial" w:hAnsi="Arial"/>
          <w:sz w:val="18"/>
          <w:szCs w:val="18"/>
          <w:color w:val="auto"/>
        </w:rPr>
      </w:pPr>
    </w:p>
    <w:p>
      <w:pPr>
        <w:ind w:right="60" w:firstLine="656"/>
        <w:spacing w:after="0" w:line="255" w:lineRule="auto"/>
        <w:tabs>
          <w:tab w:leader="none" w:pos="1294"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Administration by the Board</w:t>
      </w:r>
      <w:r>
        <w:rPr>
          <w:rFonts w:ascii="Arial" w:cs="Arial" w:eastAsia="Arial" w:hAnsi="Arial"/>
          <w:sz w:val="18"/>
          <w:szCs w:val="18"/>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2" w:name="page333"/>
    <w:bookmarkEnd w:id="332"/>
    <w:p>
      <w:pPr>
        <w:ind w:right="160" w:firstLine="656"/>
        <w:spacing w:after="0" w:line="286" w:lineRule="auto"/>
        <w:tabs>
          <w:tab w:leader="none" w:pos="1304" w:val="left"/>
        </w:tabs>
        <w:numPr>
          <w:ilvl w:val="1"/>
          <w:numId w:val="196"/>
        </w:numPr>
        <w:rPr>
          <w:rFonts w:ascii="Arial" w:cs="Arial" w:eastAsia="Arial" w:hAnsi="Arial"/>
          <w:sz w:val="17"/>
          <w:szCs w:val="17"/>
          <w:color w:val="auto"/>
        </w:rPr>
      </w:pPr>
      <w:r>
        <w:rPr>
          <w:rFonts w:ascii="Arial" w:cs="Arial" w:eastAsia="Arial" w:hAnsi="Arial"/>
          <w:sz w:val="17"/>
          <w:szCs w:val="17"/>
          <w:u w:val="single" w:color="auto"/>
          <w:color w:val="auto"/>
        </w:rPr>
        <w:t>Appointment of Committees</w:t>
      </w:r>
      <w:r>
        <w:rPr>
          <w:rFonts w:ascii="Arial" w:cs="Arial" w:eastAsia="Arial" w:hAnsi="Arial"/>
          <w:sz w:val="17"/>
          <w:szCs w:val="17"/>
          <w:color w:val="auto"/>
        </w:rPr>
        <w:t>. To the extent permitted by applicable law, the Board may delegate any or all of its powers under the Plan to one or more committees or subcommittees of the Board (each, a “</w:t>
      </w:r>
      <w:r>
        <w:rPr>
          <w:rFonts w:ascii="Arial" w:cs="Arial" w:eastAsia="Arial" w:hAnsi="Arial"/>
          <w:sz w:val="17"/>
          <w:szCs w:val="17"/>
          <w:b w:val="1"/>
          <w:bCs w:val="1"/>
          <w:color w:val="auto"/>
        </w:rPr>
        <w:t>Committee</w:t>
      </w:r>
      <w:r>
        <w:rPr>
          <w:rFonts w:ascii="Arial" w:cs="Arial" w:eastAsia="Arial" w:hAnsi="Arial"/>
          <w:sz w:val="17"/>
          <w:szCs w:val="17"/>
          <w:color w:val="auto"/>
        </w:rPr>
        <w:t>”). All references in the Plan to the “</w:t>
      </w:r>
      <w:r>
        <w:rPr>
          <w:rFonts w:ascii="Arial" w:cs="Arial" w:eastAsia="Arial" w:hAnsi="Arial"/>
          <w:sz w:val="17"/>
          <w:szCs w:val="17"/>
          <w:b w:val="1"/>
          <w:bCs w:val="1"/>
          <w:color w:val="auto"/>
        </w:rPr>
        <w:t>Board</w:t>
      </w:r>
      <w:r>
        <w:rPr>
          <w:rFonts w:ascii="Arial" w:cs="Arial" w:eastAsia="Arial" w:hAnsi="Arial"/>
          <w:sz w:val="17"/>
          <w:szCs w:val="17"/>
          <w:color w:val="auto"/>
        </w:rPr>
        <w:t>” shall mean the Board or a Committee of the Board to the extent that the Board’s powers or authority under the Plan have been delegated to such Committee.</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Stock Available for Awards</w:t>
      </w:r>
    </w:p>
    <w:p>
      <w:pPr>
        <w:spacing w:after="0" w:line="225" w:lineRule="exact"/>
        <w:rPr>
          <w:rFonts w:ascii="Arial" w:cs="Arial" w:eastAsia="Arial" w:hAnsi="Arial"/>
          <w:sz w:val="18"/>
          <w:szCs w:val="18"/>
          <w:color w:val="auto"/>
        </w:rPr>
      </w:pPr>
    </w:p>
    <w:p>
      <w:pPr>
        <w:ind w:firstLine="656"/>
        <w:spacing w:after="0" w:line="270" w:lineRule="auto"/>
        <w:tabs>
          <w:tab w:leader="none" w:pos="1294" w:val="left"/>
        </w:tabs>
        <w:numPr>
          <w:ilvl w:val="1"/>
          <w:numId w:val="197"/>
        </w:numPr>
        <w:rPr>
          <w:rFonts w:ascii="Arial" w:cs="Arial" w:eastAsia="Arial" w:hAnsi="Arial"/>
          <w:sz w:val="17"/>
          <w:szCs w:val="17"/>
          <w:color w:val="auto"/>
        </w:rPr>
      </w:pPr>
      <w:r>
        <w:rPr>
          <w:rFonts w:ascii="Arial" w:cs="Arial" w:eastAsia="Arial" w:hAnsi="Arial"/>
          <w:sz w:val="17"/>
          <w:szCs w:val="17"/>
          <w:u w:val="single" w:color="auto"/>
          <w:color w:val="auto"/>
        </w:rPr>
        <w:t>Number of Shares</w:t>
      </w:r>
      <w:r>
        <w:rPr>
          <w:rFonts w:ascii="Arial" w:cs="Arial" w:eastAsia="Arial" w:hAnsi="Arial"/>
          <w:sz w:val="17"/>
          <w:szCs w:val="17"/>
          <w:color w:val="auto"/>
        </w:rPr>
        <w:t>. Subject to adjustment under Section 9, Awards may be made under the Plan for up to 24,965,000 shares of common stock, $0.001 par value per share, of the Company (the “</w:t>
      </w:r>
      <w:r>
        <w:rPr>
          <w:rFonts w:ascii="Arial" w:cs="Arial" w:eastAsia="Arial" w:hAnsi="Arial"/>
          <w:sz w:val="17"/>
          <w:szCs w:val="17"/>
          <w:b w:val="1"/>
          <w:bCs w:val="1"/>
          <w:color w:val="auto"/>
        </w:rPr>
        <w:t>Common Stock</w:t>
      </w:r>
      <w:r>
        <w:rPr>
          <w:rFonts w:ascii="Arial" w:cs="Arial" w:eastAsia="Arial" w:hAnsi="Arial"/>
          <w:sz w:val="17"/>
          <w:szCs w:val="17"/>
          <w:color w:val="auto"/>
        </w:rPr>
        <w:t>”), any or all of which Awards may be in the form of Incentive Stock Options (as defined in Section 5(b)). If any Award expires or is terminated, surrendered or canceled without having been fully exercised, is forfeited in whole or in part (including as the result of shares of Common Stock subject to such Award being repurchased by the Company at the original issuance price pursuant to a contractual repurchase right), or results in any Common Stock not being issued, the unused Common Stock covered by such Award shall again be available for the grant of Awards under the Plan. Further, shares of Common Stock tendered to the Company by a Participant to exercise an Award or to satisfy tax withholding obligations arising with respect to an Award shall be added to the number of shares of Common Stock available for the grant of Awards under the Plan. However, in the case of Incentive Stock Options, the two immediately preceding sentences shall be subject to any limitations under the Code. Shares issued under the Plan may consist in whole or in part of authorized but unissued shares or treasury shares.</w:t>
      </w:r>
    </w:p>
    <w:p>
      <w:pPr>
        <w:spacing w:after="0" w:line="181" w:lineRule="exact"/>
        <w:rPr>
          <w:rFonts w:ascii="Arial" w:cs="Arial" w:eastAsia="Arial" w:hAnsi="Arial"/>
          <w:sz w:val="17"/>
          <w:szCs w:val="17"/>
          <w:color w:val="auto"/>
        </w:rPr>
      </w:pPr>
    </w:p>
    <w:p>
      <w:pPr>
        <w:ind w:right="120" w:firstLine="656"/>
        <w:spacing w:after="0" w:line="257" w:lineRule="auto"/>
        <w:tabs>
          <w:tab w:leader="none" w:pos="1304"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except as may be required by reason of Section 422 and related provisions of the Code.</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Stock Options</w:t>
      </w:r>
    </w:p>
    <w:p>
      <w:pPr>
        <w:spacing w:after="0" w:line="221" w:lineRule="exact"/>
        <w:rPr>
          <w:rFonts w:ascii="Arial" w:cs="Arial" w:eastAsia="Arial" w:hAnsi="Arial"/>
          <w:sz w:val="18"/>
          <w:szCs w:val="18"/>
          <w:color w:val="auto"/>
        </w:rPr>
      </w:pPr>
    </w:p>
    <w:p>
      <w:pPr>
        <w:ind w:right="120" w:firstLine="656"/>
        <w:spacing w:after="0" w:line="266" w:lineRule="auto"/>
        <w:tabs>
          <w:tab w:leader="none" w:pos="1294"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options to purchase Common Stock (each, an “</w:t>
      </w:r>
      <w:r>
        <w:rPr>
          <w:rFonts w:ascii="Arial" w:cs="Arial" w:eastAsia="Arial" w:hAnsi="Arial"/>
          <w:sz w:val="18"/>
          <w:szCs w:val="18"/>
          <w:b w:val="1"/>
          <w:bCs w:val="1"/>
          <w:color w:val="auto"/>
        </w:rPr>
        <w:t>Option</w:t>
      </w:r>
      <w:r>
        <w:rPr>
          <w:rFonts w:ascii="Arial" w:cs="Arial" w:eastAsia="Arial" w:hAnsi="Arial"/>
          <w:sz w:val="18"/>
          <w:szCs w:val="18"/>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w:t>
      </w:r>
    </w:p>
    <w:p>
      <w:pPr>
        <w:spacing w:after="0" w:line="180" w:lineRule="exact"/>
        <w:rPr>
          <w:rFonts w:ascii="Arial" w:cs="Arial" w:eastAsia="Arial" w:hAnsi="Arial"/>
          <w:sz w:val="18"/>
          <w:szCs w:val="18"/>
          <w:color w:val="auto"/>
        </w:rPr>
      </w:pPr>
    </w:p>
    <w:p>
      <w:pPr>
        <w:ind w:left="1320" w:hanging="664"/>
        <w:spacing w:after="0"/>
        <w:tabs>
          <w:tab w:leader="none" w:pos="1320" w:val="left"/>
        </w:tabs>
        <w:numPr>
          <w:ilvl w:val="1"/>
          <w:numId w:val="197"/>
        </w:numPr>
        <w:rPr>
          <w:rFonts w:ascii="Arial" w:cs="Arial" w:eastAsia="Arial" w:hAnsi="Arial"/>
          <w:sz w:val="17"/>
          <w:szCs w:val="17"/>
          <w:color w:val="auto"/>
        </w:rPr>
      </w:pPr>
      <w:r>
        <w:rPr>
          <w:rFonts w:ascii="Arial" w:cs="Arial" w:eastAsia="Arial" w:hAnsi="Arial"/>
          <w:sz w:val="17"/>
          <w:szCs w:val="17"/>
          <w:u w:val="single" w:color="auto"/>
          <w:color w:val="auto"/>
        </w:rPr>
        <w:t>Incentive Stock Options</w:t>
      </w:r>
      <w:r>
        <w:rPr>
          <w:rFonts w:ascii="Arial" w:cs="Arial" w:eastAsia="Arial" w:hAnsi="Arial"/>
          <w:sz w:val="17"/>
          <w:szCs w:val="17"/>
          <w:color w:val="auto"/>
        </w:rPr>
        <w:t>. An Option that the Board intends to be an “incentive stock option” as defined in Section 422 of the Code (an</w:t>
      </w:r>
    </w:p>
    <w:p>
      <w:pPr>
        <w:spacing w:after="0" w:line="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shall only be granted to employees of Fulcrum Therapeutics, Inc., any of Fulcrum Therapeutics,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3" w:name="page334"/>
    <w:bookmarkEnd w:id="333"/>
    <w:p>
      <w:pPr>
        <w:ind w:right="40"/>
        <w:spacing w:after="0" w:line="266" w:lineRule="auto"/>
        <w:rPr>
          <w:sz w:val="20"/>
          <w:szCs w:val="20"/>
          <w:color w:val="auto"/>
        </w:rPr>
      </w:pPr>
      <w:r>
        <w:rPr>
          <w:rFonts w:ascii="Arial" w:cs="Arial" w:eastAsia="Arial" w:hAnsi="Arial"/>
          <w:sz w:val="18"/>
          <w:szCs w:val="18"/>
          <w:color w:val="auto"/>
        </w:rPr>
        <w:t>designated a “</w:t>
      </w:r>
      <w:r>
        <w:rPr>
          <w:rFonts w:ascii="Arial" w:cs="Arial" w:eastAsia="Arial" w:hAnsi="Arial"/>
          <w:sz w:val="18"/>
          <w:szCs w:val="18"/>
          <w:b w:val="1"/>
          <w:bCs w:val="1"/>
          <w:color w:val="auto"/>
        </w:rPr>
        <w:t>Nonstatutory Stock Option</w:t>
      </w:r>
      <w:r>
        <w:rPr>
          <w:rFonts w:ascii="Arial" w:cs="Arial" w:eastAsia="Arial" w:hAnsi="Arial"/>
          <w:sz w:val="18"/>
          <w:szCs w:val="18"/>
          <w:color w:val="auto"/>
        </w:rPr>
        <w:t>.” The Company shall have no liability to a Participant, or any other party, if an Option (or any part thereof) that is intended to be an Incentive Stock Option is not an Incentive Stock Option or if the Company converts an Incentive Stock Option to a Nonstatutory Stock Option.</w:t>
      </w:r>
    </w:p>
    <w:p>
      <w:pPr>
        <w:spacing w:after="0" w:line="180" w:lineRule="exact"/>
        <w:rPr>
          <w:sz w:val="20"/>
          <w:szCs w:val="20"/>
          <w:color w:val="auto"/>
        </w:rPr>
      </w:pPr>
    </w:p>
    <w:p>
      <w:pPr>
        <w:ind w:right="80" w:firstLine="656"/>
        <w:spacing w:after="0" w:line="259" w:lineRule="auto"/>
        <w:tabs>
          <w:tab w:leader="none" w:pos="1307"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Board shall establish the exercise price of each Option and specify the exercise price in the applicable Option agreement. The exercise price shall be not less than 100% of the fair market value per share of Common Stock, as determined by (or in a manner approved by) the Board (“</w:t>
      </w:r>
      <w:r>
        <w:rPr>
          <w:rFonts w:ascii="Arial" w:cs="Arial" w:eastAsia="Arial" w:hAnsi="Arial"/>
          <w:sz w:val="18"/>
          <w:szCs w:val="18"/>
          <w:b w:val="1"/>
          <w:bCs w:val="1"/>
          <w:color w:val="auto"/>
        </w:rPr>
        <w:t>Fair Market Value</w:t>
      </w:r>
      <w:r>
        <w:rPr>
          <w:rFonts w:ascii="Arial" w:cs="Arial" w:eastAsia="Arial" w:hAnsi="Arial"/>
          <w:sz w:val="18"/>
          <w:szCs w:val="18"/>
          <w:color w:val="auto"/>
        </w:rPr>
        <w:t>”), on the date the Option is granted. “</w:t>
      </w:r>
      <w:r>
        <w:rPr>
          <w:rFonts w:ascii="Arial" w:cs="Arial" w:eastAsia="Arial" w:hAnsi="Arial"/>
          <w:sz w:val="18"/>
          <w:szCs w:val="18"/>
          <w:b w:val="1"/>
          <w:bCs w:val="1"/>
          <w:color w:val="auto"/>
        </w:rPr>
        <w:t>Fair Market Value</w:t>
      </w:r>
      <w:r>
        <w:rPr>
          <w:rFonts w:ascii="Arial" w:cs="Arial" w:eastAsia="Arial" w:hAnsi="Arial"/>
          <w:sz w:val="18"/>
          <w:szCs w:val="18"/>
          <w:color w:val="auto"/>
        </w:rPr>
        <w:t>” of a share of Common Stock for purposes of the Plan will be determined as follows:</w:t>
      </w:r>
    </w:p>
    <w:p>
      <w:pPr>
        <w:spacing w:after="0" w:line="186" w:lineRule="exact"/>
        <w:rPr>
          <w:rFonts w:ascii="Arial" w:cs="Arial" w:eastAsia="Arial" w:hAnsi="Arial"/>
          <w:sz w:val="18"/>
          <w:szCs w:val="18"/>
          <w:color w:val="auto"/>
        </w:rPr>
      </w:pPr>
    </w:p>
    <w:p>
      <w:pPr>
        <w:ind w:right="340" w:firstLine="1305"/>
        <w:spacing w:after="0" w:line="264" w:lineRule="auto"/>
        <w:tabs>
          <w:tab w:leader="none" w:pos="195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if the Common Stock is not publicly traded, the Board will determine the Fair Market Value for purposes of the Plan using any measure of value it determines to be appropriate (including, as it considers appropriate, relying on appraisals) in a manner consistent with the valuation principles under Code Section 409A, except as the Board may expressly determine otherwise;</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if the Common Stock trades on a national securities exchange, the closing sale price (for the primary trading session) on the date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 or</w:t>
      </w:r>
    </w:p>
    <w:p>
      <w:pPr>
        <w:spacing w:after="0" w:line="210" w:lineRule="exact"/>
        <w:rPr>
          <w:rFonts w:ascii="Arial" w:cs="Arial" w:eastAsia="Arial" w:hAnsi="Arial"/>
          <w:sz w:val="16"/>
          <w:szCs w:val="16"/>
          <w:color w:val="auto"/>
        </w:rPr>
      </w:pPr>
    </w:p>
    <w:p>
      <w:pPr>
        <w:ind w:right="500" w:firstLine="1305"/>
        <w:spacing w:after="0" w:line="277" w:lineRule="auto"/>
        <w:tabs>
          <w:tab w:leader="none" w:pos="195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if the Common Stock does not trade on any such exchange, the average of the closing bid and asked prices as reported by an authorized OTCBB market data vendor as listed on the OTCBB website (otcbb.com) on the date of grant.</w:t>
      </w:r>
    </w:p>
    <w:p>
      <w:pPr>
        <w:spacing w:after="0" w:line="1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For any date that is not a trading day, the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 Code Section 409A.</w:t>
      </w:r>
    </w:p>
    <w:p>
      <w:pPr>
        <w:spacing w:after="0" w:line="188"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The Board has sole discretion to determine the Fair Market Value for purposes of the Plan, and all Awards are conditioned on the participants’ agreement that the Board’s determination is conclusive and binding even though others might make a different determination.</w:t>
      </w:r>
    </w:p>
    <w:p>
      <w:pPr>
        <w:spacing w:after="0" w:line="147" w:lineRule="exact"/>
        <w:rPr>
          <w:sz w:val="20"/>
          <w:szCs w:val="20"/>
          <w:color w:val="auto"/>
        </w:rPr>
      </w:pPr>
    </w:p>
    <w:p>
      <w:pPr>
        <w:ind w:right="160" w:firstLine="656"/>
        <w:spacing w:after="0" w:line="277" w:lineRule="auto"/>
        <w:tabs>
          <w:tab w:leader="none" w:pos="1304"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Duration of Options</w:t>
      </w:r>
      <w:r>
        <w:rPr>
          <w:rFonts w:ascii="Arial" w:cs="Arial" w:eastAsia="Arial" w:hAnsi="Arial"/>
          <w:sz w:val="18"/>
          <w:szCs w:val="18"/>
          <w:color w:val="auto"/>
        </w:rPr>
        <w:t xml:space="preserve">. Each Option shall be exercisable at such times and subject to such terms and conditions as the Board may specify in the applicable option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Option will be granted with a term in excess of 10 years.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0" w:firstLine="1305"/>
        <w:spacing w:after="0" w:line="308" w:lineRule="auto"/>
        <w:tabs>
          <w:tab w:leader="none" w:pos="1952" w:val="left"/>
        </w:tabs>
        <w:numPr>
          <w:ilvl w:val="1"/>
          <w:numId w:val="199"/>
        </w:numPr>
        <w:rPr>
          <w:rFonts w:ascii="Arial" w:cs="Arial" w:eastAsia="Arial" w:hAnsi="Arial"/>
          <w:sz w:val="17"/>
          <w:szCs w:val="17"/>
          <w:color w:val="auto"/>
        </w:rPr>
      </w:pPr>
      <w:r>
        <w:rPr>
          <w:rFonts w:ascii="Arial" w:cs="Arial" w:eastAsia="Arial" w:hAnsi="Arial"/>
          <w:sz w:val="17"/>
          <w:szCs w:val="17"/>
          <w:color w:val="auto"/>
        </w:rPr>
        <w:t>Options may be exercised by delivery to the Company of a notice of exercise in a form of notice (which may be electronic) approved by the Company, together with payment in full (in a manner specified in Section 5(f)) of the exercise price for the number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4" w:name="page335"/>
    <w:bookmarkEnd w:id="334"/>
    <w:p>
      <w:pPr>
        <w:ind w:right="100"/>
        <w:spacing w:after="0" w:line="277" w:lineRule="auto"/>
        <w:rPr>
          <w:sz w:val="20"/>
          <w:szCs w:val="20"/>
          <w:color w:val="auto"/>
        </w:rPr>
      </w:pPr>
      <w:r>
        <w:rPr>
          <w:rFonts w:ascii="Arial" w:cs="Arial" w:eastAsia="Arial" w:hAnsi="Arial"/>
          <w:sz w:val="18"/>
          <w:szCs w:val="18"/>
          <w:color w:val="auto"/>
        </w:rPr>
        <w:t>shares for which the Option is exercised. Shares of Common Stock subject to the Option will be delivered by the Company as soon as practicable following exercise.</w:t>
      </w:r>
    </w:p>
    <w:p>
      <w:pPr>
        <w:spacing w:after="0" w:line="170" w:lineRule="exact"/>
        <w:rPr>
          <w:sz w:val="20"/>
          <w:szCs w:val="20"/>
          <w:color w:val="auto"/>
        </w:rPr>
      </w:pPr>
    </w:p>
    <w:p>
      <w:pPr>
        <w:ind w:left="1300" w:hanging="644"/>
        <w:spacing w:after="0"/>
        <w:tabs>
          <w:tab w:leader="none" w:pos="1300"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Payment Upon Exercise.</w:t>
      </w:r>
      <w:r>
        <w:rPr>
          <w:rFonts w:ascii="Arial" w:cs="Arial" w:eastAsia="Arial" w:hAnsi="Arial"/>
          <w:sz w:val="16"/>
          <w:szCs w:val="16"/>
          <w:color w:val="auto"/>
        </w:rPr>
        <w:t xml:space="preserve"> Common Stock purchased upon the exercise of an Option granted under the Plan shall be paid for as follows:</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pacing w:after="0" w:line="221" w:lineRule="exact"/>
        <w:rPr>
          <w:rFonts w:ascii="Arial" w:cs="Arial" w:eastAsia="Arial" w:hAnsi="Arial"/>
          <w:sz w:val="18"/>
          <w:szCs w:val="18"/>
          <w:color w:val="auto"/>
        </w:rPr>
      </w:pPr>
    </w:p>
    <w:p>
      <w:pPr>
        <w:ind w:right="200" w:firstLine="1305"/>
        <w:spacing w:after="0" w:line="277" w:lineRule="auto"/>
        <w:tabs>
          <w:tab w:leader="none" w:pos="1952" w:val="left"/>
        </w:tabs>
        <w:numPr>
          <w:ilvl w:val="1"/>
          <w:numId w:val="200"/>
        </w:numPr>
        <w:rPr>
          <w:rFonts w:ascii="Arial" w:cs="Arial" w:eastAsia="Arial" w:hAnsi="Arial"/>
          <w:sz w:val="17"/>
          <w:szCs w:val="17"/>
          <w:color w:val="auto"/>
        </w:rPr>
      </w:pPr>
      <w:r>
        <w:rPr>
          <w:rFonts w:ascii="Arial" w:cs="Arial" w:eastAsia="Arial" w:hAnsi="Arial"/>
          <w:sz w:val="17"/>
          <w:szCs w:val="17"/>
          <w:color w:val="auto"/>
        </w:rPr>
        <w:t>when the Common Stock is registered under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except as may otherwise be provided in the applicable Option agreement or approved by the Board, in its sole discretion,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72" w:lineRule="exact"/>
        <w:rPr>
          <w:rFonts w:ascii="Arial" w:cs="Arial" w:eastAsia="Arial" w:hAnsi="Arial"/>
          <w:sz w:val="17"/>
          <w:szCs w:val="17"/>
          <w:color w:val="auto"/>
        </w:rPr>
      </w:pPr>
    </w:p>
    <w:p>
      <w:pPr>
        <w:ind w:right="100" w:firstLine="1305"/>
        <w:spacing w:after="0" w:line="276" w:lineRule="auto"/>
        <w:tabs>
          <w:tab w:leader="none" w:pos="1952" w:val="left"/>
        </w:tabs>
        <w:numPr>
          <w:ilvl w:val="1"/>
          <w:numId w:val="200"/>
        </w:numPr>
        <w:rPr>
          <w:rFonts w:ascii="Arial" w:cs="Arial" w:eastAsia="Arial" w:hAnsi="Arial"/>
          <w:sz w:val="17"/>
          <w:szCs w:val="17"/>
          <w:color w:val="auto"/>
        </w:rPr>
      </w:pPr>
      <w:r>
        <w:rPr>
          <w:rFonts w:ascii="Arial" w:cs="Arial" w:eastAsia="Arial" w:hAnsi="Arial"/>
          <w:sz w:val="17"/>
          <w:szCs w:val="17"/>
          <w:color w:val="auto"/>
        </w:rPr>
        <w:t xml:space="preserve">when the Common Stock is registered under the Exchange Act and to the extent provided for in the applicable Option agreement or approved by the Board, in its sole discretion, by delivery (either by actual delivery or attestation) of shares of Common Stock owned by the Participant valued at their Fair Market Value,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172" w:lineRule="exact"/>
        <w:rPr>
          <w:rFonts w:ascii="Arial" w:cs="Arial" w:eastAsia="Arial" w:hAnsi="Arial"/>
          <w:sz w:val="17"/>
          <w:szCs w:val="17"/>
          <w:color w:val="auto"/>
        </w:rPr>
      </w:pPr>
    </w:p>
    <w:p>
      <w:pPr>
        <w:jc w:val="both"/>
        <w:ind w:right="100" w:firstLine="1305"/>
        <w:spacing w:after="0" w:line="259" w:lineRule="auto"/>
        <w:tabs>
          <w:tab w:leader="none" w:pos="195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 the extent provided for in the applicable Nonstatutory Stock Option agreement or approved by the Board in its sole discretion, by delivery of a notice of “net exercise” to the Company, as a result of which the Participant would pay the exercise price for the portion of the Option being exercised by cancelling a portion of the Option for such number of shares as is equal to the exercise price divided by the excess of the Fair Market Value on the date of exercise over the Option exercise price per share.</w:t>
      </w:r>
    </w:p>
    <w:p>
      <w:pPr>
        <w:spacing w:after="0" w:line="186" w:lineRule="exact"/>
        <w:rPr>
          <w:rFonts w:ascii="Arial" w:cs="Arial" w:eastAsia="Arial" w:hAnsi="Arial"/>
          <w:sz w:val="18"/>
          <w:szCs w:val="18"/>
          <w:color w:val="auto"/>
        </w:rPr>
      </w:pPr>
    </w:p>
    <w:p>
      <w:pPr>
        <w:ind w:firstLine="1305"/>
        <w:spacing w:after="0" w:line="264" w:lineRule="auto"/>
        <w:tabs>
          <w:tab w:leader="none" w:pos="195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 the extent permitted by applicable law and provided for in the applicable Option agreement or approved by the Board, in its sole discretion, by (i) delivery of a promissory note of the Participant to the Company on terms determined by the Board, or (ii) payment of such other lawful consideration as the Board may determine; or</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335" w:name="page336"/>
    <w:bookmarkEnd w:id="335"/>
    <w:p>
      <w:pPr>
        <w:ind w:left="652" w:hanging="652"/>
        <w:spacing w:after="0"/>
        <w:tabs>
          <w:tab w:leader="none" w:pos="652"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p>
    <w:p>
      <w:pPr>
        <w:spacing w:after="0" w:line="221" w:lineRule="exact"/>
        <w:rPr>
          <w:rFonts w:ascii="Arial" w:cs="Arial" w:eastAsia="Arial" w:hAnsi="Arial"/>
          <w:sz w:val="18"/>
          <w:szCs w:val="18"/>
          <w:color w:val="auto"/>
        </w:rPr>
      </w:pPr>
    </w:p>
    <w:p>
      <w:pPr>
        <w:ind w:left="-8" w:right="40" w:firstLine="656"/>
        <w:spacing w:after="0" w:line="261" w:lineRule="auto"/>
        <w:tabs>
          <w:tab w:leader="none" w:pos="1286"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consisting of stock appreciation rights (“</w:t>
      </w:r>
      <w:r>
        <w:rPr>
          <w:rFonts w:ascii="Arial" w:cs="Arial" w:eastAsia="Arial" w:hAnsi="Arial"/>
          <w:sz w:val="18"/>
          <w:szCs w:val="18"/>
          <w:b w:val="1"/>
          <w:bCs w:val="1"/>
          <w:color w:val="auto"/>
        </w:rPr>
        <w:t>SARs</w:t>
      </w:r>
      <w:r>
        <w:rPr>
          <w:rFonts w:ascii="Arial" w:cs="Arial" w:eastAsia="Arial" w:hAnsi="Arial"/>
          <w:sz w:val="18"/>
          <w:szCs w:val="18"/>
          <w:color w:val="auto"/>
        </w:rPr>
        <w:t>”) entitling the holder, upon exercise, to receive an amount of Common Stock or cash or a combination thereof (such form to be determined by the Board) determined by reference to appreciation, from and after the date of grant, in the Fair Market Value of a share of Common Stock over the measurement price established pursuant to Section 6(b). The date as of which such appreciation is determined shall be the exercise date.</w:t>
      </w:r>
    </w:p>
    <w:p>
      <w:pPr>
        <w:spacing w:after="0" w:line="184" w:lineRule="exact"/>
        <w:rPr>
          <w:rFonts w:ascii="Arial" w:cs="Arial" w:eastAsia="Arial" w:hAnsi="Arial"/>
          <w:sz w:val="18"/>
          <w:szCs w:val="18"/>
          <w:color w:val="auto"/>
        </w:rPr>
      </w:pPr>
    </w:p>
    <w:p>
      <w:pPr>
        <w:ind w:left="-8" w:right="200" w:firstLine="656"/>
        <w:spacing w:after="0" w:line="277" w:lineRule="auto"/>
        <w:tabs>
          <w:tab w:leader="none" w:pos="1296"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Measurement Price</w:t>
      </w:r>
      <w:r>
        <w:rPr>
          <w:rFonts w:ascii="Arial" w:cs="Arial" w:eastAsia="Arial" w:hAnsi="Arial"/>
          <w:sz w:val="18"/>
          <w:szCs w:val="18"/>
          <w:color w:val="auto"/>
        </w:rPr>
        <w:t>. The Board shall establish the measurement price of each SAR and specify it in the applicable SAR agreement. The measurement price shall not be less than 100% of the Fair Market Value on the date the SAR is granted.</w:t>
      </w:r>
    </w:p>
    <w:p>
      <w:pPr>
        <w:spacing w:after="0" w:line="170" w:lineRule="exact"/>
        <w:rPr>
          <w:rFonts w:ascii="Arial" w:cs="Arial" w:eastAsia="Arial" w:hAnsi="Arial"/>
          <w:sz w:val="18"/>
          <w:szCs w:val="18"/>
          <w:color w:val="auto"/>
        </w:rPr>
      </w:pPr>
    </w:p>
    <w:p>
      <w:pPr>
        <w:ind w:left="-8" w:right="140" w:firstLine="656"/>
        <w:spacing w:after="0" w:line="277" w:lineRule="auto"/>
        <w:tabs>
          <w:tab w:leader="none" w:pos="1299"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Duration of SARs</w:t>
      </w:r>
      <w:r>
        <w:rPr>
          <w:rFonts w:ascii="Arial" w:cs="Arial" w:eastAsia="Arial" w:hAnsi="Arial"/>
          <w:sz w:val="18"/>
          <w:szCs w:val="18"/>
          <w:color w:val="auto"/>
        </w:rPr>
        <w:t xml:space="preserve">. Each SAR shall be exercisable at such times and subject to such terms and conditions as the Board may specify in the applicable SAR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SAR will be granted with a term in excess of 10 years.</w:t>
      </w:r>
    </w:p>
    <w:p>
      <w:pPr>
        <w:spacing w:after="0" w:line="170" w:lineRule="exact"/>
        <w:rPr>
          <w:rFonts w:ascii="Arial" w:cs="Arial" w:eastAsia="Arial" w:hAnsi="Arial"/>
          <w:sz w:val="18"/>
          <w:szCs w:val="18"/>
          <w:color w:val="auto"/>
        </w:rPr>
      </w:pPr>
    </w:p>
    <w:p>
      <w:pPr>
        <w:ind w:left="-8" w:right="600" w:firstLine="656"/>
        <w:spacing w:after="0" w:line="277" w:lineRule="auto"/>
        <w:tabs>
          <w:tab w:leader="none" w:pos="1296"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Exercise of SARs</w:t>
      </w:r>
      <w:r>
        <w:rPr>
          <w:rFonts w:ascii="Arial" w:cs="Arial" w:eastAsia="Arial" w:hAnsi="Arial"/>
          <w:sz w:val="18"/>
          <w:szCs w:val="18"/>
          <w:color w:val="auto"/>
        </w:rPr>
        <w:t>. SARs may be exercised by delivery to the Company of a notice of exercise in a form (which may be electronic) approved by the Company, together with any other documents required by the Board.</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Restricted Stock; Restricted Stock Units</w:t>
      </w:r>
    </w:p>
    <w:p>
      <w:pPr>
        <w:spacing w:after="0" w:line="221" w:lineRule="exact"/>
        <w:rPr>
          <w:rFonts w:ascii="Arial" w:cs="Arial" w:eastAsia="Arial" w:hAnsi="Arial"/>
          <w:sz w:val="18"/>
          <w:szCs w:val="18"/>
          <w:color w:val="auto"/>
        </w:rPr>
      </w:pPr>
    </w:p>
    <w:p>
      <w:pPr>
        <w:ind w:left="-8" w:firstLine="656"/>
        <w:spacing w:after="0" w:line="256" w:lineRule="auto"/>
        <w:tabs>
          <w:tab w:leader="none" w:pos="1286"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entitling recipients to acquire shares of Common Stock (“</w:t>
      </w:r>
      <w:r>
        <w:rPr>
          <w:rFonts w:ascii="Arial" w:cs="Arial" w:eastAsia="Arial" w:hAnsi="Arial"/>
          <w:sz w:val="18"/>
          <w:szCs w:val="18"/>
          <w:b w:val="1"/>
          <w:bCs w:val="1"/>
          <w:color w:val="auto"/>
        </w:rPr>
        <w:t>Restricted Stock</w:t>
      </w:r>
      <w:r>
        <w:rPr>
          <w:rFonts w:ascii="Arial" w:cs="Arial" w:eastAsia="Arial" w:hAnsi="Arial"/>
          <w:sz w:val="18"/>
          <w:szCs w:val="18"/>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at the time such Award vests (“</w:t>
      </w:r>
      <w:r>
        <w:rPr>
          <w:rFonts w:ascii="Arial" w:cs="Arial" w:eastAsia="Arial" w:hAnsi="Arial"/>
          <w:sz w:val="18"/>
          <w:szCs w:val="18"/>
          <w:b w:val="1"/>
          <w:bCs w:val="1"/>
          <w:color w:val="auto"/>
        </w:rPr>
        <w:t>Restricted Stock Units</w:t>
      </w:r>
      <w:r>
        <w:rPr>
          <w:rFonts w:ascii="Arial" w:cs="Arial" w:eastAsia="Arial" w:hAnsi="Arial"/>
          <w:sz w:val="18"/>
          <w:szCs w:val="18"/>
          <w:color w:val="auto"/>
        </w:rPr>
        <w:t>”) (Restricted Stock and Restricted Stock Units are each referred to herein as a “</w:t>
      </w:r>
      <w:r>
        <w:rPr>
          <w:rFonts w:ascii="Arial" w:cs="Arial" w:eastAsia="Arial" w:hAnsi="Arial"/>
          <w:sz w:val="18"/>
          <w:szCs w:val="18"/>
          <w:b w:val="1"/>
          <w:bCs w:val="1"/>
          <w:color w:val="auto"/>
        </w:rPr>
        <w:t>Restricted Stock Award</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8" w:right="140" w:firstLine="656"/>
        <w:spacing w:after="0" w:line="277" w:lineRule="auto"/>
        <w:tabs>
          <w:tab w:leader="none" w:pos="1296"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Terms and Conditions for All Restricted Stock Awards</w:t>
      </w:r>
      <w:r>
        <w:rPr>
          <w:rFonts w:ascii="Arial" w:cs="Arial" w:eastAsia="Arial" w:hAnsi="Arial"/>
          <w:sz w:val="18"/>
          <w:szCs w:val="18"/>
          <w:color w:val="auto"/>
        </w:rPr>
        <w:t>. The Board shall determine the terms and conditions of a Restricted Stock Award, including the conditions for vesting and repurchase (or forfeiture) and the issue price, if any.</w:t>
      </w:r>
    </w:p>
    <w:p>
      <w:pPr>
        <w:spacing w:after="0" w:line="170" w:lineRule="exact"/>
        <w:rPr>
          <w:rFonts w:ascii="Arial" w:cs="Arial" w:eastAsia="Arial" w:hAnsi="Arial"/>
          <w:sz w:val="18"/>
          <w:szCs w:val="18"/>
          <w:color w:val="auto"/>
        </w:rPr>
      </w:pPr>
    </w:p>
    <w:p>
      <w:pPr>
        <w:ind w:left="1312" w:hanging="664"/>
        <w:spacing w:after="0"/>
        <w:tabs>
          <w:tab w:leader="none" w:pos="1312"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1305"/>
        <w:spacing w:after="0" w:line="297" w:lineRule="auto"/>
        <w:tabs>
          <w:tab w:leader="none" w:pos="1944" w:val="left"/>
        </w:tabs>
        <w:numPr>
          <w:ilvl w:val="2"/>
          <w:numId w:val="201"/>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Unless otherwise provided in the applicable Award agreement, any dividends (whether paid in cash, stock or property) declared and paid by the Company with respect to shares of Restricted Stock (“</w:t>
      </w:r>
      <w:r>
        <w:rPr>
          <w:rFonts w:ascii="Arial" w:cs="Arial" w:eastAsia="Arial" w:hAnsi="Arial"/>
          <w:sz w:val="16"/>
          <w:szCs w:val="16"/>
          <w:b w:val="1"/>
          <w:bCs w:val="1"/>
          <w:color w:val="auto"/>
        </w:rPr>
        <w:t>Accrued Dividends</w:t>
      </w:r>
      <w:r>
        <w:rPr>
          <w:rFonts w:ascii="Arial" w:cs="Arial" w:eastAsia="Arial" w:hAnsi="Arial"/>
          <w:sz w:val="16"/>
          <w:szCs w:val="16"/>
          <w:color w:val="auto"/>
        </w:rPr>
        <w:t>”) shall be paid to the Participant only if and when such shares become free from the restrictions on transferability and forfeitability that apply to such shares. Each payment of Accrued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52"/>
          </w:cols>
          <w:pgMar w:left="248" w:top="341" w:right="299" w:bottom="1440" w:gutter="0" w:footer="0" w:header="0"/>
        </w:sectPr>
      </w:pPr>
    </w:p>
    <w:bookmarkStart w:id="336" w:name="page337"/>
    <w:bookmarkEnd w:id="336"/>
    <w:p>
      <w:pPr>
        <w:ind w:left="-8" w:right="40" w:firstLine="1305"/>
        <w:spacing w:after="0" w:line="293" w:lineRule="auto"/>
        <w:tabs>
          <w:tab w:leader="none" w:pos="1944" w:val="left"/>
        </w:tabs>
        <w:numPr>
          <w:ilvl w:val="2"/>
          <w:numId w:val="202"/>
        </w:numPr>
        <w:rPr>
          <w:rFonts w:ascii="Arial" w:cs="Arial" w:eastAsia="Arial" w:hAnsi="Arial"/>
          <w:sz w:val="16"/>
          <w:szCs w:val="16"/>
          <w:color w:val="auto"/>
        </w:rPr>
      </w:pPr>
      <w:r>
        <w:rPr>
          <w:rFonts w:ascii="Arial" w:cs="Arial" w:eastAsia="Arial" w:hAnsi="Arial"/>
          <w:sz w:val="16"/>
          <w:szCs w:val="16"/>
          <w:u w:val="single" w:color="auto"/>
          <w:color w:val="auto"/>
        </w:rPr>
        <w:t>Stock Certificates</w:t>
      </w:r>
      <w:r>
        <w:rPr>
          <w:rFonts w:ascii="Arial" w:cs="Arial" w:eastAsia="Arial" w:hAnsi="Arial"/>
          <w:sz w:val="16"/>
          <w:szCs w:val="16"/>
          <w:color w:val="auto"/>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Participant’s Designated Beneficiary. “</w:t>
      </w:r>
      <w:r>
        <w:rPr>
          <w:rFonts w:ascii="Arial" w:cs="Arial" w:eastAsia="Arial" w:hAnsi="Arial"/>
          <w:sz w:val="16"/>
          <w:szCs w:val="16"/>
          <w:b w:val="1"/>
          <w:bCs w:val="1"/>
          <w:color w:val="auto"/>
        </w:rPr>
        <w:t>Designated Beneficiary</w:t>
      </w:r>
      <w:r>
        <w:rPr>
          <w:rFonts w:ascii="Arial" w:cs="Arial" w:eastAsia="Arial" w:hAnsi="Arial"/>
          <w:sz w:val="16"/>
          <w:szCs w:val="16"/>
          <w:color w:val="auto"/>
        </w:rPr>
        <w:t>” means (i) the beneficiary designated, in a manner determined by the Board, by a Participant to receive amounts due or exercise rights of the Participant in the event of the Participant’s death or (ii) in the absence of an effective designation by a Participant, “</w:t>
      </w:r>
      <w:r>
        <w:rPr>
          <w:rFonts w:ascii="Arial" w:cs="Arial" w:eastAsia="Arial" w:hAnsi="Arial"/>
          <w:sz w:val="16"/>
          <w:szCs w:val="16"/>
          <w:b w:val="1"/>
          <w:bCs w:val="1"/>
          <w:color w:val="auto"/>
        </w:rPr>
        <w:t>Designated Beneficiary</w:t>
      </w:r>
      <w:r>
        <w:rPr>
          <w:rFonts w:ascii="Arial" w:cs="Arial" w:eastAsia="Arial" w:hAnsi="Arial"/>
          <w:sz w:val="16"/>
          <w:szCs w:val="16"/>
          <w:color w:val="auto"/>
        </w:rPr>
        <w:t>” means the Participant’s estate.</w:t>
      </w:r>
    </w:p>
    <w:p>
      <w:pPr>
        <w:spacing w:after="0" w:line="164" w:lineRule="exact"/>
        <w:rPr>
          <w:rFonts w:ascii="Arial" w:cs="Arial" w:eastAsia="Arial" w:hAnsi="Arial"/>
          <w:sz w:val="16"/>
          <w:szCs w:val="16"/>
          <w:color w:val="auto"/>
        </w:rPr>
      </w:pPr>
    </w:p>
    <w:p>
      <w:pPr>
        <w:ind w:left="1312" w:hanging="664"/>
        <w:spacing w:after="0"/>
        <w:tabs>
          <w:tab w:leader="none" w:pos="1312"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140" w:firstLine="1305"/>
        <w:spacing w:after="0" w:line="302" w:lineRule="auto"/>
        <w:tabs>
          <w:tab w:leader="none" w:pos="1944" w:val="left"/>
        </w:tabs>
        <w:numPr>
          <w:ilvl w:val="2"/>
          <w:numId w:val="203"/>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Upon the vesting of and/or lapsing of any other restrictions (i.e., settlement) with respect to each Restricted Stock Unit, the Participant shall be entitled to receive from the Company one share of Common Stock or (if so provided in the applicable Award agreement) an amount of cash equal to the Fair Market Value of one share of Common Stock. The Board may, in its discretion, provide that settlement of Restricted Stock Units shall be deferred, on a mandatory basis or at the election of the Participant in a manner that complies with Section 409A of the Code.</w:t>
      </w:r>
    </w:p>
    <w:p>
      <w:pPr>
        <w:spacing w:after="0" w:line="154" w:lineRule="exact"/>
        <w:rPr>
          <w:rFonts w:ascii="Arial" w:cs="Arial" w:eastAsia="Arial" w:hAnsi="Arial"/>
          <w:sz w:val="16"/>
          <w:szCs w:val="16"/>
          <w:color w:val="auto"/>
        </w:rPr>
      </w:pPr>
    </w:p>
    <w:p>
      <w:pPr>
        <w:ind w:left="1952" w:hanging="655"/>
        <w:spacing w:after="0"/>
        <w:tabs>
          <w:tab w:leader="none" w:pos="1952" w:val="left"/>
        </w:tabs>
        <w:numPr>
          <w:ilvl w:val="2"/>
          <w:numId w:val="203"/>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A Participant shall have no voting rights with respect to any Restricted Stock Units.</w:t>
      </w:r>
    </w:p>
    <w:p>
      <w:pPr>
        <w:spacing w:after="0" w:line="225" w:lineRule="exact"/>
        <w:rPr>
          <w:rFonts w:ascii="Arial" w:cs="Arial" w:eastAsia="Arial" w:hAnsi="Arial"/>
          <w:sz w:val="18"/>
          <w:szCs w:val="18"/>
          <w:color w:val="auto"/>
        </w:rPr>
      </w:pPr>
    </w:p>
    <w:p>
      <w:pPr>
        <w:ind w:left="-8" w:right="180" w:firstLine="1305"/>
        <w:spacing w:after="0" w:line="257" w:lineRule="auto"/>
        <w:tabs>
          <w:tab w:leader="none" w:pos="1944" w:val="left"/>
        </w:tabs>
        <w:numPr>
          <w:ilvl w:val="2"/>
          <w:numId w:val="203"/>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Award agreement for Restricted Stock Units may provide Participants with the right to receive an amount equal to any dividends or other distributions declared and paid on an equal number of outstanding shares of Common Stock (“</w:t>
      </w:r>
      <w:r>
        <w:rPr>
          <w:rFonts w:ascii="Arial" w:cs="Arial" w:eastAsia="Arial" w:hAnsi="Arial"/>
          <w:sz w:val="18"/>
          <w:szCs w:val="18"/>
          <w:b w:val="1"/>
          <w:bCs w:val="1"/>
          <w:color w:val="auto"/>
        </w:rPr>
        <w:t>Dividend</w:t>
      </w:r>
      <w:r>
        <w:rPr>
          <w:rFonts w:ascii="Arial" w:cs="Arial" w:eastAsia="Arial" w:hAnsi="Arial"/>
          <w:sz w:val="18"/>
          <w:szCs w:val="18"/>
          <w:color w:val="auto"/>
        </w:rPr>
        <w:t xml:space="preserve"> </w:t>
      </w:r>
      <w:r>
        <w:rPr>
          <w:rFonts w:ascii="Arial" w:cs="Arial" w:eastAsia="Arial" w:hAnsi="Arial"/>
          <w:sz w:val="18"/>
          <w:szCs w:val="18"/>
          <w:b w:val="1"/>
          <w:bCs w:val="1"/>
          <w:color w:val="auto"/>
        </w:rPr>
        <w:t>Equivalents</w:t>
      </w:r>
      <w:r>
        <w:rPr>
          <w:rFonts w:ascii="Arial" w:cs="Arial" w:eastAsia="Arial" w:hAnsi="Arial"/>
          <w:sz w:val="18"/>
          <w:szCs w:val="18"/>
          <w:color w:val="auto"/>
        </w:rPr>
        <w:t>”). Dividend Equivalents may be paid currently or credited to an account for the Participants, may be settled in cash and/or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and may be subject to the same restrictions on transfer and forfeitability as the Restricted Stock Units with respect to which paid, in each case to the extent provided in the applicable Award agreement.</w:t>
      </w:r>
    </w:p>
    <w:p>
      <w:pPr>
        <w:spacing w:after="0" w:line="188" w:lineRule="exact"/>
        <w:rPr>
          <w:rFonts w:ascii="Arial" w:cs="Arial" w:eastAsia="Arial" w:hAnsi="Arial"/>
          <w:sz w:val="18"/>
          <w:szCs w:val="18"/>
          <w:color w:val="auto"/>
        </w:rPr>
      </w:pPr>
    </w:p>
    <w:p>
      <w:pPr>
        <w:ind w:left="652" w:hanging="652"/>
        <w:spacing w:after="0"/>
        <w:tabs>
          <w:tab w:leader="none" w:pos="652"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Other Stock-Based Awards</w:t>
      </w:r>
    </w:p>
    <w:p>
      <w:pPr>
        <w:spacing w:after="0" w:line="225" w:lineRule="exact"/>
        <w:rPr>
          <w:rFonts w:ascii="Arial" w:cs="Arial" w:eastAsia="Arial" w:hAnsi="Arial"/>
          <w:sz w:val="18"/>
          <w:szCs w:val="18"/>
          <w:color w:val="auto"/>
        </w:rPr>
      </w:pPr>
    </w:p>
    <w:p>
      <w:pPr>
        <w:ind w:left="-8" w:right="60" w:firstLine="656"/>
        <w:spacing w:after="0" w:line="302" w:lineRule="auto"/>
        <w:tabs>
          <w:tab w:leader="none" w:pos="1286" w:val="left"/>
        </w:tabs>
        <w:numPr>
          <w:ilvl w:val="1"/>
          <w:numId w:val="20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Other Awards of shares of Common Stock, and other Awards that are valued in whole or in part by reference to, or are otherwise based on, shares of Common Stock or other property, may be granted hereunder to Participants (“</w:t>
      </w:r>
      <w:r>
        <w:rPr>
          <w:rFonts w:ascii="Arial" w:cs="Arial" w:eastAsia="Arial" w:hAnsi="Arial"/>
          <w:sz w:val="16"/>
          <w:szCs w:val="16"/>
          <w:b w:val="1"/>
          <w:bCs w:val="1"/>
          <w:color w:val="auto"/>
        </w:rPr>
        <w:t>Other Stock-Based Awards</w:t>
      </w:r>
      <w:r>
        <w:rPr>
          <w:rFonts w:ascii="Arial" w:cs="Arial" w:eastAsia="Arial" w:hAnsi="Arial"/>
          <w:sz w:val="16"/>
          <w:szCs w:val="16"/>
          <w:color w:val="auto"/>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w:t>
      </w:r>
    </w:p>
    <w:p>
      <w:pPr>
        <w:spacing w:after="0" w:line="154" w:lineRule="exact"/>
        <w:rPr>
          <w:rFonts w:ascii="Arial" w:cs="Arial" w:eastAsia="Arial" w:hAnsi="Arial"/>
          <w:sz w:val="16"/>
          <w:szCs w:val="16"/>
          <w:color w:val="auto"/>
        </w:rPr>
      </w:pPr>
    </w:p>
    <w:p>
      <w:pPr>
        <w:ind w:left="-8" w:firstLine="656"/>
        <w:spacing w:after="0" w:line="277" w:lineRule="auto"/>
        <w:tabs>
          <w:tab w:leader="none" w:pos="1296"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Subject to the provisions of the Plan, the Board shall determine the terms and conditions of each Other Stock-Based Award, including any purchase price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337" w:name="page338"/>
    <w:bookmarkEnd w:id="337"/>
    <w:p>
      <w:pPr>
        <w:ind w:left="652" w:hanging="652"/>
        <w:spacing w:after="0"/>
        <w:tabs>
          <w:tab w:leader="none" w:pos="652"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Common Stock and Certain Other Events</w:t>
      </w:r>
    </w:p>
    <w:p>
      <w:pPr>
        <w:spacing w:after="0" w:line="225" w:lineRule="exact"/>
        <w:rPr>
          <w:rFonts w:ascii="Arial" w:cs="Arial" w:eastAsia="Arial" w:hAnsi="Arial"/>
          <w:sz w:val="18"/>
          <w:szCs w:val="18"/>
          <w:color w:val="auto"/>
        </w:rPr>
      </w:pPr>
    </w:p>
    <w:p>
      <w:pPr>
        <w:ind w:left="-8" w:firstLine="656"/>
        <w:spacing w:after="0" w:line="287" w:lineRule="auto"/>
        <w:tabs>
          <w:tab w:leader="none" w:pos="1286"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number and class of securities and exercise price per share of each outstanding Option, (iii) the share and per-share provisions and the measurement price of each outstanding SAR, (iv) the number of shares subject to and the repurchase price per share subject to each outstanding Restricted Stock Award and (v) the share and per-share-related provisions and the purchase price, if any, of each outstanding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72" w:lineRule="exact"/>
        <w:rPr>
          <w:rFonts w:ascii="Arial" w:cs="Arial" w:eastAsia="Arial" w:hAnsi="Arial"/>
          <w:sz w:val="16"/>
          <w:szCs w:val="16"/>
          <w:color w:val="auto"/>
        </w:rPr>
      </w:pPr>
    </w:p>
    <w:p>
      <w:pPr>
        <w:ind w:left="1312" w:hanging="664"/>
        <w:spacing w:after="0"/>
        <w:tabs>
          <w:tab w:leader="none" w:pos="1312" w:val="left"/>
        </w:tabs>
        <w:numPr>
          <w:ilvl w:val="1"/>
          <w:numId w:val="205"/>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8" w:firstLine="1305"/>
        <w:spacing w:after="0" w:line="261" w:lineRule="auto"/>
        <w:tabs>
          <w:tab w:leader="none" w:pos="1944" w:val="left"/>
        </w:tabs>
        <w:numPr>
          <w:ilvl w:val="2"/>
          <w:numId w:val="205"/>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A “</w:t>
      </w:r>
      <w:r>
        <w:rPr>
          <w:rFonts w:ascii="Arial" w:cs="Arial" w:eastAsia="Arial" w:hAnsi="Arial"/>
          <w:sz w:val="18"/>
          <w:szCs w:val="18"/>
          <w:b w:val="1"/>
          <w:bCs w:val="1"/>
          <w:color w:val="auto"/>
        </w:rPr>
        <w:t>Reorganization Event</w:t>
      </w:r>
      <w:r>
        <w:rPr>
          <w:rFonts w:ascii="Arial" w:cs="Arial" w:eastAsia="Arial" w:hAnsi="Arial"/>
          <w:sz w:val="18"/>
          <w:szCs w:val="18"/>
          <w:color w:val="auto"/>
        </w:rPr>
        <w:t>” shall mean: (a) any merger or consolidation of the Company with or into another entity as a result of which all of the Common Stock of the Company is converted into or exchanged for the right to receive cash, securities or other property or is cancelled, (b) any transfer or disposition of all of the Common Stock of the Company for cash, securities or other property pursuant to a share exchange or other transaction or (c) any liquidation or dissolution of the Company.</w:t>
      </w:r>
    </w:p>
    <w:p>
      <w:pPr>
        <w:spacing w:after="0" w:line="184" w:lineRule="exact"/>
        <w:rPr>
          <w:rFonts w:ascii="Arial" w:cs="Arial" w:eastAsia="Arial" w:hAnsi="Arial"/>
          <w:sz w:val="18"/>
          <w:szCs w:val="18"/>
          <w:color w:val="auto"/>
        </w:rPr>
      </w:pPr>
    </w:p>
    <w:p>
      <w:pPr>
        <w:ind w:left="1952" w:hanging="655"/>
        <w:spacing w:after="0"/>
        <w:tabs>
          <w:tab w:leader="none" w:pos="1952" w:val="left"/>
        </w:tabs>
        <w:numPr>
          <w:ilvl w:val="2"/>
          <w:numId w:val="205"/>
        </w:numPr>
        <w:rPr>
          <w:rFonts w:ascii="Arial" w:cs="Arial" w:eastAsia="Arial" w:hAnsi="Arial"/>
          <w:sz w:val="18"/>
          <w:szCs w:val="18"/>
          <w:color w:val="auto"/>
        </w:rPr>
      </w:pPr>
      <w:r>
        <w:rPr>
          <w:rFonts w:ascii="Arial" w:cs="Arial" w:eastAsia="Arial" w:hAnsi="Arial"/>
          <w:sz w:val="18"/>
          <w:szCs w:val="18"/>
          <w:u w:val="single" w:color="auto"/>
          <w:color w:val="auto"/>
        </w:rPr>
        <w:t>Consequences of a Reorganization Event on Awards Other than Restricted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20" w:firstLine="1953"/>
        <w:spacing w:after="0" w:line="290" w:lineRule="auto"/>
        <w:tabs>
          <w:tab w:leader="none" w:pos="2606" w:val="left"/>
        </w:tabs>
        <w:numPr>
          <w:ilvl w:val="3"/>
          <w:numId w:val="205"/>
        </w:numPr>
        <w:rPr>
          <w:rFonts w:ascii="Arial" w:cs="Arial" w:eastAsia="Arial" w:hAnsi="Arial"/>
          <w:sz w:val="16"/>
          <w:szCs w:val="16"/>
          <w:color w:val="auto"/>
        </w:rPr>
      </w:pPr>
      <w:r>
        <w:rPr>
          <w:rFonts w:ascii="Arial" w:cs="Arial" w:eastAsia="Arial" w:hAnsi="Arial"/>
          <w:sz w:val="16"/>
          <w:szCs w:val="16"/>
          <w:color w:val="auto"/>
        </w:rPr>
        <w:t>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 (i) provide that such Awards shall be assumed, or substantially equivalent Awards shall be substituted, by the acquiring or succeeding corporation (or an affiliate thereof), (ii) upon written notice to a Participant, provide that all of the Participant’s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338" w:name="page339"/>
    <w:bookmarkEnd w:id="338"/>
    <w:p>
      <w:pPr>
        <w:spacing w:after="0" w:line="272" w:lineRule="auto"/>
        <w:rPr>
          <w:sz w:val="20"/>
          <w:szCs w:val="20"/>
          <w:color w:val="auto"/>
        </w:rPr>
      </w:pPr>
      <w:r>
        <w:rPr>
          <w:rFonts w:ascii="Arial" w:cs="Arial" w:eastAsia="Arial" w:hAnsi="Arial"/>
          <w:sz w:val="17"/>
          <w:szCs w:val="17"/>
          <w:color w:val="auto"/>
        </w:rPr>
        <w:t>consummation thereof a cash payment for each share surrendered in the Reorganization Event (the “</w:t>
      </w:r>
      <w:r>
        <w:rPr>
          <w:rFonts w:ascii="Arial" w:cs="Arial" w:eastAsia="Arial" w:hAnsi="Arial"/>
          <w:sz w:val="17"/>
          <w:szCs w:val="17"/>
          <w:b w:val="1"/>
          <w:bCs w:val="1"/>
          <w:color w:val="auto"/>
        </w:rPr>
        <w:t>Acquisition Price</w:t>
      </w:r>
      <w:r>
        <w:rPr>
          <w:rFonts w:ascii="Arial" w:cs="Arial" w:eastAsia="Arial" w:hAnsi="Arial"/>
          <w:sz w:val="17"/>
          <w:szCs w:val="17"/>
          <w:color w:val="auto"/>
        </w:rPr>
        <w:t>”),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(v) provide that, in connection with a liquidation or dissolution of the Company, Awards shall convert into the right to receive liquidation proceeds (if applicable, net of the exercise, measurement or purchase price thereof and any applicable tax withholdings) and (vi) any combination of the foregoing. In taking any of the actions permitted under this Section 9(b)(2), the Board shall not be obligated by the Plan to treat all Awards, all Awards held by a Participant, or all Awards of the same type, identically.</w:t>
      </w:r>
    </w:p>
    <w:p>
      <w:pPr>
        <w:spacing w:after="0" w:line="176" w:lineRule="exact"/>
        <w:rPr>
          <w:sz w:val="20"/>
          <w:szCs w:val="20"/>
          <w:color w:val="auto"/>
        </w:rPr>
      </w:pPr>
    </w:p>
    <w:p>
      <w:pPr>
        <w:ind w:right="260" w:firstLine="1953"/>
        <w:spacing w:after="0" w:line="285" w:lineRule="auto"/>
        <w:tabs>
          <w:tab w:leader="none" w:pos="2624" w:val="left"/>
        </w:tabs>
        <w:numPr>
          <w:ilvl w:val="1"/>
          <w:numId w:val="206"/>
        </w:numPr>
        <w:rPr>
          <w:rFonts w:ascii="Arial" w:cs="Arial" w:eastAsia="Arial" w:hAnsi="Arial"/>
          <w:sz w:val="16"/>
          <w:szCs w:val="16"/>
          <w:color w:val="auto"/>
        </w:rPr>
      </w:pPr>
      <w:r>
        <w:rPr>
          <w:rFonts w:ascii="Arial" w:cs="Arial" w:eastAsia="Arial" w:hAnsi="Arial"/>
          <w:sz w:val="16"/>
          <w:szCs w:val="16"/>
          <w:color w:val="auto"/>
        </w:rPr>
        <w:t>Notwithstanding the terms of Section 9(b)(2)(i), in the case of outstanding Restricted Stock Units that are subject to Section 409A of the Code: (i) if the applicable Restricted Stock Unit agreement provides that the Restricted Stock Units shall be settled upon a “change in control event” within the meaning of Treasury Regulation Section 1.409A-3(i)(5)(i), and the Reorganization Event constitutes such a “change in control event”, then no assumption or substitution shall be permitted pursuant to Section 9(b)(2)(i)(i) and the Restricted Stock Units shall instead be settled in accordance with the terms of the applicable Restricted Stock Unit agreement; and (ii) the Board may only undertake the actions set forth in clauses (iii),</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or (v) of Section 9(b)(2)(i) if the Reorganization Event constitutes a “change in control event” as defined under Treasury Regulation Section 1.409A-3(i)</w:t>
      </w:r>
    </w:p>
    <w:p>
      <w:pPr>
        <w:spacing w:after="0" w:line="32" w:lineRule="exact"/>
        <w:rPr>
          <w:rFonts w:ascii="Arial" w:cs="Arial" w:eastAsia="Arial" w:hAnsi="Arial"/>
          <w:sz w:val="16"/>
          <w:szCs w:val="16"/>
          <w:color w:val="auto"/>
        </w:rPr>
      </w:pPr>
    </w:p>
    <w:p>
      <w:pPr>
        <w:ind w:right="240"/>
        <w:spacing w:after="0" w:line="254" w:lineRule="auto"/>
        <w:rPr>
          <w:rFonts w:ascii="Arial" w:cs="Arial" w:eastAsia="Arial" w:hAnsi="Arial"/>
          <w:sz w:val="16"/>
          <w:szCs w:val="16"/>
          <w:color w:val="auto"/>
        </w:rPr>
      </w:pPr>
      <w:r>
        <w:rPr>
          <w:rFonts w:ascii="Arial" w:cs="Arial" w:eastAsia="Arial" w:hAnsi="Arial"/>
          <w:sz w:val="18"/>
          <w:szCs w:val="18"/>
          <w:color w:val="auto"/>
        </w:rPr>
        <w:t>(5)(i) and such action is permitted or required by Section 409A of the Code; if the Reorganization Event is not a “change in control event” as so defined or such action is not permitted or required by Section 409A of the Code, and the acquiring or succeeding corporation does not assume or substitute the Restricted Stock Units pursuant to clause (i) of Section 9(b)(2)(i), then the unvested Restricted Stock Units shall terminate immediately prior to the consummation of the Reorganization Event without any payment in exchange therefor.</w:t>
      </w:r>
    </w:p>
    <w:p>
      <w:pPr>
        <w:spacing w:after="0" w:line="189" w:lineRule="exact"/>
        <w:rPr>
          <w:rFonts w:ascii="Arial" w:cs="Arial" w:eastAsia="Arial" w:hAnsi="Arial"/>
          <w:sz w:val="16"/>
          <w:szCs w:val="16"/>
          <w:color w:val="auto"/>
        </w:rPr>
      </w:pPr>
    </w:p>
    <w:p>
      <w:pPr>
        <w:ind w:firstLine="1953"/>
        <w:spacing w:after="0" w:line="270" w:lineRule="auto"/>
        <w:tabs>
          <w:tab w:leader="none" w:pos="2633" w:val="left"/>
        </w:tabs>
        <w:numPr>
          <w:ilvl w:val="1"/>
          <w:numId w:val="207"/>
        </w:numPr>
        <w:rPr>
          <w:rFonts w:ascii="Arial" w:cs="Arial" w:eastAsia="Arial" w:hAnsi="Arial"/>
          <w:sz w:val="17"/>
          <w:szCs w:val="17"/>
          <w:color w:val="auto"/>
        </w:rPr>
      </w:pPr>
      <w:r>
        <w:rPr>
          <w:rFonts w:ascii="Arial" w:cs="Arial" w:eastAsia="Arial" w:hAnsi="Arial"/>
          <w:sz w:val="17"/>
          <w:szCs w:val="17"/>
          <w:color w:val="auto"/>
        </w:rPr>
        <w:t xml:space="preserve">For purposes of Section 9(b)(2)(i)(i),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determined to be equivalent in value (as of the date of such determination or another date specified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color w:val="auto"/>
        </w:rPr>
        <w:t>Board) to the per share consideration received by holders of outstanding shares of Common Stock as a result of the Reorganization Event.</w:t>
      </w:r>
    </w:p>
    <w:p>
      <w:pPr>
        <w:spacing w:after="0" w:line="225" w:lineRule="exact"/>
        <w:rPr>
          <w:sz w:val="20"/>
          <w:szCs w:val="20"/>
          <w:color w:val="auto"/>
        </w:rPr>
      </w:pPr>
    </w:p>
    <w:p>
      <w:pPr>
        <w:ind w:right="20" w:firstLine="1305"/>
        <w:spacing w:after="0" w:line="270" w:lineRule="auto"/>
        <w:tabs>
          <w:tab w:leader="none" w:pos="1952" w:val="left"/>
        </w:tabs>
        <w:numPr>
          <w:ilvl w:val="2"/>
          <w:numId w:val="208"/>
        </w:numPr>
        <w:rPr>
          <w:rFonts w:ascii="Arial" w:cs="Arial" w:eastAsia="Arial" w:hAnsi="Arial"/>
          <w:sz w:val="17"/>
          <w:szCs w:val="17"/>
          <w:color w:val="auto"/>
        </w:rPr>
      </w:pPr>
      <w:r>
        <w:rPr>
          <w:rFonts w:ascii="Arial" w:cs="Arial" w:eastAsia="Arial" w:hAnsi="Arial"/>
          <w:sz w:val="17"/>
          <w:szCs w:val="17"/>
          <w:u w:val="single" w:color="auto"/>
          <w:color w:val="auto"/>
        </w:rPr>
        <w:t>Consequences of a Reorganization Event on Restricted Stock</w:t>
      </w:r>
      <w:r>
        <w:rPr>
          <w:rFonts w:ascii="Arial" w:cs="Arial" w:eastAsia="Arial" w:hAnsi="Arial"/>
          <w:sz w:val="17"/>
          <w:szCs w:val="17"/>
          <w:color w:val="auto"/>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Board may provide for termination or deemed satisfaction of such repurchase or other rights under the instrument evidencing any Restricted Stock or any other agreement between a Participant and the Company, either initially or by amendment.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spacing w:after="0" w:line="181" w:lineRule="exact"/>
        <w:rPr>
          <w:rFonts w:ascii="Arial" w:cs="Arial" w:eastAsia="Arial" w:hAnsi="Arial"/>
          <w:sz w:val="17"/>
          <w:szCs w:val="17"/>
          <w:color w:val="auto"/>
        </w:rPr>
      </w:pPr>
    </w:p>
    <w:p>
      <w:pPr>
        <w:ind w:left="660" w:hanging="652"/>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General Provisions Applicable to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69" w:lineRule="auto"/>
        <w:tabs>
          <w:tab w:leader="none" w:pos="1294" w:val="left"/>
        </w:tabs>
        <w:numPr>
          <w:ilvl w:val="1"/>
          <w:numId w:val="209"/>
        </w:numPr>
        <w:rPr>
          <w:rFonts w:ascii="Arial" w:cs="Arial" w:eastAsia="Arial" w:hAnsi="Arial"/>
          <w:sz w:val="17"/>
          <w:szCs w:val="17"/>
          <w:color w:val="auto"/>
        </w:rPr>
      </w:pPr>
      <w:r>
        <w:rPr>
          <w:rFonts w:ascii="Arial" w:cs="Arial" w:eastAsia="Arial" w:hAnsi="Arial"/>
          <w:sz w:val="17"/>
          <w:szCs w:val="17"/>
          <w:u w:val="single" w:color="auto"/>
          <w:color w:val="auto"/>
        </w:rPr>
        <w:t>Transferability of Awards</w:t>
      </w:r>
      <w:r>
        <w:rPr>
          <w:rFonts w:ascii="Arial" w:cs="Arial" w:eastAsia="Arial" w:hAnsi="Arial"/>
          <w:sz w:val="17"/>
          <w:szCs w:val="17"/>
          <w:color w:val="auto"/>
        </w:rPr>
        <w:t>. Awards (or any interest in an Award, including, prior to exercise, any interest in shares of Common Stock issuable upon exercise of an Option or SAR) shall not be sold, assigned, transferred (including by establishing any short position, put equivalent position (as defined in Rule 16a-1 issued under the Exchange Act) or call equivalent position (as defined in Rule 16a-1 issued under the Exchange Act)), pledged, hypothecated or otherwise encumbered by the person to whom they are granted, either voluntarily or by operation of law, and, during the life of the Participant, shall be exercisable only by the Participant; except that Awards, other than Awards subject to Section 409A of the Code, may be transferred to family members (as defined in Rule 701(c)(3) under the Securities Act) through gifts or (other than Incentive Stock Options) domestic relations orders or to an executor or guardian upon the death of the Participant. The Company shall not be required to recognize any such permitted transfer until such time as such permitted transferee shall deliver to the Company a written instrument, as a condition to such transfer,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10(a) shall be deemed to restrict a transfer to the Company.</w:t>
      </w:r>
    </w:p>
    <w:p>
      <w:pPr>
        <w:spacing w:after="0" w:line="182" w:lineRule="exact"/>
        <w:rPr>
          <w:rFonts w:ascii="Arial" w:cs="Arial" w:eastAsia="Arial" w:hAnsi="Arial"/>
          <w:sz w:val="17"/>
          <w:szCs w:val="17"/>
          <w:color w:val="auto"/>
        </w:rPr>
      </w:pPr>
    </w:p>
    <w:p>
      <w:pPr>
        <w:ind w:right="120" w:firstLine="656"/>
        <w:spacing w:after="0" w:line="277" w:lineRule="auto"/>
        <w:tabs>
          <w:tab w:leader="none" w:pos="1304"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shall be evidenced in such form (written, electronic or otherwise) as the Board shall determine. Each Award may contain terms and conditions in addition to those set forth in the Plan.</w:t>
      </w:r>
    </w:p>
    <w:p>
      <w:pPr>
        <w:spacing w:after="0" w:line="170" w:lineRule="exact"/>
        <w:rPr>
          <w:rFonts w:ascii="Arial" w:cs="Arial" w:eastAsia="Arial" w:hAnsi="Arial"/>
          <w:sz w:val="18"/>
          <w:szCs w:val="18"/>
          <w:color w:val="auto"/>
        </w:rPr>
      </w:pPr>
    </w:p>
    <w:p>
      <w:pPr>
        <w:ind w:right="460" w:firstLine="656"/>
        <w:spacing w:after="0" w:line="277" w:lineRule="auto"/>
        <w:tabs>
          <w:tab w:leader="none" w:pos="1307"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Board Discretion</w:t>
      </w:r>
      <w:r>
        <w:rPr>
          <w:rFonts w:ascii="Arial" w:cs="Arial" w:eastAsia="Arial" w:hAnsi="Arial"/>
          <w:sz w:val="18"/>
          <w:szCs w:val="18"/>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340" w:name="page341"/>
    <w:bookmarkEnd w:id="340"/>
    <w:p>
      <w:pPr>
        <w:ind w:right="300" w:firstLine="656"/>
        <w:spacing w:after="0" w:line="312" w:lineRule="auto"/>
        <w:tabs>
          <w:tab w:leader="none" w:pos="1304"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Termination of Status</w:t>
      </w:r>
      <w:r>
        <w:rPr>
          <w:rFonts w:ascii="Arial" w:cs="Arial" w:eastAsia="Arial" w:hAnsi="Arial"/>
          <w:sz w:val="16"/>
          <w:szCs w:val="16"/>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46" w:lineRule="exact"/>
        <w:rPr>
          <w:rFonts w:ascii="Arial" w:cs="Arial" w:eastAsia="Arial" w:hAnsi="Arial"/>
          <w:sz w:val="16"/>
          <w:szCs w:val="16"/>
          <w:color w:val="auto"/>
        </w:rPr>
      </w:pPr>
    </w:p>
    <w:p>
      <w:pPr>
        <w:ind w:right="60" w:firstLine="656"/>
        <w:spacing w:after="0" w:line="269" w:lineRule="auto"/>
        <w:tabs>
          <w:tab w:leader="none" w:pos="1307"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in its sole discretion, a Participant may satisfy such tax obligations in whole or in part by delivery (either by actual delivery or attestation) of shares of Common Stock, including shares retained from the Award creating the tax obligation, valued at their Fair Market Value;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except as otherwise provided by the Board, that the total tax withholding where stock is being used to satisfy such tax obligations cannot exceed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minimum statutory withholding obligations (based on minimum statutory withholding rates for federal and state tax purposes, including payroll taxes, that are applicable to such supplemental taxable income). Shares used to satisfy tax withholding requirements cannot be subject to any repurchase, forfeiture, unfulfilled vesting or other similar requirements.</w:t>
      </w:r>
    </w:p>
    <w:p>
      <w:pPr>
        <w:spacing w:after="0" w:line="179" w:lineRule="exact"/>
        <w:rPr>
          <w:rFonts w:ascii="Arial" w:cs="Arial" w:eastAsia="Arial" w:hAnsi="Arial"/>
          <w:sz w:val="17"/>
          <w:szCs w:val="17"/>
          <w:color w:val="auto"/>
        </w:rPr>
      </w:pPr>
    </w:p>
    <w:p>
      <w:pPr>
        <w:ind w:left="1300" w:hanging="644"/>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Amendment of Award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5"/>
        <w:spacing w:after="0" w:line="279" w:lineRule="auto"/>
        <w:tabs>
          <w:tab w:leader="none" w:pos="1952" w:val="left"/>
        </w:tabs>
        <w:numPr>
          <w:ilvl w:val="1"/>
          <w:numId w:val="210"/>
        </w:numPr>
        <w:rPr>
          <w:rFonts w:ascii="Arial" w:cs="Arial" w:eastAsia="Arial" w:hAnsi="Arial"/>
          <w:sz w:val="17"/>
          <w:szCs w:val="17"/>
          <w:color w:val="auto"/>
        </w:rPr>
      </w:pPr>
      <w:r>
        <w:rPr>
          <w:rFonts w:ascii="Arial" w:cs="Arial" w:eastAsia="Arial" w:hAnsi="Arial"/>
          <w:sz w:val="17"/>
          <w:szCs w:val="17"/>
          <w:color w:val="auto"/>
        </w:rPr>
        <w:t>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9.</w:t>
      </w:r>
    </w:p>
    <w:p>
      <w:pPr>
        <w:spacing w:after="0" w:line="171" w:lineRule="exact"/>
        <w:rPr>
          <w:rFonts w:ascii="Arial" w:cs="Arial" w:eastAsia="Arial" w:hAnsi="Arial"/>
          <w:sz w:val="17"/>
          <w:szCs w:val="17"/>
          <w:color w:val="auto"/>
        </w:rPr>
      </w:pPr>
    </w:p>
    <w:p>
      <w:pPr>
        <w:jc w:val="both"/>
        <w:ind w:right="140" w:firstLine="1305"/>
        <w:spacing w:after="0" w:line="302" w:lineRule="auto"/>
        <w:tabs>
          <w:tab w:leader="none" w:pos="1952" w:val="left"/>
        </w:tabs>
        <w:numPr>
          <w:ilvl w:val="1"/>
          <w:numId w:val="210"/>
        </w:numPr>
        <w:rPr>
          <w:rFonts w:ascii="Arial" w:cs="Arial" w:eastAsia="Arial" w:hAnsi="Arial"/>
          <w:sz w:val="16"/>
          <w:szCs w:val="16"/>
          <w:color w:val="auto"/>
        </w:rPr>
      </w:pPr>
      <w:r>
        <w:rPr>
          <w:rFonts w:ascii="Arial" w:cs="Arial" w:eastAsia="Arial" w:hAnsi="Arial"/>
          <w:sz w:val="16"/>
          <w:szCs w:val="16"/>
          <w:color w:val="auto"/>
        </w:rPr>
        <w:t>The Board may, without stockholder approval, amend any outstanding Award granted under the Plan to provide an exercise price per share that is lower than the then-current exercise price per share of such outstanding Award. The Board may also, without stockholder approval, cancel any outstanding award (whether or not granted under the Plan) and grant in substitution therefor new Awards under the Plan covering the same or a different number of shares of Common Stock and having an exercise price per share lower than the then-current exercise price per share of the cancelled award.</w:t>
      </w:r>
    </w:p>
    <w:p>
      <w:pPr>
        <w:spacing w:after="0" w:line="154" w:lineRule="exact"/>
        <w:rPr>
          <w:rFonts w:ascii="Arial" w:cs="Arial" w:eastAsia="Arial" w:hAnsi="Arial"/>
          <w:sz w:val="16"/>
          <w:szCs w:val="16"/>
          <w:color w:val="auto"/>
        </w:rPr>
      </w:pPr>
    </w:p>
    <w:p>
      <w:pPr>
        <w:ind w:right="320" w:firstLine="656"/>
        <w:spacing w:after="0" w:line="308" w:lineRule="auto"/>
        <w:tabs>
          <w:tab w:leader="none" w:pos="1317"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Conditions on Delivery of Stock</w:t>
      </w:r>
      <w:r>
        <w:rPr>
          <w:rFonts w:ascii="Arial" w:cs="Arial" w:eastAsia="Arial" w:hAnsi="Arial"/>
          <w:sz w:val="17"/>
          <w:szCs w:val="17"/>
          <w:color w:val="auto"/>
        </w:rPr>
        <w:t>. The Company will not be obligated to deliver any shares of Common Stock pursuant to the Plan or to remove restrictions from shares previously issued or delivered under the Plan until (i) all conditions of the Award have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7" w:lineRule="exact"/>
        <w:rPr>
          <w:sz w:val="20"/>
          <w:szCs w:val="20"/>
          <w:color w:val="auto"/>
        </w:rPr>
      </w:pPr>
    </w:p>
    <w:p>
      <w:pPr>
        <w:ind w:firstLine="656"/>
        <w:spacing w:after="0" w:line="277" w:lineRule="auto"/>
        <w:tabs>
          <w:tab w:leader="none" w:pos="1304" w:val="left"/>
        </w:tabs>
        <w:numPr>
          <w:ilvl w:val="1"/>
          <w:numId w:val="211"/>
        </w:numPr>
        <w:rPr>
          <w:rFonts w:ascii="Arial" w:cs="Arial" w:eastAsia="Arial" w:hAnsi="Arial"/>
          <w:sz w:val="18"/>
          <w:szCs w:val="18"/>
          <w:color w:val="auto"/>
        </w:rPr>
      </w:pPr>
      <w:r>
        <w:rPr>
          <w:rFonts w:ascii="Arial" w:cs="Arial" w:eastAsia="Arial" w:hAnsi="Arial"/>
          <w:sz w:val="18"/>
          <w:szCs w:val="18"/>
          <w:u w:val="single" w:color="auto"/>
          <w:color w:val="auto"/>
        </w:rPr>
        <w:t>Acceleration</w:t>
      </w:r>
      <w:r>
        <w:rPr>
          <w:rFonts w:ascii="Arial" w:cs="Arial" w:eastAsia="Arial" w:hAnsi="Arial"/>
          <w:sz w:val="18"/>
          <w:szCs w:val="18"/>
          <w:color w:val="auto"/>
        </w:rPr>
        <w:t>. The Board may at any time provide that any Award shall become immediately exercisable in whole or in part, free of some or all restrictions or conditions, or otherwise realizable in whole or in part, as the case may be.</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20" w:firstLine="656"/>
        <w:spacing w:after="0" w:line="259" w:lineRule="auto"/>
        <w:tabs>
          <w:tab w:leader="none" w:pos="1294"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86" w:lineRule="exact"/>
        <w:rPr>
          <w:rFonts w:ascii="Arial" w:cs="Arial" w:eastAsia="Arial" w:hAnsi="Arial"/>
          <w:sz w:val="18"/>
          <w:szCs w:val="18"/>
          <w:color w:val="auto"/>
        </w:rPr>
      </w:pPr>
    </w:p>
    <w:p>
      <w:pPr>
        <w:ind w:right="420" w:firstLine="656"/>
        <w:spacing w:after="0" w:line="264" w:lineRule="auto"/>
        <w:tabs>
          <w:tab w:leader="none" w:pos="1304"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spacing w:after="0" w:line="181" w:lineRule="exact"/>
        <w:rPr>
          <w:rFonts w:ascii="Arial" w:cs="Arial" w:eastAsia="Arial" w:hAnsi="Arial"/>
          <w:sz w:val="18"/>
          <w:szCs w:val="18"/>
          <w:color w:val="auto"/>
        </w:rPr>
      </w:pPr>
    </w:p>
    <w:p>
      <w:pPr>
        <w:ind w:right="60" w:firstLine="656"/>
        <w:spacing w:after="0" w:line="264" w:lineRule="auto"/>
        <w:tabs>
          <w:tab w:leader="none" w:pos="1307"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shall become effective on the date on which it is adopted by the Board. No Awards shall be granted under the Plan after the expiration of 10 years from the earlier of (i) the date on which the Plan was adopted by the Board or (ii) the date the Plan was approved by the Company’s stockholders, but Awards previously granted may extend beyond that date.</w:t>
      </w:r>
    </w:p>
    <w:p>
      <w:pPr>
        <w:spacing w:after="0" w:line="181" w:lineRule="exact"/>
        <w:rPr>
          <w:rFonts w:ascii="Arial" w:cs="Arial" w:eastAsia="Arial" w:hAnsi="Arial"/>
          <w:sz w:val="18"/>
          <w:szCs w:val="18"/>
          <w:color w:val="auto"/>
        </w:rPr>
      </w:pPr>
    </w:p>
    <w:p>
      <w:pPr>
        <w:ind w:firstLine="656"/>
        <w:spacing w:after="0" w:line="255" w:lineRule="auto"/>
        <w:tabs>
          <w:tab w:leader="none" w:pos="1304"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Amendment of Plan</w:t>
      </w:r>
      <w:r>
        <w:rPr>
          <w:rFonts w:ascii="Arial" w:cs="Arial" w:eastAsia="Arial" w:hAnsi="Arial"/>
          <w:sz w:val="18"/>
          <w:szCs w:val="18"/>
          <w:color w:val="auto"/>
        </w:rPr>
        <w:t xml:space="preserve">. The Board may amend, suspend or terminate the Plan or any portion thereof at any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at any time the approval of the Company’s stockholders is required as to any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11(d)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w:t>
      </w:r>
    </w:p>
    <w:p>
      <w:pPr>
        <w:spacing w:after="0" w:line="193" w:lineRule="exact"/>
        <w:rPr>
          <w:rFonts w:ascii="Arial" w:cs="Arial" w:eastAsia="Arial" w:hAnsi="Arial"/>
          <w:sz w:val="18"/>
          <w:szCs w:val="18"/>
          <w:color w:val="auto"/>
        </w:rPr>
      </w:pPr>
    </w:p>
    <w:p>
      <w:pPr>
        <w:ind w:right="20" w:firstLine="656"/>
        <w:spacing w:after="0" w:line="312" w:lineRule="auto"/>
        <w:tabs>
          <w:tab w:leader="none" w:pos="1307"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Authorization of Sub-Plans (including Grants to non-U.S. Employees)</w:t>
      </w:r>
      <w:r>
        <w:rPr>
          <w:rFonts w:ascii="Arial" w:cs="Arial" w:eastAsia="Arial" w:hAnsi="Arial"/>
          <w:sz w:val="16"/>
          <w:szCs w:val="16"/>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991" w:gutter="0" w:footer="0" w:header="0"/>
        </w:sectPr>
      </w:pPr>
    </w:p>
    <w:bookmarkStart w:id="341" w:name="page342"/>
    <w:bookmarkEnd w:id="341"/>
    <w:p>
      <w:pPr>
        <w:ind w:right="100"/>
        <w:spacing w:after="0" w:line="286" w:lineRule="auto"/>
        <w:rPr>
          <w:sz w:val="20"/>
          <w:szCs w:val="20"/>
          <w:color w:val="auto"/>
        </w:rPr>
      </w:pPr>
      <w:r>
        <w:rPr>
          <w:rFonts w:ascii="Arial" w:cs="Arial" w:eastAsia="Arial" w:hAnsi="Arial"/>
          <w:sz w:val="17"/>
          <w:szCs w:val="17"/>
          <w:color w:val="auto"/>
        </w:rPr>
        <w:t>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66" w:lineRule="exact"/>
        <w:rPr>
          <w:sz w:val="20"/>
          <w:szCs w:val="20"/>
          <w:color w:val="auto"/>
        </w:rPr>
      </w:pPr>
    </w:p>
    <w:p>
      <w:pPr>
        <w:ind w:firstLine="656"/>
        <w:spacing w:after="0" w:line="270" w:lineRule="auto"/>
        <w:tabs>
          <w:tab w:leader="none" w:pos="1301"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Compliance with Section 409A of the Code</w:t>
      </w:r>
      <w:r>
        <w:rPr>
          <w:rFonts w:ascii="Arial" w:cs="Arial" w:eastAsia="Arial" w:hAnsi="Arial"/>
          <w:sz w:val="17"/>
          <w:szCs w:val="17"/>
          <w:color w:val="auto"/>
        </w:rPr>
        <w:t>. Except as provided in individual Award agreements initially or by amendment, if and to the extent (i) any portion of any payment, compensation or other benefit provided to a Participant pursuant to the Plan in connection with Participant’s employment termination constitutes “nonqualified deferred compensation” within the meaning of Section 409A of the Code and (ii) the Participant is a specified employee as defined in Section 409A(a)(2)(B)(i) of the Code, in each case as determined by the Company in accordance with its procedures, by which determinations the Participant (through accepting the Award) agrees that the Participant is bound, such portion of the payment, compensation or other benefit shall not be paid before the day that is six months plus one day after the date of “separation from service” (as determined under Section 409A of the Code) (the “</w:t>
      </w:r>
      <w:r>
        <w:rPr>
          <w:rFonts w:ascii="Arial" w:cs="Arial" w:eastAsia="Arial" w:hAnsi="Arial"/>
          <w:sz w:val="17"/>
          <w:szCs w:val="17"/>
          <w:b w:val="1"/>
          <w:bCs w:val="1"/>
          <w:color w:val="auto"/>
        </w:rPr>
        <w:t>New Payment Date</w:t>
      </w:r>
      <w:r>
        <w:rPr>
          <w:rFonts w:ascii="Arial" w:cs="Arial" w:eastAsia="Arial" w:hAnsi="Arial"/>
          <w:sz w:val="17"/>
          <w:szCs w:val="17"/>
          <w:color w:val="auto"/>
        </w:rPr>
        <w:t>”), except as Section 409A of the Code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8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of the Code but do not to satisfy the conditions of that section.</w:t>
      </w:r>
    </w:p>
    <w:p>
      <w:pPr>
        <w:spacing w:after="0" w:line="181" w:lineRule="exact"/>
        <w:rPr>
          <w:sz w:val="20"/>
          <w:szCs w:val="20"/>
          <w:color w:val="auto"/>
        </w:rPr>
      </w:pPr>
    </w:p>
    <w:p>
      <w:pPr>
        <w:ind w:right="200" w:firstLine="656"/>
        <w:spacing w:after="0" w:line="291" w:lineRule="auto"/>
        <w:tabs>
          <w:tab w:leader="none" w:pos="1317"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Limitations on Liability</w:t>
      </w:r>
      <w:r>
        <w:rPr>
          <w:rFonts w:ascii="Arial" w:cs="Arial" w:eastAsia="Arial" w:hAnsi="Arial"/>
          <w:sz w:val="16"/>
          <w:szCs w:val="16"/>
          <w:color w:val="auto"/>
        </w:rPr>
        <w:t>. Notwithstanding any other provisions of the Plan, no individual acting as a director, officer, other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such individual executes in such individual’s capacity as a director, officer, other employee, or agent of the Company. The Company will indemnify and hold harmless each director, officer, other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67" w:lineRule="exact"/>
        <w:rPr>
          <w:rFonts w:ascii="Arial" w:cs="Arial" w:eastAsia="Arial" w:hAnsi="Arial"/>
          <w:sz w:val="16"/>
          <w:szCs w:val="16"/>
          <w:color w:val="auto"/>
        </w:rPr>
      </w:pPr>
    </w:p>
    <w:p>
      <w:pPr>
        <w:ind w:right="40" w:firstLine="656"/>
        <w:spacing w:after="0" w:line="264" w:lineRule="auto"/>
        <w:tabs>
          <w:tab w:leader="none" w:pos="1304"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spacing w:after="0" w:line="181"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42" w:name="page343"/>
    <w:bookmarkEnd w:id="342"/>
    <w:p>
      <w:pPr>
        <w:jc w:val="center"/>
        <w:ind w:right="-19"/>
        <w:spacing w:after="0"/>
        <w:rPr>
          <w:sz w:val="20"/>
          <w:szCs w:val="20"/>
          <w:color w:val="auto"/>
        </w:rPr>
      </w:pPr>
      <w:r>
        <w:rPr>
          <w:rFonts w:ascii="Arial" w:cs="Arial" w:eastAsia="Arial" w:hAnsi="Arial"/>
          <w:sz w:val="18"/>
          <w:szCs w:val="18"/>
          <w:b w:val="1"/>
          <w:bCs w:val="1"/>
          <w:color w:val="auto"/>
        </w:rPr>
        <w:t>FULCRUM THERAPEUTICS, INC. 2016 STOCK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CALIFORNIA SUPPLEMENT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Section 11(e) of the Plan, the Board has adopted this supplement for purposes of satisfying the requirements of Section 25102(o)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California Law:</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Awards granted under the Plan to a Participant who is a resident of the State of California on the date of grant (a “</w:t>
      </w:r>
      <w:r>
        <w:rPr>
          <w:rFonts w:ascii="Arial" w:cs="Arial" w:eastAsia="Arial" w:hAnsi="Arial"/>
          <w:sz w:val="17"/>
          <w:szCs w:val="17"/>
          <w:b w:val="1"/>
          <w:bCs w:val="1"/>
          <w:color w:val="auto"/>
        </w:rPr>
        <w:t>California Participant</w:t>
      </w:r>
      <w:r>
        <w:rPr>
          <w:rFonts w:ascii="Arial" w:cs="Arial" w:eastAsia="Arial" w:hAnsi="Arial"/>
          <w:sz w:val="17"/>
          <w:szCs w:val="17"/>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shall be subject to the following additional limitations, terms and conditions:</w:t>
      </w:r>
    </w:p>
    <w:p>
      <w:pPr>
        <w:spacing w:after="0" w:line="211" w:lineRule="exact"/>
        <w:rPr>
          <w:sz w:val="20"/>
          <w:szCs w:val="20"/>
          <w:color w:val="auto"/>
        </w:rPr>
      </w:pPr>
    </w:p>
    <w:p>
      <w:pPr>
        <w:ind w:left="660" w:hanging="652"/>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Additional Limitations on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656"/>
        <w:spacing w:after="0" w:line="277" w:lineRule="auto"/>
        <w:tabs>
          <w:tab w:leader="none" w:pos="1294" w:val="left"/>
        </w:tabs>
        <w:numPr>
          <w:ilvl w:val="1"/>
          <w:numId w:val="215"/>
        </w:numPr>
        <w:rPr>
          <w:rFonts w:ascii="Arial" w:cs="Arial" w:eastAsia="Arial" w:hAnsi="Arial"/>
          <w:sz w:val="18"/>
          <w:szCs w:val="18"/>
          <w:color w:val="auto"/>
        </w:rPr>
      </w:pPr>
      <w:r>
        <w:rPr>
          <w:rFonts w:ascii="Arial" w:cs="Arial" w:eastAsia="Arial" w:hAnsi="Arial"/>
          <w:sz w:val="18"/>
          <w:szCs w:val="18"/>
          <w:u w:val="single" w:color="auto"/>
          <w:color w:val="auto"/>
        </w:rPr>
        <w:t>Maximum Duration of Options</w:t>
      </w:r>
      <w:r>
        <w:rPr>
          <w:rFonts w:ascii="Arial" w:cs="Arial" w:eastAsia="Arial" w:hAnsi="Arial"/>
          <w:sz w:val="18"/>
          <w:szCs w:val="18"/>
          <w:color w:val="auto"/>
        </w:rPr>
        <w:t>. No Options granted to California Participants shall have a term in excess of 10 years measured from the Option grant date.</w:t>
      </w:r>
    </w:p>
    <w:p>
      <w:pPr>
        <w:spacing w:after="0" w:line="170" w:lineRule="exact"/>
        <w:rPr>
          <w:rFonts w:ascii="Arial" w:cs="Arial" w:eastAsia="Arial" w:hAnsi="Arial"/>
          <w:sz w:val="18"/>
          <w:szCs w:val="18"/>
          <w:color w:val="auto"/>
        </w:rPr>
      </w:pPr>
    </w:p>
    <w:p>
      <w:pPr>
        <w:ind w:firstLine="656"/>
        <w:spacing w:after="0" w:line="297" w:lineRule="auto"/>
        <w:tabs>
          <w:tab w:leader="none" w:pos="1304" w:val="left"/>
        </w:tabs>
        <w:numPr>
          <w:ilvl w:val="1"/>
          <w:numId w:val="215"/>
        </w:numPr>
        <w:rPr>
          <w:rFonts w:ascii="Arial" w:cs="Arial" w:eastAsia="Arial" w:hAnsi="Arial"/>
          <w:sz w:val="16"/>
          <w:szCs w:val="16"/>
          <w:color w:val="auto"/>
        </w:rPr>
      </w:pPr>
      <w:r>
        <w:rPr>
          <w:rFonts w:ascii="Arial" w:cs="Arial" w:eastAsia="Arial" w:hAnsi="Arial"/>
          <w:sz w:val="16"/>
          <w:szCs w:val="16"/>
          <w:u w:val="single" w:color="auto"/>
          <w:color w:val="auto"/>
        </w:rPr>
        <w:t>Minimum Exercise Period Following Termination</w:t>
      </w:r>
      <w:r>
        <w:rPr>
          <w:rFonts w:ascii="Arial" w:cs="Arial" w:eastAsia="Arial" w:hAnsi="Arial"/>
          <w:sz w:val="16"/>
          <w:szCs w:val="16"/>
          <w:color w:val="auto"/>
        </w:rPr>
        <w:t>. Unless a California Participant’s employment is terminated for cause (as defined by applicable law, the terms of the Plan or option grant or a contract of employment), in the event of termination of employment of such Participant, such Participant shall have the right to exercise an Option, to the extent that such Participant is entitled to exercise such Option on the date employment terminated, until the earlier of: (i) at least six months from the date of termination, if termination was caused by such Participant’s death or disability, (ii) at least 30 days from the date of termination, if termination was caused other than by such Participant’s death or disability and (iii) the Option expiration date.</w:t>
      </w:r>
    </w:p>
    <w:p>
      <w:pPr>
        <w:spacing w:after="0" w:line="158" w:lineRule="exact"/>
        <w:rPr>
          <w:rFonts w:ascii="Arial" w:cs="Arial" w:eastAsia="Arial" w:hAnsi="Arial"/>
          <w:sz w:val="16"/>
          <w:szCs w:val="16"/>
          <w:color w:val="auto"/>
        </w:rPr>
      </w:pPr>
    </w:p>
    <w:p>
      <w:pPr>
        <w:ind w:right="100" w:firstLine="8"/>
        <w:spacing w:after="0" w:line="277" w:lineRule="auto"/>
        <w:tabs>
          <w:tab w:leader="none" w:pos="648"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Additional Limitations for Other Stock-Based Awards</w:t>
      </w:r>
      <w:r>
        <w:rPr>
          <w:rFonts w:ascii="Arial" w:cs="Arial" w:eastAsia="Arial" w:hAnsi="Arial"/>
          <w:sz w:val="18"/>
          <w:szCs w:val="18"/>
          <w:color w:val="auto"/>
        </w:rPr>
        <w:t>. The terms of all Awards granted to a California Participant under Section 8 of the Plan shall comply, to the extent applicable, with Sections 260.140.42, 260.140.45 and 260.140.46 of the California Code of Regulations.</w:t>
      </w:r>
    </w:p>
    <w:p>
      <w:pPr>
        <w:spacing w:after="0" w:line="170" w:lineRule="exact"/>
        <w:rPr>
          <w:rFonts w:ascii="Arial" w:cs="Arial" w:eastAsia="Arial" w:hAnsi="Arial"/>
          <w:sz w:val="18"/>
          <w:szCs w:val="18"/>
          <w:color w:val="auto"/>
        </w:rPr>
      </w:pPr>
    </w:p>
    <w:p>
      <w:pPr>
        <w:ind w:right="500" w:firstLine="8"/>
        <w:spacing w:after="0" w:line="291" w:lineRule="auto"/>
        <w:tabs>
          <w:tab w:leader="none" w:pos="648"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Additional Limitations on Timing of Awards</w:t>
      </w:r>
      <w:r>
        <w:rPr>
          <w:rFonts w:ascii="Arial" w:cs="Arial" w:eastAsia="Arial" w:hAnsi="Arial"/>
          <w:sz w:val="16"/>
          <w:szCs w:val="16"/>
          <w:color w:val="auto"/>
        </w:rPr>
        <w:t>. No Award granted to a California Participant shall become exercisable, vested or realizable, as applicable to such Award, unless the Plan has been approved by the holders of a majority of the Company’s outstanding voting securities by the later of</w:t>
      </w:r>
    </w:p>
    <w:p>
      <w:pPr>
        <w:ind w:right="680"/>
        <w:spacing w:after="0" w:line="261" w:lineRule="auto"/>
        <w:rPr>
          <w:rFonts w:ascii="Arial" w:cs="Arial" w:eastAsia="Arial" w:hAnsi="Arial"/>
          <w:sz w:val="16"/>
          <w:szCs w:val="16"/>
          <w:color w:val="auto"/>
        </w:rPr>
      </w:pPr>
      <w:r>
        <w:rPr>
          <w:rFonts w:ascii="Arial" w:cs="Arial" w:eastAsia="Arial" w:hAnsi="Arial"/>
          <w:sz w:val="18"/>
          <w:szCs w:val="18"/>
          <w:color w:val="auto"/>
        </w:rPr>
        <w:t>(i) within 12 months before or after the date the Plan was adopted by the Board, or (ii) prior to or within 12 months of the granting of any Award to a California Participant.</w:t>
      </w:r>
    </w:p>
    <w:p>
      <w:pPr>
        <w:spacing w:after="0" w:line="183" w:lineRule="exact"/>
        <w:rPr>
          <w:rFonts w:ascii="Arial" w:cs="Arial" w:eastAsia="Arial" w:hAnsi="Arial"/>
          <w:sz w:val="16"/>
          <w:szCs w:val="16"/>
          <w:color w:val="auto"/>
        </w:rPr>
      </w:pPr>
    </w:p>
    <w:p>
      <w:pPr>
        <w:ind w:right="140" w:firstLine="8"/>
        <w:spacing w:after="0" w:line="259" w:lineRule="auto"/>
        <w:tabs>
          <w:tab w:leader="none" w:pos="648"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Additional Restriction Regarding Recapitalizations, Stock Splits, Etc.</w:t>
      </w:r>
      <w:r>
        <w:rPr>
          <w:rFonts w:ascii="Arial" w:cs="Arial" w:eastAsia="Arial" w:hAnsi="Arial"/>
          <w:sz w:val="18"/>
          <w:szCs w:val="18"/>
          <w:color w:val="auto"/>
        </w:rPr>
        <w:t xml:space="preserve"> For purposes of Section 9 of the Plan, in the event of a stock split, reverse stock split, stock dividend, recapitalization, combination, reclassification or other distribution of the Company’s securities underlying the Award without the receipt of consideration by the Company, the number of securities purchasable, and in the case of Options, the exercise price of such Options, must be proportionately adjusted.</w:t>
      </w:r>
    </w:p>
    <w:p>
      <w:pPr>
        <w:spacing w:after="0" w:line="186" w:lineRule="exact"/>
        <w:rPr>
          <w:rFonts w:ascii="Arial" w:cs="Arial" w:eastAsia="Arial" w:hAnsi="Arial"/>
          <w:sz w:val="18"/>
          <w:szCs w:val="18"/>
          <w:color w:val="auto"/>
        </w:rPr>
      </w:pPr>
    </w:p>
    <w:p>
      <w:pPr>
        <w:ind w:right="120" w:firstLine="8"/>
        <w:spacing w:after="0" w:line="277" w:lineRule="auto"/>
        <w:tabs>
          <w:tab w:leader="none" w:pos="648"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Additional Limitations on Transferability of Awards.</w:t>
      </w:r>
      <w:r>
        <w:rPr>
          <w:rFonts w:ascii="Arial" w:cs="Arial" w:eastAsia="Arial" w:hAnsi="Arial"/>
          <w:sz w:val="18"/>
          <w:szCs w:val="18"/>
          <w:color w:val="auto"/>
        </w:rPr>
        <w:t xml:space="preserve"> Notwithstanding the provisions of Section 10(a) of the Plan, an Award granted to a California Participant may not be transferred to an executor or guardian upon the disability of the Participant.</w:t>
      </w:r>
    </w:p>
    <w:p>
      <w:pPr>
        <w:spacing w:after="0" w:line="170"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 *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STOCK 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GRANTED UNDER 2016 STOCK INCENTIVE PLAN</w:t>
      </w:r>
    </w:p>
    <w:p>
      <w:pPr>
        <w:spacing w:after="0" w:line="211" w:lineRule="exact"/>
        <w:rPr>
          <w:sz w:val="20"/>
          <w:szCs w:val="20"/>
          <w:color w:val="auto"/>
        </w:rPr>
      </w:pPr>
    </w:p>
    <w:p>
      <w:pPr>
        <w:ind w:left="660" w:hanging="652"/>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This Incentive Stock Option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evidences the grant by Fulcrum Therapeutics, Inc., a Delaware corporation (the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on [ , 20 ] (the “</w:t>
      </w:r>
      <w:r>
        <w:rPr>
          <w:rFonts w:ascii="Arial" w:cs="Arial" w:eastAsia="Arial" w:hAnsi="Arial"/>
          <w:sz w:val="18"/>
          <w:szCs w:val="18"/>
          <w:b w:val="1"/>
          <w:bCs w:val="1"/>
          <w:color w:val="auto"/>
        </w:rPr>
        <w:t>Grant Date</w:t>
      </w:r>
      <w:r>
        <w:rPr>
          <w:rFonts w:ascii="Arial" w:cs="Arial" w:eastAsia="Arial" w:hAnsi="Arial"/>
          <w:sz w:val="18"/>
          <w:szCs w:val="18"/>
          <w:color w:val="auto"/>
        </w:rPr>
        <w:t>”) to [ ], an employee of the Company (the “</w:t>
      </w:r>
      <w:r>
        <w:rPr>
          <w:rFonts w:ascii="Arial" w:cs="Arial" w:eastAsia="Arial" w:hAnsi="Arial"/>
          <w:sz w:val="18"/>
          <w:szCs w:val="18"/>
          <w:b w:val="1"/>
          <w:bCs w:val="1"/>
          <w:color w:val="auto"/>
        </w:rPr>
        <w:t>Participant</w:t>
      </w:r>
      <w:r>
        <w:rPr>
          <w:rFonts w:ascii="Arial" w:cs="Arial" w:eastAsia="Arial" w:hAnsi="Arial"/>
          <w:sz w:val="18"/>
          <w:szCs w:val="18"/>
          <w:color w:val="auto"/>
        </w:rPr>
        <w:t>”), of an option to purchase, in whole or in part, on the terms provided herein and in the Company’s 2016 Stock Incentive Plan (the “</w:t>
      </w:r>
      <w:r>
        <w:rPr>
          <w:rFonts w:ascii="Arial" w:cs="Arial" w:eastAsia="Arial" w:hAnsi="Arial"/>
          <w:sz w:val="18"/>
          <w:szCs w:val="18"/>
          <w:b w:val="1"/>
          <w:bCs w:val="1"/>
          <w:color w:val="auto"/>
        </w:rPr>
        <w:t>Plan</w:t>
      </w:r>
      <w:r>
        <w:rPr>
          <w:rFonts w:ascii="Arial" w:cs="Arial" w:eastAsia="Arial" w:hAnsi="Arial"/>
          <w:sz w:val="18"/>
          <w:szCs w:val="18"/>
          <w:color w:val="auto"/>
        </w:rPr>
        <w:t>”), a total of [ ] shares (the “</w:t>
      </w:r>
      <w:r>
        <w:rPr>
          <w:rFonts w:ascii="Arial" w:cs="Arial" w:eastAsia="Arial" w:hAnsi="Arial"/>
          <w:sz w:val="18"/>
          <w:szCs w:val="18"/>
          <w:b w:val="1"/>
          <w:bCs w:val="1"/>
          <w:color w:val="auto"/>
        </w:rPr>
        <w:t>Shares</w:t>
      </w:r>
      <w:r>
        <w:rPr>
          <w:rFonts w:ascii="Arial" w:cs="Arial" w:eastAsia="Arial" w:hAnsi="Arial"/>
          <w:sz w:val="18"/>
          <w:szCs w:val="18"/>
          <w:color w:val="auto"/>
        </w:rPr>
        <w:t>”) of common stock, $0.001 par value per share, of the Company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at $[ </w:t>
      </w:r>
      <w:r>
        <w:rPr>
          <w:rFonts w:ascii="Arial" w:cs="Arial" w:eastAsia="Arial" w:hAnsi="Arial"/>
          <w:sz w:val="18"/>
          <w:szCs w:val="18"/>
          <w:u w:val="single" w:color="auto"/>
          <w:color w:val="auto"/>
        </w:rPr>
        <w:t>]</w:t>
      </w:r>
      <w:r>
        <w:rPr>
          <w:rFonts w:ascii="Arial" w:cs="Arial" w:eastAsia="Arial" w:hAnsi="Arial"/>
          <w:sz w:val="18"/>
          <w:szCs w:val="18"/>
          <w:color w:val="auto"/>
        </w:rPr>
        <w:t xml:space="preserve"> per Share. Unless earlier terminated, this option shall expire at 5:00 p.m., Eastern time, on [ , 20 ] [date is ten years minus one day from grant date] (the “</w:t>
      </w:r>
      <w:r>
        <w:rPr>
          <w:rFonts w:ascii="Arial" w:cs="Arial" w:eastAsia="Arial" w:hAnsi="Arial"/>
          <w:sz w:val="18"/>
          <w:szCs w:val="18"/>
          <w:b w:val="1"/>
          <w:bCs w:val="1"/>
          <w:color w:val="auto"/>
        </w:rPr>
        <w:t>Final Exercise Da</w:t>
      </w:r>
      <w:r>
        <w:rPr>
          <w:rFonts w:ascii="Arial" w:cs="Arial" w:eastAsia="Arial" w:hAnsi="Arial"/>
          <w:sz w:val="18"/>
          <w:szCs w:val="18"/>
          <w:color w:val="auto"/>
        </w:rPr>
        <w:t>te”).</w:t>
      </w:r>
    </w:p>
    <w:p>
      <w:pPr>
        <w:spacing w:after="0" w:line="19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It is intended that the option evidenced by this Agreement shall be an incentive stock option as defined in Section 422 of the Internal Revenue Code of 1986, as amended, and any regulations promulgated thereunder (the “</w:t>
      </w:r>
      <w:r>
        <w:rPr>
          <w:rFonts w:ascii="Arial" w:cs="Arial" w:eastAsia="Arial" w:hAnsi="Arial"/>
          <w:sz w:val="16"/>
          <w:szCs w:val="16"/>
          <w:b w:val="1"/>
          <w:bCs w:val="1"/>
          <w:color w:val="auto"/>
        </w:rPr>
        <w:t>Code</w:t>
      </w:r>
      <w:r>
        <w:rPr>
          <w:rFonts w:ascii="Arial" w:cs="Arial" w:eastAsia="Arial" w:hAnsi="Arial"/>
          <w:sz w:val="16"/>
          <w:szCs w:val="16"/>
          <w:color w:val="auto"/>
        </w:rPr>
        <w:t>”). To the extent not designated as an incentive stock option, or to the extent that the option does not qualify as an incentive stock option, the option shall be a nonstatutory stock option. Except as otherwise indicated by the context, the term “</w:t>
      </w:r>
      <w:r>
        <w:rPr>
          <w:rFonts w:ascii="Arial" w:cs="Arial" w:eastAsia="Arial" w:hAnsi="Arial"/>
          <w:sz w:val="16"/>
          <w:szCs w:val="16"/>
          <w:b w:val="1"/>
          <w:bCs w:val="1"/>
          <w:color w:val="auto"/>
        </w:rPr>
        <w:t>Participant</w:t>
      </w:r>
      <w:r>
        <w:rPr>
          <w:rFonts w:ascii="Arial" w:cs="Arial" w:eastAsia="Arial" w:hAnsi="Arial"/>
          <w:sz w:val="16"/>
          <w:szCs w:val="16"/>
          <w:color w:val="auto"/>
        </w:rPr>
        <w:t>”, as used in this option, shall be deemed to include any person who acquires the right to exercise this option validly under its terms.</w:t>
      </w:r>
    </w:p>
    <w:p>
      <w:pPr>
        <w:spacing w:after="0" w:line="154" w:lineRule="exact"/>
        <w:rPr>
          <w:sz w:val="20"/>
          <w:szCs w:val="20"/>
          <w:color w:val="auto"/>
        </w:rPr>
      </w:pPr>
    </w:p>
    <w:p>
      <w:pPr>
        <w:ind w:left="660" w:hanging="652"/>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4840" w:val="left"/>
        </w:tabs>
        <w:rPr>
          <w:sz w:val="20"/>
          <w:szCs w:val="20"/>
          <w:color w:val="auto"/>
        </w:rPr>
      </w:pPr>
      <w:r>
        <w:rPr>
          <w:rFonts w:ascii="Arial" w:cs="Arial" w:eastAsia="Arial" w:hAnsi="Arial"/>
          <w:sz w:val="18"/>
          <w:szCs w:val="18"/>
          <w:color w:val="auto"/>
        </w:rPr>
        <w:t>This option will become exercisable (“</w:t>
      </w:r>
      <w:r>
        <w:rPr>
          <w:rFonts w:ascii="Arial" w:cs="Arial" w:eastAsia="Arial" w:hAnsi="Arial"/>
          <w:sz w:val="18"/>
          <w:szCs w:val="18"/>
          <w:b w:val="1"/>
          <w:bCs w:val="1"/>
          <w:color w:val="auto"/>
        </w:rPr>
        <w:t>vest</w:t>
      </w:r>
      <w:r>
        <w:rPr>
          <w:rFonts w:ascii="Arial" w:cs="Arial" w:eastAsia="Arial" w:hAnsi="Arial"/>
          <w:sz w:val="18"/>
          <w:szCs w:val="18"/>
          <w:color w:val="auto"/>
        </w:rPr>
        <w:t>”) as to [</w:t>
      </w:r>
      <w:r>
        <w:rPr>
          <w:sz w:val="20"/>
          <w:szCs w:val="20"/>
          <w:color w:val="auto"/>
        </w:rPr>
        <w:tab/>
      </w:r>
      <w:r>
        <w:rPr>
          <w:rFonts w:ascii="Arial" w:cs="Arial" w:eastAsia="Arial" w:hAnsi="Arial"/>
          <w:sz w:val="16"/>
          <w:szCs w:val="16"/>
          <w:color w:val="auto"/>
        </w:rPr>
        <w:t>]. For purposes of this Agreement, “</w:t>
      </w:r>
      <w:r>
        <w:rPr>
          <w:rFonts w:ascii="Arial" w:cs="Arial" w:eastAsia="Arial" w:hAnsi="Arial"/>
          <w:sz w:val="16"/>
          <w:szCs w:val="16"/>
          <w:b w:val="1"/>
          <w:bCs w:val="1"/>
          <w:color w:val="auto"/>
        </w:rPr>
        <w:t>Vesting Commencement Date</w:t>
      </w:r>
      <w:r>
        <w:rPr>
          <w:rFonts w:ascii="Arial" w:cs="Arial" w:eastAsia="Arial" w:hAnsi="Arial"/>
          <w:sz w:val="16"/>
          <w:szCs w:val="16"/>
          <w:color w:val="auto"/>
        </w:rPr>
        <w:t>” shall mean</w:t>
      </w:r>
    </w:p>
    <w:p>
      <w:pPr>
        <w:spacing w:after="0" w:line="27" w:lineRule="exact"/>
        <w:rPr>
          <w:sz w:val="20"/>
          <w:szCs w:val="20"/>
          <w:color w:val="auto"/>
        </w:rPr>
      </w:pPr>
    </w:p>
    <w:p>
      <w:pPr>
        <w:ind w:left="880" w:hanging="872"/>
        <w:spacing w:after="0"/>
        <w:tabs>
          <w:tab w:leader="none" w:pos="8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181" w:lineRule="exact"/>
        <w:rPr>
          <w:sz w:val="20"/>
          <w:szCs w:val="20"/>
          <w:color w:val="auto"/>
        </w:rPr>
      </w:pPr>
    </w:p>
    <w:p>
      <w:pPr>
        <w:ind w:left="660" w:hanging="652"/>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60" w:firstLine="656"/>
        <w:spacing w:after="0" w:line="259" w:lineRule="auto"/>
        <w:tabs>
          <w:tab w:leader="none" w:pos="1294" w:val="left"/>
        </w:tabs>
        <w:numPr>
          <w:ilvl w:val="1"/>
          <w:numId w:val="219"/>
        </w:numPr>
        <w:rPr>
          <w:rFonts w:ascii="Arial" w:cs="Arial" w:eastAsia="Arial" w:hAnsi="Arial"/>
          <w:sz w:val="18"/>
          <w:szCs w:val="18"/>
          <w:color w:val="auto"/>
        </w:rPr>
      </w:pPr>
      <w:r>
        <w:rPr>
          <w:rFonts w:ascii="Arial" w:cs="Arial" w:eastAsia="Arial" w:hAnsi="Arial"/>
          <w:sz w:val="18"/>
          <w:szCs w:val="18"/>
          <w:u w:val="single" w:color="auto"/>
          <w:color w:val="auto"/>
        </w:rPr>
        <w:t>Form of Exercise</w:t>
      </w:r>
      <w:r>
        <w:rPr>
          <w:rFonts w:ascii="Arial" w:cs="Arial" w:eastAsia="Arial" w:hAnsi="Arial"/>
          <w:sz w:val="18"/>
          <w:szCs w:val="18"/>
          <w:color w:val="auto"/>
        </w:rPr>
        <w:t xml:space="preserve">. Each election to exercise this option shall be accompanied by a completed Notice of Stock Option Exercise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 or for fewer than ten whole shares.</w:t>
      </w:r>
    </w:p>
    <w:p>
      <w:pPr>
        <w:spacing w:after="0" w:line="186" w:lineRule="exact"/>
        <w:rPr>
          <w:rFonts w:ascii="Arial" w:cs="Arial" w:eastAsia="Arial" w:hAnsi="Arial"/>
          <w:sz w:val="18"/>
          <w:szCs w:val="18"/>
          <w:color w:val="auto"/>
        </w:rPr>
      </w:pPr>
    </w:p>
    <w:p>
      <w:pPr>
        <w:ind w:right="340" w:firstLine="656"/>
        <w:spacing w:after="0" w:line="308" w:lineRule="auto"/>
        <w:tabs>
          <w:tab w:leader="none" w:pos="1304" w:val="left"/>
        </w:tabs>
        <w:numPr>
          <w:ilvl w:val="1"/>
          <w:numId w:val="219"/>
        </w:numPr>
        <w:rPr>
          <w:rFonts w:ascii="Arial" w:cs="Arial" w:eastAsia="Arial" w:hAnsi="Arial"/>
          <w:sz w:val="17"/>
          <w:szCs w:val="17"/>
          <w:color w:val="auto"/>
        </w:rPr>
      </w:pPr>
      <w:r>
        <w:rPr>
          <w:rFonts w:ascii="Arial" w:cs="Arial" w:eastAsia="Arial" w:hAnsi="Arial"/>
          <w:sz w:val="17"/>
          <w:szCs w:val="17"/>
          <w:u w:val="single" w:color="auto"/>
          <w:color w:val="auto"/>
        </w:rPr>
        <w:t>Continuous Relationship with the Company Required</w:t>
      </w:r>
      <w:r>
        <w:rPr>
          <w:rFonts w:ascii="Arial" w:cs="Arial" w:eastAsia="Arial" w:hAnsi="Arial"/>
          <w:sz w:val="17"/>
          <w:szCs w:val="17"/>
          <w:color w:val="auto"/>
        </w:rPr>
        <w:t>. Except as otherwise provided in this Section 3, this option may not be exercised unless the Participant, at the time he or she exercises this option, is, and has been at all times since the Grant Date, an employee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44" w:name="page345"/>
    <w:bookmarkEnd w:id="344"/>
    <w:p>
      <w:pPr>
        <w:ind w:right="140"/>
        <w:spacing w:after="0" w:line="282" w:lineRule="auto"/>
        <w:rPr>
          <w:sz w:val="20"/>
          <w:szCs w:val="20"/>
          <w:color w:val="auto"/>
        </w:rPr>
      </w:pPr>
      <w:r>
        <w:rPr>
          <w:rFonts w:ascii="Arial" w:cs="Arial" w:eastAsia="Arial" w:hAnsi="Arial"/>
          <w:sz w:val="18"/>
          <w:szCs w:val="18"/>
          <w:color w:val="auto"/>
        </w:rPr>
        <w:t>officer of, or consultant or advisor to, the Company or any parent or subsidiary of the Company as defined in Section 424(e) or (f) of the Code (an “</w:t>
      </w:r>
      <w:r>
        <w:rPr>
          <w:rFonts w:ascii="Arial" w:cs="Arial" w:eastAsia="Arial" w:hAnsi="Arial"/>
          <w:sz w:val="18"/>
          <w:szCs w:val="18"/>
          <w:b w:val="1"/>
          <w:bCs w:val="1"/>
          <w:color w:val="auto"/>
        </w:rPr>
        <w:t>Eligible</w:t>
      </w:r>
      <w:r>
        <w:rPr>
          <w:rFonts w:ascii="Arial" w:cs="Arial" w:eastAsia="Arial" w:hAnsi="Arial"/>
          <w:sz w:val="18"/>
          <w:szCs w:val="18"/>
          <w:color w:val="auto"/>
        </w:rPr>
        <w:t xml:space="preserve">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166" w:lineRule="exact"/>
        <w:rPr>
          <w:sz w:val="20"/>
          <w:szCs w:val="20"/>
          <w:color w:val="auto"/>
        </w:rPr>
      </w:pPr>
    </w:p>
    <w:p>
      <w:pPr>
        <w:ind w:firstLine="656"/>
        <w:spacing w:after="0" w:line="255" w:lineRule="auto"/>
        <w:tabs>
          <w:tab w:leader="none" w:pos="1307"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with the Company</w:t>
      </w:r>
      <w:r>
        <w:rPr>
          <w:rFonts w:ascii="Arial" w:cs="Arial" w:eastAsia="Arial" w:hAnsi="Arial"/>
          <w:sz w:val="18"/>
          <w:szCs w:val="18"/>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such violation.</w:t>
      </w:r>
    </w:p>
    <w:p>
      <w:pPr>
        <w:spacing w:after="0" w:line="193" w:lineRule="exact"/>
        <w:rPr>
          <w:rFonts w:ascii="Arial" w:cs="Arial" w:eastAsia="Arial" w:hAnsi="Arial"/>
          <w:sz w:val="18"/>
          <w:szCs w:val="18"/>
          <w:color w:val="auto"/>
        </w:rPr>
      </w:pPr>
    </w:p>
    <w:p>
      <w:pPr>
        <w:ind w:right="40" w:firstLine="656"/>
        <w:spacing w:after="0" w:line="255" w:lineRule="auto"/>
        <w:tabs>
          <w:tab w:leader="none" w:pos="1304"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Exercise Period Upon Death or Disability</w:t>
      </w:r>
      <w:r>
        <w:rPr>
          <w:rFonts w:ascii="Arial" w:cs="Arial" w:eastAsia="Arial" w:hAnsi="Arial"/>
          <w:sz w:val="18"/>
          <w:szCs w:val="18"/>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93" w:lineRule="exact"/>
        <w:rPr>
          <w:rFonts w:ascii="Arial" w:cs="Arial" w:eastAsia="Arial" w:hAnsi="Arial"/>
          <w:sz w:val="18"/>
          <w:szCs w:val="18"/>
          <w:color w:val="auto"/>
        </w:rPr>
      </w:pPr>
    </w:p>
    <w:p>
      <w:pPr>
        <w:ind w:firstLine="656"/>
        <w:spacing w:after="0" w:line="268" w:lineRule="auto"/>
        <w:tabs>
          <w:tab w:leader="none" w:pos="1307"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If, prior to the Final Exercise Date, the Participant’s employment is terminated by the Company for Cause (as defined below), the right to exercise this option shall terminate immediately upon the effective date of such termination of employment. If, prior to the Final Exercise Date, the Participant is given notice by the Company of the termination of his or her employment by the Company for Cause, and the effective date of such employment termination is subsequent to the date of delivery of such notice, the right to exercise this option shall be suspended from the time of the delivery of such notice until the earlier of (i) such time as it is determined or otherwise agreed that the Participant’s employment shall not be terminated for Cause as provided in such notice or (ii) the effective date of such termination of employment (in which case the right to exercise this option shall, pursuant to the preceding sentence, terminate upon the effective date of such termination of employment). If the Participant is party to an employment or severance agreement with the Company that contains a definition of “cause” for termination of employment, “Cause”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Participant’s employment shall be considered to have been terminated for Cause if the Company determines, within 30 days after the Participant’s resignation, that termination for Cause was warranted.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345" w:name="page346"/>
    <w:bookmarkEnd w:id="345"/>
    <w:p>
      <w:pPr>
        <w:ind w:left="652" w:hanging="652"/>
        <w:spacing w:after="0"/>
        <w:tabs>
          <w:tab w:leader="none" w:pos="652"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Company Right of First Refusal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40" w:firstLine="656"/>
        <w:spacing w:after="0" w:line="302" w:lineRule="auto"/>
        <w:tabs>
          <w:tab w:leader="none" w:pos="1286"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Notice of Proposed Transfer</w:t>
      </w:r>
      <w:r>
        <w:rPr>
          <w:rFonts w:ascii="Arial" w:cs="Arial" w:eastAsia="Arial" w:hAnsi="Arial"/>
          <w:sz w:val="16"/>
          <w:szCs w:val="16"/>
          <w:color w:val="auto"/>
        </w:rPr>
        <w:t>. If the Participant proposes to sell, assign, transfer, pledge, hypothecate or otherwise dispose of, by operation of law or otherwise (collectively, “transfer”) any Shares acquired upon exercise of this option, then the Participant shall first give written notice of the proposed transfer (the “</w:t>
      </w:r>
      <w:r>
        <w:rPr>
          <w:rFonts w:ascii="Arial" w:cs="Arial" w:eastAsia="Arial" w:hAnsi="Arial"/>
          <w:sz w:val="16"/>
          <w:szCs w:val="16"/>
          <w:b w:val="1"/>
          <w:bCs w:val="1"/>
          <w:color w:val="auto"/>
        </w:rPr>
        <w:t>Transfer Notice</w:t>
      </w:r>
      <w:r>
        <w:rPr>
          <w:rFonts w:ascii="Arial" w:cs="Arial" w:eastAsia="Arial" w:hAnsi="Arial"/>
          <w:sz w:val="16"/>
          <w:szCs w:val="16"/>
          <w:color w:val="auto"/>
        </w:rPr>
        <w:t>”) to the Company. The Transfer Notice shall name the proposed transferee and state the number of such Shares the Participant proposes to transfer (the “</w:t>
      </w:r>
      <w:r>
        <w:rPr>
          <w:rFonts w:ascii="Arial" w:cs="Arial" w:eastAsia="Arial" w:hAnsi="Arial"/>
          <w:sz w:val="16"/>
          <w:szCs w:val="16"/>
          <w:b w:val="1"/>
          <w:bCs w:val="1"/>
          <w:color w:val="auto"/>
        </w:rPr>
        <w:t>Offered Shares</w:t>
      </w:r>
      <w:r>
        <w:rPr>
          <w:rFonts w:ascii="Arial" w:cs="Arial" w:eastAsia="Arial" w:hAnsi="Arial"/>
          <w:sz w:val="16"/>
          <w:szCs w:val="16"/>
          <w:color w:val="auto"/>
        </w:rPr>
        <w:t>”), the price per share and all other material terms and conditions of the transfer.</w:t>
      </w:r>
    </w:p>
    <w:p>
      <w:pPr>
        <w:spacing w:after="0" w:line="154" w:lineRule="exact"/>
        <w:rPr>
          <w:rFonts w:ascii="Arial" w:cs="Arial" w:eastAsia="Arial" w:hAnsi="Arial"/>
          <w:sz w:val="16"/>
          <w:szCs w:val="16"/>
          <w:color w:val="auto"/>
        </w:rPr>
      </w:pPr>
    </w:p>
    <w:p>
      <w:pPr>
        <w:ind w:left="-8" w:firstLine="656"/>
        <w:spacing w:after="0" w:line="289" w:lineRule="auto"/>
        <w:tabs>
          <w:tab w:leader="none" w:pos="1296"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Company Right to Purchase</w:t>
      </w:r>
      <w:r>
        <w:rPr>
          <w:rFonts w:ascii="Arial" w:cs="Arial" w:eastAsia="Arial" w:hAnsi="Arial"/>
          <w:sz w:val="16"/>
          <w:szCs w:val="16"/>
          <w:color w:val="auto"/>
        </w:rPr>
        <w:t xml:space="preserve">. For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Participant within such 30-day period. Within 10 days after his or her receipt of such notice, the Participant shall tender to the Company at its principal offices the certificate or certificates representing the Offered Shares to be purchased by the Company, duly endorsed in blank by the Participant or with duly endorsed stock powers attached thereto, all in a form suitable for transfer of the Offered Shares to the Company. Promptly following receipt of such certificate or certificates, the Company shall deliver or mail to the Participant a check in payment of the purchase price for such Offered Shares;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the terms of payment set forth in the Transfer Notice were other than cash against delivery, the Company may pay for the Offered Shares on the same terms and conditions as were set forth in the Transfer Notice;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delay in making such payment shall not invalidate the Company’s exercise of its option to purchase the Offered Shares.</w:t>
      </w:r>
    </w:p>
    <w:p>
      <w:pPr>
        <w:spacing w:after="0" w:line="166" w:lineRule="exact"/>
        <w:rPr>
          <w:rFonts w:ascii="Arial" w:cs="Arial" w:eastAsia="Arial" w:hAnsi="Arial"/>
          <w:sz w:val="16"/>
          <w:szCs w:val="16"/>
          <w:color w:val="auto"/>
        </w:rPr>
      </w:pPr>
    </w:p>
    <w:p>
      <w:pPr>
        <w:ind w:left="-8" w:right="20" w:firstLine="656"/>
        <w:spacing w:after="0" w:line="273" w:lineRule="auto"/>
        <w:tabs>
          <w:tab w:leader="none" w:pos="1299" w:val="left"/>
        </w:tabs>
        <w:numPr>
          <w:ilvl w:val="1"/>
          <w:numId w:val="221"/>
        </w:numPr>
        <w:rPr>
          <w:rFonts w:ascii="Arial" w:cs="Arial" w:eastAsia="Arial" w:hAnsi="Arial"/>
          <w:sz w:val="17"/>
          <w:szCs w:val="17"/>
          <w:color w:val="auto"/>
        </w:rPr>
      </w:pPr>
      <w:r>
        <w:rPr>
          <w:rFonts w:ascii="Arial" w:cs="Arial" w:eastAsia="Arial" w:hAnsi="Arial"/>
          <w:sz w:val="17"/>
          <w:szCs w:val="17"/>
          <w:u w:val="single" w:color="auto"/>
          <w:color w:val="auto"/>
        </w:rPr>
        <w:t>Shares Not Purchased By Company</w:t>
      </w:r>
      <w:r>
        <w:rPr>
          <w:rFonts w:ascii="Arial" w:cs="Arial" w:eastAsia="Arial" w:hAnsi="Arial"/>
          <w:sz w:val="17"/>
          <w:szCs w:val="17"/>
          <w:color w:val="auto"/>
        </w:rPr>
        <w:t xml:space="preserve">. If the Company does not elect to acquire all of the Offered Shares, the Participant may, within the 30-day period following the expiration of the option granted to the Company under subsection (b) above, transfer the Offered Shares which the Company has not elected to acquire to the proposed transferee,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transfer shall not be on terms and conditions more favorable to the transferee than those contained in the Transfer Notice. Notwithstanding any of the above, all Offered Shares transferred pursuant to this Section 4 shall remain subject to the right of first refusal set forth in this Section 4 and such transferee shall, as a condition to such transfer, deliver to the Company a written instrument confirming that such transferee shall be bound by all of the terms and conditions of this Section 4.</w:t>
      </w:r>
    </w:p>
    <w:p>
      <w:pPr>
        <w:spacing w:after="0" w:line="178" w:lineRule="exact"/>
        <w:rPr>
          <w:rFonts w:ascii="Arial" w:cs="Arial" w:eastAsia="Arial" w:hAnsi="Arial"/>
          <w:sz w:val="17"/>
          <w:szCs w:val="17"/>
          <w:color w:val="auto"/>
        </w:rPr>
      </w:pPr>
    </w:p>
    <w:p>
      <w:pPr>
        <w:ind w:left="-8" w:right="100" w:firstLine="656"/>
        <w:spacing w:after="0" w:line="259" w:lineRule="auto"/>
        <w:tabs>
          <w:tab w:leader="none" w:pos="1296"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Consequences of Non-Delivery</w:t>
      </w:r>
      <w:r>
        <w:rPr>
          <w:rFonts w:ascii="Arial" w:cs="Arial" w:eastAsia="Arial" w:hAnsi="Arial"/>
          <w:sz w:val="18"/>
          <w:szCs w:val="18"/>
          <w:color w:val="auto"/>
        </w:rPr>
        <w:t>. After the time at which the Offered Shares are required to be delivered to the Company for transfer to the Company pursuant to subsection (b) above, the Company shall not pay any dividend to the Participant on account of such Offered Shares or permit the Participant to exercise any of the privileges or rights of a stockholder with respect to such Offered Shares, but shall, insofar as permitted by law, treat the Company as the owner of such Offered Shares.</w:t>
      </w:r>
    </w:p>
    <w:p>
      <w:pPr>
        <w:spacing w:after="0" w:line="186" w:lineRule="exact"/>
        <w:rPr>
          <w:rFonts w:ascii="Arial" w:cs="Arial" w:eastAsia="Arial" w:hAnsi="Arial"/>
          <w:sz w:val="18"/>
          <w:szCs w:val="18"/>
          <w:color w:val="auto"/>
        </w:rPr>
      </w:pPr>
    </w:p>
    <w:p>
      <w:pPr>
        <w:ind w:left="1312" w:hanging="664"/>
        <w:spacing w:after="0"/>
        <w:tabs>
          <w:tab w:leader="none" w:pos="1312"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Exempt Transactions</w:t>
      </w:r>
      <w:r>
        <w:rPr>
          <w:rFonts w:ascii="Arial" w:cs="Arial" w:eastAsia="Arial" w:hAnsi="Arial"/>
          <w:sz w:val="18"/>
          <w:szCs w:val="18"/>
          <w:color w:val="auto"/>
        </w:rPr>
        <w:t>. The following transactions shall be exempt from the provisions of this Section 4:</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346" w:name="page347"/>
    <w:bookmarkEnd w:id="346"/>
    <w:p>
      <w:pPr>
        <w:ind w:left="1960" w:hanging="655"/>
        <w:spacing w:after="0"/>
        <w:tabs>
          <w:tab w:leader="none" w:pos="19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any transfer of Shares to or for the benefit of any spouse, child or grandchild of the Participant, or to a trust for their benefit;</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any transfer pursuant to an effective registration statement filed by the Company under the Securities Act of 1933, as amended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and</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sale of all or substantially all of the outstanding shares of capital stock of the Company (including pursuant to a merger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consolidation);</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a transfer pursuant to clause (1) above, such Shares shall remain subject to the right of first refusal set forth in this Section 4.</w:t>
      </w:r>
    </w:p>
    <w:p>
      <w:pPr>
        <w:spacing w:after="0" w:line="170" w:lineRule="exact"/>
        <w:rPr>
          <w:sz w:val="20"/>
          <w:szCs w:val="20"/>
          <w:color w:val="auto"/>
        </w:rPr>
      </w:pPr>
    </w:p>
    <w:p>
      <w:pPr>
        <w:ind w:right="380" w:firstLine="656"/>
        <w:spacing w:after="0" w:line="277" w:lineRule="auto"/>
        <w:tabs>
          <w:tab w:leader="none" w:pos="1301"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Assignment of Company Right</w:t>
      </w:r>
      <w:r>
        <w:rPr>
          <w:rFonts w:ascii="Arial" w:cs="Arial" w:eastAsia="Arial" w:hAnsi="Arial"/>
          <w:sz w:val="18"/>
          <w:szCs w:val="18"/>
          <w:color w:val="auto"/>
        </w:rPr>
        <w:t>. The Company may assign its rights to purchase Offered Shares in any particular transaction under this Section 4 to one or more persons or entities.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provisions of this Section 4 shall terminate upon the earlier of the following events:</w:t>
      </w:r>
    </w:p>
    <w:p>
      <w:pPr>
        <w:spacing w:after="0" w:line="225" w:lineRule="exact"/>
        <w:rPr>
          <w:rFonts w:ascii="Arial" w:cs="Arial" w:eastAsia="Arial" w:hAnsi="Arial"/>
          <w:sz w:val="18"/>
          <w:szCs w:val="18"/>
          <w:color w:val="auto"/>
        </w:rPr>
      </w:pPr>
    </w:p>
    <w:p>
      <w:pPr>
        <w:ind w:right="20" w:firstLine="1305"/>
        <w:spacing w:after="0" w:line="277" w:lineRule="auto"/>
        <w:tabs>
          <w:tab w:leader="none" w:pos="195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closing of the sale of shares of Common Stock in an underwritten public offering pursuant to an effective registration statement filed by the Company under the Securities Act; or</w:t>
      </w:r>
    </w:p>
    <w:p>
      <w:pPr>
        <w:spacing w:after="0" w:line="170" w:lineRule="exact"/>
        <w:rPr>
          <w:rFonts w:ascii="Arial" w:cs="Arial" w:eastAsia="Arial" w:hAnsi="Arial"/>
          <w:sz w:val="18"/>
          <w:szCs w:val="18"/>
          <w:color w:val="auto"/>
        </w:rPr>
      </w:pPr>
    </w:p>
    <w:p>
      <w:pPr>
        <w:ind w:firstLine="1305"/>
        <w:spacing w:after="0" w:line="257" w:lineRule="auto"/>
        <w:tabs>
          <w:tab w:leader="none" w:pos="195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75% (determined on an as-converted basis) of the outstanding securities entitled to vote generally in the election of directors of the resulting, surviving or acquiring corporation in such transaction).</w:t>
      </w:r>
    </w:p>
    <w:p>
      <w:pPr>
        <w:spacing w:after="0" w:line="188" w:lineRule="exact"/>
        <w:rPr>
          <w:rFonts w:ascii="Arial" w:cs="Arial" w:eastAsia="Arial" w:hAnsi="Arial"/>
          <w:sz w:val="18"/>
          <w:szCs w:val="18"/>
          <w:color w:val="auto"/>
        </w:rPr>
      </w:pPr>
    </w:p>
    <w:p>
      <w:pPr>
        <w:jc w:val="both"/>
        <w:ind w:right="100" w:firstLine="656"/>
        <w:spacing w:after="0" w:line="264" w:lineRule="auto"/>
        <w:tabs>
          <w:tab w:leader="none" w:pos="1304"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No Obligation to Recognize Invalid Transfer</w:t>
      </w:r>
      <w:r>
        <w:rPr>
          <w:rFonts w:ascii="Arial" w:cs="Arial" w:eastAsia="Arial" w:hAnsi="Arial"/>
          <w:sz w:val="18"/>
          <w:szCs w:val="18"/>
          <w:color w:val="auto"/>
        </w:rPr>
        <w:t>. The Company shall not be required (1) to transfer on its books any of the Shares which shall have been sold or transferred in violation of any of the provisions set forth in this Section 4, or (2) to treat as owner of such Shares or to pay dividends to any transferee to whom any such Shares shall have been so sold or transferred.</w:t>
      </w:r>
    </w:p>
    <w:p>
      <w:pPr>
        <w:spacing w:after="0" w:line="181" w:lineRule="exact"/>
        <w:rPr>
          <w:rFonts w:ascii="Arial" w:cs="Arial" w:eastAsia="Arial" w:hAnsi="Arial"/>
          <w:sz w:val="18"/>
          <w:szCs w:val="18"/>
          <w:color w:val="auto"/>
        </w:rPr>
      </w:pPr>
    </w:p>
    <w:p>
      <w:pPr>
        <w:ind w:right="60" w:firstLine="656"/>
        <w:spacing w:after="0" w:line="308" w:lineRule="auto"/>
        <w:tabs>
          <w:tab w:leader="none" w:pos="1318"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The certificate representing Shares shall bear a legend substantially in the following form (in addition to, or in combination with, any legend required by applicable federal and state securities laws and agreements relating to the transfer of the Company securities):</w:t>
      </w:r>
    </w:p>
    <w:p>
      <w:pPr>
        <w:spacing w:after="0" w:line="147"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“The shares represented by this certificate are subject to a right of first refusal in favor of the Company, as provided in a certain stock option agreement with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7" w:name="page348"/>
    <w:bookmarkEnd w:id="347"/>
    <w:p>
      <w:pPr>
        <w:ind w:left="660" w:hanging="652"/>
        <w:spacing w:after="0"/>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Agreement in Connection with Initial Public Offering</w:t>
      </w:r>
      <w:r>
        <w:rPr>
          <w:rFonts w:ascii="Arial" w:cs="Arial" w:eastAsia="Arial" w:hAnsi="Arial"/>
          <w:sz w:val="18"/>
          <w:szCs w:val="18"/>
          <w:color w:val="auto"/>
        </w:rPr>
        <w: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(b) enter into any swap or other agreement that transfers, in 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180 days after the date of the final prospectus relating to the offering (plus up to an additional 34 days to the extent requested by the managing underwriters for such offering in order to address NASD Rule 2711(f)(4) or NYSE Rule 472(f)(4)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pacing w:after="0" w:line="183" w:lineRule="exact"/>
        <w:rPr>
          <w:sz w:val="20"/>
          <w:szCs w:val="20"/>
          <w:color w:val="auto"/>
        </w:rPr>
      </w:pPr>
    </w:p>
    <w:p>
      <w:pPr>
        <w:ind w:left="660" w:hanging="652"/>
        <w:spacing w:after="0"/>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00" w:firstLine="656"/>
        <w:spacing w:after="0" w:line="264" w:lineRule="auto"/>
        <w:tabs>
          <w:tab w:leader="none" w:pos="1294" w:val="left"/>
        </w:tabs>
        <w:numPr>
          <w:ilvl w:val="1"/>
          <w:numId w:val="225"/>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181" w:lineRule="exact"/>
        <w:rPr>
          <w:rFonts w:ascii="Arial" w:cs="Arial" w:eastAsia="Arial" w:hAnsi="Arial"/>
          <w:sz w:val="18"/>
          <w:szCs w:val="18"/>
          <w:color w:val="auto"/>
        </w:rPr>
      </w:pPr>
    </w:p>
    <w:p>
      <w:pPr>
        <w:jc w:val="both"/>
        <w:ind w:right="600" w:firstLine="656"/>
        <w:spacing w:after="0" w:line="286" w:lineRule="auto"/>
        <w:tabs>
          <w:tab w:leader="none" w:pos="1304" w:val="left"/>
        </w:tabs>
        <w:numPr>
          <w:ilvl w:val="1"/>
          <w:numId w:val="225"/>
        </w:numPr>
        <w:rPr>
          <w:rFonts w:ascii="Arial" w:cs="Arial" w:eastAsia="Arial" w:hAnsi="Arial"/>
          <w:sz w:val="17"/>
          <w:szCs w:val="17"/>
          <w:color w:val="auto"/>
        </w:rPr>
      </w:pPr>
      <w:r>
        <w:rPr>
          <w:rFonts w:ascii="Arial" w:cs="Arial" w:eastAsia="Arial" w:hAnsi="Arial"/>
          <w:sz w:val="17"/>
          <w:szCs w:val="17"/>
          <w:u w:val="single" w:color="auto"/>
          <w:color w:val="auto"/>
        </w:rPr>
        <w:t>Disqualifying Disposition</w:t>
      </w:r>
      <w:r>
        <w:rPr>
          <w:rFonts w:ascii="Arial" w:cs="Arial" w:eastAsia="Arial" w:hAnsi="Arial"/>
          <w:sz w:val="17"/>
          <w:szCs w:val="17"/>
          <w:color w:val="auto"/>
        </w:rPr>
        <w:t>. If this option satisfies the requirements to be treated as an incentive stock option under the Code and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p>
    <w:p>
      <w:pPr>
        <w:spacing w:after="0" w:line="225" w:lineRule="exact"/>
        <w:rPr>
          <w:rFonts w:ascii="Arial" w:cs="Arial" w:eastAsia="Arial" w:hAnsi="Arial"/>
          <w:sz w:val="18"/>
          <w:szCs w:val="18"/>
          <w:color w:val="auto"/>
        </w:rPr>
      </w:pPr>
    </w:p>
    <w:p>
      <w:pPr>
        <w:ind w:firstLine="656"/>
        <w:spacing w:after="0" w:line="342" w:lineRule="auto"/>
        <w:tabs>
          <w:tab w:leader="none" w:pos="1294" w:val="left"/>
        </w:tabs>
        <w:numPr>
          <w:ilvl w:val="1"/>
          <w:numId w:val="225"/>
        </w:numPr>
        <w:rPr>
          <w:rFonts w:ascii="Arial" w:cs="Arial" w:eastAsia="Arial" w:hAnsi="Arial"/>
          <w:sz w:val="16"/>
          <w:szCs w:val="16"/>
          <w:color w:val="auto"/>
        </w:rPr>
      </w:pPr>
      <w:r>
        <w:rPr>
          <w:rFonts w:ascii="Arial" w:cs="Arial" w:eastAsia="Arial" w:hAnsi="Arial"/>
          <w:sz w:val="16"/>
          <w:szCs w:val="16"/>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23" w:lineRule="exact"/>
        <w:rPr>
          <w:rFonts w:ascii="Arial" w:cs="Arial" w:eastAsia="Arial" w:hAnsi="Arial"/>
          <w:sz w:val="16"/>
          <w:szCs w:val="16"/>
          <w:color w:val="auto"/>
        </w:rPr>
      </w:pPr>
    </w:p>
    <w:p>
      <w:pPr>
        <w:ind w:right="180" w:firstLine="656"/>
        <w:spacing w:after="0" w:line="257" w:lineRule="auto"/>
        <w:tabs>
          <w:tab w:leader="none" w:pos="1304"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Participant agrees that he or she will not transfer any Shares issued pursuant to the exercise of this option unless the transferee, as a condition to such transfer, delivers to the Company a written instrument confirming that such transferee shall be bound by all of the terms and conditions of Section 4 and Section 5; provided that such a written confirmation shall not be required with respect to (1) Section 4 after such provision has terminated in accordance with Section 4(g) or (2) Section 5 after the completion of the lock-up period in connection with the Company’s initial underwritten public offering.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8" w:name="page349"/>
    <w:bookmarkEnd w:id="348"/>
    <w:p>
      <w:pPr>
        <w:ind w:left="660" w:hanging="652"/>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option is subject to the provisions of the Plan (including the provisions relating to amendments to the Plan), a copy of which is furnished to the Participant with this option.</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349" w:name="page350"/>
    <w:bookmarkEnd w:id="349"/>
    <w:p>
      <w:pPr>
        <w:ind w:right="200" w:firstLine="648"/>
        <w:spacing w:after="0" w:line="264" w:lineRule="auto"/>
        <w:rPr>
          <w:sz w:val="20"/>
          <w:szCs w:val="20"/>
          <w:color w:val="auto"/>
        </w:rPr>
      </w:pPr>
      <w:r>
        <w:rPr>
          <w:rFonts w:ascii="Arial" w:cs="Arial" w:eastAsia="Arial" w:hAnsi="Arial"/>
          <w:sz w:val="18"/>
          <w:szCs w:val="18"/>
          <w:color w:val="auto"/>
        </w:rPr>
        <w:t>IN WITNESS WHEREOF, the parties hereto have executed this Agreement as of the day and year first above written. The Participant hereby accepts the foregoing option and agrees to the terms and conditions thereof. The Participant hereby acknowledges receipt of a copy of the Company’s 2016 Stock Incentive Plan.</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Fulcrum Therapeutics, Inc.</w:t>
      </w:r>
    </w:p>
    <w:p>
      <w:pPr>
        <w:spacing w:after="0" w:line="200" w:lineRule="exact"/>
        <w:rPr>
          <w:sz w:val="20"/>
          <w:szCs w:val="20"/>
          <w:color w:val="auto"/>
        </w:rPr>
      </w:pPr>
    </w:p>
    <w:p>
      <w:pPr>
        <w:spacing w:after="0" w:line="24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5715</wp:posOffset>
            </wp:positionV>
            <wp:extent cx="265874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-130810</wp:posOffset>
            </wp:positionV>
            <wp:extent cx="265874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PARTICIPANT:</w:t>
      </w:r>
    </w:p>
    <w:p>
      <w:pPr>
        <w:spacing w:after="0" w:line="200" w:lineRule="exact"/>
        <w:rPr>
          <w:sz w:val="20"/>
          <w:szCs w:val="20"/>
          <w:color w:val="auto"/>
        </w:rPr>
      </w:pPr>
    </w:p>
    <w:p>
      <w:pPr>
        <w:spacing w:after="0" w:line="24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4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tcPr>
          <w:p>
            <w:pPr>
              <w:spacing w:after="0"/>
              <w:rPr>
                <w:sz w:val="20"/>
                <w:szCs w:val="20"/>
                <w:color w:val="auto"/>
              </w:rPr>
            </w:pPr>
          </w:p>
        </w:tc>
      </w:tr>
      <w:tr>
        <w:trPr>
          <w:trHeight w:val="397"/>
        </w:trPr>
        <w:tc>
          <w:tcPr>
            <w:tcW w:w="112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c>
          <w:tcPr>
            <w:tcW w:w="226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0"/>
                <w:szCs w:val="20"/>
                <w:color w:val="auto"/>
              </w:rPr>
            </w:pPr>
          </w:p>
        </w:tc>
        <w:tc>
          <w:tcPr>
            <w:tcW w:w="226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648"/>
        </w:trPr>
        <w:tc>
          <w:tcPr>
            <w:tcW w:w="3440" w:type="dxa"/>
            <w:vAlign w:val="bottom"/>
            <w:gridSpan w:val="5"/>
          </w:tcPr>
          <w:p>
            <w:pPr>
              <w:spacing w:after="0"/>
              <w:rPr>
                <w:sz w:val="20"/>
                <w:szCs w:val="20"/>
                <w:color w:val="auto"/>
              </w:rPr>
            </w:pPr>
            <w:r>
              <w:rPr>
                <w:rFonts w:ascii="Arial" w:cs="Arial" w:eastAsia="Arial" w:hAnsi="Arial"/>
                <w:sz w:val="18"/>
                <w:szCs w:val="18"/>
                <w:b w:val="1"/>
                <w:bCs w:val="1"/>
                <w:color w:val="auto"/>
              </w:rPr>
              <w:t>SPOUSAL CONSENT:</w:t>
            </w:r>
          </w:p>
        </w:tc>
        <w:tc>
          <w:tcPr>
            <w:tcW w:w="2260" w:type="dxa"/>
            <w:vAlign w:val="bottom"/>
          </w:tcPr>
          <w:p>
            <w:pPr>
              <w:spacing w:after="0"/>
              <w:rPr>
                <w:sz w:val="24"/>
                <w:szCs w:val="24"/>
                <w:color w:val="auto"/>
              </w:rPr>
            </w:pPr>
          </w:p>
        </w:tc>
      </w:tr>
      <w:tr>
        <w:trPr>
          <w:trHeight w:val="648"/>
        </w:trPr>
        <w:tc>
          <w:tcPr>
            <w:tcW w:w="1120" w:type="dxa"/>
            <w:vAlign w:val="bottom"/>
            <w:gridSpan w:val="3"/>
          </w:tcPr>
          <w:p>
            <w:pPr>
              <w:spacing w:after="0"/>
              <w:rPr>
                <w:sz w:val="20"/>
                <w:szCs w:val="20"/>
                <w:color w:val="auto"/>
              </w:rPr>
            </w:pPr>
            <w:r>
              <w:rPr>
                <w:rFonts w:ascii="Arial" w:cs="Arial" w:eastAsia="Arial" w:hAnsi="Arial"/>
                <w:sz w:val="18"/>
                <w:szCs w:val="18"/>
                <w:color w:val="auto"/>
              </w:rPr>
              <w:t>By:</w:t>
            </w: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10"/>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0" w:type="dxa"/>
            <w:vAlign w:val="bottom"/>
            <w:tcBorders>
              <w:top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tcPr>
          <w:p>
            <w:pPr>
              <w:spacing w:after="0"/>
              <w:rPr>
                <w:sz w:val="18"/>
                <w:szCs w:val="18"/>
                <w:color w:val="auto"/>
              </w:rPr>
            </w:pPr>
          </w:p>
        </w:tc>
      </w:tr>
      <w:tr>
        <w:trPr>
          <w:trHeight w:val="398"/>
        </w:trPr>
        <w:tc>
          <w:tcPr>
            <w:tcW w:w="112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c>
          <w:tcPr>
            <w:tcW w:w="226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0"/>
                <w:szCs w:val="20"/>
                <w:color w:val="auto"/>
              </w:rPr>
            </w:pPr>
          </w:p>
        </w:tc>
        <w:tc>
          <w:tcPr>
            <w:tcW w:w="2260" w:type="dxa"/>
            <w:vAlign w:val="bottom"/>
          </w:tcPr>
          <w:p>
            <w:pPr>
              <w:jc w:val="right"/>
              <w:ind w:right="49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INCENTIVE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50" w:name="page351"/>
    <w:bookmarkEnd w:id="350"/>
    <w:p>
      <w:pPr>
        <w:jc w:val="center"/>
        <w:ind w:right="-5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STOCK OPTION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ectPr>
          <w:pgSz w:w="11900" w:h="16838" w:orient="portrait"/>
          <w:cols w:equalWidth="0" w:num="1">
            <w:col w:w="11380"/>
          </w:cols>
          <w:pgMar w:left="240" w:top="337" w:right="2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firstLine="138"/>
        <w:spacing w:after="0" w:line="308" w:lineRule="auto"/>
        <w:rPr>
          <w:sz w:val="20"/>
          <w:szCs w:val="20"/>
          <w:color w:val="auto"/>
        </w:rPr>
      </w:pPr>
      <w:r>
        <w:rPr>
          <w:rFonts w:ascii="Arial" w:cs="Arial" w:eastAsia="Arial" w:hAnsi="Arial"/>
          <w:sz w:val="17"/>
          <w:szCs w:val="17"/>
          <w:color w:val="auto"/>
        </w:rPr>
        <w:t>I am the holder of a [ ]for the purchase of [</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480" w:firstLine="138"/>
        <w:spacing w:after="0" w:line="282" w:lineRule="auto"/>
        <w:rPr>
          <w:sz w:val="20"/>
          <w:szCs w:val="20"/>
          <w:color w:val="auto"/>
        </w:rPr>
      </w:pPr>
      <w:r>
        <w:rPr>
          <w:rFonts w:ascii="Arial" w:cs="Arial" w:eastAsia="Arial" w:hAnsi="Arial"/>
          <w:sz w:val="18"/>
          <w:szCs w:val="18"/>
          <w:color w:val="auto"/>
        </w:rPr>
        <w:t>]Stock Option granted to me under the Fulcrum Therapeutics, Inc. (the “</w:t>
      </w:r>
      <w:r>
        <w:rPr>
          <w:rFonts w:ascii="Arial" w:cs="Arial" w:eastAsia="Arial" w:hAnsi="Arial"/>
          <w:sz w:val="18"/>
          <w:szCs w:val="18"/>
          <w:b w:val="1"/>
          <w:bCs w:val="1"/>
          <w:color w:val="auto"/>
        </w:rPr>
        <w:t>Company</w:t>
      </w:r>
      <w:r>
        <w:rPr>
          <w:rFonts w:ascii="Arial" w:cs="Arial" w:eastAsia="Arial" w:hAnsi="Arial"/>
          <w:sz w:val="18"/>
          <w:szCs w:val="18"/>
          <w:color w:val="auto"/>
        </w:rPr>
        <w:t>”) 2016 Stock Incentive Plan on ]shares of Common Stock of the Company at a purchase price of $[ ] per share.</w:t>
      </w:r>
    </w:p>
    <w:p>
      <w:pPr>
        <w:spacing w:after="0" w:line="162" w:lineRule="exact"/>
        <w:rPr>
          <w:sz w:val="20"/>
          <w:szCs w:val="20"/>
          <w:color w:val="auto"/>
        </w:rPr>
      </w:pPr>
    </w:p>
    <w:p>
      <w:pPr>
        <w:sectPr>
          <w:pgSz w:w="11900" w:h="16838" w:orient="portrait"/>
          <w:cols w:equalWidth="0" w:num="3">
            <w:col w:w="60" w:space="460"/>
            <w:col w:w="1660" w:space="300"/>
            <w:col w:w="8900"/>
          </w:cols>
          <w:pgMar w:left="240" w:top="337" w:right="279" w:bottom="1440" w:gutter="0" w:footer="0" w:header="0"/>
          <w:type w:val="continuous"/>
        </w:sectPr>
      </w:pPr>
    </w:p>
    <w:p>
      <w:pPr>
        <w:spacing w:after="0" w:line="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hereby exercise my option to purchase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shares of Common Stock (the “</w:t>
      </w:r>
      <w:r>
        <w:rPr>
          <w:rFonts w:ascii="Arial" w:cs="Arial" w:eastAsia="Arial" w:hAnsi="Arial"/>
          <w:sz w:val="16"/>
          <w:szCs w:val="16"/>
          <w:b w:val="1"/>
          <w:bCs w:val="1"/>
          <w:color w:val="auto"/>
        </w:rPr>
        <w:t>Shares</w:t>
      </w:r>
      <w:r>
        <w:rPr>
          <w:rFonts w:ascii="Arial" w:cs="Arial" w:eastAsia="Arial" w:hAnsi="Arial"/>
          <w:sz w:val="16"/>
          <w:szCs w:val="16"/>
          <w:color w:val="auto"/>
        </w:rPr>
        <w:t>”), for which I have enclosed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the amount of</w:t>
      </w:r>
    </w:p>
    <w:p>
      <w:pPr>
        <w:spacing w:after="0" w:line="46" w:lineRule="exact"/>
        <w:rPr>
          <w:sz w:val="20"/>
          <w:szCs w:val="20"/>
          <w:color w:val="auto"/>
        </w:rPr>
      </w:pPr>
    </w:p>
    <w:p>
      <w:pPr>
        <w:sectPr>
          <w:pgSz w:w="11900" w:h="16838" w:orient="portrait"/>
          <w:cols w:equalWidth="0" w:num="3">
            <w:col w:w="3640" w:space="400"/>
            <w:col w:w="5080" w:space="460"/>
            <w:col w:w="1800"/>
          </w:cols>
          <w:pgMar w:left="240" w:top="337" w:right="279" w:bottom="1440" w:gutter="0" w:footer="0" w:header="0"/>
          <w:type w:val="continuous"/>
        </w:sectPr>
      </w:pPr>
    </w:p>
    <w:p>
      <w:pPr>
        <w:ind w:left="1300" w:right="7420" w:hanging="1292"/>
        <w:spacing w:after="0" w:line="511" w:lineRule="auto"/>
        <w:tabs>
          <w:tab w:leader="none" w:pos="42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Please register my stock certificate as follows: Name(s):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represent, warrant and covenant as follows:</w:t>
      </w:r>
    </w:p>
    <w:p>
      <w:pPr>
        <w:spacing w:after="0" w:line="225" w:lineRule="exact"/>
        <w:rPr>
          <w:sz w:val="20"/>
          <w:szCs w:val="20"/>
          <w:color w:val="auto"/>
        </w:rPr>
      </w:pPr>
    </w:p>
    <w:p>
      <w:pPr>
        <w:ind w:right="260" w:firstLine="8"/>
        <w:spacing w:after="0" w:line="277" w:lineRule="auto"/>
        <w:tabs>
          <w:tab w:leader="none" w:pos="64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 am purchasing the Shares for my own account for investment only, and not with a view to, or for sale in connection with, any distribution of the Shares in violation of the Securities Act of 1933 (the “</w:t>
      </w:r>
      <w:r>
        <w:rPr>
          <w:rFonts w:ascii="Arial" w:cs="Arial" w:eastAsia="Arial" w:hAnsi="Arial"/>
          <w:sz w:val="18"/>
          <w:szCs w:val="18"/>
          <w:b w:val="1"/>
          <w:bCs w:val="1"/>
          <w:color w:val="auto"/>
        </w:rPr>
        <w:t>Securities Act</w:t>
      </w:r>
      <w:r>
        <w:rPr>
          <w:rFonts w:ascii="Arial" w:cs="Arial" w:eastAsia="Arial" w:hAnsi="Arial"/>
          <w:sz w:val="18"/>
          <w:szCs w:val="18"/>
          <w:color w:val="auto"/>
        </w:rPr>
        <w:t>”), or any rule or regulation under the Securities Act.</w:t>
      </w:r>
    </w:p>
    <w:p>
      <w:pPr>
        <w:spacing w:after="0" w:line="170" w:lineRule="exact"/>
        <w:rPr>
          <w:rFonts w:ascii="Arial" w:cs="Arial" w:eastAsia="Arial" w:hAnsi="Arial"/>
          <w:sz w:val="18"/>
          <w:szCs w:val="18"/>
          <w:color w:val="auto"/>
        </w:rPr>
      </w:pPr>
    </w:p>
    <w:p>
      <w:pPr>
        <w:ind w:firstLine="8"/>
        <w:spacing w:after="0" w:line="277" w:lineRule="auto"/>
        <w:tabs>
          <w:tab w:leader="none" w:pos="64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 have had such opportunity as I have deemed adequate to obtain from representatives of the Company such information as is necessary to permit me to evaluate the merits and risks of my investment in the Company.</w:t>
      </w:r>
    </w:p>
    <w:p>
      <w:pPr>
        <w:spacing w:after="0" w:line="170" w:lineRule="exact"/>
        <w:rPr>
          <w:rFonts w:ascii="Arial" w:cs="Arial" w:eastAsia="Arial" w:hAnsi="Arial"/>
          <w:sz w:val="18"/>
          <w:szCs w:val="18"/>
          <w:color w:val="auto"/>
        </w:rPr>
      </w:pPr>
    </w:p>
    <w:p>
      <w:pPr>
        <w:ind w:right="140" w:firstLine="8"/>
        <w:spacing w:after="0" w:line="277" w:lineRule="auto"/>
        <w:tabs>
          <w:tab w:leader="none" w:pos="64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I can afford a complete loss of the value of the Shares and am able to bear the economic risk of holding such Shares for an indefinite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type w:val="continuous"/>
        </w:sectPr>
      </w:pPr>
    </w:p>
    <w:bookmarkStart w:id="351" w:name="page352"/>
    <w:bookmarkEnd w:id="351"/>
    <w:p>
      <w:pPr>
        <w:ind w:firstLine="8"/>
        <w:spacing w:after="0" w:line="255" w:lineRule="auto"/>
        <w:tabs>
          <w:tab w:leader="none" w:pos="64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 understand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2" w:name="page353"/>
    <w:bookmarkEnd w:id="352"/>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NONSTATUTORY STOCK OPTION AGREEMENT</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GRANTED UNDER 2016 STOCK INCENTIVE PLAN</w:t>
      </w:r>
    </w:p>
    <w:p>
      <w:pPr>
        <w:spacing w:after="0" w:line="211" w:lineRule="exact"/>
        <w:rPr>
          <w:sz w:val="20"/>
          <w:szCs w:val="20"/>
          <w:color w:val="auto"/>
        </w:rPr>
      </w:pPr>
    </w:p>
    <w:p>
      <w:pPr>
        <w:ind w:left="660" w:hanging="652"/>
        <w:spacing w:after="0"/>
        <w:tabs>
          <w:tab w:leader="none" w:pos="66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Nonstatutory Stock Option Agreement (the “</w:t>
      </w:r>
      <w:r>
        <w:rPr>
          <w:rFonts w:ascii="Arial" w:cs="Arial" w:eastAsia="Arial" w:hAnsi="Arial"/>
          <w:sz w:val="17"/>
          <w:szCs w:val="17"/>
          <w:b w:val="1"/>
          <w:bCs w:val="1"/>
          <w:color w:val="auto"/>
        </w:rPr>
        <w:t>Agreement</w:t>
      </w:r>
      <w:r>
        <w:rPr>
          <w:rFonts w:ascii="Arial" w:cs="Arial" w:eastAsia="Arial" w:hAnsi="Arial"/>
          <w:sz w:val="17"/>
          <w:szCs w:val="17"/>
          <w:color w:val="auto"/>
        </w:rPr>
        <w:t>”) evidences the grant by Fulcrum Therapeutics, Inc., a Delaware corporation (the</w:t>
      </w:r>
    </w:p>
    <w:p>
      <w:pPr>
        <w:spacing w:after="0" w:line="39" w:lineRule="exact"/>
        <w:rPr>
          <w:sz w:val="20"/>
          <w:szCs w:val="20"/>
          <w:color w:val="auto"/>
        </w:rPr>
      </w:pPr>
    </w:p>
    <w:p>
      <w:pPr>
        <w:spacing w:after="0"/>
        <w:tabs>
          <w:tab w:leader="none" w:pos="1820" w:val="left"/>
          <w:tab w:leader="none" w:pos="45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on [</w:t>
      </w:r>
      <w:r>
        <w:rPr>
          <w:sz w:val="20"/>
          <w:szCs w:val="20"/>
          <w:color w:val="auto"/>
        </w:rPr>
        <w:tab/>
      </w:r>
      <w:r>
        <w:rPr>
          <w:rFonts w:ascii="Arial" w:cs="Arial" w:eastAsia="Arial" w:hAnsi="Arial"/>
          <w:sz w:val="18"/>
          <w:szCs w:val="18"/>
          <w:color w:val="auto"/>
        </w:rPr>
        <w:t>, 20 ] (the “</w:t>
      </w:r>
      <w:r>
        <w:rPr>
          <w:rFonts w:ascii="Arial" w:cs="Arial" w:eastAsia="Arial" w:hAnsi="Arial"/>
          <w:sz w:val="18"/>
          <w:szCs w:val="18"/>
          <w:b w:val="1"/>
          <w:bCs w:val="1"/>
          <w:color w:val="auto"/>
        </w:rPr>
        <w:t>Grant Date</w:t>
      </w:r>
      <w:r>
        <w:rPr>
          <w:rFonts w:ascii="Arial" w:cs="Arial" w:eastAsia="Arial" w:hAnsi="Arial"/>
          <w:sz w:val="18"/>
          <w:szCs w:val="18"/>
          <w:color w:val="auto"/>
        </w:rPr>
        <w:t>”) to [</w:t>
      </w:r>
      <w:r>
        <w:rPr>
          <w:sz w:val="20"/>
          <w:szCs w:val="20"/>
          <w:color w:val="auto"/>
        </w:rPr>
        <w:tab/>
      </w:r>
      <w:r>
        <w:rPr>
          <w:rFonts w:ascii="Arial" w:cs="Arial" w:eastAsia="Arial" w:hAnsi="Arial"/>
          <w:sz w:val="16"/>
          <w:szCs w:val="16"/>
          <w:color w:val="auto"/>
        </w:rPr>
        <w:t>], an employee, consultant or director of the Company (the “</w:t>
      </w:r>
      <w:r>
        <w:rPr>
          <w:rFonts w:ascii="Arial" w:cs="Arial" w:eastAsia="Arial" w:hAnsi="Arial"/>
          <w:sz w:val="16"/>
          <w:szCs w:val="16"/>
          <w:b w:val="1"/>
          <w:bCs w:val="1"/>
          <w:color w:val="auto"/>
        </w:rPr>
        <w:t>Participant</w:t>
      </w:r>
      <w:r>
        <w:rPr>
          <w:rFonts w:ascii="Arial" w:cs="Arial" w:eastAsia="Arial" w:hAnsi="Arial"/>
          <w:sz w:val="16"/>
          <w:szCs w:val="16"/>
          <w:color w:val="auto"/>
        </w:rPr>
        <w:t>”), of an option to</w:t>
      </w:r>
    </w:p>
    <w:p>
      <w:pPr>
        <w:spacing w:after="0" w:line="9" w:lineRule="exact"/>
        <w:rPr>
          <w:sz w:val="20"/>
          <w:szCs w:val="20"/>
          <w:color w:val="auto"/>
        </w:rPr>
      </w:pPr>
    </w:p>
    <w:p>
      <w:pPr>
        <w:spacing w:after="0"/>
        <w:tabs>
          <w:tab w:leader="none" w:pos="10040" w:val="left"/>
        </w:tabs>
        <w:rPr>
          <w:sz w:val="20"/>
          <w:szCs w:val="20"/>
          <w:color w:val="auto"/>
        </w:rPr>
      </w:pPr>
      <w:r>
        <w:rPr>
          <w:rFonts w:ascii="Arial" w:cs="Arial" w:eastAsia="Arial" w:hAnsi="Arial"/>
          <w:sz w:val="18"/>
          <w:szCs w:val="18"/>
          <w:color w:val="auto"/>
        </w:rPr>
        <w:t>purchase, in whole or in part, on the terms provided herein and in the Company’s 2016 Stock Incentive Plan (the “</w:t>
      </w:r>
      <w:r>
        <w:rPr>
          <w:rFonts w:ascii="Arial" w:cs="Arial" w:eastAsia="Arial" w:hAnsi="Arial"/>
          <w:sz w:val="18"/>
          <w:szCs w:val="18"/>
          <w:b w:val="1"/>
          <w:bCs w:val="1"/>
          <w:color w:val="auto"/>
        </w:rPr>
        <w:t>Plan</w:t>
      </w:r>
      <w:r>
        <w:rPr>
          <w:rFonts w:ascii="Arial" w:cs="Arial" w:eastAsia="Arial" w:hAnsi="Arial"/>
          <w:sz w:val="18"/>
          <w:szCs w:val="18"/>
          <w:color w:val="auto"/>
        </w:rPr>
        <w:t>”), a total of [</w:t>
      </w:r>
      <w:r>
        <w:rPr>
          <w:sz w:val="20"/>
          <w:szCs w:val="20"/>
          <w:color w:val="auto"/>
        </w:rPr>
        <w:tab/>
      </w:r>
      <w:r>
        <w:rPr>
          <w:rFonts w:ascii="Arial" w:cs="Arial" w:eastAsia="Arial" w:hAnsi="Arial"/>
          <w:sz w:val="15"/>
          <w:szCs w:val="15"/>
          <w:color w:val="auto"/>
        </w:rPr>
        <w:t>] shares (the</w:t>
      </w:r>
    </w:p>
    <w:p>
      <w:pPr>
        <w:spacing w:after="0" w:line="9" w:lineRule="exact"/>
        <w:rPr>
          <w:sz w:val="20"/>
          <w:szCs w:val="20"/>
          <w:color w:val="auto"/>
        </w:rPr>
      </w:pPr>
    </w:p>
    <w:p>
      <w:pPr>
        <w:spacing w:after="0"/>
        <w:tabs>
          <w:tab w:leader="none" w:pos="76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of common stock, $0.0001 par value per share, of the Company (“</w:t>
      </w:r>
      <w:r>
        <w:rPr>
          <w:rFonts w:ascii="Arial" w:cs="Arial" w:eastAsia="Arial" w:hAnsi="Arial"/>
          <w:sz w:val="18"/>
          <w:szCs w:val="18"/>
          <w:b w:val="1"/>
          <w:bCs w:val="1"/>
          <w:color w:val="auto"/>
        </w:rPr>
        <w:t>Common Stock</w:t>
      </w:r>
      <w:r>
        <w:rPr>
          <w:rFonts w:ascii="Arial" w:cs="Arial" w:eastAsia="Arial" w:hAnsi="Arial"/>
          <w:sz w:val="18"/>
          <w:szCs w:val="18"/>
          <w:color w:val="auto"/>
        </w:rPr>
        <w:t>”) at $[</w:t>
      </w:r>
      <w:r>
        <w:rPr>
          <w:sz w:val="20"/>
          <w:szCs w:val="20"/>
          <w:color w:val="auto"/>
        </w:rPr>
        <w:tab/>
      </w:r>
      <w:r>
        <w:rPr>
          <w:rFonts w:ascii="Arial" w:cs="Arial" w:eastAsia="Arial" w:hAnsi="Arial"/>
          <w:sz w:val="16"/>
          <w:szCs w:val="16"/>
          <w:color w:val="auto"/>
        </w:rPr>
        <w:t>] per Share. Unless earlier terminated, this option</w:t>
      </w:r>
    </w:p>
    <w:p>
      <w:pPr>
        <w:spacing w:after="0" w:line="9"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auto"/>
        </w:rPr>
        <w:t>shall expire at 5:00 p.m., Eastern time, on [</w:t>
      </w:r>
      <w:r>
        <w:rPr>
          <w:sz w:val="20"/>
          <w:szCs w:val="20"/>
          <w:color w:val="auto"/>
        </w:rPr>
        <w:tab/>
      </w:r>
      <w:r>
        <w:rPr>
          <w:rFonts w:ascii="Arial" w:cs="Arial" w:eastAsia="Arial" w:hAnsi="Arial"/>
          <w:sz w:val="16"/>
          <w:szCs w:val="16"/>
          <w:color w:val="auto"/>
        </w:rPr>
        <w:t>, 20 ] [date is ten years minus one day from grant date] (the “</w:t>
      </w:r>
      <w:r>
        <w:rPr>
          <w:rFonts w:ascii="Arial" w:cs="Arial" w:eastAsia="Arial" w:hAnsi="Arial"/>
          <w:sz w:val="16"/>
          <w:szCs w:val="16"/>
          <w:b w:val="1"/>
          <w:bCs w:val="1"/>
          <w:color w:val="auto"/>
        </w:rPr>
        <w:t>Final Exercise Date</w:t>
      </w:r>
      <w:r>
        <w:rPr>
          <w:rFonts w:ascii="Arial" w:cs="Arial" w:eastAsia="Arial" w:hAnsi="Arial"/>
          <w:sz w:val="16"/>
          <w:szCs w:val="16"/>
          <w:color w:val="auto"/>
        </w:rPr>
        <w:t>”).</w:t>
      </w:r>
    </w:p>
    <w:p>
      <w:pPr>
        <w:spacing w:after="0" w:line="21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It is intended that the option evidenced by this Agreement shall not be an incentive stock option as defined in Section 422 of the Internal Revenue Code of 1986, as amended, and any regulations promulgated thereunder (the “</w:t>
      </w:r>
      <w:r>
        <w:rPr>
          <w:rFonts w:ascii="Arial" w:cs="Arial" w:eastAsia="Arial" w:hAnsi="Arial"/>
          <w:sz w:val="17"/>
          <w:szCs w:val="17"/>
          <w:b w:val="1"/>
          <w:bCs w:val="1"/>
          <w:color w:val="auto"/>
        </w:rPr>
        <w:t>Code</w:t>
      </w:r>
      <w:r>
        <w:rPr>
          <w:rFonts w:ascii="Arial" w:cs="Arial" w:eastAsia="Arial" w:hAnsi="Arial"/>
          <w:sz w:val="17"/>
          <w:szCs w:val="17"/>
          <w:color w:val="auto"/>
        </w:rPr>
        <w:t>”). Except as otherwise indicated by the context, the term “</w:t>
      </w:r>
      <w:r>
        <w:rPr>
          <w:rFonts w:ascii="Arial" w:cs="Arial" w:eastAsia="Arial" w:hAnsi="Arial"/>
          <w:sz w:val="17"/>
          <w:szCs w:val="17"/>
          <w:b w:val="1"/>
          <w:bCs w:val="1"/>
          <w:color w:val="auto"/>
        </w:rPr>
        <w:t>Participant</w:t>
      </w:r>
      <w:r>
        <w:rPr>
          <w:rFonts w:ascii="Arial" w:cs="Arial" w:eastAsia="Arial" w:hAnsi="Arial"/>
          <w:sz w:val="17"/>
          <w:szCs w:val="17"/>
          <w:color w:val="auto"/>
        </w:rPr>
        <w:t>”, as used in this option, shall be deemed to include any person who acquires the right to exercise this option validly under its terms.</w:t>
      </w:r>
    </w:p>
    <w:p>
      <w:pPr>
        <w:spacing w:after="0" w:line="166" w:lineRule="exact"/>
        <w:rPr>
          <w:sz w:val="20"/>
          <w:szCs w:val="20"/>
          <w:color w:val="auto"/>
        </w:rPr>
      </w:pPr>
    </w:p>
    <w:p>
      <w:pPr>
        <w:ind w:left="660" w:hanging="652"/>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5020" w:val="left"/>
        </w:tabs>
        <w:rPr>
          <w:sz w:val="20"/>
          <w:szCs w:val="20"/>
          <w:color w:val="auto"/>
        </w:rPr>
      </w:pPr>
      <w:r>
        <w:rPr>
          <w:rFonts w:ascii="Arial" w:cs="Arial" w:eastAsia="Arial" w:hAnsi="Arial"/>
          <w:sz w:val="18"/>
          <w:szCs w:val="18"/>
          <w:color w:val="auto"/>
        </w:rPr>
        <w:t>This option will become exercisable (“</w:t>
      </w:r>
      <w:r>
        <w:rPr>
          <w:rFonts w:ascii="Arial" w:cs="Arial" w:eastAsia="Arial" w:hAnsi="Arial"/>
          <w:sz w:val="18"/>
          <w:szCs w:val="18"/>
          <w:b w:val="1"/>
          <w:bCs w:val="1"/>
          <w:color w:val="auto"/>
        </w:rPr>
        <w:t>vest</w:t>
      </w:r>
      <w:r>
        <w:rPr>
          <w:rFonts w:ascii="Arial" w:cs="Arial" w:eastAsia="Arial" w:hAnsi="Arial"/>
          <w:sz w:val="18"/>
          <w:szCs w:val="18"/>
          <w:color w:val="auto"/>
        </w:rPr>
        <w:t>”) as to [</w:t>
      </w:r>
      <w:r>
        <w:rPr>
          <w:sz w:val="20"/>
          <w:szCs w:val="20"/>
          <w:color w:val="auto"/>
        </w:rPr>
        <w:tab/>
      </w:r>
      <w:r>
        <w:rPr>
          <w:rFonts w:ascii="Arial" w:cs="Arial" w:eastAsia="Arial" w:hAnsi="Arial"/>
          <w:sz w:val="16"/>
          <w:szCs w:val="16"/>
          <w:color w:val="auto"/>
        </w:rPr>
        <w:t>]. For purposes of this Agreement, “</w:t>
      </w:r>
      <w:r>
        <w:rPr>
          <w:rFonts w:ascii="Arial" w:cs="Arial" w:eastAsia="Arial" w:hAnsi="Arial"/>
          <w:sz w:val="16"/>
          <w:szCs w:val="16"/>
          <w:b w:val="1"/>
          <w:bCs w:val="1"/>
          <w:color w:val="auto"/>
        </w:rPr>
        <w:t>Vesting Commencement Date</w:t>
      </w:r>
      <w:r>
        <w:rPr>
          <w:rFonts w:ascii="Arial" w:cs="Arial" w:eastAsia="Arial" w:hAnsi="Arial"/>
          <w:sz w:val="16"/>
          <w:szCs w:val="16"/>
          <w:color w:val="auto"/>
        </w:rPr>
        <w:t>” shall mean</w:t>
      </w:r>
    </w:p>
    <w:p>
      <w:pPr>
        <w:spacing w:after="0" w:line="27" w:lineRule="exact"/>
        <w:rPr>
          <w:sz w:val="20"/>
          <w:szCs w:val="20"/>
          <w:color w:val="auto"/>
        </w:rPr>
      </w:pPr>
    </w:p>
    <w:p>
      <w:pPr>
        <w:ind w:left="880" w:hanging="872"/>
        <w:spacing w:after="0"/>
        <w:tabs>
          <w:tab w:leader="none" w:pos="8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181" w:lineRule="exact"/>
        <w:rPr>
          <w:sz w:val="20"/>
          <w:szCs w:val="20"/>
          <w:color w:val="auto"/>
        </w:rPr>
      </w:pPr>
    </w:p>
    <w:p>
      <w:pPr>
        <w:ind w:left="660" w:hanging="652"/>
        <w:spacing w:after="0"/>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60" w:firstLine="656"/>
        <w:spacing w:after="0" w:line="259" w:lineRule="auto"/>
        <w:tabs>
          <w:tab w:leader="none" w:pos="1294"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Form of Exercise</w:t>
      </w:r>
      <w:r>
        <w:rPr>
          <w:rFonts w:ascii="Arial" w:cs="Arial" w:eastAsia="Arial" w:hAnsi="Arial"/>
          <w:sz w:val="18"/>
          <w:szCs w:val="18"/>
          <w:color w:val="auto"/>
        </w:rPr>
        <w:t xml:space="preserve">. Each election to exercise this option shall be accompanied by a completed Notice of Stock Option Exercise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 or for fewer than ten whole shares.</w:t>
      </w:r>
    </w:p>
    <w:p>
      <w:pPr>
        <w:spacing w:after="0" w:line="186" w:lineRule="exact"/>
        <w:rPr>
          <w:rFonts w:ascii="Arial" w:cs="Arial" w:eastAsia="Arial" w:hAnsi="Arial"/>
          <w:sz w:val="18"/>
          <w:szCs w:val="18"/>
          <w:color w:val="auto"/>
        </w:rPr>
      </w:pPr>
    </w:p>
    <w:p>
      <w:pPr>
        <w:ind w:right="340" w:firstLine="656"/>
        <w:spacing w:after="0" w:line="264" w:lineRule="auto"/>
        <w:tabs>
          <w:tab w:leader="none" w:pos="1304"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Continuous Relationship with the Company Required</w:t>
      </w:r>
      <w:r>
        <w:rPr>
          <w:rFonts w:ascii="Arial" w:cs="Arial" w:eastAsia="Arial" w:hAnsi="Arial"/>
          <w:sz w:val="18"/>
          <w:szCs w:val="18"/>
          <w:color w:val="auto"/>
        </w:rPr>
        <w:t>. Except as otherwise provided in this Section 3, this option may not be exercised unless the Participant, at the time he or she exercises this option, is, and has been at all times since the Grant Date, an employee, officer or director of, or consultant or advisor to, the Company or any other entity the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color w:val="auto"/>
        </w:rPr>
        <w:t>officers, directors, consultants, or advisors of which are eligible to receive option grants under the Plan (an “</w:t>
      </w:r>
      <w:r>
        <w:rPr>
          <w:rFonts w:ascii="Arial" w:cs="Arial" w:eastAsia="Arial" w:hAnsi="Arial"/>
          <w:sz w:val="18"/>
          <w:szCs w:val="18"/>
          <w:b w:val="1"/>
          <w:bCs w:val="1"/>
          <w:color w:val="auto"/>
        </w:rPr>
        <w:t>Eligible Participant</w:t>
      </w:r>
      <w:r>
        <w:rPr>
          <w:rFonts w:ascii="Arial" w:cs="Arial" w:eastAsia="Arial" w:hAnsi="Arial"/>
          <w:sz w:val="18"/>
          <w:szCs w:val="18"/>
          <w:color w:val="auto"/>
        </w:rPr>
        <w:t>”).</w:t>
      </w:r>
    </w:p>
    <w:p>
      <w:pPr>
        <w:spacing w:after="0" w:line="229" w:lineRule="exact"/>
        <w:rPr>
          <w:sz w:val="20"/>
          <w:szCs w:val="20"/>
          <w:color w:val="auto"/>
        </w:rPr>
      </w:pPr>
    </w:p>
    <w:p>
      <w:pPr>
        <w:ind w:firstLine="656"/>
        <w:spacing w:after="0" w:line="255" w:lineRule="auto"/>
        <w:tabs>
          <w:tab w:leader="none" w:pos="1307"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with the Company</w:t>
      </w:r>
      <w:r>
        <w:rPr>
          <w:rFonts w:ascii="Arial" w:cs="Arial" w:eastAsia="Arial" w:hAnsi="Arial"/>
          <w:sz w:val="18"/>
          <w:szCs w:val="18"/>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such violation.</w:t>
      </w:r>
    </w:p>
    <w:p>
      <w:pPr>
        <w:spacing w:after="0" w:line="193" w:lineRule="exact"/>
        <w:rPr>
          <w:rFonts w:ascii="Arial" w:cs="Arial" w:eastAsia="Arial" w:hAnsi="Arial"/>
          <w:sz w:val="18"/>
          <w:szCs w:val="18"/>
          <w:color w:val="auto"/>
        </w:rPr>
      </w:pPr>
    </w:p>
    <w:p>
      <w:pPr>
        <w:ind w:right="40" w:firstLine="656"/>
        <w:spacing w:after="0" w:line="255" w:lineRule="auto"/>
        <w:tabs>
          <w:tab w:leader="none" w:pos="1304"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Exercise Period Upon Death or Disability</w:t>
      </w:r>
      <w:r>
        <w:rPr>
          <w:rFonts w:ascii="Arial" w:cs="Arial" w:eastAsia="Arial" w:hAnsi="Arial"/>
          <w:sz w:val="18"/>
          <w:szCs w:val="18"/>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93" w:lineRule="exact"/>
        <w:rPr>
          <w:rFonts w:ascii="Arial" w:cs="Arial" w:eastAsia="Arial" w:hAnsi="Arial"/>
          <w:sz w:val="18"/>
          <w:szCs w:val="18"/>
          <w:color w:val="auto"/>
        </w:rPr>
      </w:pPr>
    </w:p>
    <w:p>
      <w:pPr>
        <w:jc w:val="both"/>
        <w:ind w:right="40" w:firstLine="656"/>
        <w:spacing w:after="0" w:line="284" w:lineRule="auto"/>
        <w:tabs>
          <w:tab w:leader="none" w:pos="1307" w:val="left"/>
        </w:tabs>
        <w:numPr>
          <w:ilvl w:val="1"/>
          <w:numId w:val="234"/>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prior to the Final Exercise Date, the Participant’s employment or other relationship with the Company is terminated by the Company for Cause (as defined below), the right to exercise this option shall terminate immediately upon the effective date of such termination of employment or other relationship. If, prior to the Final Exercise Date, the Participant is given notice by the Company of the termination of his or her employment or other relationship by the Company for Cause, and the effective date of such employment or other termination is subsequent to the date of the delivery of such notice, the right to exercise this option shall be suspended from the time of the delivery of such notice until the earlier of (i) such time as it is determined or otherwise agreed that the Participant’s employment or other relationship shall not be terminated for Cause as provided in such notice or</w:t>
      </w:r>
    </w:p>
    <w:p>
      <w:pPr>
        <w:spacing w:after="0" w:line="4" w:lineRule="exact"/>
        <w:rPr>
          <w:rFonts w:ascii="Arial" w:cs="Arial" w:eastAsia="Arial" w:hAnsi="Arial"/>
          <w:sz w:val="16"/>
          <w:szCs w:val="16"/>
          <w:color w:val="auto"/>
        </w:rPr>
      </w:pPr>
    </w:p>
    <w:p>
      <w:pPr>
        <w:ind w:right="80" w:firstLine="8"/>
        <w:spacing w:after="0" w:line="287" w:lineRule="auto"/>
        <w:tabs>
          <w:tab w:leader="none" w:pos="265"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effective date of such termination of employment or other relationship (in which case the right to exercise this option shall, pursuant to the preceding sentence, terminate immediately upon the effective date of such termination of employment or other relationship). If the Participant is party to an employment, consulting or severance agreement with the Company that contains a definition of “cause” for termination of employment or other relationship, “Cause”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Participant’s employment or other relationship shall be considered to have been terminated for “Cause” if the Company determines, within 30 days after the Participant’s resignation, that termination for Cause was warranted.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54" w:name="page355"/>
    <w:bookmarkEnd w:id="354"/>
    <w:p>
      <w:pPr>
        <w:ind w:left="652" w:hanging="652"/>
        <w:spacing w:after="0"/>
        <w:tabs>
          <w:tab w:leader="none" w:pos="652"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Company Right of First Refusal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40" w:firstLine="656"/>
        <w:spacing w:after="0" w:line="302" w:lineRule="auto"/>
        <w:tabs>
          <w:tab w:leader="none" w:pos="1286" w:val="left"/>
        </w:tabs>
        <w:numPr>
          <w:ilvl w:val="1"/>
          <w:numId w:val="236"/>
        </w:numPr>
        <w:rPr>
          <w:rFonts w:ascii="Arial" w:cs="Arial" w:eastAsia="Arial" w:hAnsi="Arial"/>
          <w:sz w:val="16"/>
          <w:szCs w:val="16"/>
          <w:color w:val="auto"/>
        </w:rPr>
      </w:pPr>
      <w:r>
        <w:rPr>
          <w:rFonts w:ascii="Arial" w:cs="Arial" w:eastAsia="Arial" w:hAnsi="Arial"/>
          <w:sz w:val="16"/>
          <w:szCs w:val="16"/>
          <w:u w:val="single" w:color="auto"/>
          <w:color w:val="auto"/>
        </w:rPr>
        <w:t>Notice of Proposed Transfer</w:t>
      </w:r>
      <w:r>
        <w:rPr>
          <w:rFonts w:ascii="Arial" w:cs="Arial" w:eastAsia="Arial" w:hAnsi="Arial"/>
          <w:sz w:val="16"/>
          <w:szCs w:val="16"/>
          <w:color w:val="auto"/>
        </w:rPr>
        <w:t>. If the Participant proposes to sell, assign, transfer, pledge, hypothecate or otherwise dispose of, by operation of law or otherwise (collectively, “transfer”) any Shares acquired upon exercise of this option, then the Participant shall first give written notice of the proposed transfer (the “</w:t>
      </w:r>
      <w:r>
        <w:rPr>
          <w:rFonts w:ascii="Arial" w:cs="Arial" w:eastAsia="Arial" w:hAnsi="Arial"/>
          <w:sz w:val="16"/>
          <w:szCs w:val="16"/>
          <w:b w:val="1"/>
          <w:bCs w:val="1"/>
          <w:color w:val="auto"/>
        </w:rPr>
        <w:t>Transfer Notice</w:t>
      </w:r>
      <w:r>
        <w:rPr>
          <w:rFonts w:ascii="Arial" w:cs="Arial" w:eastAsia="Arial" w:hAnsi="Arial"/>
          <w:sz w:val="16"/>
          <w:szCs w:val="16"/>
          <w:color w:val="auto"/>
        </w:rPr>
        <w:t>”) to the Company. The Transfer Notice shall name the proposed transferee and state the number of such Shares the Participant proposes to transfer (the “</w:t>
      </w:r>
      <w:r>
        <w:rPr>
          <w:rFonts w:ascii="Arial" w:cs="Arial" w:eastAsia="Arial" w:hAnsi="Arial"/>
          <w:sz w:val="16"/>
          <w:szCs w:val="16"/>
          <w:b w:val="1"/>
          <w:bCs w:val="1"/>
          <w:color w:val="auto"/>
        </w:rPr>
        <w:t>Offered Shares</w:t>
      </w:r>
      <w:r>
        <w:rPr>
          <w:rFonts w:ascii="Arial" w:cs="Arial" w:eastAsia="Arial" w:hAnsi="Arial"/>
          <w:sz w:val="16"/>
          <w:szCs w:val="16"/>
          <w:color w:val="auto"/>
        </w:rPr>
        <w:t>”), the price per share and all other material terms and conditions of the transfer.</w:t>
      </w:r>
    </w:p>
    <w:p>
      <w:pPr>
        <w:spacing w:after="0" w:line="154" w:lineRule="exact"/>
        <w:rPr>
          <w:rFonts w:ascii="Arial" w:cs="Arial" w:eastAsia="Arial" w:hAnsi="Arial"/>
          <w:sz w:val="16"/>
          <w:szCs w:val="16"/>
          <w:color w:val="auto"/>
        </w:rPr>
      </w:pPr>
    </w:p>
    <w:p>
      <w:pPr>
        <w:ind w:left="-8" w:firstLine="656"/>
        <w:spacing w:after="0" w:line="289" w:lineRule="auto"/>
        <w:tabs>
          <w:tab w:leader="none" w:pos="1296" w:val="left"/>
        </w:tabs>
        <w:numPr>
          <w:ilvl w:val="1"/>
          <w:numId w:val="236"/>
        </w:numPr>
        <w:rPr>
          <w:rFonts w:ascii="Arial" w:cs="Arial" w:eastAsia="Arial" w:hAnsi="Arial"/>
          <w:sz w:val="16"/>
          <w:szCs w:val="16"/>
          <w:color w:val="auto"/>
        </w:rPr>
      </w:pPr>
      <w:r>
        <w:rPr>
          <w:rFonts w:ascii="Arial" w:cs="Arial" w:eastAsia="Arial" w:hAnsi="Arial"/>
          <w:sz w:val="16"/>
          <w:szCs w:val="16"/>
          <w:u w:val="single" w:color="auto"/>
          <w:color w:val="auto"/>
        </w:rPr>
        <w:t>Company Right to Purchase</w:t>
      </w:r>
      <w:r>
        <w:rPr>
          <w:rFonts w:ascii="Arial" w:cs="Arial" w:eastAsia="Arial" w:hAnsi="Arial"/>
          <w:sz w:val="16"/>
          <w:szCs w:val="16"/>
          <w:color w:val="auto"/>
        </w:rPr>
        <w:t xml:space="preserve">. For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Participant within such 30-day period. Within 10 days after his or her receipt of such notice, the Participant shall tender to the Company at its principal offices the certificate or certificates representing the Offered Shares to be purchased by the Company, duly endorsed in blank by the Participant or with duly endorsed stock powers attached thereto, all in a form suitable for transfer of the Offered Shares to the Company. Promptly following receipt of such certificate or certificates, the Company shall deliver or mail to the Participant a check in payment of the purchase price for such Offered Shares;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the terms of payment set forth in the Transfer Notice were other than cash against delivery, the Company may pay for the Offered Shares on the same terms and conditions as were set forth in the Transfer Notice;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delay in making such payment shall not invalidate the Company’s exercise of its option to purchase the Offered Shares.</w:t>
      </w:r>
    </w:p>
    <w:p>
      <w:pPr>
        <w:spacing w:after="0" w:line="166" w:lineRule="exact"/>
        <w:rPr>
          <w:rFonts w:ascii="Arial" w:cs="Arial" w:eastAsia="Arial" w:hAnsi="Arial"/>
          <w:sz w:val="16"/>
          <w:szCs w:val="16"/>
          <w:color w:val="auto"/>
        </w:rPr>
      </w:pPr>
    </w:p>
    <w:p>
      <w:pPr>
        <w:ind w:left="-8" w:right="20" w:firstLine="656"/>
        <w:spacing w:after="0" w:line="273" w:lineRule="auto"/>
        <w:tabs>
          <w:tab w:leader="none" w:pos="1299" w:val="left"/>
        </w:tabs>
        <w:numPr>
          <w:ilvl w:val="1"/>
          <w:numId w:val="236"/>
        </w:numPr>
        <w:rPr>
          <w:rFonts w:ascii="Arial" w:cs="Arial" w:eastAsia="Arial" w:hAnsi="Arial"/>
          <w:sz w:val="17"/>
          <w:szCs w:val="17"/>
          <w:color w:val="auto"/>
        </w:rPr>
      </w:pPr>
      <w:r>
        <w:rPr>
          <w:rFonts w:ascii="Arial" w:cs="Arial" w:eastAsia="Arial" w:hAnsi="Arial"/>
          <w:sz w:val="17"/>
          <w:szCs w:val="17"/>
          <w:u w:val="single" w:color="auto"/>
          <w:color w:val="auto"/>
        </w:rPr>
        <w:t>Shares Not Purchased By Company</w:t>
      </w:r>
      <w:r>
        <w:rPr>
          <w:rFonts w:ascii="Arial" w:cs="Arial" w:eastAsia="Arial" w:hAnsi="Arial"/>
          <w:sz w:val="17"/>
          <w:szCs w:val="17"/>
          <w:color w:val="auto"/>
        </w:rPr>
        <w:t xml:space="preserve">. If the Company does not elect to acquire all of the Offered Shares, the Participant may, within the 30-day period following the expiration of the option granted to the Company under subsection (b) above, transfer the Offered Shares which the Company has not elected to acquire to the proposed transferee,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transfer shall not be on terms and conditions more favorable to the transferee than those contained in the Transfer Notice. Notwithstanding any of the above, all Offered Shares transferred pursuant to this Section 4 shall remain subject to the right of first refusal set forth in this Section 4 and such transferee shall, as a condition to such transfer, deliver to the Company a written instrument confirming that such transferee shall be bound by all of the terms and conditions of this Section 4.</w:t>
      </w:r>
    </w:p>
    <w:p>
      <w:pPr>
        <w:spacing w:after="0" w:line="178" w:lineRule="exact"/>
        <w:rPr>
          <w:rFonts w:ascii="Arial" w:cs="Arial" w:eastAsia="Arial" w:hAnsi="Arial"/>
          <w:sz w:val="17"/>
          <w:szCs w:val="17"/>
          <w:color w:val="auto"/>
        </w:rPr>
      </w:pPr>
    </w:p>
    <w:p>
      <w:pPr>
        <w:ind w:left="-8" w:right="100" w:firstLine="656"/>
        <w:spacing w:after="0" w:line="259" w:lineRule="auto"/>
        <w:tabs>
          <w:tab w:leader="none" w:pos="1296" w:val="left"/>
        </w:tabs>
        <w:numPr>
          <w:ilvl w:val="1"/>
          <w:numId w:val="236"/>
        </w:numPr>
        <w:rPr>
          <w:rFonts w:ascii="Arial" w:cs="Arial" w:eastAsia="Arial" w:hAnsi="Arial"/>
          <w:sz w:val="18"/>
          <w:szCs w:val="18"/>
          <w:color w:val="auto"/>
        </w:rPr>
      </w:pPr>
      <w:r>
        <w:rPr>
          <w:rFonts w:ascii="Arial" w:cs="Arial" w:eastAsia="Arial" w:hAnsi="Arial"/>
          <w:sz w:val="18"/>
          <w:szCs w:val="18"/>
          <w:u w:val="single" w:color="auto"/>
          <w:color w:val="auto"/>
        </w:rPr>
        <w:t>Consequences of Non-Delivery</w:t>
      </w:r>
      <w:r>
        <w:rPr>
          <w:rFonts w:ascii="Arial" w:cs="Arial" w:eastAsia="Arial" w:hAnsi="Arial"/>
          <w:sz w:val="18"/>
          <w:szCs w:val="18"/>
          <w:color w:val="auto"/>
        </w:rPr>
        <w:t>. After the time at which the Offered Shares are required to be delivered to the Company for transfer to the Company pursuant to subsection (b) above, the Company shall not pay any dividend to the Participant on account of such Offered Shares or permit the Participant to exercise any of the privileges or rights of a stockholder with respect to such Offered Shares, but shall, insofar as permitted by law, treat the Company as the owner of such Offered Shares.</w:t>
      </w:r>
    </w:p>
    <w:p>
      <w:pPr>
        <w:spacing w:after="0" w:line="186" w:lineRule="exact"/>
        <w:rPr>
          <w:rFonts w:ascii="Arial" w:cs="Arial" w:eastAsia="Arial" w:hAnsi="Arial"/>
          <w:sz w:val="18"/>
          <w:szCs w:val="18"/>
          <w:color w:val="auto"/>
        </w:rPr>
      </w:pPr>
    </w:p>
    <w:p>
      <w:pPr>
        <w:ind w:left="1312" w:hanging="664"/>
        <w:spacing w:after="0"/>
        <w:tabs>
          <w:tab w:leader="none" w:pos="1312" w:val="left"/>
        </w:tabs>
        <w:numPr>
          <w:ilvl w:val="1"/>
          <w:numId w:val="236"/>
        </w:numPr>
        <w:rPr>
          <w:rFonts w:ascii="Arial" w:cs="Arial" w:eastAsia="Arial" w:hAnsi="Arial"/>
          <w:sz w:val="18"/>
          <w:szCs w:val="18"/>
          <w:color w:val="auto"/>
        </w:rPr>
      </w:pPr>
      <w:r>
        <w:rPr>
          <w:rFonts w:ascii="Arial" w:cs="Arial" w:eastAsia="Arial" w:hAnsi="Arial"/>
          <w:sz w:val="18"/>
          <w:szCs w:val="18"/>
          <w:u w:val="single" w:color="auto"/>
          <w:color w:val="auto"/>
        </w:rPr>
        <w:t>Exempt Transactions</w:t>
      </w:r>
      <w:r>
        <w:rPr>
          <w:rFonts w:ascii="Arial" w:cs="Arial" w:eastAsia="Arial" w:hAnsi="Arial"/>
          <w:sz w:val="18"/>
          <w:szCs w:val="18"/>
          <w:color w:val="auto"/>
        </w:rPr>
        <w:t>. The following transactions shall be exempt from the provisions of this Section 4:</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355" w:name="page356"/>
    <w:bookmarkEnd w:id="355"/>
    <w:p>
      <w:pPr>
        <w:ind w:left="1960" w:hanging="655"/>
        <w:spacing w:after="0"/>
        <w:tabs>
          <w:tab w:leader="none" w:pos="19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any transfer of Shares to or for the benefit of any spouse, child or grandchild of the Participant, or to a trust for their benefit;</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any transfer pursuant to an effective registration statement filed by the Company under the Securities Act of 1933, as amended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and</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sale of all or substantially all of the outstanding shares of capital stock of the Company (including pursuant to a merger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consolidation);</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a transfer pursuant to clause (1) above, such Shares shall remain subject to the right of first refusal set forth in this Section 4.</w:t>
      </w:r>
    </w:p>
    <w:p>
      <w:pPr>
        <w:spacing w:after="0" w:line="170" w:lineRule="exact"/>
        <w:rPr>
          <w:sz w:val="20"/>
          <w:szCs w:val="20"/>
          <w:color w:val="auto"/>
        </w:rPr>
      </w:pPr>
    </w:p>
    <w:p>
      <w:pPr>
        <w:ind w:right="380" w:firstLine="656"/>
        <w:spacing w:after="0" w:line="277" w:lineRule="auto"/>
        <w:tabs>
          <w:tab w:leader="none" w:pos="1301"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Assignment of Company Right</w:t>
      </w:r>
      <w:r>
        <w:rPr>
          <w:rFonts w:ascii="Arial" w:cs="Arial" w:eastAsia="Arial" w:hAnsi="Arial"/>
          <w:sz w:val="18"/>
          <w:szCs w:val="18"/>
          <w:color w:val="auto"/>
        </w:rPr>
        <w:t>. The Company may assign its rights to purchase Offered Shares in any particular transaction under this Section 4 to one or more persons or entities.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provisions of this Section 4 shall terminate upon the earlier of the following events:</w:t>
      </w:r>
    </w:p>
    <w:p>
      <w:pPr>
        <w:spacing w:after="0" w:line="225" w:lineRule="exact"/>
        <w:rPr>
          <w:rFonts w:ascii="Arial" w:cs="Arial" w:eastAsia="Arial" w:hAnsi="Arial"/>
          <w:sz w:val="18"/>
          <w:szCs w:val="18"/>
          <w:color w:val="auto"/>
        </w:rPr>
      </w:pPr>
    </w:p>
    <w:p>
      <w:pPr>
        <w:ind w:right="20" w:firstLine="1305"/>
        <w:spacing w:after="0" w:line="277" w:lineRule="auto"/>
        <w:tabs>
          <w:tab w:leader="none" w:pos="1952"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closing of the sale of shares of Common Stock in an underwritten public offering pursuant to an effective registration statement filed by the Company under the Securities Act; or</w:t>
      </w:r>
    </w:p>
    <w:p>
      <w:pPr>
        <w:spacing w:after="0" w:line="170" w:lineRule="exact"/>
        <w:rPr>
          <w:rFonts w:ascii="Arial" w:cs="Arial" w:eastAsia="Arial" w:hAnsi="Arial"/>
          <w:sz w:val="18"/>
          <w:szCs w:val="18"/>
          <w:color w:val="auto"/>
        </w:rPr>
      </w:pPr>
    </w:p>
    <w:p>
      <w:pPr>
        <w:ind w:firstLine="1305"/>
        <w:spacing w:after="0" w:line="257" w:lineRule="auto"/>
        <w:tabs>
          <w:tab w:leader="none" w:pos="1952"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75% (determined on an as-converted basis) of the outstanding securities entitled to vote generally in the election of directors of the resulting, surviving or acquiring corporation in such transaction).</w:t>
      </w:r>
    </w:p>
    <w:p>
      <w:pPr>
        <w:spacing w:after="0" w:line="188" w:lineRule="exact"/>
        <w:rPr>
          <w:rFonts w:ascii="Arial" w:cs="Arial" w:eastAsia="Arial" w:hAnsi="Arial"/>
          <w:sz w:val="18"/>
          <w:szCs w:val="18"/>
          <w:color w:val="auto"/>
        </w:rPr>
      </w:pPr>
    </w:p>
    <w:p>
      <w:pPr>
        <w:jc w:val="both"/>
        <w:ind w:right="100" w:firstLine="656"/>
        <w:spacing w:after="0" w:line="264" w:lineRule="auto"/>
        <w:tabs>
          <w:tab w:leader="none" w:pos="1304"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No Obligation to Recognize Invalid Transfer</w:t>
      </w:r>
      <w:r>
        <w:rPr>
          <w:rFonts w:ascii="Arial" w:cs="Arial" w:eastAsia="Arial" w:hAnsi="Arial"/>
          <w:sz w:val="18"/>
          <w:szCs w:val="18"/>
          <w:color w:val="auto"/>
        </w:rPr>
        <w:t>. The Company shall not be required (1) to transfer on its books any of the Shares which shall have been sold or transferred in violation of any of the provisions set forth in this Section 4, or (2) to treat as owner of such Shares or to pay dividends to any transferee to whom any such Shares shall have been so sold or transferred.</w:t>
      </w:r>
    </w:p>
    <w:p>
      <w:pPr>
        <w:spacing w:after="0" w:line="181" w:lineRule="exact"/>
        <w:rPr>
          <w:rFonts w:ascii="Arial" w:cs="Arial" w:eastAsia="Arial" w:hAnsi="Arial"/>
          <w:sz w:val="18"/>
          <w:szCs w:val="18"/>
          <w:color w:val="auto"/>
        </w:rPr>
      </w:pPr>
    </w:p>
    <w:p>
      <w:pPr>
        <w:ind w:right="60" w:firstLine="656"/>
        <w:spacing w:after="0" w:line="308" w:lineRule="auto"/>
        <w:tabs>
          <w:tab w:leader="none" w:pos="1318"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The certificate representing Shares shall bear a legend substantially in the following form (in addition to, or in combination with, any legend required by applicable federal and state securities laws and agreements relating to the transfer of the Company securities):</w:t>
      </w:r>
    </w:p>
    <w:p>
      <w:pPr>
        <w:spacing w:after="0" w:line="147"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“The shares represented by this certificate are subject to a right of first refusal in favor of the Company, as provided in a certain stock option agreement with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6" w:name="page357"/>
    <w:bookmarkEnd w:id="356"/>
    <w:p>
      <w:pPr>
        <w:ind w:left="660" w:hanging="652"/>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Agreement in Connection with Initial Public Offering</w:t>
      </w:r>
      <w:r>
        <w:rPr>
          <w:rFonts w:ascii="Arial" w:cs="Arial" w:eastAsia="Arial" w:hAnsi="Arial"/>
          <w:sz w:val="18"/>
          <w:szCs w:val="18"/>
          <w:color w:val="auto"/>
        </w:rPr>
        <w:t>.</w:t>
      </w:r>
    </w:p>
    <w:p>
      <w:pPr>
        <w:spacing w:after="0" w:line="225" w:lineRule="exact"/>
        <w:rPr>
          <w:sz w:val="20"/>
          <w:szCs w:val="20"/>
          <w:color w:val="auto"/>
        </w:rPr>
      </w:pPr>
    </w:p>
    <w:p>
      <w:pPr>
        <w:ind w:firstLine="654"/>
        <w:spacing w:after="0" w:line="269" w:lineRule="auto"/>
        <w:rPr>
          <w:sz w:val="20"/>
          <w:szCs w:val="20"/>
          <w:color w:val="auto"/>
        </w:rPr>
      </w:pPr>
      <w:r>
        <w:rPr>
          <w:rFonts w:ascii="Arial" w:cs="Arial" w:eastAsia="Arial" w:hAnsi="Arial"/>
          <w:sz w:val="17"/>
          <w:szCs w:val="17"/>
          <w:color w:val="auto"/>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(b) enter into any swap or other agreement that transfers, in 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180 days after the date of the final prospectus relating to the offering (plus up to an additional 34 days to the extent requested by the managing underwriters for such offering in order to address NASD Rule 2711(f)(4) or NYSE Rule 472(f)(4)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pacing w:after="0" w:line="183" w:lineRule="exact"/>
        <w:rPr>
          <w:sz w:val="20"/>
          <w:szCs w:val="20"/>
          <w:color w:val="auto"/>
        </w:rPr>
      </w:pPr>
    </w:p>
    <w:p>
      <w:pPr>
        <w:ind w:left="660" w:hanging="652"/>
        <w:spacing w:after="0"/>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147" w:lineRule="exact"/>
        <w:rPr>
          <w:sz w:val="20"/>
          <w:szCs w:val="20"/>
          <w:color w:val="auto"/>
        </w:rPr>
      </w:pPr>
    </w:p>
    <w:p>
      <w:pPr>
        <w:ind w:left="660" w:hanging="652"/>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p>
    <w:p>
      <w:pPr>
        <w:spacing w:after="0" w:line="225" w:lineRule="exact"/>
        <w:rPr>
          <w:rFonts w:ascii="Arial" w:cs="Arial" w:eastAsia="Arial" w:hAnsi="Arial"/>
          <w:sz w:val="18"/>
          <w:szCs w:val="18"/>
          <w:color w:val="auto"/>
        </w:rPr>
      </w:pPr>
    </w:p>
    <w:p>
      <w:pPr>
        <w:ind w:firstLine="656"/>
        <w:spacing w:after="0" w:line="342" w:lineRule="auto"/>
        <w:tabs>
          <w:tab w:leader="none" w:pos="1294" w:val="left"/>
        </w:tabs>
        <w:numPr>
          <w:ilvl w:val="1"/>
          <w:numId w:val="241"/>
        </w:numPr>
        <w:rPr>
          <w:rFonts w:ascii="Arial" w:cs="Arial" w:eastAsia="Arial" w:hAnsi="Arial"/>
          <w:sz w:val="16"/>
          <w:szCs w:val="16"/>
          <w:color w:val="auto"/>
        </w:rPr>
      </w:pPr>
      <w:r>
        <w:rPr>
          <w:rFonts w:ascii="Arial" w:cs="Arial" w:eastAsia="Arial" w:hAnsi="Arial"/>
          <w:sz w:val="16"/>
          <w:szCs w:val="16"/>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23" w:lineRule="exact"/>
        <w:rPr>
          <w:rFonts w:ascii="Arial" w:cs="Arial" w:eastAsia="Arial" w:hAnsi="Arial"/>
          <w:sz w:val="16"/>
          <w:szCs w:val="16"/>
          <w:color w:val="auto"/>
        </w:rPr>
      </w:pPr>
    </w:p>
    <w:p>
      <w:pPr>
        <w:ind w:right="180" w:firstLine="656"/>
        <w:spacing w:after="0" w:line="257" w:lineRule="auto"/>
        <w:tabs>
          <w:tab w:leader="none" w:pos="1304"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Participant agrees that he or she will not transfer any Shares issued pursuant to the exercise of this option unless the transferee, as a condition to such transfer, delivers to the Company a written instrument confirming that such transferee shall be bound by all of the terms and conditions of Section 4 and Section 5; provided that such a written confirmation shall not be required with respect to (1) Section 4 after such provision has terminated in accordance with Section 4(g) or (2) Section 5 after the completion of the lock-up period in connection with the Company’s initial underwritten public offering.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7" w:name="page358"/>
    <w:bookmarkEnd w:id="357"/>
    <w:p>
      <w:pPr>
        <w:ind w:left="660" w:hanging="652"/>
        <w:spacing w:after="0"/>
        <w:tabs>
          <w:tab w:leader="none" w:pos="66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option is subject to the provisions of the Plan (including the provisions relating to amendments to the Plan), a copy of which is furnished to the Participant with this option.</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358" w:name="page359"/>
    <w:bookmarkEnd w:id="358"/>
    <w:p>
      <w:pPr>
        <w:ind w:right="200" w:firstLine="654"/>
        <w:spacing w:after="0" w:line="264" w:lineRule="auto"/>
        <w:rPr>
          <w:sz w:val="20"/>
          <w:szCs w:val="20"/>
          <w:color w:val="auto"/>
        </w:rPr>
      </w:pPr>
      <w:r>
        <w:rPr>
          <w:rFonts w:ascii="Arial" w:cs="Arial" w:eastAsia="Arial" w:hAnsi="Arial"/>
          <w:sz w:val="18"/>
          <w:szCs w:val="18"/>
          <w:color w:val="auto"/>
        </w:rPr>
        <w:t>IN WITNESS WHEREOF, the parties hereto have executed this Agreement as of the day and year first above written. The Participant hereby accepts the foregoing option and agrees to the terms and conditions thereof. The Participant hereby acknowledges receipt of a copy of the Company’s 2016 Stock Incentive Plan.</w:t>
      </w:r>
    </w:p>
    <w:p>
      <w:pPr>
        <w:spacing w:after="0" w:line="3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Fulcrum Therapeutics, Inc.</w:t>
      </w:r>
    </w:p>
    <w:p>
      <w:pPr>
        <w:spacing w:after="0" w:line="200" w:lineRule="exact"/>
        <w:rPr>
          <w:sz w:val="20"/>
          <w:szCs w:val="20"/>
          <w:color w:val="auto"/>
        </w:rPr>
      </w:pPr>
    </w:p>
    <w:p>
      <w:pPr>
        <w:spacing w:after="0" w:line="24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5715</wp:posOffset>
            </wp:positionV>
            <wp:extent cx="283845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83845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-130810</wp:posOffset>
            </wp:positionV>
            <wp:extent cx="283845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PARTICIPANT:</w:t>
      </w:r>
    </w:p>
    <w:p>
      <w:pPr>
        <w:spacing w:after="0" w:line="200" w:lineRule="exact"/>
        <w:rPr>
          <w:sz w:val="20"/>
          <w:szCs w:val="20"/>
          <w:color w:val="auto"/>
        </w:rPr>
      </w:pPr>
    </w:p>
    <w:p>
      <w:pPr>
        <w:spacing w:after="0" w:line="24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236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spacing w:after="0"/>
              <w:rPr>
                <w:sz w:val="20"/>
                <w:szCs w:val="20"/>
                <w:color w:val="auto"/>
              </w:rPr>
            </w:pPr>
          </w:p>
        </w:tc>
      </w:tr>
      <w:tr>
        <w:trPr>
          <w:trHeight w:val="397"/>
        </w:trPr>
        <w:tc>
          <w:tcPr>
            <w:tcW w:w="122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2360" w:type="dxa"/>
            <w:vAlign w:val="bottom"/>
          </w:tcPr>
          <w:p>
            <w:pPr>
              <w:jc w:val="right"/>
              <w:ind w:right="2210"/>
              <w:spacing w:after="0"/>
              <w:rPr>
                <w:sz w:val="20"/>
                <w:szCs w:val="20"/>
                <w:color w:val="auto"/>
              </w:rPr>
            </w:pPr>
            <w:r>
              <w:rPr>
                <w:rFonts w:ascii="Arial" w:cs="Arial" w:eastAsia="Arial" w:hAnsi="Arial"/>
                <w:sz w:val="18"/>
                <w:szCs w:val="18"/>
                <w:color w:val="auto"/>
                <w:w w:val="78"/>
              </w:rPr>
              <w:t>[</w:t>
            </w:r>
          </w:p>
        </w:tc>
        <w:tc>
          <w:tcPr>
            <w:tcW w:w="2120" w:type="dxa"/>
            <w:vAlign w:val="bottom"/>
          </w:tcPr>
          <w:p>
            <w:pPr>
              <w:jc w:val="right"/>
              <w:ind w:right="430"/>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60" w:type="dxa"/>
            <w:vAlign w:val="bottom"/>
          </w:tcPr>
          <w:p>
            <w:pPr>
              <w:jc w:val="right"/>
              <w:ind w:right="2210"/>
              <w:spacing w:after="0"/>
              <w:rPr>
                <w:sz w:val="20"/>
                <w:szCs w:val="20"/>
                <w:color w:val="auto"/>
              </w:rPr>
            </w:pPr>
            <w:r>
              <w:rPr>
                <w:rFonts w:ascii="Arial" w:cs="Arial" w:eastAsia="Arial" w:hAnsi="Arial"/>
                <w:sz w:val="18"/>
                <w:szCs w:val="18"/>
                <w:color w:val="auto"/>
                <w:w w:val="78"/>
              </w:rPr>
              <w:t>[</w:t>
            </w:r>
          </w:p>
        </w:tc>
        <w:tc>
          <w:tcPr>
            <w:tcW w:w="2120" w:type="dxa"/>
            <w:vAlign w:val="bottom"/>
          </w:tcPr>
          <w:p>
            <w:pPr>
              <w:jc w:val="right"/>
              <w:ind w:right="430"/>
              <w:spacing w:after="0"/>
              <w:rPr>
                <w:sz w:val="20"/>
                <w:szCs w:val="20"/>
                <w:color w:val="auto"/>
              </w:rPr>
            </w:pPr>
            <w:r>
              <w:rPr>
                <w:rFonts w:ascii="Arial" w:cs="Arial" w:eastAsia="Arial" w:hAnsi="Arial"/>
                <w:sz w:val="18"/>
                <w:szCs w:val="18"/>
                <w:color w:val="auto"/>
              </w:rPr>
              <w:t>]</w:t>
            </w:r>
          </w:p>
        </w:tc>
      </w:tr>
      <w:tr>
        <w:trPr>
          <w:trHeight w:val="648"/>
        </w:trPr>
        <w:tc>
          <w:tcPr>
            <w:tcW w:w="358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SPOUSAL CONSENT: </w:t>
            </w:r>
            <w:r>
              <w:rPr>
                <w:rFonts w:ascii="Arial" w:cs="Arial" w:eastAsia="Arial" w:hAnsi="Arial"/>
                <w:sz w:val="18"/>
                <w:szCs w:val="18"/>
                <w:color w:val="auto"/>
              </w:rPr>
              <w:t>(1)</w:t>
            </w:r>
          </w:p>
        </w:tc>
        <w:tc>
          <w:tcPr>
            <w:tcW w:w="2120" w:type="dxa"/>
            <w:vAlign w:val="bottom"/>
          </w:tcPr>
          <w:p>
            <w:pPr>
              <w:spacing w:after="0"/>
              <w:rPr>
                <w:sz w:val="24"/>
                <w:szCs w:val="24"/>
                <w:color w:val="auto"/>
              </w:rPr>
            </w:pPr>
          </w:p>
        </w:tc>
      </w:tr>
      <w:tr>
        <w:trPr>
          <w:trHeight w:val="648"/>
        </w:trPr>
        <w:tc>
          <w:tcPr>
            <w:tcW w:w="1220" w:type="dxa"/>
            <w:vAlign w:val="bottom"/>
            <w:gridSpan w:val="3"/>
          </w:tcPr>
          <w:p>
            <w:pPr>
              <w:spacing w:after="0"/>
              <w:rPr>
                <w:sz w:val="20"/>
                <w:szCs w:val="20"/>
                <w:color w:val="auto"/>
              </w:rPr>
            </w:pPr>
            <w:r>
              <w:rPr>
                <w:rFonts w:ascii="Arial" w:cs="Arial" w:eastAsia="Arial" w:hAnsi="Arial"/>
                <w:sz w:val="18"/>
                <w:szCs w:val="18"/>
                <w:color w:val="auto"/>
              </w:rPr>
              <w:t>By:</w:t>
            </w:r>
          </w:p>
        </w:tc>
        <w:tc>
          <w:tcPr>
            <w:tcW w:w="23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10"/>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36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tcPr>
          <w:p>
            <w:pPr>
              <w:spacing w:after="0"/>
              <w:rPr>
                <w:sz w:val="18"/>
                <w:szCs w:val="18"/>
                <w:color w:val="auto"/>
              </w:rPr>
            </w:pPr>
          </w:p>
        </w:tc>
      </w:tr>
      <w:tr>
        <w:trPr>
          <w:trHeight w:val="398"/>
        </w:trPr>
        <w:tc>
          <w:tcPr>
            <w:tcW w:w="122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2360" w:type="dxa"/>
            <w:vAlign w:val="bottom"/>
          </w:tcPr>
          <w:p>
            <w:pPr>
              <w:jc w:val="right"/>
              <w:ind w:right="2210"/>
              <w:spacing w:after="0"/>
              <w:rPr>
                <w:sz w:val="20"/>
                <w:szCs w:val="20"/>
                <w:color w:val="auto"/>
              </w:rPr>
            </w:pPr>
            <w:r>
              <w:rPr>
                <w:rFonts w:ascii="Arial" w:cs="Arial" w:eastAsia="Arial" w:hAnsi="Arial"/>
                <w:sz w:val="18"/>
                <w:szCs w:val="18"/>
                <w:color w:val="auto"/>
                <w:w w:val="78"/>
              </w:rPr>
              <w:t>[</w:t>
            </w:r>
          </w:p>
        </w:tc>
        <w:tc>
          <w:tcPr>
            <w:tcW w:w="2120" w:type="dxa"/>
            <w:vAlign w:val="bottom"/>
          </w:tcPr>
          <w:p>
            <w:pPr>
              <w:jc w:val="right"/>
              <w:ind w:right="430"/>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60" w:type="dxa"/>
            <w:vAlign w:val="bottom"/>
          </w:tcPr>
          <w:p>
            <w:pPr>
              <w:jc w:val="right"/>
              <w:ind w:right="2210"/>
              <w:spacing w:after="0"/>
              <w:rPr>
                <w:sz w:val="20"/>
                <w:szCs w:val="20"/>
                <w:color w:val="auto"/>
              </w:rPr>
            </w:pPr>
            <w:r>
              <w:rPr>
                <w:rFonts w:ascii="Arial" w:cs="Arial" w:eastAsia="Arial" w:hAnsi="Arial"/>
                <w:sz w:val="18"/>
                <w:szCs w:val="18"/>
                <w:color w:val="auto"/>
                <w:w w:val="78"/>
              </w:rPr>
              <w:t>[</w:t>
            </w:r>
          </w:p>
        </w:tc>
        <w:tc>
          <w:tcPr>
            <w:tcW w:w="2120" w:type="dxa"/>
            <w:vAlign w:val="bottom"/>
          </w:tcPr>
          <w:p>
            <w:pPr>
              <w:jc w:val="right"/>
              <w:ind w:right="4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40" w:firstLine="8"/>
        <w:spacing w:after="0" w:line="259" w:lineRule="auto"/>
        <w:tabs>
          <w:tab w:leader="none" w:pos="3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If the Participant resides in a community property state, it is desirable to have the Participant’s spouse also accept the option. The following are community property states: Arizona, California, Idaho, Louisiana, Nevada, New Mexico, Texas, and Washington. Although Wisconsin is not formally a community property state, it has laws governing the division of marital property similar to community property states and it may be desirable to have a Wisconsin Participant’s spouse accept the option.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NONSTATUTORY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9" w:name="page360"/>
    <w:bookmarkEnd w:id="359"/>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STOCK OPTION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ectPr>
          <w:pgSz w:w="11900" w:h="16838" w:orient="portrait"/>
          <w:cols w:equalWidth="0" w:num="1">
            <w:col w:w="11400"/>
          </w:cols>
          <w:pgMar w:left="240" w:top="337" w:right="2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100" w:firstLine="138"/>
        <w:spacing w:after="0" w:line="282" w:lineRule="auto"/>
        <w:rPr>
          <w:sz w:val="20"/>
          <w:szCs w:val="20"/>
          <w:color w:val="auto"/>
        </w:rPr>
      </w:pPr>
      <w:r>
        <w:rPr>
          <w:rFonts w:ascii="Arial" w:cs="Arial" w:eastAsia="Arial" w:hAnsi="Arial"/>
          <w:sz w:val="18"/>
          <w:szCs w:val="18"/>
          <w:color w:val="auto"/>
        </w:rPr>
        <w:t>I am the holder of a Nonstatutory Stock Option granted to me under the Fulcrum Therapeutics, Inc. (the “</w:t>
      </w:r>
      <w:r>
        <w:rPr>
          <w:rFonts w:ascii="Arial" w:cs="Arial" w:eastAsia="Arial" w:hAnsi="Arial"/>
          <w:sz w:val="18"/>
          <w:szCs w:val="18"/>
          <w:b w:val="1"/>
          <w:bCs w:val="1"/>
          <w:color w:val="auto"/>
        </w:rPr>
        <w:t>Company</w:t>
      </w:r>
      <w:r>
        <w:rPr>
          <w:rFonts w:ascii="Arial" w:cs="Arial" w:eastAsia="Arial" w:hAnsi="Arial"/>
          <w:sz w:val="18"/>
          <w:szCs w:val="18"/>
          <w:color w:val="auto"/>
        </w:rPr>
        <w:t>”) 2016 Stock Incentive Plan on ](2) for the purchase of [ ](3) shares of Common Stock of the Company at a purchase price of $[ ](4) per share.</w:t>
      </w:r>
    </w:p>
    <w:p>
      <w:pPr>
        <w:spacing w:after="0" w:line="162" w:lineRule="exact"/>
        <w:rPr>
          <w:sz w:val="20"/>
          <w:szCs w:val="20"/>
          <w:color w:val="auto"/>
        </w:rPr>
      </w:pPr>
    </w:p>
    <w:p>
      <w:pPr>
        <w:sectPr>
          <w:pgSz w:w="11900" w:h="16838" w:orient="portrait"/>
          <w:cols w:equalWidth="0" w:num="2">
            <w:col w:w="60" w:space="460"/>
            <w:col w:w="10880"/>
          </w:cols>
          <w:pgMar w:left="240" w:top="337" w:right="259" w:bottom="1440" w:gutter="0" w:footer="0" w:header="0"/>
          <w:type w:val="continuous"/>
        </w:sectPr>
      </w:pPr>
    </w:p>
    <w:p>
      <w:pPr>
        <w:ind w:left="660"/>
        <w:spacing w:after="0"/>
        <w:tabs>
          <w:tab w:leader="none" w:pos="4020" w:val="left"/>
        </w:tabs>
        <w:rPr>
          <w:sz w:val="20"/>
          <w:szCs w:val="20"/>
          <w:color w:val="auto"/>
        </w:rPr>
      </w:pPr>
      <w:r>
        <w:rPr>
          <w:rFonts w:ascii="Arial" w:cs="Arial" w:eastAsia="Arial" w:hAnsi="Arial"/>
          <w:sz w:val="18"/>
          <w:szCs w:val="18"/>
          <w:color w:val="auto"/>
        </w:rPr>
        <w:t>I hereby exercise my option to purchase [</w:t>
      </w:r>
      <w:r>
        <w:rPr>
          <w:sz w:val="20"/>
          <w:szCs w:val="20"/>
          <w:color w:val="auto"/>
        </w:rPr>
        <w:tab/>
      </w:r>
      <w:r>
        <w:rPr>
          <w:rFonts w:ascii="Arial" w:cs="Arial" w:eastAsia="Arial" w:hAnsi="Arial"/>
          <w:sz w:val="16"/>
          <w:szCs w:val="16"/>
          <w:color w:val="auto"/>
        </w:rPr>
        <w:t>](5) shares of Common Stock (the “</w:t>
      </w:r>
      <w:r>
        <w:rPr>
          <w:rFonts w:ascii="Arial" w:cs="Arial" w:eastAsia="Arial" w:hAnsi="Arial"/>
          <w:sz w:val="16"/>
          <w:szCs w:val="16"/>
          <w:b w:val="1"/>
          <w:bCs w:val="1"/>
          <w:color w:val="auto"/>
        </w:rPr>
        <w:t>Shares</w:t>
      </w:r>
      <w:r>
        <w:rPr>
          <w:rFonts w:ascii="Arial" w:cs="Arial" w:eastAsia="Arial" w:hAnsi="Arial"/>
          <w:sz w:val="16"/>
          <w:szCs w:val="16"/>
          <w:color w:val="auto"/>
        </w:rPr>
        <w:t>”), for which I have enclosed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 in the amount of</w:t>
      </w:r>
    </w:p>
    <w:p>
      <w:pPr>
        <w:spacing w:after="0" w:line="45" w:lineRule="exact"/>
        <w:rPr>
          <w:sz w:val="20"/>
          <w:szCs w:val="20"/>
          <w:color w:val="auto"/>
        </w:rPr>
      </w:pPr>
    </w:p>
    <w:p>
      <w:pPr>
        <w:sectPr>
          <w:pgSz w:w="11900" w:h="16838" w:orient="portrait"/>
          <w:cols w:equalWidth="0" w:num="2">
            <w:col w:w="9340" w:space="440"/>
            <w:col w:w="1620"/>
          </w:cols>
          <w:pgMar w:left="240" w:top="337" w:right="259" w:bottom="1440" w:gutter="0" w:footer="0" w:header="0"/>
          <w:type w:val="continuous"/>
        </w:sectPr>
      </w:pPr>
    </w:p>
    <w:p>
      <w:pPr>
        <w:ind w:left="420" w:hanging="412"/>
        <w:spacing w:after="0"/>
        <w:tabs>
          <w:tab w:leader="none" w:pos="4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](7). Please register my stock certificate as follows:</w:t>
      </w:r>
    </w:p>
    <w:p>
      <w:pPr>
        <w:spacing w:after="0" w:line="211" w:lineRule="exact"/>
        <w:rPr>
          <w:sz w:val="20"/>
          <w:szCs w:val="20"/>
          <w:color w:val="auto"/>
        </w:rPr>
      </w:pPr>
    </w:p>
    <w:p>
      <w:pPr>
        <w:ind w:left="1140"/>
        <w:spacing w:after="0"/>
        <w:tabs>
          <w:tab w:leader="none" w:pos="5280" w:val="left"/>
        </w:tabs>
        <w:rPr>
          <w:sz w:val="20"/>
          <w:szCs w:val="20"/>
          <w:color w:val="auto"/>
        </w:rPr>
      </w:pPr>
      <w:r>
        <w:rPr>
          <w:rFonts w:ascii="Arial" w:cs="Arial" w:eastAsia="Arial" w:hAnsi="Arial"/>
          <w:sz w:val="18"/>
          <w:szCs w:val="18"/>
          <w:color w:val="auto"/>
        </w:rPr>
        <w:t>Name(s):</w:t>
      </w:r>
      <w:r>
        <w:rPr>
          <w:sz w:val="20"/>
          <w:szCs w:val="20"/>
          <w:color w:val="auto"/>
        </w:rPr>
        <w:tab/>
      </w: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160655</wp:posOffset>
            </wp:positionV>
            <wp:extent cx="234124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14605</wp:posOffset>
            </wp:positionV>
            <wp:extent cx="234124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160655</wp:posOffset>
            </wp:positionV>
            <wp:extent cx="234124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14605</wp:posOffset>
            </wp:positionV>
            <wp:extent cx="234124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182689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652"/>
        <w:spacing w:after="0"/>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Enter date of exercise.</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Enter the date of grant.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Enter the total number of shares of Common Stock for which the option was granted.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Enter the option exercise price per share of Common Stock.</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Enter the number of shares of Common Stock to be purchased upon exercise of all or part of the option.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Enter “cash”, “personal check” or if permitted by the option or Plan, “stock certificates No. XXXX and XXXX”.</w:t>
      </w:r>
    </w:p>
    <w:p>
      <w:pPr>
        <w:spacing w:after="0" w:line="9" w:lineRule="exact"/>
        <w:rPr>
          <w:rFonts w:ascii="Arial" w:cs="Arial" w:eastAsia="Arial" w:hAnsi="Arial"/>
          <w:sz w:val="18"/>
          <w:szCs w:val="18"/>
          <w:color w:val="auto"/>
        </w:rPr>
      </w:pPr>
    </w:p>
    <w:p>
      <w:pPr>
        <w:ind w:right="120" w:firstLine="8"/>
        <w:spacing w:after="0" w:line="281" w:lineRule="auto"/>
        <w:tabs>
          <w:tab w:leader="none" w:pos="655" w:val="left"/>
        </w:tabs>
        <w:numPr>
          <w:ilvl w:val="0"/>
          <w:numId w:val="245"/>
        </w:numPr>
        <w:rPr>
          <w:rFonts w:ascii="Arial" w:cs="Arial" w:eastAsia="Arial" w:hAnsi="Arial"/>
          <w:sz w:val="16"/>
          <w:szCs w:val="16"/>
          <w:color w:val="auto"/>
        </w:rPr>
      </w:pPr>
      <w:r>
        <w:rPr>
          <w:rFonts w:ascii="Arial" w:cs="Arial" w:eastAsia="Arial" w:hAnsi="Arial"/>
          <w:sz w:val="16"/>
          <w:szCs w:val="16"/>
          <w:color w:val="auto"/>
        </w:rPr>
        <w:t>Enter the dollar amount (price per share of Common Stock times the number of shares of Common Stock to be purchased), or the number of shares tendered. Fair market value of shares tendered, together with cash or check, must cover the purchase price of the shares issued upon exercise.</w:t>
      </w:r>
    </w:p>
    <w:p>
      <w:pPr>
        <w:spacing w:after="0" w:line="1" w:lineRule="exact"/>
        <w:rPr>
          <w:rFonts w:ascii="Arial" w:cs="Arial" w:eastAsia="Arial" w:hAnsi="Arial"/>
          <w:sz w:val="16"/>
          <w:szCs w:val="16"/>
          <w:color w:val="auto"/>
        </w:rPr>
      </w:pPr>
    </w:p>
    <w:p>
      <w:pPr>
        <w:jc w:val="both"/>
        <w:ind w:firstLine="8"/>
        <w:spacing w:after="0" w:line="277" w:lineRule="auto"/>
        <w:tabs>
          <w:tab w:leader="none" w:pos="655" w:val="left"/>
        </w:tabs>
        <w:numPr>
          <w:ilvl w:val="0"/>
          <w:numId w:val="245"/>
        </w:numPr>
        <w:rPr>
          <w:rFonts w:ascii="Arial" w:cs="Arial" w:eastAsia="Arial" w:hAnsi="Arial"/>
          <w:sz w:val="17"/>
          <w:szCs w:val="17"/>
          <w:color w:val="auto"/>
        </w:rPr>
      </w:pPr>
      <w:r>
        <w:rPr>
          <w:rFonts w:ascii="Arial" w:cs="Arial" w:eastAsia="Arial" w:hAnsi="Arial"/>
          <w:sz w:val="17"/>
          <w:szCs w:val="17"/>
          <w:color w:val="auto"/>
        </w:rPr>
        <w:t>Enter name(s) to appear on stock certificate in one of the following formats: (a) your name only (i.e., John Doe); (b) your name and other name (i.e., John Doe and Jane Doe, Joint Tenants with Right to Survivorship); or for Nonstatutory Stock Options only, (c) a child’s name, with you as custodian (i.e. Jane Doe, Custodian for Tommy Doe). Note: There may be income and/or gift tax consequences for registering shares in a child’s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type w:val="continuous"/>
        </w:sectPr>
      </w:pPr>
    </w:p>
    <w:bookmarkStart w:id="360" w:name="page361"/>
    <w:bookmarkEnd w:id="360"/>
    <w:p>
      <w:pPr>
        <w:ind w:left="660"/>
        <w:spacing w:after="0"/>
        <w:rPr>
          <w:sz w:val="20"/>
          <w:szCs w:val="20"/>
          <w:color w:val="auto"/>
        </w:rPr>
      </w:pPr>
      <w:r>
        <w:rPr>
          <w:rFonts w:ascii="Arial" w:cs="Arial" w:eastAsia="Arial" w:hAnsi="Arial"/>
          <w:sz w:val="18"/>
          <w:szCs w:val="18"/>
          <w:color w:val="auto"/>
        </w:rPr>
        <w:t>I represent, warrant and covenant as follows:</w:t>
      </w:r>
    </w:p>
    <w:p>
      <w:pPr>
        <w:spacing w:after="0" w:line="225" w:lineRule="exact"/>
        <w:rPr>
          <w:sz w:val="20"/>
          <w:szCs w:val="20"/>
          <w:color w:val="auto"/>
        </w:rPr>
      </w:pPr>
    </w:p>
    <w:p>
      <w:pPr>
        <w:ind w:right="280" w:firstLine="8"/>
        <w:spacing w:after="0" w:line="277" w:lineRule="auto"/>
        <w:tabs>
          <w:tab w:leader="none" w:pos="64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 am purchasing the Shares for my own account for investment only, and not with a view to, or for sale in connection with, any distribution of the Shares in violation of the Securities Act of 1933 (the “</w:t>
      </w:r>
      <w:r>
        <w:rPr>
          <w:rFonts w:ascii="Arial" w:cs="Arial" w:eastAsia="Arial" w:hAnsi="Arial"/>
          <w:sz w:val="18"/>
          <w:szCs w:val="18"/>
          <w:b w:val="1"/>
          <w:bCs w:val="1"/>
          <w:color w:val="auto"/>
        </w:rPr>
        <w:t>Securities Act</w:t>
      </w:r>
      <w:r>
        <w:rPr>
          <w:rFonts w:ascii="Arial" w:cs="Arial" w:eastAsia="Arial" w:hAnsi="Arial"/>
          <w:sz w:val="18"/>
          <w:szCs w:val="18"/>
          <w:color w:val="auto"/>
        </w:rPr>
        <w:t>”), or any rule or regulation under the Securities Act.</w:t>
      </w:r>
    </w:p>
    <w:p>
      <w:pPr>
        <w:spacing w:after="0" w:line="170" w:lineRule="exact"/>
        <w:rPr>
          <w:rFonts w:ascii="Arial" w:cs="Arial" w:eastAsia="Arial" w:hAnsi="Arial"/>
          <w:sz w:val="18"/>
          <w:szCs w:val="18"/>
          <w:color w:val="auto"/>
        </w:rPr>
      </w:pPr>
    </w:p>
    <w:p>
      <w:pPr>
        <w:ind w:right="20" w:firstLine="8"/>
        <w:spacing w:after="0" w:line="277" w:lineRule="auto"/>
        <w:tabs>
          <w:tab w:leader="none" w:pos="64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 have had such opportunity as I have deemed adequate to obtain from representatives of the Company such information as is necessary to permit me to evaluate the merits and risks of my investment in the Company.</w:t>
      </w:r>
    </w:p>
    <w:p>
      <w:pPr>
        <w:spacing w:after="0" w:line="170" w:lineRule="exact"/>
        <w:rPr>
          <w:rFonts w:ascii="Arial" w:cs="Arial" w:eastAsia="Arial" w:hAnsi="Arial"/>
          <w:sz w:val="18"/>
          <w:szCs w:val="18"/>
          <w:color w:val="auto"/>
        </w:rPr>
      </w:pPr>
    </w:p>
    <w:p>
      <w:pPr>
        <w:ind w:right="160" w:firstLine="8"/>
        <w:spacing w:after="0" w:line="277" w:lineRule="auto"/>
        <w:tabs>
          <w:tab w:leader="none" w:pos="64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I can afford a complete loss of the value of the Shares and am able to bear the economic risk of holding such Shares for an indefinite period.</w:t>
      </w:r>
    </w:p>
    <w:p>
      <w:pPr>
        <w:spacing w:after="0" w:line="236" w:lineRule="exact"/>
        <w:rPr>
          <w:rFonts w:ascii="Arial" w:cs="Arial" w:eastAsia="Arial" w:hAnsi="Arial"/>
          <w:sz w:val="17"/>
          <w:szCs w:val="17"/>
          <w:color w:val="auto"/>
        </w:rPr>
      </w:pPr>
    </w:p>
    <w:p>
      <w:pPr>
        <w:ind w:firstLine="8"/>
        <w:spacing w:after="0" w:line="255" w:lineRule="auto"/>
        <w:tabs>
          <w:tab w:leader="none" w:pos="64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 understand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1" w:name="page362"/>
    <w:bookmarkEnd w:id="361"/>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GRANTED UNDER 2016 STOCK INCENTIVE PLAN</w:t>
      </w:r>
    </w:p>
    <w:p>
      <w:pPr>
        <w:sectPr>
          <w:pgSz w:w="11900" w:h="16838" w:orient="portrait"/>
          <w:cols w:equalWidth="0" w:num="1">
            <w:col w:w="11420"/>
          </w:cols>
          <w:pgMar w:left="240" w:top="364" w:right="239" w:bottom="1440" w:gutter="0" w:footer="0" w:header="0"/>
        </w:sect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Restricted Stock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made this [</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day of [</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2016, between Fulcrum Therapeutics, Inc., a Delaware</w:t>
      </w:r>
    </w:p>
    <w:p>
      <w:pPr>
        <w:spacing w:after="0" w:line="46" w:lineRule="exact"/>
        <w:rPr>
          <w:sz w:val="20"/>
          <w:szCs w:val="20"/>
          <w:color w:val="auto"/>
        </w:rPr>
      </w:pPr>
    </w:p>
    <w:p>
      <w:pPr>
        <w:sectPr>
          <w:pgSz w:w="11900" w:h="16838" w:orient="portrait"/>
          <w:cols w:equalWidth="0" w:num="3">
            <w:col w:w="5500" w:space="180"/>
            <w:col w:w="660" w:space="580"/>
            <w:col w:w="4500"/>
          </w:cols>
          <w:pgMar w:left="240" w:top="364" w:right="239" w:bottom="1440" w:gutter="0" w:footer="0" w:header="0"/>
          <w:type w:val="continuous"/>
        </w:sectPr>
      </w:pPr>
    </w:p>
    <w:p>
      <w:pPr>
        <w:spacing w:after="0"/>
        <w:tabs>
          <w:tab w:leader="none" w:pos="3640" w:val="left"/>
        </w:tabs>
        <w:rPr>
          <w:sz w:val="20"/>
          <w:szCs w:val="20"/>
          <w:color w:val="auto"/>
        </w:rPr>
      </w:pPr>
      <w:r>
        <w:rPr>
          <w:rFonts w:ascii="Arial" w:cs="Arial" w:eastAsia="Arial" w:hAnsi="Arial"/>
          <w:sz w:val="18"/>
          <w:szCs w:val="18"/>
          <w:color w:val="auto"/>
        </w:rPr>
        <w:t>corporation (the “Company”), and [</w:t>
      </w:r>
      <w:r>
        <w:rPr>
          <w:sz w:val="20"/>
          <w:szCs w:val="20"/>
          <w:color w:val="auto"/>
        </w:rPr>
        <w:tab/>
      </w:r>
      <w:r>
        <w:rPr>
          <w:rFonts w:ascii="Arial" w:cs="Arial" w:eastAsia="Arial" w:hAnsi="Arial"/>
          <w:sz w:val="17"/>
          <w:szCs w:val="17"/>
          <w:color w:val="auto"/>
        </w:rPr>
        <w:t>] (the “</w:t>
      </w:r>
      <w:r>
        <w:rPr>
          <w:rFonts w:ascii="Arial" w:cs="Arial" w:eastAsia="Arial" w:hAnsi="Arial"/>
          <w:sz w:val="17"/>
          <w:szCs w:val="17"/>
          <w:b w:val="1"/>
          <w:bCs w:val="1"/>
          <w:color w:val="auto"/>
        </w:rPr>
        <w:t>Participant</w:t>
      </w:r>
      <w:r>
        <w:rPr>
          <w:rFonts w:ascii="Arial" w:cs="Arial" w:eastAsia="Arial" w:hAnsi="Arial"/>
          <w:sz w:val="17"/>
          <w:szCs w:val="17"/>
          <w:color w:val="auto"/>
        </w:rPr>
        <w:t>”).</w:t>
      </w:r>
    </w:p>
    <w:p>
      <w:pPr>
        <w:sectPr>
          <w:pgSz w:w="11900" w:h="16838" w:orient="portrait"/>
          <w:cols w:equalWidth="0" w:num="1">
            <w:col w:w="11420"/>
          </w:cols>
          <w:pgMar w:left="240" w:top="364" w:right="239" w:bottom="1440" w:gutter="0" w:footer="0" w:header="0"/>
          <w:type w:val="continuous"/>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valuable consideration, receipt of which is acknowledged, the parties hereto agree as follows:</w:t>
      </w:r>
    </w:p>
    <w:p>
      <w:pPr>
        <w:spacing w:after="0" w:line="225" w:lineRule="exact"/>
        <w:rPr>
          <w:sz w:val="20"/>
          <w:szCs w:val="20"/>
          <w:color w:val="auto"/>
        </w:rPr>
      </w:pPr>
    </w:p>
    <w:p>
      <w:pPr>
        <w:ind w:left="1300" w:hanging="644"/>
        <w:spacing w:after="0"/>
        <w:tabs>
          <w:tab w:leader="none" w:pos="130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Purchase of Shares</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shall issue and sell to the Participant, and the Participant shall purchase from the Company, subject to the terms and conditions set forth in this Agreement and in the Company’s 2016 Stock Incentive Plan (the “</w:t>
      </w:r>
      <w:r>
        <w:rPr>
          <w:rFonts w:ascii="Arial" w:cs="Arial" w:eastAsia="Arial" w:hAnsi="Arial"/>
          <w:sz w:val="18"/>
          <w:szCs w:val="18"/>
          <w:b w:val="1"/>
          <w:bCs w:val="1"/>
          <w:color w:val="auto"/>
        </w:rPr>
        <w:t>Plan</w:t>
      </w:r>
      <w:r>
        <w:rPr>
          <w:rFonts w:ascii="Arial" w:cs="Arial" w:eastAsia="Arial" w:hAnsi="Arial"/>
          <w:sz w:val="18"/>
          <w:szCs w:val="18"/>
          <w:color w:val="auto"/>
        </w:rPr>
        <w:t>”), [ ] shares (the “</w:t>
      </w:r>
      <w:r>
        <w:rPr>
          <w:rFonts w:ascii="Arial" w:cs="Arial" w:eastAsia="Arial" w:hAnsi="Arial"/>
          <w:sz w:val="18"/>
          <w:szCs w:val="18"/>
          <w:b w:val="1"/>
          <w:bCs w:val="1"/>
          <w:color w:val="auto"/>
        </w:rPr>
        <w:t>Shares</w:t>
      </w:r>
      <w:r>
        <w:rPr>
          <w:rFonts w:ascii="Arial" w:cs="Arial" w:eastAsia="Arial" w:hAnsi="Arial"/>
          <w:sz w:val="18"/>
          <w:szCs w:val="18"/>
          <w:color w:val="auto"/>
        </w:rPr>
        <w:t>”) of common stock, $0.001 par value, of the Company (“</w:t>
      </w:r>
      <w:r>
        <w:rPr>
          <w:rFonts w:ascii="Arial" w:cs="Arial" w:eastAsia="Arial" w:hAnsi="Arial"/>
          <w:sz w:val="18"/>
          <w:szCs w:val="18"/>
          <w:b w:val="1"/>
          <w:bCs w:val="1"/>
          <w:color w:val="auto"/>
        </w:rPr>
        <w:t>Common Stock</w:t>
      </w:r>
      <w:r>
        <w:rPr>
          <w:rFonts w:ascii="Arial" w:cs="Arial" w:eastAsia="Arial" w:hAnsi="Arial"/>
          <w:sz w:val="18"/>
          <w:szCs w:val="18"/>
          <w:color w:val="auto"/>
        </w:rPr>
        <w:t>”), at a purchase price of [$ ] per share. The aggregate purchase price for the Shares shall be paid by the Participant by check payable to the order of the Company or such other method as may be acceptable to the Company. Upon receipt by the Company of payment for the Shares, the Company shall issue to the Participant one or more certificates in the name of the Participant for that number of Shares purchased by the Participant. The Participant agrees that the Shares shall be subject to the purchase options set forth in Sections 3 and 6 of this Agreement and the restrictions on transfer set forth in Section 5 of this Agreement.</w:t>
      </w:r>
    </w:p>
    <w:p>
      <w:pPr>
        <w:spacing w:after="0" w:line="189" w:lineRule="exact"/>
        <w:rPr>
          <w:sz w:val="20"/>
          <w:szCs w:val="20"/>
          <w:color w:val="auto"/>
        </w:rPr>
      </w:pPr>
    </w:p>
    <w:p>
      <w:pPr>
        <w:ind w:left="1300" w:hanging="644"/>
        <w:spacing w:after="0"/>
        <w:tabs>
          <w:tab w:leader="none" w:pos="130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firstLine="1305"/>
        <w:spacing w:after="0" w:line="258" w:lineRule="auto"/>
        <w:tabs>
          <w:tab w:leader="none" w:pos="194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shall mean 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50% (determined on an as-converted basis) of the outstanding securities entitled to vote generally in the election of directors of the resulting, surviving or acquiring corporation in such transaction).</w:t>
      </w:r>
    </w:p>
    <w:p>
      <w:pPr>
        <w:spacing w:after="0" w:line="183" w:lineRule="exact"/>
        <w:rPr>
          <w:rFonts w:ascii="Arial" w:cs="Arial" w:eastAsia="Arial" w:hAnsi="Arial"/>
          <w:sz w:val="18"/>
          <w:szCs w:val="18"/>
          <w:color w:val="auto"/>
        </w:rPr>
      </w:pPr>
    </w:p>
    <w:p>
      <w:pPr>
        <w:ind w:right="180" w:firstLine="1305"/>
        <w:spacing w:after="0" w:line="282" w:lineRule="auto"/>
        <w:tabs>
          <w:tab w:leader="none" w:pos="195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shall mean employment by or the provision of services to the Company or a parent or subsidiary thereof as an advisor, officer, consultant or member of the Board of Directors.</w:t>
      </w:r>
    </w:p>
    <w:p>
      <w:pPr>
        <w:spacing w:after="0" w:line="162" w:lineRule="exact"/>
        <w:rPr>
          <w:sz w:val="20"/>
          <w:szCs w:val="20"/>
          <w:color w:val="auto"/>
        </w:rPr>
      </w:pPr>
    </w:p>
    <w:p>
      <w:pPr>
        <w:ind w:left="1300"/>
        <w:spacing w:after="0"/>
        <w:tabs>
          <w:tab w:leader="none" w:pos="1940" w:val="left"/>
          <w:tab w:leader="none" w:pos="60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Vesting Commencement Date</w:t>
      </w:r>
      <w:r>
        <w:rPr>
          <w:rFonts w:ascii="Arial" w:cs="Arial" w:eastAsia="Arial" w:hAnsi="Arial"/>
          <w:sz w:val="18"/>
          <w:szCs w:val="18"/>
          <w:color w:val="auto"/>
        </w:rPr>
        <w:t>” shall mean [</w:t>
      </w:r>
      <w:r>
        <w:rPr>
          <w:sz w:val="20"/>
          <w:szCs w:val="20"/>
          <w:color w:val="auto"/>
        </w:rPr>
        <w:tab/>
      </w:r>
      <w:r>
        <w:rPr>
          <w:rFonts w:ascii="Arial" w:cs="Arial" w:eastAsia="Arial" w:hAnsi="Arial"/>
          <w:sz w:val="17"/>
          <w:szCs w:val="17"/>
          <w:color w:val="auto"/>
        </w:rPr>
        <w:t>].</w:t>
      </w:r>
    </w:p>
    <w:p>
      <w:pPr>
        <w:spacing w:after="0" w:line="229" w:lineRule="exact"/>
        <w:rPr>
          <w:sz w:val="20"/>
          <w:szCs w:val="20"/>
          <w:color w:val="auto"/>
        </w:rPr>
      </w:pPr>
    </w:p>
    <w:p>
      <w:pPr>
        <w:ind w:left="1300" w:hanging="644"/>
        <w:spacing w:after="0"/>
        <w:tabs>
          <w:tab w:leader="none" w:pos="130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Purchase Option</w:t>
      </w:r>
      <w:r>
        <w:rPr>
          <w:rFonts w:ascii="Arial" w:cs="Arial" w:eastAsia="Arial" w:hAnsi="Arial"/>
          <w:sz w:val="18"/>
          <w:szCs w:val="18"/>
          <w:color w:val="auto"/>
        </w:rPr>
        <w:t>.</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(a) In the event that the Participant ceases to provide Service for any reason or no reason, with or without Cause, prior to the [ ] anniversary of the Vesting Commencement Date, the Company shall have the right and option (the “</w:t>
      </w:r>
      <w:r>
        <w:rPr>
          <w:rFonts w:ascii="Arial" w:cs="Arial" w:eastAsia="Arial" w:hAnsi="Arial"/>
          <w:sz w:val="18"/>
          <w:szCs w:val="18"/>
          <w:b w:val="1"/>
          <w:bCs w:val="1"/>
          <w:color w:val="auto"/>
        </w:rPr>
        <w:t>Purchase Option</w:t>
      </w: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362" w:name="page363"/>
    <w:bookmarkEnd w:id="362"/>
    <w:p>
      <w:pPr>
        <w:spacing w:after="0"/>
        <w:tabs>
          <w:tab w:leader="none" w:pos="3540" w:val="left"/>
        </w:tabs>
        <w:rPr>
          <w:sz w:val="20"/>
          <w:szCs w:val="20"/>
          <w:color w:val="auto"/>
        </w:rPr>
      </w:pPr>
      <w:r>
        <w:rPr>
          <w:rFonts w:ascii="Arial" w:cs="Arial" w:eastAsia="Arial" w:hAnsi="Arial"/>
          <w:sz w:val="18"/>
          <w:szCs w:val="18"/>
          <w:color w:val="auto"/>
        </w:rPr>
        <w:t>purchase from the Participant, for a sum of $[</w:t>
      </w:r>
      <w:r>
        <w:rPr>
          <w:sz w:val="20"/>
          <w:szCs w:val="20"/>
          <w:color w:val="auto"/>
        </w:rPr>
        <w:tab/>
      </w:r>
      <w:r>
        <w:rPr>
          <w:rFonts w:ascii="Arial" w:cs="Arial" w:eastAsia="Arial" w:hAnsi="Arial"/>
          <w:sz w:val="16"/>
          <w:szCs w:val="16"/>
          <w:color w:val="auto"/>
        </w:rPr>
        <w:t>] per share (the “</w:t>
      </w:r>
      <w:r>
        <w:rPr>
          <w:rFonts w:ascii="Arial" w:cs="Arial" w:eastAsia="Arial" w:hAnsi="Arial"/>
          <w:sz w:val="16"/>
          <w:szCs w:val="16"/>
          <w:b w:val="1"/>
          <w:bCs w:val="1"/>
          <w:color w:val="auto"/>
        </w:rPr>
        <w:t>Option Price</w:t>
      </w:r>
      <w:r>
        <w:rPr>
          <w:rFonts w:ascii="Arial" w:cs="Arial" w:eastAsia="Arial" w:hAnsi="Arial"/>
          <w:sz w:val="16"/>
          <w:szCs w:val="16"/>
          <w:color w:val="auto"/>
        </w:rPr>
        <w:t>”), some or all of the Shares as set forth herein.</w:t>
      </w:r>
    </w:p>
    <w:p>
      <w:pPr>
        <w:spacing w:after="0" w:line="229" w:lineRule="exact"/>
        <w:rPr>
          <w:sz w:val="20"/>
          <w:szCs w:val="20"/>
          <w:color w:val="auto"/>
        </w:rPr>
      </w:pPr>
    </w:p>
    <w:p>
      <w:pPr>
        <w:ind w:left="1960" w:hanging="655"/>
        <w:spacing w:after="0"/>
        <w:tabs>
          <w:tab w:leader="none" w:pos="19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All of the Shares shall initially be subject to the Purchase Option. The Participant shall acquire a vested interest in, and the</w:t>
      </w:r>
    </w:p>
    <w:p>
      <w:pPr>
        <w:spacing w:after="0" w:line="35" w:lineRule="exact"/>
        <w:rPr>
          <w:sz w:val="20"/>
          <w:szCs w:val="20"/>
          <w:color w:val="auto"/>
        </w:rPr>
      </w:pPr>
    </w:p>
    <w:p>
      <w:pPr>
        <w:spacing w:after="0"/>
        <w:tabs>
          <w:tab w:leader="none" w:pos="5540" w:val="left"/>
        </w:tabs>
        <w:rPr>
          <w:sz w:val="20"/>
          <w:szCs w:val="20"/>
          <w:color w:val="auto"/>
        </w:rPr>
      </w:pPr>
      <w:r>
        <w:rPr>
          <w:rFonts w:ascii="Arial" w:cs="Arial" w:eastAsia="Arial" w:hAnsi="Arial"/>
          <w:sz w:val="18"/>
          <w:szCs w:val="18"/>
          <w:color w:val="auto"/>
        </w:rPr>
        <w:t>Company’s Purchase Option shall accordingly lapse with respect to [</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ind w:left="1300" w:hanging="644"/>
        <w:spacing w:after="0"/>
        <w:tabs>
          <w:tab w:leader="none" w:pos="130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Exercise of Purchase Option and Closing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59" w:lineRule="auto"/>
        <w:tabs>
          <w:tab w:leader="none" w:pos="194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Company may exercise the Purchase Option by delivering or mailing to the Participant (or the Participant’s estate), within 180 days after the termination of the Service of the Participant, a written notice of exercise of the Purchase Option. Such notice shall specify the number of Shares to be purchased. If and to the extent the Purchase Option is not so exercised by the giving of such a notice within such 180-day period, the Purchase Option shall automatically expire and terminate effective upon the expiration of such 180-day period.</w:t>
      </w:r>
    </w:p>
    <w:p>
      <w:pPr>
        <w:spacing w:after="0" w:line="186" w:lineRule="exact"/>
        <w:rPr>
          <w:rFonts w:ascii="Arial" w:cs="Arial" w:eastAsia="Arial" w:hAnsi="Arial"/>
          <w:sz w:val="18"/>
          <w:szCs w:val="18"/>
          <w:color w:val="auto"/>
        </w:rPr>
      </w:pPr>
    </w:p>
    <w:p>
      <w:pPr>
        <w:ind w:right="40" w:firstLine="1305"/>
        <w:spacing w:after="0" w:line="255" w:lineRule="auto"/>
        <w:tabs>
          <w:tab w:leader="none" w:pos="195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Within ten (10) days after delivery to the Participant of the Company’s notice of the exercise of the Purchase Option pursuant to subsection (a) above, the Participant (or the Participant’s estate) shall, pursuant to the provisions of the Joint Escrow Instructions referred to in Section 8 below, tender to the Company at its principal offices the certificate or certificates representing the Shares that the Company has elected to purchase in accordance with the terms of this Agreement, duly endorsed in blank or with duly endorsed stock powers attached thereto, all in form suitable for the transfer of such Shares to the Company. Promptly following its receipt of such certificate or certificates, the Company shall pay to the Participant the aggregate Option Price for such Shares (provided that any delay in making such payment shall not invalidate the Company’s exercise of the Purchase Option with respect to such Shares).</w:t>
      </w:r>
    </w:p>
    <w:p>
      <w:pPr>
        <w:spacing w:after="0" w:line="189" w:lineRule="exact"/>
        <w:rPr>
          <w:rFonts w:ascii="Arial" w:cs="Arial" w:eastAsia="Arial" w:hAnsi="Arial"/>
          <w:sz w:val="18"/>
          <w:szCs w:val="18"/>
          <w:color w:val="auto"/>
        </w:rPr>
      </w:pPr>
    </w:p>
    <w:p>
      <w:pPr>
        <w:ind w:right="300" w:firstLine="1305"/>
        <w:spacing w:after="0" w:line="312" w:lineRule="auto"/>
        <w:tabs>
          <w:tab w:leader="none" w:pos="1955" w:val="left"/>
        </w:tabs>
        <w:numPr>
          <w:ilvl w:val="1"/>
          <w:numId w:val="251"/>
        </w:numPr>
        <w:rPr>
          <w:rFonts w:ascii="Arial" w:cs="Arial" w:eastAsia="Arial" w:hAnsi="Arial"/>
          <w:sz w:val="16"/>
          <w:szCs w:val="16"/>
          <w:color w:val="auto"/>
        </w:rPr>
      </w:pPr>
      <w:r>
        <w:rPr>
          <w:rFonts w:ascii="Arial" w:cs="Arial" w:eastAsia="Arial" w:hAnsi="Arial"/>
          <w:sz w:val="16"/>
          <w:szCs w:val="16"/>
          <w:color w:val="auto"/>
        </w:rPr>
        <w:t>After the time at which any Shares are required to be delivered to the Company for transfer to the Company pursuant to subsection (b) above, the Company shall not pay any dividend to the Participant on account of such Shares or permit the Participant to exercise any of the privileges or rights of a stockholder with respect to such Shares, but shall, in so far as permitted by law, treat the Company as the owner of such Shares.</w:t>
      </w:r>
    </w:p>
    <w:p>
      <w:pPr>
        <w:spacing w:after="0" w:line="146" w:lineRule="exact"/>
        <w:rPr>
          <w:rFonts w:ascii="Arial" w:cs="Arial" w:eastAsia="Arial" w:hAnsi="Arial"/>
          <w:sz w:val="16"/>
          <w:szCs w:val="16"/>
          <w:color w:val="auto"/>
        </w:rPr>
      </w:pPr>
    </w:p>
    <w:p>
      <w:pPr>
        <w:ind w:right="20" w:firstLine="1305"/>
        <w:spacing w:after="0" w:line="277" w:lineRule="auto"/>
        <w:tabs>
          <w:tab w:leader="none" w:pos="195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Option Price may be payable, at the option of the Company, in cancellation of all or a portion of any outstanding indebtedness of the Participant to the Company or in cash (by check) or both.</w:t>
      </w:r>
    </w:p>
    <w:p>
      <w:pPr>
        <w:spacing w:after="0" w:line="170" w:lineRule="exact"/>
        <w:rPr>
          <w:rFonts w:ascii="Arial" w:cs="Arial" w:eastAsia="Arial" w:hAnsi="Arial"/>
          <w:sz w:val="18"/>
          <w:szCs w:val="18"/>
          <w:color w:val="auto"/>
        </w:rPr>
      </w:pPr>
    </w:p>
    <w:p>
      <w:pPr>
        <w:ind w:right="480" w:firstLine="1305"/>
        <w:spacing w:after="0" w:line="264" w:lineRule="auto"/>
        <w:tabs>
          <w:tab w:leader="none" w:pos="1955"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Company shall not purchase any fraction of a Share upon exercise of the Purchase Option, and any fraction of a Share resulting from a computation made pursuant to Section 3 of this Agreement shall be rounded to the nearest whole Share (with any one-half Share being rounded upward).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Company may assign its Purchase Option to one or more persons or entities.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63" w:name="page364"/>
    <w:bookmarkEnd w:id="363"/>
    <w:p>
      <w:pPr>
        <w:ind w:left="1260" w:hanging="644"/>
        <w:spacing w:after="0"/>
        <w:tabs>
          <w:tab w:leader="none" w:pos="126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1305"/>
        <w:spacing w:after="0" w:line="270" w:lineRule="auto"/>
        <w:tabs>
          <w:tab w:leader="none" w:pos="1902" w:val="left"/>
        </w:tabs>
        <w:numPr>
          <w:ilvl w:val="1"/>
          <w:numId w:val="252"/>
        </w:numPr>
        <w:rPr>
          <w:rFonts w:ascii="Arial" w:cs="Arial" w:eastAsia="Arial" w:hAnsi="Arial"/>
          <w:sz w:val="17"/>
          <w:szCs w:val="17"/>
          <w:color w:val="auto"/>
        </w:rPr>
      </w:pPr>
      <w:r>
        <w:rPr>
          <w:rFonts w:ascii="Arial" w:cs="Arial" w:eastAsia="Arial" w:hAnsi="Arial"/>
          <w:sz w:val="17"/>
          <w:szCs w:val="17"/>
          <w:color w:val="auto"/>
        </w:rPr>
        <w:t>The Participant shall not sell, assign, transfer, pledge, hypothecate or otherwise dispose of, by operation of law or otherwise (collectively “</w:t>
      </w:r>
      <w:r>
        <w:rPr>
          <w:rFonts w:ascii="Arial" w:cs="Arial" w:eastAsia="Arial" w:hAnsi="Arial"/>
          <w:sz w:val="17"/>
          <w:szCs w:val="17"/>
          <w:b w:val="1"/>
          <w:bCs w:val="1"/>
          <w:color w:val="auto"/>
        </w:rPr>
        <w:t>transfer</w:t>
      </w:r>
      <w:r>
        <w:rPr>
          <w:rFonts w:ascii="Arial" w:cs="Arial" w:eastAsia="Arial" w:hAnsi="Arial"/>
          <w:sz w:val="17"/>
          <w:szCs w:val="17"/>
          <w:color w:val="auto"/>
        </w:rPr>
        <w:t>”) any Shares, or any interest therein, that are subject to the Purchase Option, except that the Participant may transfer such Shares (i) to or for the benefit of any spouse, children, parents, uncles, aunts, siblings, grandchildren and any other relatives approved by the Board of Directors (collectively, “</w:t>
      </w:r>
      <w:r>
        <w:rPr>
          <w:rFonts w:ascii="Arial" w:cs="Arial" w:eastAsia="Arial" w:hAnsi="Arial"/>
          <w:sz w:val="17"/>
          <w:szCs w:val="17"/>
          <w:b w:val="1"/>
          <w:bCs w:val="1"/>
          <w:color w:val="auto"/>
        </w:rPr>
        <w:t>Approved Relatives</w:t>
      </w:r>
      <w:r>
        <w:rPr>
          <w:rFonts w:ascii="Arial" w:cs="Arial" w:eastAsia="Arial" w:hAnsi="Arial"/>
          <w:sz w:val="17"/>
          <w:szCs w:val="17"/>
          <w:color w:val="auto"/>
        </w:rPr>
        <w:t xml:space="preserve">”) or to a trust established solely for the benefit of the Participant and/or Approved Relatives,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Shares shall remain subject to this Agreement (including without limitation the restrictions on transfer set forth in this Section 5, the Purchase Option and the right of first refusal set forth in Section 6) and such permitted transferee shall, as a condition to such transfer, deliver to the Company a written instrument confirming that such transferee shall be bound by all of the terms and conditions of this Agreement or (ii) as part of the sale of all or substantially all of the shares of capital stock of the Company (including pursuant to a merger or consolidation),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accordance with the Plan, the securities or other property received by the Participant in connection with such transaction shall remain subject to this Agreement.</w:t>
      </w:r>
    </w:p>
    <w:p>
      <w:pPr>
        <w:spacing w:after="0" w:line="181" w:lineRule="exact"/>
        <w:rPr>
          <w:rFonts w:ascii="Arial" w:cs="Arial" w:eastAsia="Arial" w:hAnsi="Arial"/>
          <w:sz w:val="17"/>
          <w:szCs w:val="17"/>
          <w:color w:val="auto"/>
        </w:rPr>
      </w:pPr>
    </w:p>
    <w:p>
      <w:pPr>
        <w:ind w:left="-40" w:right="220" w:firstLine="1305"/>
        <w:spacing w:after="0" w:line="277" w:lineRule="auto"/>
        <w:tabs>
          <w:tab w:leader="none" w:pos="191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Participant shall not transfer any Shares, or any interest therein, that are no longer subject to the Purchase Option, except in accordance with Section 6 below.</w:t>
      </w:r>
    </w:p>
    <w:p>
      <w:pPr>
        <w:spacing w:after="0" w:line="170" w:lineRule="exact"/>
        <w:rPr>
          <w:rFonts w:ascii="Arial" w:cs="Arial" w:eastAsia="Arial" w:hAnsi="Arial"/>
          <w:sz w:val="18"/>
          <w:szCs w:val="18"/>
          <w:color w:val="auto"/>
        </w:rPr>
      </w:pPr>
    </w:p>
    <w:p>
      <w:pPr>
        <w:ind w:left="1260" w:hanging="644"/>
        <w:spacing w:after="0"/>
        <w:tabs>
          <w:tab w:leader="none" w:pos="126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220" w:firstLine="1305"/>
        <w:spacing w:after="0" w:line="257" w:lineRule="auto"/>
        <w:tabs>
          <w:tab w:leader="none" w:pos="190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If the Participant proposes to transfer any Shares that are no longer subject to the Purchase Option (either because they are free from the Purchase Option pursuant to Section 3 or because the Purchase Option expired unexercised pursuant to Section 4), then the Participant shall first give written notice of the proposed transfer (the “</w:t>
      </w:r>
      <w:r>
        <w:rPr>
          <w:rFonts w:ascii="Arial" w:cs="Arial" w:eastAsia="Arial" w:hAnsi="Arial"/>
          <w:sz w:val="18"/>
          <w:szCs w:val="18"/>
          <w:b w:val="1"/>
          <w:bCs w:val="1"/>
          <w:color w:val="auto"/>
        </w:rPr>
        <w:t>Transfer Notice</w:t>
      </w:r>
      <w:r>
        <w:rPr>
          <w:rFonts w:ascii="Arial" w:cs="Arial" w:eastAsia="Arial" w:hAnsi="Arial"/>
          <w:sz w:val="18"/>
          <w:szCs w:val="18"/>
          <w:color w:val="auto"/>
        </w:rPr>
        <w:t>”) to the Company. The Transfer Notice shall name the proposed transferee and state the number of such Shares the Participant proposes to transfer (the “</w:t>
      </w:r>
      <w:r>
        <w:rPr>
          <w:rFonts w:ascii="Arial" w:cs="Arial" w:eastAsia="Arial" w:hAnsi="Arial"/>
          <w:sz w:val="18"/>
          <w:szCs w:val="18"/>
          <w:b w:val="1"/>
          <w:bCs w:val="1"/>
          <w:color w:val="auto"/>
        </w:rPr>
        <w:t>Offered Shares</w:t>
      </w:r>
      <w:r>
        <w:rPr>
          <w:rFonts w:ascii="Arial" w:cs="Arial" w:eastAsia="Arial" w:hAnsi="Arial"/>
          <w:sz w:val="18"/>
          <w:szCs w:val="18"/>
          <w:color w:val="auto"/>
        </w:rPr>
        <w:t>”), the price per share and all other material terms and conditions of the transfer.</w:t>
      </w:r>
    </w:p>
    <w:p>
      <w:pPr>
        <w:spacing w:after="0" w:line="188" w:lineRule="exact"/>
        <w:rPr>
          <w:rFonts w:ascii="Arial" w:cs="Arial" w:eastAsia="Arial" w:hAnsi="Arial"/>
          <w:sz w:val="18"/>
          <w:szCs w:val="18"/>
          <w:color w:val="auto"/>
        </w:rPr>
      </w:pPr>
    </w:p>
    <w:p>
      <w:pPr>
        <w:ind w:left="-40" w:right="60" w:firstLine="1305"/>
        <w:spacing w:after="0" w:line="270" w:lineRule="auto"/>
        <w:tabs>
          <w:tab w:leader="none" w:pos="1912" w:val="left"/>
        </w:tabs>
        <w:numPr>
          <w:ilvl w:val="1"/>
          <w:numId w:val="252"/>
        </w:numPr>
        <w:rPr>
          <w:rFonts w:ascii="Arial" w:cs="Arial" w:eastAsia="Arial" w:hAnsi="Arial"/>
          <w:sz w:val="17"/>
          <w:szCs w:val="17"/>
          <w:color w:val="auto"/>
        </w:rPr>
      </w:pPr>
      <w:r>
        <w:rPr>
          <w:rFonts w:ascii="Arial" w:cs="Arial" w:eastAsia="Arial" w:hAnsi="Arial"/>
          <w:sz w:val="17"/>
          <w:szCs w:val="17"/>
          <w:color w:val="auto"/>
        </w:rPr>
        <w:t xml:space="preserve">For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Participant within such 30-day period. Within 10 days after the Participant’s receipt of such notice, the Participant shall tender to the Company at its principal offices the certificate or certificates representing the Offered Shares to be purchased by the Company, duly endorsed in blank by the Participant or with duly endorsed stock powers attached thereto, all in a form suitable for transfer of the Offered Shares to the Company. Promptly following receipt of such certificate or certificates, the Company shall deliver or mail to the Participant a check in payment of the purchase price for such Offered Shares;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the terms of payment set forth in the Transfer Notice were other than cash against delivery, the Company may pay for the Offered Shares on the same terms and conditions as were set forth in the Transfer Notice;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delay in making such payment shall not invalidate the Company’s exercise of its option to purchase the Offered Shares.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341" w:right="279" w:bottom="1440" w:gutter="0" w:footer="0" w:header="0"/>
        </w:sectPr>
      </w:pPr>
    </w:p>
    <w:bookmarkStart w:id="364" w:name="page365"/>
    <w:bookmarkEnd w:id="364"/>
    <w:p>
      <w:pPr>
        <w:ind w:right="60" w:firstLine="1305"/>
        <w:spacing w:after="0" w:line="255" w:lineRule="auto"/>
        <w:tabs>
          <w:tab w:leader="none" w:pos="195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If the Company does not elect to acquire all of the Offered Shares, the Participant may, within the 30-day period following the expiration of the option granted to the Company under subsection (b) above, transfer the Offered Shares which the Company has not elected to acquire to the proposed transferee,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transfer shall not be on terms and conditions more favorable to the transferee than those contained in the Transfer Notice. Notwithstanding any of the above, all Offered Shares transferred pursuant to this Section 6 shall remain subject to this Agreement (including without limitation the restrictions on transfer set forth in Section 5 and the right of first refusal set forth in this Section 6) and such transferee shall, as a condition to such transfer, deliver to the Company a written instrument confirming that such transferee shall be bound by all of the terms and conditions of this Agreement.</w:t>
      </w:r>
    </w:p>
    <w:p>
      <w:pPr>
        <w:spacing w:after="0" w:line="189" w:lineRule="exact"/>
        <w:rPr>
          <w:rFonts w:ascii="Arial" w:cs="Arial" w:eastAsia="Arial" w:hAnsi="Arial"/>
          <w:sz w:val="18"/>
          <w:szCs w:val="18"/>
          <w:color w:val="auto"/>
        </w:rPr>
      </w:pPr>
    </w:p>
    <w:p>
      <w:pPr>
        <w:ind w:firstLine="1305"/>
        <w:spacing w:after="0" w:line="259" w:lineRule="auto"/>
        <w:tabs>
          <w:tab w:leader="none" w:pos="195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After the time at which the Offered Shares are required to be delivered to the Company for transfer to the Company pursuant to subsection (b) above, the Company shall not pay any dividend to the Participant on account of such Offered Shares or permit the Participant to exercise any of the privileges or rights of a stockholder with respect to such Offered Shares, but shall, insofar as permitted by law, treat the Company as the owner of such Offered Shares.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following transactions shall be exempt from the provisions of this Section 6:</w:t>
      </w:r>
    </w:p>
    <w:p>
      <w:pPr>
        <w:spacing w:after="0" w:line="225" w:lineRule="exact"/>
        <w:rPr>
          <w:rFonts w:ascii="Arial" w:cs="Arial" w:eastAsia="Arial" w:hAnsi="Arial"/>
          <w:sz w:val="18"/>
          <w:szCs w:val="18"/>
          <w:color w:val="auto"/>
        </w:rPr>
      </w:pPr>
    </w:p>
    <w:p>
      <w:pPr>
        <w:ind w:right="240" w:firstLine="1953"/>
        <w:spacing w:after="0" w:line="277" w:lineRule="auto"/>
        <w:tabs>
          <w:tab w:leader="none" w:pos="260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 transfer of Shares to or for the benefit of any Approved Relatives, or to a trust established solely for the benefit of the Participant and/or Approved Relatives;</w:t>
      </w:r>
    </w:p>
    <w:p>
      <w:pPr>
        <w:spacing w:after="0" w:line="170" w:lineRule="exact"/>
        <w:rPr>
          <w:rFonts w:ascii="Arial" w:cs="Arial" w:eastAsia="Arial" w:hAnsi="Arial"/>
          <w:sz w:val="18"/>
          <w:szCs w:val="18"/>
          <w:color w:val="auto"/>
        </w:rPr>
      </w:pPr>
    </w:p>
    <w:p>
      <w:pPr>
        <w:ind w:right="400" w:firstLine="1953"/>
        <w:spacing w:after="0" w:line="277" w:lineRule="auto"/>
        <w:tabs>
          <w:tab w:leader="none" w:pos="260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any transfer pursuant to an effective registration statement filed by the Company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253"/>
        </w:numPr>
        <w:rPr>
          <w:rFonts w:ascii="Arial" w:cs="Arial" w:eastAsia="Arial" w:hAnsi="Arial"/>
          <w:sz w:val="17"/>
          <w:szCs w:val="17"/>
          <w:color w:val="auto"/>
        </w:rPr>
      </w:pPr>
      <w:r>
        <w:rPr>
          <w:rFonts w:ascii="Arial" w:cs="Arial" w:eastAsia="Arial" w:hAnsi="Arial"/>
          <w:sz w:val="17"/>
          <w:szCs w:val="17"/>
          <w:color w:val="auto"/>
        </w:rPr>
        <w:t>the sale of all or substantially all of the outstanding shares of capital stock of the Company (including pursuant to 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merger or consolidation);</w:t>
      </w:r>
    </w:p>
    <w:p>
      <w:pPr>
        <w:spacing w:after="0" w:line="21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however, that in the case of a transfer pursuant to clause (1) above, such Shares shall remain subject to this Agreement (including without limitation the restrictions on transfer set forth in Section 5 and the right of first refusal set forth in this Section 6) and such transferee shall, as a condition to such transfer, deliver to the Company a written instrument confirming that such transferee shall be bound by all of the terms and conditions of this Agreement.</w:t>
      </w:r>
    </w:p>
    <w:p>
      <w:pPr>
        <w:spacing w:after="0" w:line="147" w:lineRule="exact"/>
        <w:rPr>
          <w:sz w:val="20"/>
          <w:szCs w:val="20"/>
          <w:color w:val="auto"/>
        </w:rPr>
      </w:pPr>
    </w:p>
    <w:p>
      <w:pPr>
        <w:ind w:left="1960" w:hanging="655"/>
        <w:spacing w:after="0"/>
        <w:tabs>
          <w:tab w:leader="none" w:pos="196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Company may assign its rights to purchase Offered Shares in any particular transaction under this Section 6 to one or more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persons or entities.</w:t>
      </w:r>
    </w:p>
    <w:p>
      <w:pPr>
        <w:spacing w:after="0" w:line="210" w:lineRule="exact"/>
        <w:rPr>
          <w:rFonts w:ascii="Arial" w:cs="Arial" w:eastAsia="Arial" w:hAnsi="Arial"/>
          <w:sz w:val="16"/>
          <w:szCs w:val="16"/>
          <w:color w:val="auto"/>
        </w:rPr>
      </w:pPr>
    </w:p>
    <w:p>
      <w:pPr>
        <w:ind w:left="1980" w:hanging="675"/>
        <w:spacing w:after="0"/>
        <w:tabs>
          <w:tab w:leader="none" w:pos="19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provisions of this Section 6 shall terminate upon the earlier of the following events:</w:t>
      </w:r>
    </w:p>
    <w:p>
      <w:pPr>
        <w:spacing w:after="0" w:line="225" w:lineRule="exact"/>
        <w:rPr>
          <w:rFonts w:ascii="Arial" w:cs="Arial" w:eastAsia="Arial" w:hAnsi="Arial"/>
          <w:sz w:val="18"/>
          <w:szCs w:val="18"/>
          <w:color w:val="auto"/>
        </w:rPr>
      </w:pPr>
    </w:p>
    <w:p>
      <w:pPr>
        <w:ind w:right="100" w:firstLine="1953"/>
        <w:spacing w:after="0" w:line="277" w:lineRule="auto"/>
        <w:tabs>
          <w:tab w:leader="none" w:pos="26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 closing of the sale of shares of Common Stock in an underwritten public offering pursuant to an effective registration statement filed by the Company under the Securities Act; or</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 Change in Control.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5" w:name="page366"/>
    <w:bookmarkEnd w:id="365"/>
    <w:p>
      <w:pPr>
        <w:ind w:right="40" w:firstLine="1305"/>
        <w:spacing w:after="0" w:line="264" w:lineRule="auto"/>
        <w:tabs>
          <w:tab w:leader="none" w:pos="1952"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Company shall not be required (1) to transfer on its books any of the Shares which shall have been sold or transferred in violation of any of the provisions set forth in this Agreement, or (2) to treat as owner of such Shares or to pay dividends to any transferee to whom any such Shares shall have been so sold or transferred.</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Agreement in Connection with Initial Public Offering</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shares of Common Stock or (b) enter into any swap or other agreement that transfers, in whole or in part, any of the economic consequences of ownership of shares of Common Stock, whether any transaction described in clause (a) or (b) is to be settled by delivery of shares of Common Stock or other securities, in cash or otherwise, during the period beginning on the date of the filing of such registration statement with the Securities and Exchange Commission and ending 180 days from the date of the final prospectus relating to the offering (plus up to an additional 34 days to the extent requested by the managing underwriters for such offering in order to address NASD Rule 2711(f)(4) or NYSE Rule 472(f)(4)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pacing w:after="0" w:line="173" w:lineRule="exact"/>
        <w:rPr>
          <w:sz w:val="20"/>
          <w:szCs w:val="20"/>
          <w:color w:val="auto"/>
        </w:rPr>
      </w:pPr>
    </w:p>
    <w:p>
      <w:pPr>
        <w:ind w:left="1300" w:hanging="644"/>
        <w:spacing w:after="0"/>
        <w:tabs>
          <w:tab w:leader="none" w:pos="130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Escrow</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The Participant shall, upon the execution of this Agreement, execute Joint Escrow Instructions in the form attached to this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Joint Escrow Instructions shall be delivered to the Secretary of the Company, as escrow agent thereunder. The Participant shall deliver to such escrow agent a stock assignment duly endorsed in blank, in the form attached to this Agreement as </w:t>
      </w:r>
      <w:r>
        <w:rPr>
          <w:rFonts w:ascii="Arial" w:cs="Arial" w:eastAsia="Arial" w:hAnsi="Arial"/>
          <w:sz w:val="18"/>
          <w:szCs w:val="18"/>
          <w:u w:val="single" w:color="auto"/>
          <w:color w:val="auto"/>
        </w:rPr>
        <w:t>Exhibit B</w:t>
      </w:r>
      <w:r>
        <w:rPr>
          <w:rFonts w:ascii="Arial" w:cs="Arial" w:eastAsia="Arial" w:hAnsi="Arial"/>
          <w:sz w:val="18"/>
          <w:szCs w:val="18"/>
          <w:color w:val="auto"/>
        </w:rPr>
        <w:t>, and hereby instructs the Company to deliver to such escrow agent, on behalf of the Participant, the certificate(s) evidencing the Shares issued hereunder. Such materials shall be held by such escrow agent pursuant to the terms of such Joint Escrow Instructions.</w:t>
      </w:r>
    </w:p>
    <w:p>
      <w:pPr>
        <w:spacing w:after="0" w:line="188" w:lineRule="exact"/>
        <w:rPr>
          <w:sz w:val="20"/>
          <w:szCs w:val="20"/>
          <w:color w:val="auto"/>
        </w:rPr>
      </w:pPr>
    </w:p>
    <w:p>
      <w:pPr>
        <w:ind w:left="1300" w:hanging="644"/>
        <w:spacing w:after="0"/>
        <w:tabs>
          <w:tab w:leader="none" w:pos="130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Restrictive Legends</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All certificates representing Shares shall have affixed thereto legends in substantially the following form, in addition to any other legends that may be required under federal or state securities laws:</w:t>
      </w:r>
    </w:p>
    <w:p>
      <w:pPr>
        <w:spacing w:after="0" w:line="170" w:lineRule="exact"/>
        <w:rPr>
          <w:sz w:val="20"/>
          <w:szCs w:val="20"/>
          <w:color w:val="auto"/>
        </w:rPr>
      </w:pPr>
    </w:p>
    <w:p>
      <w:pPr>
        <w:ind w:left="1300" w:right="280"/>
        <w:spacing w:after="0" w:line="342" w:lineRule="auto"/>
        <w:rPr>
          <w:sz w:val="20"/>
          <w:szCs w:val="20"/>
          <w:color w:val="auto"/>
        </w:rPr>
      </w:pPr>
      <w:r>
        <w:rPr>
          <w:rFonts w:ascii="Arial" w:cs="Arial" w:eastAsia="Arial" w:hAnsi="Arial"/>
          <w:sz w:val="16"/>
          <w:szCs w:val="16"/>
          <w:color w:val="auto"/>
        </w:rPr>
        <w:t>“The shares of stock represented by this certificate are subject to restrictions on transfer and an option to purchase set forth in a certain Restricted Stock Agreement between the corporation and the registered owner of these shares (or such owner’s predecessor</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366" w:name="page367"/>
    <w:bookmarkEnd w:id="366"/>
    <w:p>
      <w:pPr>
        <w:ind w:left="1300"/>
        <w:spacing w:after="0"/>
        <w:rPr>
          <w:sz w:val="20"/>
          <w:szCs w:val="20"/>
          <w:color w:val="auto"/>
        </w:rPr>
      </w:pPr>
      <w:r>
        <w:rPr>
          <w:rFonts w:ascii="Arial" w:cs="Arial" w:eastAsia="Arial" w:hAnsi="Arial"/>
          <w:sz w:val="18"/>
          <w:szCs w:val="18"/>
          <w:color w:val="auto"/>
        </w:rPr>
        <w:t>in interest), and such Agreement is available for inspection without charge at the office of the Secretary of the corporation.”</w:t>
      </w:r>
    </w:p>
    <w:p>
      <w:pPr>
        <w:spacing w:after="0" w:line="225" w:lineRule="exact"/>
        <w:rPr>
          <w:sz w:val="20"/>
          <w:szCs w:val="20"/>
          <w:color w:val="auto"/>
        </w:rPr>
      </w:pPr>
    </w:p>
    <w:p>
      <w:pPr>
        <w:ind w:left="1300" w:right="300"/>
        <w:spacing w:after="0" w:line="264" w:lineRule="auto"/>
        <w:rPr>
          <w:sz w:val="20"/>
          <w:szCs w:val="20"/>
          <w:color w:val="auto"/>
        </w:rPr>
      </w:pPr>
      <w:r>
        <w:rPr>
          <w:rFonts w:ascii="Arial" w:cs="Arial" w:eastAsia="Arial" w:hAnsi="Arial"/>
          <w:sz w:val="18"/>
          <w:szCs w:val="18"/>
          <w:color w:val="auto"/>
        </w:rPr>
        <w:t>“The shares represented by this certificate have not been registered under the Securities Act of 1933, as amended, and may not be sold, transferred or otherwise disposed of in the absence of an effective registration statement under such Act or an opinion of counsel satisfactory to the corporation to the effect that such registration is not required.”</w:t>
      </w:r>
    </w:p>
    <w:p>
      <w:pPr>
        <w:spacing w:after="0" w:line="181" w:lineRule="exact"/>
        <w:rPr>
          <w:sz w:val="20"/>
          <w:szCs w:val="20"/>
          <w:color w:val="auto"/>
        </w:rPr>
      </w:pPr>
    </w:p>
    <w:p>
      <w:pPr>
        <w:ind w:left="1300" w:hanging="644"/>
        <w:spacing w:after="0"/>
        <w:tabs>
          <w:tab w:leader="none" w:pos="130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is subject to the provisions of the Plan, a copy of which is furnished to the Participant with this Agreement.</w:t>
      </w:r>
    </w:p>
    <w:p>
      <w:pPr>
        <w:spacing w:after="0" w:line="225" w:lineRule="exact"/>
        <w:rPr>
          <w:sz w:val="20"/>
          <w:szCs w:val="20"/>
          <w:color w:val="auto"/>
        </w:rPr>
      </w:pPr>
    </w:p>
    <w:p>
      <w:pPr>
        <w:ind w:left="1300" w:hanging="644"/>
        <w:spacing w:after="0"/>
        <w:tabs>
          <w:tab w:leader="none" w:pos="130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Participant represents, warrants and covenants as follows:</w:t>
      </w:r>
    </w:p>
    <w:p>
      <w:pPr>
        <w:spacing w:after="0" w:line="225" w:lineRule="exact"/>
        <w:rPr>
          <w:sz w:val="20"/>
          <w:szCs w:val="20"/>
          <w:color w:val="auto"/>
        </w:rPr>
      </w:pPr>
    </w:p>
    <w:p>
      <w:pPr>
        <w:ind w:right="180" w:firstLine="1305"/>
        <w:spacing w:after="0" w:line="308" w:lineRule="auto"/>
        <w:tabs>
          <w:tab w:leader="none" w:pos="1942"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Participant is purchasing the Shares for Participant’s own account for investment only, and not with a view to, or for sale in connection with, any distribution of the Shares in violation of the Securities Act, or any rule or regulation under the Securities Act.</w:t>
      </w:r>
    </w:p>
    <w:p>
      <w:pPr>
        <w:spacing w:after="0" w:line="146" w:lineRule="exact"/>
        <w:rPr>
          <w:rFonts w:ascii="Arial" w:cs="Arial" w:eastAsia="Arial" w:hAnsi="Arial"/>
          <w:sz w:val="17"/>
          <w:szCs w:val="17"/>
          <w:color w:val="auto"/>
        </w:rPr>
      </w:pPr>
    </w:p>
    <w:p>
      <w:pPr>
        <w:ind w:right="40" w:firstLine="1305"/>
        <w:spacing w:after="0" w:line="277" w:lineRule="auto"/>
        <w:tabs>
          <w:tab w:leader="none" w:pos="195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Participant has had such opportunity as Participant has deemed adequate to obtain from representatives of the Company such information as is necessary to permit him to evaluate the merits and risks of Participant’s investment in the Company.</w:t>
      </w:r>
    </w:p>
    <w:p>
      <w:pPr>
        <w:spacing w:after="0" w:line="170" w:lineRule="exact"/>
        <w:rPr>
          <w:rFonts w:ascii="Arial" w:cs="Arial" w:eastAsia="Arial" w:hAnsi="Arial"/>
          <w:sz w:val="18"/>
          <w:szCs w:val="18"/>
          <w:color w:val="auto"/>
        </w:rPr>
      </w:pPr>
    </w:p>
    <w:p>
      <w:pPr>
        <w:ind w:right="60" w:firstLine="1305"/>
        <w:spacing w:after="0" w:line="277" w:lineRule="auto"/>
        <w:tabs>
          <w:tab w:leader="none" w:pos="195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Participant has sufficient experience in business, financial and investment matters to be able to evaluate the risks involved in the purchase of the Shares and to make an informed investment decision with respect to such purchase.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Participant can afford a complete loss of the value of the Shares and is able to bear the economic risk of holding such Shares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 an indefinite period.</w:t>
      </w:r>
    </w:p>
    <w:p>
      <w:pPr>
        <w:spacing w:after="0" w:line="210" w:lineRule="exact"/>
        <w:rPr>
          <w:rFonts w:ascii="Arial" w:cs="Arial" w:eastAsia="Arial" w:hAnsi="Arial"/>
          <w:sz w:val="16"/>
          <w:szCs w:val="16"/>
          <w:color w:val="auto"/>
        </w:rPr>
      </w:pPr>
    </w:p>
    <w:p>
      <w:pPr>
        <w:ind w:firstLine="1305"/>
        <w:spacing w:after="0" w:line="255" w:lineRule="auto"/>
        <w:tabs>
          <w:tab w:leader="none" w:pos="195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Participant understands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367" w:name="page368"/>
    <w:bookmarkEnd w:id="367"/>
    <w:p>
      <w:pPr>
        <w:ind w:left="1300" w:hanging="644"/>
        <w:spacing w:after="0"/>
        <w:tabs>
          <w:tab w:leader="none" w:pos="130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Withholding Taxes; Section 83(b) Election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942"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Participant acknowledges and agrees that the Company has the right to deduct from payments of any kind otherwise due to the Participant any federal, state or local taxes of any kind required by law to be withheld with respect to the purchase of the Shares by the Participant or the lapse of the Purchase Option.</w:t>
      </w:r>
    </w:p>
    <w:p>
      <w:pPr>
        <w:spacing w:after="0" w:line="181" w:lineRule="exact"/>
        <w:rPr>
          <w:rFonts w:ascii="Arial" w:cs="Arial" w:eastAsia="Arial" w:hAnsi="Arial"/>
          <w:sz w:val="18"/>
          <w:szCs w:val="18"/>
          <w:color w:val="auto"/>
        </w:rPr>
      </w:pPr>
    </w:p>
    <w:p>
      <w:pPr>
        <w:ind w:firstLine="1305"/>
        <w:spacing w:after="0" w:line="255" w:lineRule="auto"/>
        <w:tabs>
          <w:tab w:leader="none" w:pos="1952"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Participant has reviewed with the Participant’s own tax advisors the federal, state, local and foreign tax consequences of this investment and the transactions contemplated by this Agreement. The Participant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investment or the transactions contemplated by this Agreement. The Participant understands that it may be beneficial in many circumstances to elect to be taxed at the time the Shares are granted by the Company rather than when and as the Company’s Purchase Option expires by filing an election under Section 83(b) of the Internal Revenue Code of 1986 with the I.R.S. within 30 days from the date of grant by the Company.</w:t>
      </w:r>
    </w:p>
    <w:p>
      <w:pPr>
        <w:spacing w:after="0" w:line="185" w:lineRule="exact"/>
        <w:rPr>
          <w:sz w:val="20"/>
          <w:szCs w:val="20"/>
          <w:color w:val="auto"/>
        </w:rPr>
      </w:pPr>
    </w:p>
    <w:p>
      <w:pPr>
        <w:ind w:right="160" w:firstLine="1297"/>
        <w:spacing w:after="0" w:line="266" w:lineRule="auto"/>
        <w:rPr>
          <w:sz w:val="20"/>
          <w:szCs w:val="20"/>
          <w:color w:val="auto"/>
        </w:rPr>
      </w:pPr>
      <w:r>
        <w:rPr>
          <w:rFonts w:ascii="Arial" w:cs="Arial" w:eastAsia="Arial" w:hAnsi="Arial"/>
          <w:sz w:val="18"/>
          <w:szCs w:val="18"/>
          <w:b w:val="1"/>
          <w:bCs w:val="1"/>
          <w:color w:val="auto"/>
        </w:rPr>
        <w:t>THE PARTICIPANT ACKNOWLEDGES THAT IT IS SOLELY THE PARTICIPANT’S RESPONSIBILITY AND NOT THE COMPANY’S TO FILE TIMELY THE ELECTION UNDER SECTION 83(b), EVEN IF THE PARTICIPANT REQUESTS THE COMPANY OR ITS REPRESENTATIVES TO MAKE THIS FILING ON THE PARTICIPANT’S BEHALF.</w:t>
      </w:r>
    </w:p>
    <w:p>
      <w:pPr>
        <w:spacing w:after="0" w:line="180" w:lineRule="exact"/>
        <w:rPr>
          <w:sz w:val="20"/>
          <w:szCs w:val="20"/>
          <w:color w:val="auto"/>
        </w:rPr>
      </w:pPr>
    </w:p>
    <w:p>
      <w:pPr>
        <w:ind w:left="1300" w:hanging="644"/>
        <w:spacing w:after="0"/>
        <w:tabs>
          <w:tab w:leader="none" w:pos="130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305"/>
        <w:spacing w:after="0" w:line="279" w:lineRule="auto"/>
        <w:tabs>
          <w:tab w:leader="none" w:pos="1942" w:val="left"/>
        </w:tabs>
        <w:numPr>
          <w:ilvl w:val="1"/>
          <w:numId w:val="263"/>
        </w:numPr>
        <w:rPr>
          <w:rFonts w:ascii="Arial" w:cs="Arial" w:eastAsia="Arial" w:hAnsi="Arial"/>
          <w:sz w:val="17"/>
          <w:szCs w:val="17"/>
          <w:color w:val="auto"/>
        </w:rPr>
      </w:pPr>
      <w:r>
        <w:rPr>
          <w:rFonts w:ascii="Arial" w:cs="Arial" w:eastAsia="Arial" w:hAnsi="Arial"/>
          <w:sz w:val="17"/>
          <w:szCs w:val="17"/>
          <w:u w:val="single" w:color="auto"/>
          <w:color w:val="auto"/>
        </w:rPr>
        <w:t>No Rights to Employment</w:t>
      </w:r>
      <w:r>
        <w:rPr>
          <w:rFonts w:ascii="Arial" w:cs="Arial" w:eastAsia="Arial" w:hAnsi="Arial"/>
          <w:sz w:val="17"/>
          <w:szCs w:val="17"/>
          <w:color w:val="auto"/>
        </w:rPr>
        <w:t>. The Participant acknowledges and agrees that the vesting of the Shares pursuant to Section 3 hereof is earned only by the Participant’s continuous Service (not through the act of being hired or purchasing the Shares hereunder). The Participant further acknowledges and agrees that the transactions contemplated hereunder and the vesting schedule set forth herein do not constitute an express or implied promise of continued engagement as an employee or consultant for the vesting period, for any period, or at all.</w:t>
      </w:r>
    </w:p>
    <w:p>
      <w:pPr>
        <w:spacing w:after="0" w:line="171" w:lineRule="exact"/>
        <w:rPr>
          <w:rFonts w:ascii="Arial" w:cs="Arial" w:eastAsia="Arial" w:hAnsi="Arial"/>
          <w:sz w:val="17"/>
          <w:szCs w:val="17"/>
          <w:color w:val="auto"/>
        </w:rPr>
      </w:pPr>
    </w:p>
    <w:p>
      <w:pPr>
        <w:ind w:right="20" w:firstLine="1305"/>
        <w:spacing w:after="0" w:line="308" w:lineRule="auto"/>
        <w:tabs>
          <w:tab w:leader="none" w:pos="1952" w:val="left"/>
        </w:tabs>
        <w:numPr>
          <w:ilvl w:val="1"/>
          <w:numId w:val="26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46" w:lineRule="exact"/>
        <w:rPr>
          <w:rFonts w:ascii="Arial" w:cs="Arial" w:eastAsia="Arial" w:hAnsi="Arial"/>
          <w:sz w:val="17"/>
          <w:szCs w:val="17"/>
          <w:color w:val="auto"/>
        </w:rPr>
      </w:pPr>
    </w:p>
    <w:p>
      <w:pPr>
        <w:ind w:right="360" w:firstLine="1305"/>
        <w:spacing w:after="0" w:line="277" w:lineRule="auto"/>
        <w:tabs>
          <w:tab w:leader="none" w:pos="1955" w:val="left"/>
        </w:tabs>
        <w:numPr>
          <w:ilvl w:val="1"/>
          <w:numId w:val="263"/>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provision for the benefit of the Company contained in this Agreement may be waived, either generally or in any particular instance, by the Board of Directors of the Company.</w:t>
      </w:r>
    </w:p>
    <w:p>
      <w:pPr>
        <w:spacing w:after="0" w:line="170" w:lineRule="exact"/>
        <w:rPr>
          <w:rFonts w:ascii="Arial" w:cs="Arial" w:eastAsia="Arial" w:hAnsi="Arial"/>
          <w:sz w:val="18"/>
          <w:szCs w:val="18"/>
          <w:color w:val="auto"/>
        </w:rPr>
      </w:pPr>
    </w:p>
    <w:p>
      <w:pPr>
        <w:ind w:right="120" w:firstLine="1305"/>
        <w:spacing w:after="0" w:line="264" w:lineRule="auto"/>
        <w:tabs>
          <w:tab w:leader="none" w:pos="1952" w:val="left"/>
        </w:tabs>
        <w:numPr>
          <w:ilvl w:val="1"/>
          <w:numId w:val="263"/>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Company and the Participant and their respective heirs, executors, administrators, legal representatives, successors and assigns, subject to the restrictions on transfer set forth in Sections 5 and 6 of this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8" w:name="page369"/>
    <w:bookmarkEnd w:id="368"/>
    <w:p>
      <w:pPr>
        <w:ind w:right="280" w:firstLine="1305"/>
        <w:spacing w:after="0" w:line="259" w:lineRule="auto"/>
        <w:tabs>
          <w:tab w:leader="none" w:pos="1955" w:val="left"/>
        </w:tabs>
        <w:numPr>
          <w:ilvl w:val="1"/>
          <w:numId w:val="26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her or its respective signature to this Agreement, or at such other address or addresses as either party shall designate to the other in accordance with this Section 13(e).</w:t>
      </w:r>
    </w:p>
    <w:p>
      <w:pPr>
        <w:spacing w:after="0" w:line="186" w:lineRule="exact"/>
        <w:rPr>
          <w:rFonts w:ascii="Arial" w:cs="Arial" w:eastAsia="Arial" w:hAnsi="Arial"/>
          <w:sz w:val="18"/>
          <w:szCs w:val="18"/>
          <w:color w:val="auto"/>
        </w:rPr>
      </w:pPr>
    </w:p>
    <w:p>
      <w:pPr>
        <w:ind w:right="220" w:firstLine="1305"/>
        <w:spacing w:after="0" w:line="277" w:lineRule="auto"/>
        <w:tabs>
          <w:tab w:leader="none" w:pos="1949" w:val="left"/>
        </w:tabs>
        <w:numPr>
          <w:ilvl w:val="1"/>
          <w:numId w:val="264"/>
        </w:numPr>
        <w:rPr>
          <w:rFonts w:ascii="Arial" w:cs="Arial" w:eastAsia="Arial" w:hAnsi="Arial"/>
          <w:sz w:val="18"/>
          <w:szCs w:val="18"/>
          <w:color w:val="auto"/>
        </w:rPr>
      </w:pPr>
      <w:r>
        <w:rPr>
          <w:rFonts w:ascii="Arial" w:cs="Arial" w:eastAsia="Arial" w:hAnsi="Arial"/>
          <w:sz w:val="18"/>
          <w:szCs w:val="18"/>
          <w:u w:val="single" w:color="auto"/>
          <w:color w:val="auto"/>
        </w:rPr>
        <w:t>Pronouns</w:t>
      </w:r>
      <w:r>
        <w:rPr>
          <w:rFonts w:ascii="Arial" w:cs="Arial" w:eastAsia="Arial" w:hAnsi="Arial"/>
          <w:sz w:val="18"/>
          <w:szCs w:val="18"/>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70" w:lineRule="exact"/>
        <w:rPr>
          <w:rFonts w:ascii="Arial" w:cs="Arial" w:eastAsia="Arial" w:hAnsi="Arial"/>
          <w:sz w:val="18"/>
          <w:szCs w:val="18"/>
          <w:color w:val="auto"/>
        </w:rPr>
      </w:pPr>
    </w:p>
    <w:p>
      <w:pPr>
        <w:ind w:right="400" w:firstLine="1305"/>
        <w:spacing w:after="0" w:line="277" w:lineRule="auto"/>
        <w:tabs>
          <w:tab w:leader="none" w:pos="1965" w:val="left"/>
        </w:tabs>
        <w:numPr>
          <w:ilvl w:val="1"/>
          <w:numId w:val="26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constitute the entire agreement between the parties, and supersedes all prior agreements and understandings, relating to the subject matter of this Agreement.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264"/>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or modified only by a written instrument executed by both the Company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Participant.</w:t>
      </w:r>
    </w:p>
    <w:p>
      <w:pPr>
        <w:spacing w:after="0" w:line="210" w:lineRule="exact"/>
        <w:rPr>
          <w:rFonts w:ascii="Arial" w:cs="Arial" w:eastAsia="Arial" w:hAnsi="Arial"/>
          <w:sz w:val="16"/>
          <w:szCs w:val="16"/>
          <w:color w:val="auto"/>
        </w:rPr>
      </w:pPr>
    </w:p>
    <w:p>
      <w:pPr>
        <w:ind w:right="80" w:firstLine="1305"/>
        <w:spacing w:after="0" w:line="277" w:lineRule="auto"/>
        <w:tabs>
          <w:tab w:leader="none" w:pos="1966" w:val="left"/>
        </w:tabs>
        <w:numPr>
          <w:ilvl w:val="1"/>
          <w:numId w:val="26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interpreted and enforced in accordance with the internal laws of the State of Delaware without regard to any applicable conflict of law principles.</w:t>
      </w:r>
    </w:p>
    <w:p>
      <w:pPr>
        <w:spacing w:after="0" w:line="170" w:lineRule="exact"/>
        <w:rPr>
          <w:rFonts w:ascii="Arial" w:cs="Arial" w:eastAsia="Arial" w:hAnsi="Arial"/>
          <w:sz w:val="18"/>
          <w:szCs w:val="18"/>
          <w:color w:val="auto"/>
        </w:rPr>
      </w:pPr>
    </w:p>
    <w:p>
      <w:pPr>
        <w:ind w:right="140" w:firstLine="1305"/>
        <w:spacing w:after="0" w:line="288" w:lineRule="auto"/>
        <w:tabs>
          <w:tab w:leader="none" w:pos="1953" w:val="left"/>
        </w:tabs>
        <w:numPr>
          <w:ilvl w:val="1"/>
          <w:numId w:val="264"/>
        </w:numPr>
        <w:rPr>
          <w:rFonts w:ascii="Arial" w:cs="Arial" w:eastAsia="Arial" w:hAnsi="Arial"/>
          <w:sz w:val="16"/>
          <w:szCs w:val="16"/>
          <w:color w:val="auto"/>
        </w:rPr>
      </w:pPr>
      <w:r>
        <w:rPr>
          <w:rFonts w:ascii="Arial" w:cs="Arial" w:eastAsia="Arial" w:hAnsi="Arial"/>
          <w:sz w:val="16"/>
          <w:szCs w:val="16"/>
          <w:u w:val="single" w:color="auto"/>
          <w:color w:val="auto"/>
        </w:rPr>
        <w:t>Participant’s Acknowledgments</w:t>
      </w:r>
      <w:r>
        <w:rPr>
          <w:rFonts w:ascii="Arial" w:cs="Arial" w:eastAsia="Arial" w:hAnsi="Arial"/>
          <w:sz w:val="16"/>
          <w:szCs w:val="16"/>
          <w:color w:val="auto"/>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(iv) is fully aware of the legal and binding effect of this Agreement; and</w:t>
      </w:r>
    </w:p>
    <w:p>
      <w:pPr>
        <w:ind w:firstLine="8"/>
        <w:spacing w:after="0" w:line="261" w:lineRule="auto"/>
        <w:tabs>
          <w:tab w:leader="none" w:pos="25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understands that the law firm of WilmerHale is acting as counsel to the Company in connection with the transactions contemplated by the Agreement, and is not acting as counsel for the Participant.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69" w:name="page370"/>
    <w:bookmarkEnd w:id="369"/>
    <w:p>
      <w:pPr>
        <w:ind w:right="60" w:firstLine="648"/>
        <w:spacing w:after="0" w:line="264" w:lineRule="auto"/>
        <w:rPr>
          <w:sz w:val="20"/>
          <w:szCs w:val="20"/>
          <w:color w:val="auto"/>
        </w:rPr>
      </w:pPr>
      <w:r>
        <w:rPr>
          <w:rFonts w:ascii="Arial" w:cs="Arial" w:eastAsia="Arial" w:hAnsi="Arial"/>
          <w:sz w:val="18"/>
          <w:szCs w:val="18"/>
          <w:color w:val="auto"/>
        </w:rPr>
        <w:t>IN WITNESS WHEREOF, the parties hereto have executed the Restricted Stock Agreement as of the date and year first above written. The Participant hereby agrees to the terms and conditions thereof. The Participant hereby acknowledges receipt of a copy of the Company’s 2016 Stock Incentive Plan.</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Fulcrum Therapeutics, Inc.</w:t>
      </w:r>
    </w:p>
    <w:p>
      <w:pPr>
        <w:spacing w:after="0" w:line="200" w:lineRule="exact"/>
        <w:rPr>
          <w:sz w:val="20"/>
          <w:szCs w:val="20"/>
          <w:color w:val="auto"/>
        </w:rPr>
      </w:pPr>
    </w:p>
    <w:p>
      <w:pPr>
        <w:spacing w:after="0" w:line="24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5715</wp:posOffset>
            </wp:positionV>
            <wp:extent cx="283845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83845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-130810</wp:posOffset>
            </wp:positionV>
            <wp:extent cx="283845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2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200" w:type="dxa"/>
            <w:vAlign w:val="bottom"/>
          </w:tcPr>
          <w:p>
            <w:pPr>
              <w:jc w:val="right"/>
              <w:ind w:right="2050"/>
              <w:spacing w:after="0"/>
              <w:rPr>
                <w:sz w:val="20"/>
                <w:szCs w:val="20"/>
                <w:color w:val="auto"/>
              </w:rPr>
            </w:pPr>
            <w:r>
              <w:rPr>
                <w:rFonts w:ascii="Arial" w:cs="Arial" w:eastAsia="Arial" w:hAnsi="Arial"/>
                <w:sz w:val="18"/>
                <w:szCs w:val="18"/>
                <w:color w:val="auto"/>
                <w:w w:val="78"/>
              </w:rPr>
              <w:t>[</w:t>
            </w:r>
          </w:p>
        </w:tc>
        <w:tc>
          <w:tcPr>
            <w:tcW w:w="228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432"/>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jc w:val="right"/>
              <w:ind w:right="2050"/>
              <w:spacing w:after="0"/>
              <w:rPr>
                <w:sz w:val="20"/>
                <w:szCs w:val="20"/>
                <w:color w:val="auto"/>
              </w:rPr>
            </w:pPr>
            <w:r>
              <w:rPr>
                <w:rFonts w:ascii="Arial" w:cs="Arial" w:eastAsia="Arial" w:hAnsi="Arial"/>
                <w:sz w:val="18"/>
                <w:szCs w:val="18"/>
                <w:color w:val="auto"/>
                <w:w w:val="78"/>
              </w:rPr>
              <w:t>[</w:t>
            </w:r>
          </w:p>
        </w:tc>
        <w:tc>
          <w:tcPr>
            <w:tcW w:w="228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648"/>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PARTICIPANT:</w:t>
            </w:r>
          </w:p>
        </w:tc>
        <w:tc>
          <w:tcPr>
            <w:tcW w:w="2280" w:type="dxa"/>
            <w:vAlign w:val="bottom"/>
          </w:tcPr>
          <w:p>
            <w:pPr>
              <w:spacing w:after="0"/>
              <w:rPr>
                <w:sz w:val="24"/>
                <w:szCs w:val="24"/>
                <w:color w:val="auto"/>
              </w:rPr>
            </w:pPr>
          </w:p>
        </w:tc>
      </w:tr>
      <w:tr>
        <w:trPr>
          <w:trHeight w:val="648"/>
        </w:trPr>
        <w:tc>
          <w:tcPr>
            <w:tcW w:w="1220" w:type="dxa"/>
            <w:vAlign w:val="bottom"/>
            <w:gridSpan w:val="2"/>
          </w:tcPr>
          <w:p>
            <w:pPr>
              <w:spacing w:after="0"/>
              <w:rPr>
                <w:sz w:val="20"/>
                <w:szCs w:val="20"/>
                <w:color w:val="auto"/>
              </w:rPr>
            </w:pPr>
            <w:r>
              <w:rPr>
                <w:rFonts w:ascii="Arial" w:cs="Arial" w:eastAsia="Arial" w:hAnsi="Arial"/>
                <w:sz w:val="18"/>
                <w:szCs w:val="18"/>
                <w:color w:val="auto"/>
              </w:rPr>
              <w:t>By:</w:t>
            </w:r>
          </w:p>
        </w:tc>
        <w:tc>
          <w:tcPr>
            <w:tcW w:w="22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0"/>
        </w:trPr>
        <w:tc>
          <w:tcPr>
            <w:tcW w:w="480" w:type="dxa"/>
            <w:vAlign w:val="bottom"/>
          </w:tcPr>
          <w:p>
            <w:pPr>
              <w:spacing w:after="0"/>
              <w:rPr>
                <w:sz w:val="18"/>
                <w:szCs w:val="18"/>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20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tcPr>
          <w:p>
            <w:pPr>
              <w:spacing w:after="0"/>
              <w:rPr>
                <w:sz w:val="18"/>
                <w:szCs w:val="18"/>
                <w:color w:val="auto"/>
              </w:rPr>
            </w:pPr>
          </w:p>
        </w:tc>
      </w:tr>
      <w:tr>
        <w:trPr>
          <w:trHeight w:val="642"/>
        </w:trPr>
        <w:tc>
          <w:tcPr>
            <w:tcW w:w="12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200" w:type="dxa"/>
            <w:vAlign w:val="bottom"/>
          </w:tcPr>
          <w:p>
            <w:pPr>
              <w:jc w:val="right"/>
              <w:ind w:right="2050"/>
              <w:spacing w:after="0"/>
              <w:rPr>
                <w:sz w:val="20"/>
                <w:szCs w:val="20"/>
                <w:color w:val="auto"/>
              </w:rPr>
            </w:pPr>
            <w:r>
              <w:rPr>
                <w:rFonts w:ascii="Arial" w:cs="Arial" w:eastAsia="Arial" w:hAnsi="Arial"/>
                <w:sz w:val="18"/>
                <w:szCs w:val="18"/>
                <w:color w:val="auto"/>
                <w:w w:val="78"/>
              </w:rPr>
              <w:t>[</w:t>
            </w:r>
          </w:p>
        </w:tc>
        <w:tc>
          <w:tcPr>
            <w:tcW w:w="228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432"/>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jc w:val="right"/>
              <w:ind w:right="2050"/>
              <w:spacing w:after="0"/>
              <w:rPr>
                <w:sz w:val="20"/>
                <w:szCs w:val="20"/>
                <w:color w:val="auto"/>
              </w:rPr>
            </w:pPr>
            <w:r>
              <w:rPr>
                <w:rFonts w:ascii="Arial" w:cs="Arial" w:eastAsia="Arial" w:hAnsi="Arial"/>
                <w:sz w:val="18"/>
                <w:szCs w:val="18"/>
                <w:color w:val="auto"/>
                <w:w w:val="78"/>
              </w:rPr>
              <w:t>[</w:t>
            </w:r>
          </w:p>
        </w:tc>
        <w:tc>
          <w:tcPr>
            <w:tcW w:w="228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648"/>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SPOUSAL CONSENT:</w:t>
            </w:r>
          </w:p>
        </w:tc>
        <w:tc>
          <w:tcPr>
            <w:tcW w:w="2280" w:type="dxa"/>
            <w:vAlign w:val="bottom"/>
          </w:tcPr>
          <w:p>
            <w:pPr>
              <w:spacing w:after="0"/>
              <w:rPr>
                <w:sz w:val="24"/>
                <w:szCs w:val="24"/>
                <w:color w:val="auto"/>
              </w:rPr>
            </w:pPr>
          </w:p>
        </w:tc>
      </w:tr>
      <w:tr>
        <w:trPr>
          <w:trHeight w:val="648"/>
        </w:trPr>
        <w:tc>
          <w:tcPr>
            <w:tcW w:w="1220" w:type="dxa"/>
            <w:vAlign w:val="bottom"/>
            <w:gridSpan w:val="2"/>
          </w:tcPr>
          <w:p>
            <w:pPr>
              <w:spacing w:after="0"/>
              <w:rPr>
                <w:sz w:val="20"/>
                <w:szCs w:val="20"/>
                <w:color w:val="auto"/>
              </w:rPr>
            </w:pPr>
            <w:r>
              <w:rPr>
                <w:rFonts w:ascii="Arial" w:cs="Arial" w:eastAsia="Arial" w:hAnsi="Arial"/>
                <w:sz w:val="18"/>
                <w:szCs w:val="18"/>
                <w:color w:val="auto"/>
              </w:rPr>
              <w:t>By:</w:t>
            </w:r>
          </w:p>
        </w:tc>
        <w:tc>
          <w:tcPr>
            <w:tcW w:w="22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0"/>
        </w:trPr>
        <w:tc>
          <w:tcPr>
            <w:tcW w:w="480" w:type="dxa"/>
            <w:vAlign w:val="bottom"/>
          </w:tcPr>
          <w:p>
            <w:pPr>
              <w:spacing w:after="0"/>
              <w:rPr>
                <w:sz w:val="18"/>
                <w:szCs w:val="18"/>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20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tcPr>
          <w:p>
            <w:pPr>
              <w:spacing w:after="0"/>
              <w:rPr>
                <w:sz w:val="18"/>
                <w:szCs w:val="18"/>
                <w:color w:val="auto"/>
              </w:rPr>
            </w:pPr>
          </w:p>
        </w:tc>
      </w:tr>
      <w:tr>
        <w:trPr>
          <w:trHeight w:val="642"/>
        </w:trPr>
        <w:tc>
          <w:tcPr>
            <w:tcW w:w="12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200" w:type="dxa"/>
            <w:vAlign w:val="bottom"/>
          </w:tcPr>
          <w:p>
            <w:pPr>
              <w:jc w:val="right"/>
              <w:ind w:right="2050"/>
              <w:spacing w:after="0"/>
              <w:rPr>
                <w:sz w:val="20"/>
                <w:szCs w:val="20"/>
                <w:color w:val="auto"/>
              </w:rPr>
            </w:pPr>
            <w:r>
              <w:rPr>
                <w:rFonts w:ascii="Arial" w:cs="Arial" w:eastAsia="Arial" w:hAnsi="Arial"/>
                <w:sz w:val="18"/>
                <w:szCs w:val="18"/>
                <w:color w:val="auto"/>
                <w:w w:val="78"/>
              </w:rPr>
              <w:t>[</w:t>
            </w:r>
          </w:p>
        </w:tc>
        <w:tc>
          <w:tcPr>
            <w:tcW w:w="228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432"/>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jc w:val="right"/>
              <w:ind w:right="2050"/>
              <w:spacing w:after="0"/>
              <w:rPr>
                <w:sz w:val="20"/>
                <w:szCs w:val="20"/>
                <w:color w:val="auto"/>
              </w:rPr>
            </w:pPr>
            <w:r>
              <w:rPr>
                <w:rFonts w:ascii="Arial" w:cs="Arial" w:eastAsia="Arial" w:hAnsi="Arial"/>
                <w:sz w:val="18"/>
                <w:szCs w:val="18"/>
                <w:color w:val="auto"/>
                <w:w w:val="78"/>
              </w:rPr>
              <w:t>[</w:t>
            </w:r>
          </w:p>
        </w:tc>
        <w:tc>
          <w:tcPr>
            <w:tcW w:w="2280" w:type="dxa"/>
            <w:vAlign w:val="bottom"/>
          </w:tcPr>
          <w:p>
            <w:pPr>
              <w:jc w:val="right"/>
              <w:ind w:right="49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RESTRICTED STOCK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GRANTED UNDER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0" w:name="page371"/>
    <w:bookmarkEnd w:id="370"/>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ESCROW INSTRUCTIONS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FULCRUM THERAPEUTICS, INC.</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JOINT ESCROW INSTRUCTIONS</w:t>
      </w:r>
    </w:p>
    <w:p>
      <w:pPr>
        <w:spacing w:after="0" w:line="211" w:lineRule="exact"/>
        <w:rPr>
          <w:sz w:val="20"/>
          <w:szCs w:val="20"/>
          <w:color w:val="auto"/>
        </w:rPr>
      </w:pPr>
    </w:p>
    <w:p>
      <w:pPr>
        <w:ind w:left="5280"/>
        <w:spacing w:after="0"/>
        <w:tabs>
          <w:tab w:leader="none" w:pos="5800" w:val="left"/>
          <w:tab w:leader="none" w:pos="6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Secretary:</w:t>
      </w:r>
    </w:p>
    <w:p>
      <w:pPr>
        <w:spacing w:after="0" w:line="221"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As Escrow Agent for Fulcrum 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its successors in interest under the Restricted Stock Agreement (the “</w:t>
      </w:r>
      <w:r>
        <w:rPr>
          <w:rFonts w:ascii="Arial" w:cs="Arial" w:eastAsia="Arial" w:hAnsi="Arial"/>
          <w:sz w:val="18"/>
          <w:szCs w:val="18"/>
          <w:b w:val="1"/>
          <w:bCs w:val="1"/>
          <w:color w:val="auto"/>
        </w:rPr>
        <w:t>Agreement</w:t>
      </w:r>
      <w:r>
        <w:rPr>
          <w:rFonts w:ascii="Arial" w:cs="Arial" w:eastAsia="Arial" w:hAnsi="Arial"/>
          <w:sz w:val="18"/>
          <w:szCs w:val="18"/>
          <w:color w:val="auto"/>
        </w:rPr>
        <w:t>”) of even date herewith, to which a copy of these Joint Escrow Instructions is attached, and the undersigned person (“</w:t>
      </w:r>
      <w:r>
        <w:rPr>
          <w:rFonts w:ascii="Arial" w:cs="Arial" w:eastAsia="Arial" w:hAnsi="Arial"/>
          <w:sz w:val="18"/>
          <w:szCs w:val="18"/>
          <w:b w:val="1"/>
          <w:bCs w:val="1"/>
          <w:color w:val="auto"/>
        </w:rPr>
        <w:t>Holder</w:t>
      </w:r>
      <w:r>
        <w:rPr>
          <w:rFonts w:ascii="Arial" w:cs="Arial" w:eastAsia="Arial" w:hAnsi="Arial"/>
          <w:sz w:val="18"/>
          <w:szCs w:val="18"/>
          <w:color w:val="auto"/>
        </w:rPr>
        <w:t>”), you are hereby authorized and directed to hold the documents delivered to you pursuant to the terms of the Agreement in accordance with the following instructions:</w:t>
      </w:r>
    </w:p>
    <w:p>
      <w:pPr>
        <w:spacing w:after="0" w:line="184" w:lineRule="exact"/>
        <w:rPr>
          <w:sz w:val="20"/>
          <w:szCs w:val="20"/>
          <w:color w:val="auto"/>
        </w:rPr>
      </w:pPr>
    </w:p>
    <w:p>
      <w:pPr>
        <w:ind w:right="60" w:firstLine="656"/>
        <w:spacing w:after="0" w:line="273" w:lineRule="auto"/>
        <w:tabs>
          <w:tab w:leader="none" w:pos="1296"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Appointment</w:t>
      </w:r>
      <w:r>
        <w:rPr>
          <w:rFonts w:ascii="Arial" w:cs="Arial" w:eastAsia="Arial" w:hAnsi="Arial"/>
          <w:sz w:val="17"/>
          <w:szCs w:val="17"/>
          <w:color w:val="auto"/>
        </w:rPr>
        <w:t>. Holder irrevocably authorizes the Company to deposit with you any certificates evidencing Shares (as defined in the Agreement) to be held by you hereunder and any additions and substitutions to said Shares. For purposes of these Joint Escrow Instructions, “</w:t>
      </w:r>
      <w:r>
        <w:rPr>
          <w:rFonts w:ascii="Arial" w:cs="Arial" w:eastAsia="Arial" w:hAnsi="Arial"/>
          <w:sz w:val="17"/>
          <w:szCs w:val="17"/>
          <w:b w:val="1"/>
          <w:bCs w:val="1"/>
          <w:color w:val="auto"/>
        </w:rPr>
        <w:t>Shares</w:t>
      </w:r>
      <w:r>
        <w:rPr>
          <w:rFonts w:ascii="Arial" w:cs="Arial" w:eastAsia="Arial" w:hAnsi="Arial"/>
          <w:sz w:val="17"/>
          <w:szCs w:val="17"/>
          <w:color w:val="auto"/>
        </w:rPr>
        <w:t>” shall be deemed to include any additional or substitute property. Holder does hereby irrevocably constitute and appoint you as his or her attorney-in-fact and agent for the term of this escrow to execute with respect to such Shares all documents necessary or appropriate to make such Shares negotiable and to complete any transaction herein contemplated. Subject to the provisions of this Section 1 and the terms of the Agreement, Holder shall exercise all rights and privileges of a stockholder of the Company while the Shares are held by you.</w:t>
      </w:r>
    </w:p>
    <w:p>
      <w:pPr>
        <w:spacing w:after="0" w:line="178" w:lineRule="exact"/>
        <w:rPr>
          <w:rFonts w:ascii="Arial" w:cs="Arial" w:eastAsia="Arial" w:hAnsi="Arial"/>
          <w:sz w:val="17"/>
          <w:szCs w:val="17"/>
          <w:color w:val="auto"/>
        </w:rPr>
      </w:pPr>
    </w:p>
    <w:p>
      <w:pPr>
        <w:ind w:left="1300" w:hanging="644"/>
        <w:spacing w:after="0"/>
        <w:tabs>
          <w:tab w:leader="none" w:pos="130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Closing of Purchase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59" w:lineRule="auto"/>
        <w:tabs>
          <w:tab w:leader="none" w:pos="194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Upon any purchase by the Company of the Shares pursuant to the Agreement, the Company shall give to Holder and you a written notice specifying the number of Shares to be purchased, the purchase price for the Shares, as determined pursuant to the Agreement, and the time for a closing hereunder (the “</w:t>
      </w:r>
      <w:r>
        <w:rPr>
          <w:rFonts w:ascii="Arial" w:cs="Arial" w:eastAsia="Arial" w:hAnsi="Arial"/>
          <w:sz w:val="18"/>
          <w:szCs w:val="18"/>
          <w:b w:val="1"/>
          <w:bCs w:val="1"/>
          <w:color w:val="auto"/>
        </w:rPr>
        <w:t>Closing</w:t>
      </w:r>
      <w:r>
        <w:rPr>
          <w:rFonts w:ascii="Arial" w:cs="Arial" w:eastAsia="Arial" w:hAnsi="Arial"/>
          <w:sz w:val="18"/>
          <w:szCs w:val="18"/>
          <w:color w:val="auto"/>
        </w:rPr>
        <w:t>”) at the principal office of the Company. Holder and the Company hereby irrevocably authorize and direct you to close the transaction contemplated by such notice in accordance with the terms of said notice.</w:t>
      </w:r>
    </w:p>
    <w:p>
      <w:pPr>
        <w:spacing w:after="0" w:line="186" w:lineRule="exact"/>
        <w:rPr>
          <w:rFonts w:ascii="Arial" w:cs="Arial" w:eastAsia="Arial" w:hAnsi="Arial"/>
          <w:sz w:val="18"/>
          <w:szCs w:val="18"/>
          <w:color w:val="auto"/>
        </w:rPr>
      </w:pPr>
    </w:p>
    <w:p>
      <w:pPr>
        <w:ind w:right="40" w:firstLine="1305"/>
        <w:spacing w:after="0" w:line="312" w:lineRule="auto"/>
        <w:tabs>
          <w:tab w:leader="none" w:pos="1952" w:val="left"/>
        </w:tabs>
        <w:numPr>
          <w:ilvl w:val="1"/>
          <w:numId w:val="266"/>
        </w:numPr>
        <w:rPr>
          <w:rFonts w:ascii="Arial" w:cs="Arial" w:eastAsia="Arial" w:hAnsi="Arial"/>
          <w:sz w:val="16"/>
          <w:szCs w:val="16"/>
          <w:color w:val="auto"/>
        </w:rPr>
      </w:pPr>
      <w:r>
        <w:rPr>
          <w:rFonts w:ascii="Arial" w:cs="Arial" w:eastAsia="Arial" w:hAnsi="Arial"/>
          <w:sz w:val="16"/>
          <w:szCs w:val="16"/>
          <w:color w:val="auto"/>
        </w:rPr>
        <w:t>At the Closing, you are directed (i) to date the stock assignment form or forms necessary for the transfer of the Shares, (ii) to fill in on such form or forms the number of Shares being transferred, and (iii) to deliver the same, together with the certificate or certificates evidencing the Shares to be transferred, to the Company against the simultaneous delivery to you of the purchase price for the Shares being purchased pursuant to the Agreement.</w:t>
      </w:r>
    </w:p>
    <w:p>
      <w:pPr>
        <w:spacing w:after="0" w:line="146" w:lineRule="exact"/>
        <w:rPr>
          <w:rFonts w:ascii="Arial" w:cs="Arial" w:eastAsia="Arial" w:hAnsi="Arial"/>
          <w:sz w:val="16"/>
          <w:szCs w:val="16"/>
          <w:color w:val="auto"/>
        </w:rPr>
      </w:pPr>
    </w:p>
    <w:p>
      <w:pPr>
        <w:ind w:right="240" w:firstLine="656"/>
        <w:spacing w:after="0" w:line="277" w:lineRule="auto"/>
        <w:tabs>
          <w:tab w:leader="none" w:pos="1296"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 The Holder shall have the right to withdraw from this escrow any Shares as to which the Purchase Option (as defined in the Agreement) has terminated or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71" w:name="page372"/>
    <w:bookmarkEnd w:id="371"/>
    <w:p>
      <w:pPr>
        <w:ind w:left="1292" w:hanging="644"/>
        <w:spacing w:after="0"/>
        <w:tabs>
          <w:tab w:leader="none" w:pos="1292" w:val="left"/>
        </w:tabs>
        <w:numPr>
          <w:ilvl w:val="1"/>
          <w:numId w:val="267"/>
        </w:numPr>
        <w:rPr>
          <w:rFonts w:ascii="Arial" w:cs="Arial" w:eastAsia="Arial" w:hAnsi="Arial"/>
          <w:sz w:val="18"/>
          <w:szCs w:val="18"/>
          <w:color w:val="auto"/>
        </w:rPr>
      </w:pPr>
      <w:r>
        <w:rPr>
          <w:rFonts w:ascii="Arial" w:cs="Arial" w:eastAsia="Arial" w:hAnsi="Arial"/>
          <w:sz w:val="18"/>
          <w:szCs w:val="18"/>
          <w:u w:val="single" w:color="auto"/>
          <w:color w:val="auto"/>
        </w:rPr>
        <w:t>Duties of Escrow Agent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32" w:hanging="635"/>
        <w:spacing w:after="0"/>
        <w:tabs>
          <w:tab w:leader="none" w:pos="1932" w:val="left"/>
        </w:tabs>
        <w:numPr>
          <w:ilvl w:val="2"/>
          <w:numId w:val="267"/>
        </w:numPr>
        <w:rPr>
          <w:rFonts w:ascii="Arial" w:cs="Arial" w:eastAsia="Arial" w:hAnsi="Arial"/>
          <w:sz w:val="17"/>
          <w:szCs w:val="17"/>
          <w:color w:val="auto"/>
        </w:rPr>
      </w:pPr>
      <w:r>
        <w:rPr>
          <w:rFonts w:ascii="Arial" w:cs="Arial" w:eastAsia="Arial" w:hAnsi="Arial"/>
          <w:sz w:val="17"/>
          <w:szCs w:val="17"/>
          <w:color w:val="auto"/>
        </w:rPr>
        <w:t>Your duties hereunder may be altered, amended, modified or revoked only by a writing signed by all of the parties hereto.</w:t>
      </w:r>
    </w:p>
    <w:p>
      <w:pPr>
        <w:spacing w:after="0" w:line="236" w:lineRule="exact"/>
        <w:rPr>
          <w:rFonts w:ascii="Arial" w:cs="Arial" w:eastAsia="Arial" w:hAnsi="Arial"/>
          <w:sz w:val="17"/>
          <w:szCs w:val="17"/>
          <w:color w:val="auto"/>
        </w:rPr>
      </w:pPr>
    </w:p>
    <w:p>
      <w:pPr>
        <w:ind w:left="-8" w:right="20" w:firstLine="1305"/>
        <w:spacing w:after="0" w:line="257" w:lineRule="auto"/>
        <w:tabs>
          <w:tab w:leader="none" w:pos="1944" w:val="left"/>
        </w:tabs>
        <w:numPr>
          <w:ilvl w:val="2"/>
          <w:numId w:val="267"/>
        </w:numPr>
        <w:rPr>
          <w:rFonts w:ascii="Arial" w:cs="Arial" w:eastAsia="Arial" w:hAnsi="Arial"/>
          <w:sz w:val="18"/>
          <w:szCs w:val="18"/>
          <w:color w:val="auto"/>
        </w:rPr>
      </w:pPr>
      <w:r>
        <w:rPr>
          <w:rFonts w:ascii="Arial" w:cs="Arial" w:eastAsia="Arial" w:hAnsi="Arial"/>
          <w:sz w:val="18"/>
          <w:szCs w:val="18"/>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of Holder while acting in good faith and in the exercise of your own good judgment, and any act done or omitted by you pursuant to the advice of your own attorneys shall be conclusive evidence of such good faith.</w:t>
      </w:r>
    </w:p>
    <w:p>
      <w:pPr>
        <w:spacing w:after="0" w:line="188" w:lineRule="exact"/>
        <w:rPr>
          <w:rFonts w:ascii="Arial" w:cs="Arial" w:eastAsia="Arial" w:hAnsi="Arial"/>
          <w:sz w:val="18"/>
          <w:szCs w:val="18"/>
          <w:color w:val="auto"/>
        </w:rPr>
      </w:pPr>
    </w:p>
    <w:p>
      <w:pPr>
        <w:ind w:left="-8" w:firstLine="1305"/>
        <w:spacing w:after="0" w:line="255" w:lineRule="auto"/>
        <w:tabs>
          <w:tab w:leader="none" w:pos="1947" w:val="left"/>
        </w:tabs>
        <w:numPr>
          <w:ilvl w:val="2"/>
          <w:numId w:val="267"/>
        </w:numPr>
        <w:rPr>
          <w:rFonts w:ascii="Arial" w:cs="Arial" w:eastAsia="Arial" w:hAnsi="Arial"/>
          <w:sz w:val="18"/>
          <w:szCs w:val="18"/>
          <w:color w:val="auto"/>
        </w:rPr>
      </w:pPr>
      <w:r>
        <w:rPr>
          <w:rFonts w:ascii="Arial" w:cs="Arial" w:eastAsia="Arial" w:hAnsi="Arial"/>
          <w:sz w:val="18"/>
          <w:szCs w:val="18"/>
          <w:color w:val="auto"/>
        </w:rPr>
        <w:t>You are hereby expressly authorized to disregard any and all warnings given by any of the parties hereto or by any other person or entity, excepting only orders or process of courts of law, and are hereby expressly authorized to comply with and obey orders, judgments or decrees of any court. If you are uncertain of any actions to be taken or instructions to be followed, you may refuse to act in the absence of an order, judgment or decrees of a court. In case you obey or comply with any such order, judgment or decree of any court, you shall not be liable to any of the parties hereto or to any other person or entity, by reason of such compliance, notwithstanding any such order, judgment or decree being subsequently reversed, modified, annulled, set aside, vacated or found to have been entered without jurisdiction.</w:t>
      </w:r>
    </w:p>
    <w:p>
      <w:pPr>
        <w:spacing w:after="0" w:line="193" w:lineRule="exact"/>
        <w:rPr>
          <w:rFonts w:ascii="Arial" w:cs="Arial" w:eastAsia="Arial" w:hAnsi="Arial"/>
          <w:sz w:val="18"/>
          <w:szCs w:val="18"/>
          <w:color w:val="auto"/>
        </w:rPr>
      </w:pPr>
    </w:p>
    <w:p>
      <w:pPr>
        <w:ind w:left="-8" w:right="600" w:firstLine="1305"/>
        <w:spacing w:after="0" w:line="277" w:lineRule="auto"/>
        <w:tabs>
          <w:tab w:leader="none" w:pos="1944" w:val="left"/>
        </w:tabs>
        <w:numPr>
          <w:ilvl w:val="2"/>
          <w:numId w:val="267"/>
        </w:numPr>
        <w:rPr>
          <w:rFonts w:ascii="Arial" w:cs="Arial" w:eastAsia="Arial" w:hAnsi="Arial"/>
          <w:sz w:val="18"/>
          <w:szCs w:val="18"/>
          <w:color w:val="auto"/>
        </w:rPr>
      </w:pPr>
      <w:r>
        <w:rPr>
          <w:rFonts w:ascii="Arial" w:cs="Arial" w:eastAsia="Arial" w:hAnsi="Arial"/>
          <w:sz w:val="18"/>
          <w:szCs w:val="18"/>
          <w:color w:val="auto"/>
        </w:rPr>
        <w:t>You shall not be liable in any respect on account of the identity, authority or rights of the parties executing or delivering or purporting to execute or deliver the Agreement or any documents or papers deposited or called for hereunder.</w:t>
      </w:r>
    </w:p>
    <w:p>
      <w:pPr>
        <w:spacing w:after="0" w:line="170" w:lineRule="exact"/>
        <w:rPr>
          <w:rFonts w:ascii="Arial" w:cs="Arial" w:eastAsia="Arial" w:hAnsi="Arial"/>
          <w:sz w:val="18"/>
          <w:szCs w:val="18"/>
          <w:color w:val="auto"/>
        </w:rPr>
      </w:pPr>
    </w:p>
    <w:p>
      <w:pPr>
        <w:ind w:left="-8" w:right="640" w:firstLine="1305"/>
        <w:spacing w:after="0" w:line="277" w:lineRule="auto"/>
        <w:tabs>
          <w:tab w:leader="none" w:pos="1947" w:val="left"/>
        </w:tabs>
        <w:numPr>
          <w:ilvl w:val="2"/>
          <w:numId w:val="267"/>
        </w:numPr>
        <w:rPr>
          <w:rFonts w:ascii="Arial" w:cs="Arial" w:eastAsia="Arial" w:hAnsi="Arial"/>
          <w:sz w:val="18"/>
          <w:szCs w:val="18"/>
          <w:color w:val="auto"/>
        </w:rPr>
      </w:pPr>
      <w:r>
        <w:rPr>
          <w:rFonts w:ascii="Arial" w:cs="Arial" w:eastAsia="Arial" w:hAnsi="Arial"/>
          <w:sz w:val="18"/>
          <w:szCs w:val="18"/>
          <w:color w:val="auto"/>
        </w:rPr>
        <w:t>You shall be entitled to employ such legal counsel and other experts as you may deem necessary properly to advise you in connection with your obligations hereunder and may rely upon the advice of such counsel.</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2"/>
          <w:numId w:val="267"/>
        </w:numPr>
        <w:rPr>
          <w:rFonts w:ascii="Arial" w:cs="Arial" w:eastAsia="Arial" w:hAnsi="Arial"/>
          <w:sz w:val="17"/>
          <w:szCs w:val="17"/>
          <w:color w:val="auto"/>
        </w:rPr>
      </w:pPr>
      <w:r>
        <w:rPr>
          <w:rFonts w:ascii="Arial" w:cs="Arial" w:eastAsia="Arial" w:hAnsi="Arial"/>
          <w:sz w:val="17"/>
          <w:szCs w:val="17"/>
          <w:color w:val="auto"/>
        </w:rPr>
        <w:t>Your rights and responsibilities as Escrow Agent hereunder shall terminate if (i) you cease to be Secretary of the Company or</w:t>
      </w:r>
    </w:p>
    <w:p>
      <w:pPr>
        <w:spacing w:after="0" w:line="34" w:lineRule="exact"/>
        <w:rPr>
          <w:rFonts w:ascii="Arial" w:cs="Arial" w:eastAsia="Arial" w:hAnsi="Arial"/>
          <w:sz w:val="17"/>
          <w:szCs w:val="17"/>
          <w:color w:val="auto"/>
        </w:rPr>
      </w:pPr>
    </w:p>
    <w:p>
      <w:pPr>
        <w:ind w:left="-8" w:right="640" w:firstLine="8"/>
        <w:spacing w:after="0" w:line="290" w:lineRule="auto"/>
        <w:tabs>
          <w:tab w:leader="none" w:pos="257" w:val="left"/>
        </w:tabs>
        <w:numPr>
          <w:ilvl w:val="0"/>
          <w:numId w:val="268"/>
        </w:numPr>
        <w:rPr>
          <w:rFonts w:ascii="Arial" w:cs="Arial" w:eastAsia="Arial" w:hAnsi="Arial"/>
          <w:sz w:val="17"/>
          <w:szCs w:val="17"/>
          <w:color w:val="auto"/>
        </w:rPr>
      </w:pPr>
      <w:r>
        <w:rPr>
          <w:rFonts w:ascii="Arial" w:cs="Arial" w:eastAsia="Arial" w:hAnsi="Arial"/>
          <w:sz w:val="17"/>
          <w:szCs w:val="17"/>
          <w:color w:val="auto"/>
        </w:rPr>
        <w:t>you resign by written notice to each party. In the event of a termination under clause (i), your successor as Secretary shall become Escrow Agent hereunder; in the event of a termination under clause (ii), the Company shall appoint a successor Escrow Agent hereunder.</w:t>
      </w:r>
    </w:p>
    <w:p>
      <w:pPr>
        <w:spacing w:after="0" w:line="161" w:lineRule="exact"/>
        <w:rPr>
          <w:rFonts w:ascii="Arial" w:cs="Arial" w:eastAsia="Arial" w:hAnsi="Arial"/>
          <w:sz w:val="17"/>
          <w:szCs w:val="17"/>
          <w:color w:val="auto"/>
        </w:rPr>
      </w:pPr>
    </w:p>
    <w:p>
      <w:pPr>
        <w:ind w:left="-8" w:right="100" w:firstLine="1305"/>
        <w:spacing w:after="0" w:line="277" w:lineRule="auto"/>
        <w:tabs>
          <w:tab w:leader="none" w:pos="1957" w:val="left"/>
        </w:tabs>
        <w:numPr>
          <w:ilvl w:val="2"/>
          <w:numId w:val="268"/>
        </w:numPr>
        <w:rPr>
          <w:rFonts w:ascii="Arial" w:cs="Arial" w:eastAsia="Arial" w:hAnsi="Arial"/>
          <w:sz w:val="18"/>
          <w:szCs w:val="18"/>
          <w:color w:val="auto"/>
        </w:rPr>
      </w:pPr>
      <w:r>
        <w:rPr>
          <w:rFonts w:ascii="Arial" w:cs="Arial" w:eastAsia="Arial" w:hAnsi="Arial"/>
          <w:sz w:val="18"/>
          <w:szCs w:val="18"/>
          <w:color w:val="auto"/>
        </w:rPr>
        <w:t>If you reasonably require other or further instruments in connection with these Joint Escrow Instructions or obligations in respect hereto, the necessary parties hereto shall join in furnishing such instruments.</w:t>
      </w:r>
    </w:p>
    <w:p>
      <w:pPr>
        <w:spacing w:after="0" w:line="170" w:lineRule="exact"/>
        <w:rPr>
          <w:rFonts w:ascii="Arial" w:cs="Arial" w:eastAsia="Arial" w:hAnsi="Arial"/>
          <w:sz w:val="18"/>
          <w:szCs w:val="18"/>
          <w:color w:val="auto"/>
        </w:rPr>
      </w:pPr>
    </w:p>
    <w:p>
      <w:pPr>
        <w:ind w:left="-8" w:firstLine="1305"/>
        <w:spacing w:after="0" w:line="257" w:lineRule="auto"/>
        <w:tabs>
          <w:tab w:leader="none" w:pos="1944" w:val="left"/>
        </w:tabs>
        <w:numPr>
          <w:ilvl w:val="2"/>
          <w:numId w:val="268"/>
        </w:numPr>
        <w:rPr>
          <w:rFonts w:ascii="Arial" w:cs="Arial" w:eastAsia="Arial" w:hAnsi="Arial"/>
          <w:sz w:val="18"/>
          <w:szCs w:val="18"/>
          <w:color w:val="auto"/>
        </w:rPr>
      </w:pPr>
      <w:r>
        <w:rPr>
          <w:rFonts w:ascii="Arial" w:cs="Arial" w:eastAsia="Arial" w:hAnsi="Arial"/>
          <w:sz w:val="18"/>
          <w:szCs w:val="18"/>
          <w:color w:val="auto"/>
        </w:rPr>
        <w:t>It is understood and agreed that if you believe a dispute has arisen with respect to the delivery and/or ownership or right of possession of the securities held by you hereunder, you are authorized and directed to retain in your possession without liability to anyone all or any part of said securities until such dispute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194945</wp:posOffset>
            </wp:positionV>
            <wp:extent cx="726757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372" w:name="page373"/>
    <w:bookmarkEnd w:id="372"/>
    <w:p>
      <w:pPr>
        <w:ind w:firstLine="1305"/>
        <w:spacing w:after="0" w:line="277" w:lineRule="auto"/>
        <w:tabs>
          <w:tab w:leader="none" w:pos="1966"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These Joint Escrow Instructions set forth your sole duties with respect to any and all matters pertinent hereto and no implied duties or obligations shall be read into these Joint Escrow Instructions against you.</w:t>
      </w:r>
    </w:p>
    <w:p>
      <w:pPr>
        <w:spacing w:after="0" w:line="170" w:lineRule="exact"/>
        <w:rPr>
          <w:rFonts w:ascii="Arial" w:cs="Arial" w:eastAsia="Arial" w:hAnsi="Arial"/>
          <w:sz w:val="18"/>
          <w:szCs w:val="18"/>
          <w:color w:val="auto"/>
        </w:rPr>
      </w:pPr>
    </w:p>
    <w:p>
      <w:pPr>
        <w:ind w:right="140" w:firstLine="1305"/>
        <w:spacing w:after="0" w:line="259" w:lineRule="auto"/>
        <w:tabs>
          <w:tab w:leader="none" w:pos="1953"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Company shall indemnify you and hold you harmless against any and all damages, losses, liabilities, costs, and expenses, including attorneys’ fees and disbursements, (including without limitation the fees of counsel retained pursuant to Section 4(e) above, for anything done or omitted to be done by you as Escrow Agent in connection with this Agreement or the performance of your duties hereunder, except such as shall result from your gross negligence or willful misconduct.</w:t>
      </w:r>
    </w:p>
    <w:p>
      <w:pPr>
        <w:spacing w:after="0" w:line="186" w:lineRule="exact"/>
        <w:rPr>
          <w:rFonts w:ascii="Arial" w:cs="Arial" w:eastAsia="Arial" w:hAnsi="Arial"/>
          <w:sz w:val="18"/>
          <w:szCs w:val="18"/>
          <w:color w:val="auto"/>
        </w:rPr>
      </w:pPr>
    </w:p>
    <w:p>
      <w:pPr>
        <w:jc w:val="both"/>
        <w:ind w:right="60" w:firstLine="656"/>
        <w:spacing w:after="0" w:line="312" w:lineRule="auto"/>
        <w:tabs>
          <w:tab w:leader="none" w:pos="1296"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Any notice required or permitted hereunder shall be given in writing and shall be deemed effectively given upon personal delivery or upon deposit in the United States Post Office, by registered or certified mail with postage and fees prepaid, addressed to each of the other parties thereunto entitled at the following addresses, or at such other addresses as a party may designate by ten days’ advance written notice to each of the other parties hereto.</w:t>
      </w:r>
    </w:p>
    <w:p>
      <w:pPr>
        <w:sectPr>
          <w:pgSz w:w="11900" w:h="16838" w:orient="portrait"/>
          <w:cols w:equalWidth="0" w:num="1">
            <w:col w:w="11400"/>
          </w:cols>
          <w:pgMar w:left="240" w:top="341" w:right="259" w:bottom="1440" w:gutter="0" w:footer="0" w:header="0"/>
        </w:sectPr>
      </w:pP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Notices to the Company shall be sent to the address set forth in the salutation hereto, Attn: President</w:t>
      </w:r>
    </w:p>
    <w:p>
      <w:pPr>
        <w:spacing w:after="0" w:line="211" w:lineRule="exact"/>
        <w:rPr>
          <w:sz w:val="20"/>
          <w:szCs w:val="20"/>
          <w:color w:val="auto"/>
        </w:rPr>
      </w:pPr>
    </w:p>
    <w:p>
      <w:pPr>
        <w:sectPr>
          <w:pgSz w:w="11900" w:h="16838" w:orient="portrait"/>
          <w:cols w:equalWidth="0" w:num="2">
            <w:col w:w="2480" w:space="720"/>
            <w:col w:w="8200"/>
          </w:cols>
          <w:pgMar w:left="240" w:top="341" w:right="259" w:bottom="1440" w:gutter="0" w:footer="0" w:header="0"/>
          <w:type w:val="continuous"/>
        </w:sectPr>
      </w:pPr>
    </w:p>
    <w:p>
      <w:pPr>
        <w:spacing w:after="0" w:line="3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HOLDER: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Notices to Holder shall be sent to the address set forth below Holder’s signature below.</w:t>
      </w:r>
    </w:p>
    <w:p>
      <w:pPr>
        <w:spacing w:after="0" w:line="211" w:lineRule="exact"/>
        <w:rPr>
          <w:sz w:val="20"/>
          <w:szCs w:val="20"/>
          <w:color w:val="auto"/>
        </w:rPr>
      </w:pPr>
    </w:p>
    <w:p>
      <w:pPr>
        <w:sectPr>
          <w:pgSz w:w="11900" w:h="16838" w:orient="portrait"/>
          <w:cols w:equalWidth="0" w:num="2">
            <w:col w:w="2480" w:space="720"/>
            <w:col w:w="8200"/>
          </w:cols>
          <w:pgMar w:left="240" w:top="341" w:right="259" w:bottom="1440" w:gutter="0" w:footer="0" w:header="0"/>
          <w:type w:val="continuous"/>
        </w:sectPr>
      </w:pPr>
    </w:p>
    <w:p>
      <w:pPr>
        <w:spacing w:after="0" w:line="3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ESCROW AGENT: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Notices to the Escrow Agent shall be sent to the address set forth in the salutation hereto.</w:t>
      </w:r>
    </w:p>
    <w:p>
      <w:pPr>
        <w:spacing w:after="0" w:line="211" w:lineRule="exact"/>
        <w:rPr>
          <w:sz w:val="20"/>
          <w:szCs w:val="20"/>
          <w:color w:val="auto"/>
        </w:rPr>
      </w:pPr>
    </w:p>
    <w:p>
      <w:pPr>
        <w:sectPr>
          <w:pgSz w:w="11900" w:h="16838" w:orient="portrait"/>
          <w:cols w:equalWidth="0" w:num="2">
            <w:col w:w="2760" w:space="440"/>
            <w:col w:w="8200"/>
          </w:cols>
          <w:pgMar w:left="240" w:top="341" w:right="259" w:bottom="1440" w:gutter="0" w:footer="0" w:header="0"/>
          <w:type w:val="continuous"/>
        </w:sectPr>
      </w:pPr>
    </w:p>
    <w:p>
      <w:pPr>
        <w:spacing w:after="0" w:line="37" w:lineRule="exact"/>
        <w:rPr>
          <w:sz w:val="20"/>
          <w:szCs w:val="20"/>
          <w:color w:val="auto"/>
        </w:rPr>
      </w:pPr>
    </w:p>
    <w:p>
      <w:pPr>
        <w:ind w:left="1300" w:hanging="644"/>
        <w:spacing w:after="0"/>
        <w:tabs>
          <w:tab w:leader="none" w:pos="130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305"/>
        <w:spacing w:after="0" w:line="277" w:lineRule="auto"/>
        <w:tabs>
          <w:tab w:leader="none" w:pos="1942" w:val="left"/>
        </w:tabs>
        <w:numPr>
          <w:ilvl w:val="1"/>
          <w:numId w:val="271"/>
        </w:numPr>
        <w:rPr>
          <w:rFonts w:ascii="Arial" w:cs="Arial" w:eastAsia="Arial" w:hAnsi="Arial"/>
          <w:sz w:val="18"/>
          <w:szCs w:val="18"/>
          <w:color w:val="auto"/>
        </w:rPr>
      </w:pPr>
      <w:r>
        <w:rPr>
          <w:rFonts w:ascii="Arial" w:cs="Arial" w:eastAsia="Arial" w:hAnsi="Arial"/>
          <w:sz w:val="18"/>
          <w:szCs w:val="18"/>
          <w:color w:val="auto"/>
        </w:rPr>
        <w:t>By signing these Joint Escrow Instructions, you become a party hereto only for the purpose of said Joint Escrow Instructions, and you do not become a party to the Agreement.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This instrument shall be binding upon and inure to the benefit of the parties hereto and their respective successors and permitted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assigns.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373" w:name="page374"/>
    <w:bookmarkEnd w:id="373"/>
    <w:p>
      <w:pPr>
        <w:spacing w:after="0"/>
        <w:rPr>
          <w:sz w:val="20"/>
          <w:szCs w:val="20"/>
          <w:color w:val="auto"/>
        </w:rPr>
      </w:pPr>
      <w:r>
        <w:rPr>
          <w:rFonts w:ascii="Arial" w:cs="Arial" w:eastAsia="Arial" w:hAnsi="Arial"/>
          <w:sz w:val="18"/>
          <w:szCs w:val="18"/>
          <w:color w:val="auto"/>
        </w:rPr>
        <w:t>IN WITNESS WHEREOF, the parties hereto have executed these Joint Escrow Instructions as of the day and year first above written.</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Fulcrum Therapeutics, Inc.</w:t>
      </w:r>
    </w:p>
    <w:p>
      <w:pPr>
        <w:spacing w:after="0" w:line="200" w:lineRule="exact"/>
        <w:rPr>
          <w:sz w:val="20"/>
          <w:szCs w:val="20"/>
          <w:color w:val="auto"/>
        </w:rPr>
      </w:pPr>
    </w:p>
    <w:p>
      <w:pPr>
        <w:spacing w:after="0" w:line="24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jc w:val="right"/>
        <w:ind w:right="48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5715</wp:posOffset>
            </wp:positionV>
            <wp:extent cx="283845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83845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-130810</wp:posOffset>
            </wp:positionV>
            <wp:extent cx="283845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HOLDER:</w:t>
      </w:r>
    </w:p>
    <w:p>
      <w:pPr>
        <w:spacing w:after="0" w:line="200" w:lineRule="exact"/>
        <w:rPr>
          <w:sz w:val="20"/>
          <w:szCs w:val="20"/>
          <w:color w:val="auto"/>
        </w:rPr>
      </w:pPr>
    </w:p>
    <w:p>
      <w:pPr>
        <w:spacing w:after="0" w:line="24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506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76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tcPr>
          <w:p>
            <w:pPr>
              <w:spacing w:after="0"/>
              <w:rPr>
                <w:sz w:val="18"/>
                <w:szCs w:val="18"/>
                <w:color w:val="auto"/>
              </w:rPr>
            </w:pPr>
          </w:p>
        </w:tc>
      </w:tr>
      <w:tr>
        <w:trPr>
          <w:trHeight w:val="642"/>
        </w:trPr>
        <w:tc>
          <w:tcPr>
            <w:tcW w:w="12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760" w:type="dxa"/>
            <w:vAlign w:val="bottom"/>
          </w:tcPr>
          <w:p>
            <w:pPr>
              <w:jc w:val="right"/>
              <w:ind w:right="1610"/>
              <w:spacing w:after="0"/>
              <w:rPr>
                <w:sz w:val="20"/>
                <w:szCs w:val="20"/>
                <w:color w:val="auto"/>
              </w:rPr>
            </w:pPr>
            <w:r>
              <w:rPr>
                <w:rFonts w:ascii="Arial" w:cs="Arial" w:eastAsia="Arial" w:hAnsi="Arial"/>
                <w:sz w:val="18"/>
                <w:szCs w:val="18"/>
                <w:color w:val="auto"/>
                <w:w w:val="78"/>
              </w:rPr>
              <w:t>[</w:t>
            </w:r>
          </w:p>
        </w:tc>
        <w:tc>
          <w:tcPr>
            <w:tcW w:w="2720" w:type="dxa"/>
            <w:vAlign w:val="bottom"/>
          </w:tcPr>
          <w:p>
            <w:pPr>
              <w:jc w:val="right"/>
              <w:ind w:right="890"/>
              <w:spacing w:after="0"/>
              <w:rPr>
                <w:sz w:val="20"/>
                <w:szCs w:val="20"/>
                <w:color w:val="auto"/>
              </w:rPr>
            </w:pPr>
            <w:r>
              <w:rPr>
                <w:rFonts w:ascii="Arial" w:cs="Arial" w:eastAsia="Arial" w:hAnsi="Arial"/>
                <w:sz w:val="18"/>
                <w:szCs w:val="18"/>
                <w:color w:val="auto"/>
              </w:rPr>
              <w:t>]</w:t>
            </w:r>
          </w:p>
        </w:tc>
      </w:tr>
      <w:tr>
        <w:trPr>
          <w:trHeight w:val="432"/>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jc w:val="right"/>
              <w:ind w:right="1610"/>
              <w:spacing w:after="0"/>
              <w:rPr>
                <w:sz w:val="20"/>
                <w:szCs w:val="20"/>
                <w:color w:val="auto"/>
              </w:rPr>
            </w:pPr>
            <w:r>
              <w:rPr>
                <w:rFonts w:ascii="Arial" w:cs="Arial" w:eastAsia="Arial" w:hAnsi="Arial"/>
                <w:sz w:val="18"/>
                <w:szCs w:val="18"/>
                <w:color w:val="auto"/>
                <w:w w:val="78"/>
              </w:rPr>
              <w:t>[</w:t>
            </w:r>
          </w:p>
        </w:tc>
        <w:tc>
          <w:tcPr>
            <w:tcW w:w="2720" w:type="dxa"/>
            <w:vAlign w:val="bottom"/>
          </w:tcPr>
          <w:p>
            <w:pPr>
              <w:jc w:val="right"/>
              <w:ind w:right="89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ESCROW AGENT:</w:t>
      </w:r>
    </w:p>
    <w:p>
      <w:pPr>
        <w:spacing w:after="0" w:line="200" w:lineRule="exact"/>
        <w:rPr>
          <w:sz w:val="20"/>
          <w:szCs w:val="20"/>
          <w:color w:val="auto"/>
        </w:rPr>
      </w:pPr>
    </w:p>
    <w:p>
      <w:pPr>
        <w:spacing w:after="0" w:line="24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-130810</wp:posOffset>
            </wp:positionV>
            <wp:extent cx="283845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SIGNATURE PAGE TO JOINT ESCROW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220980</wp:posOffset>
            </wp:positionV>
            <wp:extent cx="726757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374" w:name="page375"/>
    <w:bookmarkEnd w:id="374"/>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ASSIGNMENT SEPARATE FROM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75" w:name="page376"/>
    <w:bookmarkEnd w:id="375"/>
    <w:p>
      <w:pPr>
        <w:jc w:val="center"/>
        <w:ind w:right="-59"/>
        <w:spacing w:after="0"/>
        <w:rPr>
          <w:sz w:val="20"/>
          <w:szCs w:val="20"/>
          <w:color w:val="auto"/>
        </w:rPr>
      </w:pPr>
      <w:r>
        <w:rPr>
          <w:rFonts w:ascii="Arial" w:cs="Arial" w:eastAsia="Arial" w:hAnsi="Arial"/>
          <w:sz w:val="18"/>
          <w:szCs w:val="18"/>
          <w:b w:val="1"/>
          <w:bCs w:val="1"/>
          <w:color w:val="auto"/>
        </w:rPr>
        <w:t>STOCK ASSIGNMENT SEPARATE FROM CERTIFICATE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VALUE RECEIVED, I hereby sell, assign and transfer unto ( ) shares of Common Stock, $0.001 par value per share, of Fulcrum Therapeutics, Inc. (the “</w:t>
      </w:r>
      <w:r>
        <w:rPr>
          <w:rFonts w:ascii="Arial" w:cs="Arial" w:eastAsia="Arial" w:hAnsi="Arial"/>
          <w:sz w:val="18"/>
          <w:szCs w:val="18"/>
          <w:b w:val="1"/>
          <w:bCs w:val="1"/>
          <w:color w:val="auto"/>
        </w:rPr>
        <w:t>Corporation</w:t>
      </w:r>
      <w:r>
        <w:rPr>
          <w:rFonts w:ascii="Arial" w:cs="Arial" w:eastAsia="Arial" w:hAnsi="Arial"/>
          <w:sz w:val="18"/>
          <w:szCs w:val="18"/>
          <w:color w:val="auto"/>
        </w:rPr>
        <w:t>”) standing in my name on the books of the Corporation represented by Certificate(s) Number herewith, and do hereby irrevocably constitute and appoint Wilmer Cutler Pickering Hale and Dorr LLP attorney to transfer the said stock on the books of the Corporation with full power of substitution in the premises.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30187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PARTICIPANT:</w:t>
      </w:r>
    </w:p>
    <w:p>
      <w:pPr>
        <w:spacing w:after="0" w:line="200" w:lineRule="exact"/>
        <w:rPr>
          <w:sz w:val="20"/>
          <w:szCs w:val="20"/>
          <w:color w:val="auto"/>
        </w:rPr>
      </w:pPr>
    </w:p>
    <w:p>
      <w:pPr>
        <w:spacing w:after="0" w:line="25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-130175</wp:posOffset>
            </wp:positionV>
            <wp:extent cx="362775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of Spouse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-130175</wp:posOffset>
            </wp:positionV>
            <wp:extent cx="362775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1"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Instructions to Participant</w:t>
      </w:r>
      <w:r>
        <w:rPr>
          <w:rFonts w:ascii="Arial" w:cs="Arial" w:eastAsia="Arial" w:hAnsi="Arial"/>
          <w:sz w:val="17"/>
          <w:szCs w:val="17"/>
          <w:color w:val="auto"/>
        </w:rPr>
        <w:t>: Please do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not</w:t>
      </w:r>
      <w:r>
        <w:rPr>
          <w:rFonts w:ascii="Arial" w:cs="Arial" w:eastAsia="Arial" w:hAnsi="Arial"/>
          <w:sz w:val="17"/>
          <w:szCs w:val="17"/>
          <w:b w:val="1"/>
          <w:bCs w:val="1"/>
          <w:color w:val="auto"/>
        </w:rPr>
        <w:t xml:space="preserve"> </w:t>
      </w:r>
      <w:r>
        <w:rPr>
          <w:rFonts w:ascii="Arial" w:cs="Arial" w:eastAsia="Arial" w:hAnsi="Arial"/>
          <w:sz w:val="17"/>
          <w:szCs w:val="17"/>
          <w:color w:val="auto"/>
        </w:rPr>
        <w:t>fill in any blanks other than the signature line(s). The purpose of the Stock Assignment Separate from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is to enable the Company to acquire the Shares upon exercise of its Right of First Refusal and/or Purchase Option without requiring additional signatures on the part of the Participant or Participant’s spouse, if any. The signature(s) to this assignment must correspond with the name as written upon the face of the certificate, in every particular, without alteration,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76" w:name="page377"/>
    <w:bookmarkEnd w:id="376"/>
    <w:p>
      <w:pPr>
        <w:ind w:left="10400"/>
        <w:spacing w:after="0"/>
        <w:rPr>
          <w:sz w:val="20"/>
          <w:szCs w:val="20"/>
          <w:color w:val="auto"/>
        </w:rPr>
      </w:pPr>
      <w:r>
        <w:rPr>
          <w:rFonts w:ascii="Arial" w:cs="Arial" w:eastAsia="Arial" w:hAnsi="Arial"/>
          <w:sz w:val="16"/>
          <w:szCs w:val="16"/>
          <w:b w:val="1"/>
          <w:bCs w:val="1"/>
          <w:color w:val="auto"/>
        </w:rPr>
        <w:t>Exhibit 10.10</w:t>
      </w:r>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Certain identified information has been excluded from the exhibit because it is both (i) not material and (ii) would likely cause competitive harm to the Company, if publicly disclosed. Double asterisks denote omissions.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OF REFERENCE AND LICENSE AGREEMENT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b w:val="1"/>
          <w:bCs w:val="1"/>
          <w:color w:val="auto"/>
        </w:rPr>
        <w:t xml:space="preserve">THIS RIGHT OF REFERENCE AND LICENSE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February 8, 2019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w:t>
      </w:r>
      <w:r>
        <w:rPr>
          <w:rFonts w:ascii="Arial" w:cs="Arial" w:eastAsia="Arial" w:hAnsi="Arial"/>
          <w:sz w:val="18"/>
          <w:szCs w:val="18"/>
          <w:b w:val="1"/>
          <w:bCs w:val="1"/>
          <w:color w:val="auto"/>
        </w:rPr>
        <w:t xml:space="preserve"> </w:t>
      </w:r>
      <w:r>
        <w:rPr>
          <w:rFonts w:ascii="Arial" w:cs="Arial" w:eastAsia="Arial" w:hAnsi="Arial"/>
          <w:sz w:val="18"/>
          <w:szCs w:val="18"/>
          <w:color w:val="auto"/>
        </w:rPr>
        <w:t>made and entered into by and between GlaxoSmithKline Intellectual Property (No. 2) Limited, a company organized under the laws of England and Wales and having a place of business at 980 Great West Road, Brentford, Middlesex TW8 9GS England (“</w:t>
      </w:r>
      <w:r>
        <w:rPr>
          <w:rFonts w:ascii="Arial" w:cs="Arial" w:eastAsia="Arial" w:hAnsi="Arial"/>
          <w:sz w:val="18"/>
          <w:szCs w:val="18"/>
          <w:u w:val="single" w:color="auto"/>
          <w:color w:val="auto"/>
        </w:rPr>
        <w:t>GIP2</w:t>
      </w:r>
      <w:r>
        <w:rPr>
          <w:rFonts w:ascii="Arial" w:cs="Arial" w:eastAsia="Arial" w:hAnsi="Arial"/>
          <w:sz w:val="18"/>
          <w:szCs w:val="18"/>
          <w:color w:val="auto"/>
        </w:rPr>
        <w:t>”), GlaxoSmithKline LLC, a Delaware limited liability company having a place of business at 1250 S. Collegeville Road, Collegeville, PA 19426-0989 (“</w:t>
      </w:r>
      <w:r>
        <w:rPr>
          <w:rFonts w:ascii="Arial" w:cs="Arial" w:eastAsia="Arial" w:hAnsi="Arial"/>
          <w:sz w:val="18"/>
          <w:szCs w:val="18"/>
          <w:u w:val="single" w:color="auto"/>
          <w:color w:val="auto"/>
        </w:rPr>
        <w:t>GSK LLC</w:t>
      </w:r>
      <w:r>
        <w:rPr>
          <w:rFonts w:ascii="Arial" w:cs="Arial" w:eastAsia="Arial" w:hAnsi="Arial"/>
          <w:sz w:val="18"/>
          <w:szCs w:val="18"/>
          <w:color w:val="auto"/>
        </w:rPr>
        <w:t>”) and Glaxo Group Limited, a company organized under the laws of England and Wales and having a place of business at 980 Great West Road, Brentford, Middlesex TW8 9GS England (“</w:t>
      </w:r>
      <w:r>
        <w:rPr>
          <w:rFonts w:ascii="Arial" w:cs="Arial" w:eastAsia="Arial" w:hAnsi="Arial"/>
          <w:sz w:val="18"/>
          <w:szCs w:val="18"/>
          <w:u w:val="single" w:color="auto"/>
          <w:color w:val="auto"/>
        </w:rPr>
        <w:t>GGL</w:t>
      </w:r>
      <w:r>
        <w:rPr>
          <w:rFonts w:ascii="Arial" w:cs="Arial" w:eastAsia="Arial" w:hAnsi="Arial"/>
          <w:sz w:val="18"/>
          <w:szCs w:val="18"/>
          <w:color w:val="auto"/>
        </w:rPr>
        <w:t>”) (GIP2, GSK LLC and GGL are collectively referred to herein as “</w:t>
      </w:r>
      <w:r>
        <w:rPr>
          <w:rFonts w:ascii="Arial" w:cs="Arial" w:eastAsia="Arial" w:hAnsi="Arial"/>
          <w:sz w:val="18"/>
          <w:szCs w:val="18"/>
          <w:u w:val="single" w:color="auto"/>
          <w:color w:val="auto"/>
        </w:rPr>
        <w:t>GSK</w:t>
      </w:r>
      <w:r>
        <w:rPr>
          <w:rFonts w:ascii="Arial" w:cs="Arial" w:eastAsia="Arial" w:hAnsi="Arial"/>
          <w:sz w:val="18"/>
          <w:szCs w:val="18"/>
          <w:color w:val="auto"/>
        </w:rPr>
        <w:t>”), and Fulcrum Therapeutics, Inc., a Delaware corporation having a place of business at 26 Landsdowne Street, Cambridge, MA 02139 (“</w:t>
      </w:r>
      <w:r>
        <w:rPr>
          <w:rFonts w:ascii="Arial" w:cs="Arial" w:eastAsia="Arial" w:hAnsi="Arial"/>
          <w:sz w:val="18"/>
          <w:szCs w:val="18"/>
          <w:u w:val="single" w:color="auto"/>
          <w:color w:val="auto"/>
        </w:rPr>
        <w:t>Fulcrum</w:t>
      </w:r>
      <w:r>
        <w:rPr>
          <w:rFonts w:ascii="Arial" w:cs="Arial" w:eastAsia="Arial" w:hAnsi="Arial"/>
          <w:sz w:val="18"/>
          <w:szCs w:val="18"/>
          <w:color w:val="auto"/>
        </w:rPr>
        <w:t>”). GSK and Fulcrum may be referred to herein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GSK (or its Affiliate) is the owner of the Losmapimod IND and the GSK Intellectual Property (each as defined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Fulcrum desires to obtain a right of reference to the Losmapimod IND and an exclusive license under the GSK Intellectual Property;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GSK desires to grant to Fulcrum such rights in accordance with the terms and conditions of this Agreement and the Equity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below), which will be executed simultaneously with this Agreement.</w:t>
      </w:r>
    </w:p>
    <w:p>
      <w:pPr>
        <w:spacing w:after="0" w:line="162"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 xml:space="preserve">NOW </w:t>
      </w:r>
      <w:r>
        <w:rPr>
          <w:rFonts w:ascii="Arial" w:cs="Arial" w:eastAsia="Arial" w:hAnsi="Arial"/>
          <w:sz w:val="17"/>
          <w:szCs w:val="17"/>
          <w:b w:val="1"/>
          <w:bCs w:val="1"/>
          <w:color w:val="auto"/>
        </w:rPr>
        <w:t>THEREFORE</w:t>
      </w:r>
      <w:r>
        <w:rPr>
          <w:rFonts w:ascii="Arial" w:cs="Arial" w:eastAsia="Arial" w:hAnsi="Arial"/>
          <w:sz w:val="18"/>
          <w:szCs w:val="18"/>
          <w:color w:val="auto"/>
        </w:rPr>
        <w:t>, in consideration of the premises and mutual covenants herein contained,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as used herein, have the following meanings:</w:t>
      </w:r>
    </w:p>
    <w:p>
      <w:pPr>
        <w:spacing w:after="0" w:line="225" w:lineRule="exact"/>
        <w:rPr>
          <w:sz w:val="20"/>
          <w:szCs w:val="20"/>
          <w:color w:val="auto"/>
        </w:rPr>
      </w:pPr>
    </w:p>
    <w:p>
      <w:pPr>
        <w:jc w:val="both"/>
        <w:ind w:right="40" w:firstLine="689"/>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w:t>
      </w:r>
      <w:r>
        <w:rPr>
          <w:rFonts w:ascii="Arial" w:cs="Arial" w:eastAsia="Arial" w:hAnsi="Arial"/>
          <w:sz w:val="17"/>
          <w:szCs w:val="17"/>
          <w:color w:val="auto"/>
        </w:rPr>
        <w:t>means any Person that directly or indirectly, whether</w:t>
      </w:r>
      <w:r>
        <w:rPr>
          <w:rFonts w:ascii="Arial" w:cs="Arial" w:eastAsia="Arial" w:hAnsi="Arial"/>
          <w:sz w:val="18"/>
          <w:szCs w:val="18"/>
          <w:color w:val="auto"/>
        </w:rPr>
        <w:t xml:space="preserve"> </w:t>
      </w:r>
      <w:r>
        <w:rPr>
          <w:rFonts w:ascii="Arial" w:cs="Arial" w:eastAsia="Arial" w:hAnsi="Arial"/>
          <w:sz w:val="17"/>
          <w:szCs w:val="17"/>
          <w:i w:val="1"/>
          <w:iCs w:val="1"/>
          <w:color w:val="auto"/>
        </w:rPr>
        <w:t>de jure</w:t>
      </w:r>
      <w:r>
        <w:rPr>
          <w:rFonts w:ascii="Arial" w:cs="Arial" w:eastAsia="Arial" w:hAnsi="Arial"/>
          <w:sz w:val="18"/>
          <w:szCs w:val="18"/>
          <w:color w:val="auto"/>
        </w:rPr>
        <w:t xml:space="preserve"> </w:t>
      </w:r>
      <w:r>
        <w:rPr>
          <w:rFonts w:ascii="Arial" w:cs="Arial" w:eastAsia="Arial" w:hAnsi="Arial"/>
          <w:sz w:val="17"/>
          <w:szCs w:val="17"/>
          <w:color w:val="auto"/>
        </w:rPr>
        <w:t>or</w:t>
      </w:r>
      <w:r>
        <w:rPr>
          <w:rFonts w:ascii="Arial" w:cs="Arial" w:eastAsia="Arial" w:hAnsi="Arial"/>
          <w:sz w:val="18"/>
          <w:szCs w:val="18"/>
          <w:color w:val="auto"/>
        </w:rPr>
        <w:t xml:space="preserve"> </w:t>
      </w:r>
      <w:r>
        <w:rPr>
          <w:rFonts w:ascii="Arial" w:cs="Arial" w:eastAsia="Arial" w:hAnsi="Arial"/>
          <w:sz w:val="17"/>
          <w:szCs w:val="17"/>
          <w:i w:val="1"/>
          <w:iCs w:val="1"/>
          <w:color w:val="auto"/>
        </w:rPr>
        <w:t>de facto</w:t>
      </w:r>
      <w:r>
        <w:rPr>
          <w:rFonts w:ascii="Arial" w:cs="Arial" w:eastAsia="Arial" w:hAnsi="Arial"/>
          <w:sz w:val="17"/>
          <w:szCs w:val="17"/>
          <w:color w:val="auto"/>
        </w:rPr>
        <w:t>, is controlled by, controlling or under common control with, a Party,</w:t>
      </w:r>
      <w:r>
        <w:rPr>
          <w:rFonts w:ascii="Arial" w:cs="Arial" w:eastAsia="Arial" w:hAnsi="Arial"/>
          <w:sz w:val="18"/>
          <w:szCs w:val="18"/>
          <w:color w:val="auto"/>
        </w:rPr>
        <w:t xml:space="preserve"> </w:t>
      </w:r>
      <w:r>
        <w:rPr>
          <w:rFonts w:ascii="Arial" w:cs="Arial" w:eastAsia="Arial" w:hAnsi="Arial"/>
          <w:sz w:val="17"/>
          <w:szCs w:val="17"/>
          <w:color w:val="auto"/>
        </w:rPr>
        <w:t>but only for so long as such control shall continue. For purposes of this definition, “control” (including, with correlative meanings, “controlled by”, “controlling” and “under common control with”) means,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377" w:name="page378"/>
    <w:bookmarkEnd w:id="377"/>
    <w:p>
      <w:pPr>
        <w:spacing w:after="0" w:line="302" w:lineRule="auto"/>
        <w:rPr>
          <w:sz w:val="20"/>
          <w:szCs w:val="20"/>
          <w:color w:val="auto"/>
        </w:rPr>
      </w:pPr>
      <w:r>
        <w:rPr>
          <w:rFonts w:ascii="Arial" w:cs="Arial" w:eastAsia="Arial" w:hAnsi="Arial"/>
          <w:sz w:val="16"/>
          <w:szCs w:val="16"/>
          <w:color w:val="auto"/>
        </w:rPr>
        <w:t>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vested and exercisable option, warrant or other similar arrangement) or other comparable equity interests of such Person. A Person shall cease to be an “Affiliate” under this Agreement upon the date that such Person no longer satisfies the requirements set forth in this definition.</w:t>
      </w:r>
    </w:p>
    <w:p>
      <w:pPr>
        <w:spacing w:after="0" w:line="154" w:lineRule="exact"/>
        <w:rPr>
          <w:sz w:val="20"/>
          <w:szCs w:val="20"/>
          <w:color w:val="auto"/>
        </w:rPr>
      </w:pPr>
    </w:p>
    <w:p>
      <w:pPr>
        <w:ind w:right="240" w:firstLine="68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Saturday, Sunday or any day on which banks are generally not open for business in New York, NY United States or London, England, but in any event excluding the nine (9) consecutive calendar days beginning on December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and continuing through and including January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each Calendar Year during the Term.</w:t>
      </w:r>
    </w:p>
    <w:p>
      <w:pPr>
        <w:spacing w:after="0" w:line="116" w:lineRule="exact"/>
        <w:rPr>
          <w:sz w:val="20"/>
          <w:szCs w:val="20"/>
          <w:color w:val="auto"/>
        </w:rPr>
      </w:pPr>
    </w:p>
    <w:p>
      <w:pPr>
        <w:ind w:right="54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Calendar Quarter</w:t>
      </w:r>
      <w:r>
        <w:rPr>
          <w:rFonts w:ascii="Arial" w:cs="Arial" w:eastAsia="Arial" w:hAnsi="Arial"/>
          <w:sz w:val="18"/>
          <w:szCs w:val="18"/>
          <w:color w:val="auto"/>
        </w:rPr>
        <w:t xml:space="preserve">” </w:t>
      </w:r>
      <w:r>
        <w:rPr>
          <w:rFonts w:ascii="Arial" w:cs="Arial" w:eastAsia="Arial" w:hAnsi="Arial"/>
          <w:sz w:val="17"/>
          <w:szCs w:val="17"/>
          <w:color w:val="auto"/>
        </w:rPr>
        <w:t>means each of the consecutive three (3) month periods ending on March 31, June 30, September 30 and December 31 of any</w:t>
      </w:r>
      <w:r>
        <w:rPr>
          <w:rFonts w:ascii="Arial" w:cs="Arial" w:eastAsia="Arial" w:hAnsi="Arial"/>
          <w:sz w:val="18"/>
          <w:szCs w:val="18"/>
          <w:color w:val="auto"/>
        </w:rPr>
        <w:t xml:space="preserve"> </w:t>
      </w:r>
      <w:r>
        <w:rPr>
          <w:rFonts w:ascii="Arial" w:cs="Arial" w:eastAsia="Arial" w:hAnsi="Arial"/>
          <w:sz w:val="17"/>
          <w:szCs w:val="17"/>
          <w:color w:val="auto"/>
        </w:rPr>
        <w:t>Calendar Year.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Calendar Year</w:t>
      </w:r>
      <w:r>
        <w:rPr>
          <w:rFonts w:ascii="Arial" w:cs="Arial" w:eastAsia="Arial" w:hAnsi="Arial"/>
          <w:sz w:val="18"/>
          <w:szCs w:val="18"/>
          <w:color w:val="auto"/>
        </w:rPr>
        <w:t>” means each twelve (12) month period commencing on January 1 and ending on December 31.</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Commercially Reasonable Efforts</w:t>
      </w:r>
      <w:r>
        <w:rPr>
          <w:rFonts w:ascii="Arial" w:cs="Arial" w:eastAsia="Arial" w:hAnsi="Arial"/>
          <w:sz w:val="17"/>
          <w:szCs w:val="17"/>
          <w:color w:val="auto"/>
        </w:rPr>
        <w:t>” means</w:t>
      </w:r>
      <w:r>
        <w:rPr>
          <w:rFonts w:ascii="Arial" w:cs="Arial" w:eastAsia="Arial" w:hAnsi="Arial"/>
          <w:sz w:val="16"/>
          <w:szCs w:val="16"/>
          <w:color w:val="auto"/>
        </w:rPr>
        <w:t>, with respect to Fulcrum’s obligations under this Agreement, the carrying out of such obligations or tasks</w:t>
      </w:r>
      <w:r>
        <w:rPr>
          <w:rFonts w:ascii="Arial" w:cs="Arial" w:eastAsia="Arial" w:hAnsi="Arial"/>
          <w:sz w:val="17"/>
          <w:szCs w:val="17"/>
          <w:color w:val="auto"/>
        </w:rPr>
        <w:t xml:space="preserve"> </w:t>
      </w:r>
      <w:r>
        <w:rPr>
          <w:rFonts w:ascii="Arial" w:cs="Arial" w:eastAsia="Arial" w:hAnsi="Arial"/>
          <w:sz w:val="16"/>
          <w:szCs w:val="16"/>
          <w:color w:val="auto"/>
        </w:rPr>
        <w:t xml:space="preserve">with a level of efforts and resources consistent with the commercially reasonable practices of a company of similar size and resources in the biopharmaceutical industry for the research, development or commercialization of a pharmaceutical product of commercial potential comparable to that of the applicable Licensed Product at a similar stage of development or commercialization, taking into account efficacy, safety, patent and regulatory exclusivity, anticipated or approved labeling, present and future market potential, competitive market conditions, costs and risks of development and commercialization, relevant scientific and technical considerations and the profitability of the applicable Licensed Product in light of pricing and reimbursement issues;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Fulcrum shall not take into consideration any amounts owed to GSK under this Agreement. Commercially Reasonable Efforts shall be determined on a market-by-market and Licensed Product-by-Licensed Product basis, and it is anticipated that the level of efforts required shall be different for different markets and Licensed Products and shall change over time, reflecting changes in the status of the Licensed Product and markets involved</w:t>
      </w:r>
      <w:r>
        <w:rPr>
          <w:rFonts w:ascii="Arial" w:cs="Arial" w:eastAsia="Arial" w:hAnsi="Arial"/>
          <w:sz w:val="17"/>
          <w:szCs w:val="17"/>
          <w:color w:val="auto"/>
        </w:rPr>
        <w:t>.</w:t>
      </w:r>
    </w:p>
    <w:p>
      <w:pPr>
        <w:spacing w:after="0" w:line="17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Compound</w:t>
      </w:r>
      <w:r>
        <w:rPr>
          <w:rFonts w:ascii="Arial" w:cs="Arial" w:eastAsia="Arial" w:hAnsi="Arial"/>
          <w:sz w:val="18"/>
          <w:szCs w:val="18"/>
          <w:color w:val="auto"/>
        </w:rPr>
        <w:t xml:space="preserve">” means the small molecule p38 inhibitor known as Losmapimod, which molecule is identified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of this Agreement, attached hereto and incorporated herein.</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with respect to any item of Data, Patents or other proprietary right, the possession of the right, whether directly or indirectly, and whether by ownership, license, or other right (other than pursuant to this Agreement), to grant an exclusive license under such Data, Patents or other proprietary right.</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w:t>
      </w:r>
      <w:r>
        <w:rPr>
          <w:rFonts w:ascii="Arial" w:cs="Arial" w:eastAsia="Arial" w:hAnsi="Arial"/>
          <w:sz w:val="18"/>
          <w:szCs w:val="18"/>
          <w:color w:val="auto"/>
        </w:rPr>
        <w:t>” means, with respect to the Compound, (i) the documents and data stored on an encrypted hard drive transferred to Fulcrum by GSK prior to the Effective Date and identified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8" w:name="page379"/>
    <w:bookmarkEnd w:id="378"/>
    <w:p>
      <w:pPr>
        <w:spacing w:after="0"/>
        <w:rPr>
          <w:sz w:val="20"/>
          <w:szCs w:val="20"/>
          <w:color w:val="auto"/>
        </w:rPr>
      </w:pPr>
      <w:r>
        <w:rPr>
          <w:rFonts w:ascii="Arial" w:cs="Arial" w:eastAsia="Arial" w:hAnsi="Arial"/>
          <w:sz w:val="18"/>
          <w:szCs w:val="18"/>
          <w:color w:val="auto"/>
        </w:rPr>
        <w:t xml:space="preserve">within GSK as </w:t>
      </w:r>
      <w:r>
        <w:rPr>
          <w:rFonts w:ascii="Arial" w:cs="Arial" w:eastAsia="Arial" w:hAnsi="Arial"/>
          <w:sz w:val="17"/>
          <w:szCs w:val="17"/>
          <w:color w:val="auto"/>
        </w:rPr>
        <w:t>“FT04Feb2019” and (ii) the documents, data and information required to be delivered pursuant to</w:t>
      </w:r>
      <w:r>
        <w:rPr>
          <w:rFonts w:ascii="Arial" w:cs="Arial" w:eastAsia="Arial" w:hAnsi="Arial"/>
          <w:sz w:val="18"/>
          <w:szCs w:val="18"/>
          <w:color w:val="auto"/>
        </w:rPr>
        <w:t xml:space="preserve"> </w:t>
      </w:r>
      <w:r>
        <w:rPr>
          <w:rFonts w:ascii="Arial" w:cs="Arial" w:eastAsia="Arial" w:hAnsi="Arial"/>
          <w:sz w:val="17"/>
          <w:szCs w:val="17"/>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Debarred</w:t>
      </w:r>
      <w:r>
        <w:rPr>
          <w:rFonts w:ascii="Arial" w:cs="Arial" w:eastAsia="Arial" w:hAnsi="Arial"/>
          <w:sz w:val="18"/>
          <w:szCs w:val="18"/>
          <w:color w:val="auto"/>
        </w:rPr>
        <w:t>” or “</w:t>
      </w:r>
      <w:r>
        <w:rPr>
          <w:rFonts w:ascii="Arial" w:cs="Arial" w:eastAsia="Arial" w:hAnsi="Arial"/>
          <w:sz w:val="18"/>
          <w:szCs w:val="18"/>
          <w:u w:val="single" w:color="auto"/>
          <w:color w:val="auto"/>
        </w:rPr>
        <w:t>Debarment</w:t>
      </w:r>
      <w:r>
        <w:rPr>
          <w:rFonts w:ascii="Arial" w:cs="Arial" w:eastAsia="Arial" w:hAnsi="Arial"/>
          <w:sz w:val="18"/>
          <w:szCs w:val="18"/>
          <w:color w:val="auto"/>
        </w:rPr>
        <w:t>” means, with respect to a Person, that such Person (a) is debarred by the FDA pursuant to Section 306 of the United States Federal Food, Drug and Cosmetic Act, or is the subject of conviction described in such section (or is subject to a similar sanction of any other applicable Regulatory Authority), (b) is the subject of an FDA debarment investigation or proceeding (or similar proceeding of any other applicable Regulatory Authority), or (c) has been charged with or convicted under U.S. Law for conduct relating to the development or approval, or otherwise relating to the regulation, of any product under the Generic Drug Enforcement Act of 1992.</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EMA</w:t>
      </w:r>
      <w:r>
        <w:rPr>
          <w:rFonts w:ascii="Arial" w:cs="Arial" w:eastAsia="Arial" w:hAnsi="Arial"/>
          <w:sz w:val="18"/>
          <w:szCs w:val="18"/>
          <w:color w:val="auto"/>
        </w:rPr>
        <w:t xml:space="preserve">” means </w:t>
      </w:r>
      <w:r>
        <w:rPr>
          <w:rFonts w:ascii="Arial" w:cs="Arial" w:eastAsia="Arial" w:hAnsi="Arial"/>
          <w:sz w:val="17"/>
          <w:szCs w:val="17"/>
          <w:color w:val="auto"/>
        </w:rPr>
        <w:t>the European Medicines Agency and any successor entity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12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Exploit</w:t>
      </w:r>
      <w:r>
        <w:rPr>
          <w:rFonts w:ascii="Arial" w:cs="Arial" w:eastAsia="Arial" w:hAnsi="Arial"/>
          <w:sz w:val="18"/>
          <w:szCs w:val="18"/>
          <w:color w:val="auto"/>
        </w:rPr>
        <w:t xml:space="preserve">” means </w:t>
      </w:r>
      <w:r>
        <w:rPr>
          <w:rFonts w:ascii="Arial" w:cs="Arial" w:eastAsia="Arial" w:hAnsi="Arial"/>
          <w:sz w:val="17"/>
          <w:szCs w:val="17"/>
          <w:color w:val="auto"/>
        </w:rPr>
        <w:t>to research, develop, design, make, use, sell, offer for sale, license, lease, supply, distribute, provide, perform, practice, import, export</w:t>
      </w:r>
      <w:r>
        <w:rPr>
          <w:rFonts w:ascii="Arial" w:cs="Arial" w:eastAsia="Arial" w:hAnsi="Arial"/>
          <w:sz w:val="18"/>
          <w:szCs w:val="18"/>
          <w:color w:val="auto"/>
        </w:rPr>
        <w:t xml:space="preserve"> </w:t>
      </w:r>
      <w:r>
        <w:rPr>
          <w:rFonts w:ascii="Arial" w:cs="Arial" w:eastAsia="Arial" w:hAnsi="Arial"/>
          <w:sz w:val="17"/>
          <w:szCs w:val="17"/>
          <w:color w:val="auto"/>
        </w:rPr>
        <w:t>or otherwise make available, commercialize or exploit any technology, or to allow any Person to do any of the foregoing.</w:t>
      </w:r>
    </w:p>
    <w:p>
      <w:pPr>
        <w:spacing w:after="0" w:line="17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w:t>
      </w:r>
      <w:r>
        <w:rPr>
          <w:rFonts w:ascii="Arial" w:cs="Arial" w:eastAsia="Arial" w:hAnsi="Arial"/>
          <w:sz w:val="18"/>
          <w:szCs w:val="18"/>
          <w:color w:val="auto"/>
        </w:rPr>
        <w:t>” means the economic, scientific and political organization of member states known as the European Union, as its membership may be altered from time to time, and any successor thereto. Notwithstanding the foregoing, the EU shall be deemed to include the United Kingdom for purposes of this definition regardless of whether or not the United Kingdom is a member state of the European Union.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xml:space="preserve">” </w:t>
      </w:r>
      <w:r>
        <w:rPr>
          <w:rFonts w:ascii="Arial" w:cs="Arial" w:eastAsia="Arial" w:hAnsi="Arial"/>
          <w:sz w:val="17"/>
          <w:szCs w:val="17"/>
          <w:color w:val="auto"/>
        </w:rPr>
        <w:t>means the United States Food and Drug Administration and any successor agency thereto</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Field</w:t>
      </w:r>
      <w:r>
        <w:rPr>
          <w:rFonts w:ascii="Arial" w:cs="Arial" w:eastAsia="Arial" w:hAnsi="Arial"/>
          <w:sz w:val="18"/>
          <w:szCs w:val="18"/>
          <w:color w:val="auto"/>
        </w:rPr>
        <w:t>” means all therapeutic uses in humans.</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7"/>
          <w:szCs w:val="17"/>
          <w:u w:val="single" w:color="auto"/>
          <w:color w:val="auto"/>
        </w:rPr>
        <w:t>First Commercial Sale</w:t>
      </w:r>
      <w:r>
        <w:rPr>
          <w:rFonts w:ascii="Arial" w:cs="Arial" w:eastAsia="Arial" w:hAnsi="Arial"/>
          <w:sz w:val="17"/>
          <w:szCs w:val="17"/>
          <w:color w:val="auto"/>
        </w:rPr>
        <w:t>” means, with respect to a Licensed Product in a particular country, the first sale of such Licensed Product by a Selling Party to a</w:t>
      </w:r>
      <w:r>
        <w:rPr>
          <w:rFonts w:ascii="Arial" w:cs="Arial" w:eastAsia="Arial" w:hAnsi="Arial"/>
          <w:sz w:val="18"/>
          <w:szCs w:val="18"/>
          <w:color w:val="auto"/>
        </w:rPr>
        <w:t xml:space="preserve"> </w:t>
      </w:r>
      <w:r>
        <w:rPr>
          <w:rFonts w:ascii="Arial" w:cs="Arial" w:eastAsia="Arial" w:hAnsi="Arial"/>
          <w:sz w:val="17"/>
          <w:szCs w:val="17"/>
          <w:color w:val="auto"/>
        </w:rPr>
        <w:t>Third Party for end use or consumption in such country.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FSHD</w:t>
      </w:r>
      <w:r>
        <w:rPr>
          <w:rFonts w:ascii="Arial" w:cs="Arial" w:eastAsia="Arial" w:hAnsi="Arial"/>
          <w:sz w:val="18"/>
          <w:szCs w:val="18"/>
          <w:color w:val="auto"/>
        </w:rPr>
        <w:t>” means facioscapulohumeral muscular dystrophy.</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Generic Version</w:t>
      </w:r>
      <w:r>
        <w:rPr>
          <w:rFonts w:ascii="Arial" w:cs="Arial" w:eastAsia="Arial" w:hAnsi="Arial"/>
          <w:sz w:val="18"/>
          <w:szCs w:val="18"/>
          <w:color w:val="auto"/>
        </w:rPr>
        <w:t>” means a product that is (i) approved for the same indication as a Licensed Product and contains the Compound; and (ii) sold by a Third Party that is not a Sublicensee of Fulcrum, under a Regulatory Approval granted to a Third Party.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GSK Intellectual Property</w:t>
      </w:r>
      <w:r>
        <w:rPr>
          <w:rFonts w:ascii="Arial" w:cs="Arial" w:eastAsia="Arial" w:hAnsi="Arial"/>
          <w:sz w:val="18"/>
          <w:szCs w:val="18"/>
          <w:color w:val="auto"/>
        </w:rPr>
        <w:t>” means the GSK Patents and the Data.</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GSK Patents</w:t>
      </w:r>
      <w:r>
        <w:rPr>
          <w:rFonts w:ascii="Arial" w:cs="Arial" w:eastAsia="Arial" w:hAnsi="Arial"/>
          <w:sz w:val="18"/>
          <w:szCs w:val="18"/>
          <w:color w:val="auto"/>
        </w:rPr>
        <w:t xml:space="preserve">” means the Patents listed on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attached hereto and incorporated herein, and all counterpart Patents thereof, and all corresponding Patents throughout the world.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w:t>
      </w:r>
      <w:r>
        <w:rPr>
          <w:rFonts w:ascii="Arial" w:cs="Arial" w:eastAsia="Arial" w:hAnsi="Arial"/>
          <w:sz w:val="18"/>
          <w:szCs w:val="18"/>
          <w:color w:val="auto"/>
        </w:rPr>
        <w:t>” means an investigational new drug application filed with the FDA.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9" w:name="page380"/>
    <w:bookmarkEnd w:id="37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federal, state, local, national or supra-national law (both common and statutory law and civil and criminal law), treaty, convention, rule, directive, legislation, ordinance, regulatory code (including, without limitation, statutory instruments, guidance notes, circulars, directives, decisions, rules and regulations) or similar provision having the force of law or an order of any Regulatory Authority or any self-regulatory organization.</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Product</w:t>
      </w:r>
      <w:r>
        <w:rPr>
          <w:rFonts w:ascii="Arial" w:cs="Arial" w:eastAsia="Arial" w:hAnsi="Arial"/>
          <w:sz w:val="18"/>
          <w:szCs w:val="18"/>
          <w:color w:val="auto"/>
        </w:rPr>
        <w:t>” means any pharmaceutical preparation that contains the Compound as an active pharmaceutical ingredient, in any and all forms, presentations, delivery systems, dosages and formulations.</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Losmapimod IND</w:t>
      </w:r>
      <w:r>
        <w:rPr>
          <w:rFonts w:ascii="Arial" w:cs="Arial" w:eastAsia="Arial" w:hAnsi="Arial"/>
          <w:sz w:val="18"/>
          <w:szCs w:val="18"/>
          <w:color w:val="auto"/>
        </w:rPr>
        <w:t>” means IND No. [**], previously filed with FDA by GSK or its Affiliates for the Compound, and all amendments of any of the foregoing.</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Marketing Authorization Application</w:t>
      </w:r>
      <w:r>
        <w:rPr>
          <w:rFonts w:ascii="Arial" w:cs="Arial" w:eastAsia="Arial" w:hAnsi="Arial"/>
          <w:sz w:val="18"/>
          <w:szCs w:val="18"/>
          <w:color w:val="auto"/>
        </w:rPr>
        <w:t>” means: (a) in the United States, a New Drug Application (as defined in Title 21, Section 314.50 et seq. of the U.S. Code of Federal Regulations or any successor regulations), including any amendment or supplement thereto, and (b) in any other country or regulatory jurisdiction, an application for Regulatory Approval required for marketing or sale of a Licensed Product in such country or regulatory jurisdiction, including any amendment or supplement thereto.</w:t>
      </w:r>
    </w:p>
    <w:p>
      <w:pPr>
        <w:spacing w:after="0" w:line="187" w:lineRule="exact"/>
        <w:rPr>
          <w:sz w:val="20"/>
          <w:szCs w:val="20"/>
          <w:color w:val="auto"/>
        </w:rPr>
      </w:pPr>
    </w:p>
    <w:p>
      <w:pPr>
        <w:ind w:right="20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means </w:t>
      </w:r>
      <w:r>
        <w:rPr>
          <w:rFonts w:ascii="Arial" w:cs="Arial" w:eastAsia="Arial" w:hAnsi="Arial"/>
          <w:sz w:val="17"/>
          <w:szCs w:val="17"/>
          <w:color w:val="auto"/>
        </w:rPr>
        <w:t>the gross amounts billed or invoiced by Fulcrum, its Affiliates and Sublicensees (each, a “</w:t>
      </w:r>
      <w:r>
        <w:rPr>
          <w:rFonts w:ascii="Arial" w:cs="Arial" w:eastAsia="Arial" w:hAnsi="Arial"/>
          <w:sz w:val="17"/>
          <w:szCs w:val="17"/>
          <w:u w:val="single" w:color="auto"/>
          <w:color w:val="auto"/>
        </w:rPr>
        <w:t>Selling Party</w:t>
      </w:r>
      <w:r>
        <w:rPr>
          <w:rFonts w:ascii="Arial" w:cs="Arial" w:eastAsia="Arial" w:hAnsi="Arial"/>
          <w:sz w:val="17"/>
          <w:szCs w:val="17"/>
          <w:color w:val="auto"/>
        </w:rPr>
        <w:t>”) to any Third Party that is</w:t>
      </w:r>
      <w:r>
        <w:rPr>
          <w:rFonts w:ascii="Arial" w:cs="Arial" w:eastAsia="Arial" w:hAnsi="Arial"/>
          <w:sz w:val="18"/>
          <w:szCs w:val="18"/>
          <w:color w:val="auto"/>
        </w:rPr>
        <w:t xml:space="preserve"> </w:t>
      </w:r>
      <w:r>
        <w:rPr>
          <w:rFonts w:ascii="Arial" w:cs="Arial" w:eastAsia="Arial" w:hAnsi="Arial"/>
          <w:sz w:val="17"/>
          <w:szCs w:val="17"/>
          <w:color w:val="auto"/>
        </w:rPr>
        <w:t>not a Sublicensee with respect to sales of Licensed Products in the Territory, less the following:</w:t>
      </w:r>
    </w:p>
    <w:p>
      <w:pPr>
        <w:spacing w:after="0" w:line="174" w:lineRule="exact"/>
        <w:rPr>
          <w:sz w:val="20"/>
          <w:szCs w:val="20"/>
          <w:color w:val="auto"/>
        </w:rPr>
      </w:pPr>
    </w:p>
    <w:p>
      <w:pPr>
        <w:ind w:left="660" w:right="560" w:firstLine="645"/>
        <w:spacing w:after="0" w:line="277" w:lineRule="auto"/>
        <w:tabs>
          <w:tab w:leader="none" w:pos="195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discounts, credits, refunds, wholesaler allowances, inventory management fees and rebates actually allowed by Fulcrum, its Affiliates or Sublicensees with respect to Licensed Products;</w:t>
      </w:r>
    </w:p>
    <w:p>
      <w:pPr>
        <w:spacing w:after="0" w:line="170" w:lineRule="exact"/>
        <w:rPr>
          <w:rFonts w:ascii="Arial" w:cs="Arial" w:eastAsia="Arial" w:hAnsi="Arial"/>
          <w:sz w:val="18"/>
          <w:szCs w:val="18"/>
          <w:color w:val="auto"/>
        </w:rPr>
      </w:pPr>
    </w:p>
    <w:p>
      <w:pPr>
        <w:ind w:left="660" w:right="200" w:firstLine="645"/>
        <w:spacing w:after="0" w:line="277" w:lineRule="auto"/>
        <w:tabs>
          <w:tab w:leader="none" w:pos="196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sales, import, export, customs, and value added taxes, and duties directly imposed on the Licensed Products and actually paid by Fulcrum, its Affiliates or Sublicensees, excluding taxes on the net income of Fulcrum, its Affiliates and Sublicensees;</w:t>
      </w:r>
    </w:p>
    <w:p>
      <w:pPr>
        <w:spacing w:after="0" w:line="170" w:lineRule="exact"/>
        <w:rPr>
          <w:rFonts w:ascii="Arial" w:cs="Arial" w:eastAsia="Arial" w:hAnsi="Arial"/>
          <w:sz w:val="18"/>
          <w:szCs w:val="18"/>
          <w:color w:val="auto"/>
        </w:rPr>
      </w:pPr>
    </w:p>
    <w:p>
      <w:pPr>
        <w:ind w:left="660" w:right="820" w:firstLine="645"/>
        <w:spacing w:after="0" w:line="277" w:lineRule="auto"/>
        <w:tabs>
          <w:tab w:leader="none" w:pos="196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outbound freight, postage, duties, transportation, handling and insurance costs actually paid by Fulcrum, its Affiliates or Sublicensees with respect to Licensed Products;</w:t>
      </w:r>
    </w:p>
    <w:p>
      <w:pPr>
        <w:spacing w:after="0" w:line="170" w:lineRule="exact"/>
        <w:rPr>
          <w:rFonts w:ascii="Arial" w:cs="Arial" w:eastAsia="Arial" w:hAnsi="Arial"/>
          <w:sz w:val="18"/>
          <w:szCs w:val="18"/>
          <w:color w:val="auto"/>
        </w:rPr>
      </w:pPr>
    </w:p>
    <w:p>
      <w:pPr>
        <w:ind w:left="660" w:firstLine="645"/>
        <w:spacing w:after="0" w:line="264" w:lineRule="auto"/>
        <w:tabs>
          <w:tab w:leader="none" w:pos="196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billed or invoiced amounts written off as uncollectible by Fulcrum, its Affiliates or Sublicensees with respect to Licensed Products,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if any such written off amount is thereafter collected, such amount shall be included in Net Sales in the Calendar Quarter in which it is collected;</w:t>
      </w:r>
    </w:p>
    <w:p>
      <w:pPr>
        <w:spacing w:after="0" w:line="181" w:lineRule="exact"/>
        <w:rPr>
          <w:rFonts w:ascii="Arial" w:cs="Arial" w:eastAsia="Arial" w:hAnsi="Arial"/>
          <w:sz w:val="18"/>
          <w:szCs w:val="18"/>
          <w:color w:val="auto"/>
        </w:rPr>
      </w:pPr>
    </w:p>
    <w:p>
      <w:pPr>
        <w:ind w:left="660" w:right="120" w:firstLine="645"/>
        <w:spacing w:after="0" w:line="277" w:lineRule="auto"/>
        <w:tabs>
          <w:tab w:leader="none" w:pos="196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annual fees due under Section 9008 of the United States Patient Protection and Affordable Care Act of 2010 (Pub. L. No. 111-48) allocable to sales of Licensed Product;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0" w:name="page381"/>
    <w:bookmarkEnd w:id="380"/>
    <w:p>
      <w:pPr>
        <w:ind w:left="1960" w:hanging="655"/>
        <w:spacing w:after="0"/>
        <w:tabs>
          <w:tab w:leader="none" w:pos="19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amounts actually allowed or credited on returns of sales of Licensed Products by Fulcrum, its Affiliates or their Sublicensees.</w:t>
      </w:r>
    </w:p>
    <w:p>
      <w:pPr>
        <w:spacing w:after="0" w:line="237"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In no event shall any particular amount identified above be deducted more than once in calculating Net Sales (</w:t>
      </w:r>
      <w:r>
        <w:rPr>
          <w:rFonts w:ascii="Arial" w:cs="Arial" w:eastAsia="Arial" w:hAnsi="Arial"/>
          <w:sz w:val="16"/>
          <w:szCs w:val="16"/>
          <w:i w:val="1"/>
          <w:iCs w:val="1"/>
          <w:color w:val="auto"/>
        </w:rPr>
        <w:t>i.e.,</w:t>
      </w:r>
      <w:r>
        <w:rPr>
          <w:rFonts w:ascii="Arial" w:cs="Arial" w:eastAsia="Arial" w:hAnsi="Arial"/>
          <w:sz w:val="16"/>
          <w:szCs w:val="16"/>
          <w:color w:val="auto"/>
        </w:rPr>
        <w:t xml:space="preserve"> no “double counting” of deductions). All discounts, allowances, credits, rebates, and other deductions shall be fairly and equitably allocated to the Licensed Product and other product(s) of Fulcrum, and of its Affiliates and Sublicensees, such that the Licensed Products do not bear a disproportionate portion of such deductions.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Such amounts shall be determined in accordance with either (i) U.S.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or (ii) International Financial Reporting Standards (“</w:t>
      </w:r>
      <w:r>
        <w:rPr>
          <w:rFonts w:ascii="Arial" w:cs="Arial" w:eastAsia="Arial" w:hAnsi="Arial"/>
          <w:sz w:val="18"/>
          <w:szCs w:val="18"/>
          <w:u w:val="single" w:color="auto"/>
          <w:color w:val="auto"/>
        </w:rPr>
        <w:t>IFRS</w:t>
      </w:r>
      <w:r>
        <w:rPr>
          <w:rFonts w:ascii="Arial" w:cs="Arial" w:eastAsia="Arial" w:hAnsi="Arial"/>
          <w:sz w:val="18"/>
          <w:szCs w:val="18"/>
          <w:color w:val="auto"/>
        </w:rPr>
        <w:t>”) depending on the accounting standard used by the applicable Selling Party in such Selling Party’s financial reporting, case consistently applied.</w:t>
      </w:r>
    </w:p>
    <w:p>
      <w:pPr>
        <w:spacing w:after="0" w:line="18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w:t>
      </w:r>
      <w:r>
        <w:rPr>
          <w:rFonts w:ascii="Arial" w:cs="Arial" w:eastAsia="Arial" w:hAnsi="Arial"/>
          <w:sz w:val="18"/>
          <w:szCs w:val="18"/>
          <w:color w:val="auto"/>
        </w:rPr>
        <w:t xml:space="preserve">” means </w:t>
      </w:r>
      <w:r>
        <w:rPr>
          <w:rFonts w:ascii="Arial" w:cs="Arial" w:eastAsia="Arial" w:hAnsi="Arial"/>
          <w:sz w:val="17"/>
          <w:szCs w:val="17"/>
          <w:color w:val="auto"/>
        </w:rPr>
        <w:t>all: (a) letters patent (including inventor’s certificates), including any substitution, extension, registration, confirmation, validation,</w:t>
      </w:r>
      <w:r>
        <w:rPr>
          <w:rFonts w:ascii="Arial" w:cs="Arial" w:eastAsia="Arial" w:hAnsi="Arial"/>
          <w:sz w:val="18"/>
          <w:szCs w:val="18"/>
          <w:color w:val="auto"/>
        </w:rPr>
        <w:t xml:space="preserve"> </w:t>
      </w:r>
      <w:r>
        <w:rPr>
          <w:rFonts w:ascii="Arial" w:cs="Arial" w:eastAsia="Arial" w:hAnsi="Arial"/>
          <w:sz w:val="17"/>
          <w:szCs w:val="17"/>
          <w:color w:val="auto"/>
        </w:rPr>
        <w:t>reissue, re-examination, supplementary protection certificates, confirmation patents, patent of additions, renewal or any like filing thereof; (b) pending applications for letters patent (including applications for inventor’s certificates), including any continuation, division or continuation-in-part thereof and any provisional applications; and (c) any United States and international counterparts to any of (a) and (b) above</w:t>
      </w:r>
      <w:r>
        <w:rPr>
          <w:rFonts w:ascii="Arial" w:cs="Arial" w:eastAsia="Arial" w:hAnsi="Arial"/>
          <w:sz w:val="18"/>
          <w:szCs w:val="18"/>
          <w:color w:val="auto"/>
        </w:rPr>
        <w:t>.</w:t>
      </w:r>
    </w:p>
    <w:p>
      <w:pPr>
        <w:spacing w:after="0" w:line="18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association, trust or other entity or organization, including a government or political subdivision or an agency or instrumentality thereof.</w:t>
      </w:r>
    </w:p>
    <w:p>
      <w:pPr>
        <w:spacing w:after="0" w:line="170" w:lineRule="exact"/>
        <w:rPr>
          <w:sz w:val="20"/>
          <w:szCs w:val="20"/>
          <w:color w:val="auto"/>
        </w:rPr>
      </w:pPr>
    </w:p>
    <w:p>
      <w:pPr>
        <w:ind w:right="140" w:firstLine="648"/>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Phase 1 Clinical Trial</w:t>
      </w:r>
      <w:r>
        <w:rPr>
          <w:rFonts w:ascii="Arial" w:cs="Arial" w:eastAsia="Arial" w:hAnsi="Arial"/>
          <w:sz w:val="17"/>
          <w:szCs w:val="17"/>
          <w:color w:val="auto"/>
        </w:rPr>
        <w:t xml:space="preserve">” </w:t>
      </w:r>
      <w:r>
        <w:rPr>
          <w:rFonts w:ascii="Arial" w:cs="Arial" w:eastAsia="Arial" w:hAnsi="Arial"/>
          <w:sz w:val="16"/>
          <w:szCs w:val="16"/>
          <w:color w:val="auto"/>
        </w:rPr>
        <w:t>means a study of a Licensed Product in healthy individuals or patients, the principal purpose of which is a preliminary</w:t>
      </w:r>
      <w:r>
        <w:rPr>
          <w:rFonts w:ascii="Arial" w:cs="Arial" w:eastAsia="Arial" w:hAnsi="Arial"/>
          <w:sz w:val="17"/>
          <w:szCs w:val="17"/>
          <w:color w:val="auto"/>
        </w:rPr>
        <w:t xml:space="preserve"> </w:t>
      </w:r>
      <w:r>
        <w:rPr>
          <w:rFonts w:ascii="Arial" w:cs="Arial" w:eastAsia="Arial" w:hAnsi="Arial"/>
          <w:sz w:val="16"/>
          <w:szCs w:val="16"/>
          <w:color w:val="auto"/>
        </w:rPr>
        <w:t>determination of safety, tolerability, pharmacological activity or pharmacokinetics, as further defined in 21 C.F.R. 312.21(a), or the corresponding regulations in any jurisdiction or country other than the United States, or any amended or successor regulations, to permit the design of further clinical trials.</w:t>
      </w:r>
    </w:p>
    <w:p>
      <w:pPr>
        <w:spacing w:after="0" w:line="160" w:lineRule="exact"/>
        <w:rPr>
          <w:sz w:val="20"/>
          <w:szCs w:val="20"/>
          <w:color w:val="auto"/>
        </w:rPr>
      </w:pPr>
    </w:p>
    <w:p>
      <w:pPr>
        <w:ind w:right="180"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2 Clinical Trial</w:t>
      </w:r>
      <w:r>
        <w:rPr>
          <w:rFonts w:ascii="Arial" w:cs="Arial" w:eastAsia="Arial" w:hAnsi="Arial"/>
          <w:sz w:val="18"/>
          <w:szCs w:val="18"/>
          <w:color w:val="auto"/>
        </w:rPr>
        <w:t xml:space="preserve">” </w:t>
      </w:r>
      <w:r>
        <w:rPr>
          <w:rFonts w:ascii="Arial" w:cs="Arial" w:eastAsia="Arial" w:hAnsi="Arial"/>
          <w:sz w:val="17"/>
          <w:szCs w:val="17"/>
          <w:color w:val="auto"/>
        </w:rPr>
        <w:t>means a study of a Licensed Product in the Field in human patients designed or intended to determine initial efficacy,</w:t>
      </w:r>
      <w:r>
        <w:rPr>
          <w:rFonts w:ascii="Arial" w:cs="Arial" w:eastAsia="Arial" w:hAnsi="Arial"/>
          <w:sz w:val="18"/>
          <w:szCs w:val="18"/>
          <w:color w:val="auto"/>
        </w:rPr>
        <w:t xml:space="preserve"> </w:t>
      </w:r>
      <w:r>
        <w:rPr>
          <w:rFonts w:ascii="Arial" w:cs="Arial" w:eastAsia="Arial" w:hAnsi="Arial"/>
          <w:sz w:val="17"/>
          <w:szCs w:val="17"/>
          <w:color w:val="auto"/>
        </w:rPr>
        <w:t>pharmacological effect or dose range or regimen, as further defined in 21 C.F.R. 312.21(b), or the corresponding regulations in any jurisdiction or country other than the United States, or any amended or successor regulations, to permit the design of further clinical trials.</w:t>
      </w:r>
    </w:p>
    <w:p>
      <w:pPr>
        <w:spacing w:after="0" w:line="179"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3 Clinical Trial</w:t>
      </w:r>
      <w:r>
        <w:rPr>
          <w:rFonts w:ascii="Arial" w:cs="Arial" w:eastAsia="Arial" w:hAnsi="Arial"/>
          <w:sz w:val="18"/>
          <w:szCs w:val="18"/>
          <w:color w:val="auto"/>
        </w:rPr>
        <w:t xml:space="preserve">” </w:t>
      </w:r>
      <w:r>
        <w:rPr>
          <w:rFonts w:ascii="Arial" w:cs="Arial" w:eastAsia="Arial" w:hAnsi="Arial"/>
          <w:sz w:val="17"/>
          <w:szCs w:val="17"/>
          <w:color w:val="auto"/>
        </w:rPr>
        <w:t>means a pivotal study in the Field in human patients with a defined dose or a set of defined doses of a Licensed Product</w:t>
      </w:r>
      <w:r>
        <w:rPr>
          <w:rFonts w:ascii="Arial" w:cs="Arial" w:eastAsia="Arial" w:hAnsi="Arial"/>
          <w:sz w:val="18"/>
          <w:szCs w:val="18"/>
          <w:color w:val="auto"/>
        </w:rPr>
        <w:t xml:space="preserve"> </w:t>
      </w:r>
      <w:r>
        <w:rPr>
          <w:rFonts w:ascii="Arial" w:cs="Arial" w:eastAsia="Arial" w:hAnsi="Arial"/>
          <w:sz w:val="17"/>
          <w:szCs w:val="17"/>
          <w:color w:val="auto"/>
        </w:rPr>
        <w:t>designed or intended to ascertain efficacy and safety of such Licensed Product for the purpose of enabling the preparation and submission of a Marketing Authorization Application to the competent Regulatory Authority in a country of the Territory, as further defined in 21 C.F.R. 312.21(c), or the corresponding regulations in any jurisdiction or country other than the United States, or any amended or successor regulations.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1" w:name="page382"/>
    <w:bookmarkEnd w:id="381"/>
    <w:p>
      <w:pPr>
        <w:ind w:right="20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Regulatory Approval</w:t>
      </w:r>
      <w:r>
        <w:rPr>
          <w:rFonts w:ascii="Arial" w:cs="Arial" w:eastAsia="Arial" w:hAnsi="Arial"/>
          <w:sz w:val="17"/>
          <w:szCs w:val="17"/>
          <w:color w:val="auto"/>
        </w:rPr>
        <w:t xml:space="preserve">” </w:t>
      </w:r>
      <w:r>
        <w:rPr>
          <w:rFonts w:ascii="Arial" w:cs="Arial" w:eastAsia="Arial" w:hAnsi="Arial"/>
          <w:sz w:val="16"/>
          <w:szCs w:val="16"/>
          <w:color w:val="auto"/>
        </w:rPr>
        <w:t>means any and all approvals (including supplements, amendments, and pre- and post-approvals), licenses, registrations or</w:t>
      </w:r>
      <w:r>
        <w:rPr>
          <w:rFonts w:ascii="Arial" w:cs="Arial" w:eastAsia="Arial" w:hAnsi="Arial"/>
          <w:sz w:val="17"/>
          <w:szCs w:val="17"/>
          <w:color w:val="auto"/>
        </w:rPr>
        <w:t xml:space="preserve"> </w:t>
      </w:r>
      <w:r>
        <w:rPr>
          <w:rFonts w:ascii="Arial" w:cs="Arial" w:eastAsia="Arial" w:hAnsi="Arial"/>
          <w:sz w:val="16"/>
          <w:szCs w:val="16"/>
          <w:color w:val="auto"/>
        </w:rPr>
        <w:t>authorizations (or waivers) of any national, supra-national (e.g., the European Commission or the Council of the EU), regional, state or local regulatory agency, department, bureau, commission, council or other governmental entity, that are necessary for the manufacture, distribution, use, import, transport, promotion, marketing, offer for sale or sale of a product in a regulatory jurisdiction; but excluding any pricing and reimbursement approval.</w:t>
      </w:r>
    </w:p>
    <w:p>
      <w:pPr>
        <w:spacing w:after="0" w:line="167" w:lineRule="exact"/>
        <w:rPr>
          <w:sz w:val="20"/>
          <w:szCs w:val="20"/>
          <w:color w:val="auto"/>
        </w:rPr>
      </w:pPr>
    </w:p>
    <w:p>
      <w:pPr>
        <w:ind w:right="280" w:firstLine="648"/>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Regulatory Authority</w:t>
      </w:r>
      <w:r>
        <w:rPr>
          <w:rFonts w:ascii="Arial" w:cs="Arial" w:eastAsia="Arial" w:hAnsi="Arial"/>
          <w:sz w:val="17"/>
          <w:szCs w:val="17"/>
          <w:color w:val="auto"/>
        </w:rPr>
        <w:t xml:space="preserve">” </w:t>
      </w:r>
      <w:r>
        <w:rPr>
          <w:rFonts w:ascii="Arial" w:cs="Arial" w:eastAsia="Arial" w:hAnsi="Arial"/>
          <w:sz w:val="16"/>
          <w:szCs w:val="16"/>
          <w:color w:val="auto"/>
        </w:rPr>
        <w:t>means the applicable national (e.g., the FDA), supra-national (e.g., the European Commission or the Council of the EU),</w:t>
      </w:r>
      <w:r>
        <w:rPr>
          <w:rFonts w:ascii="Arial" w:cs="Arial" w:eastAsia="Arial" w:hAnsi="Arial"/>
          <w:sz w:val="17"/>
          <w:szCs w:val="17"/>
          <w:color w:val="auto"/>
        </w:rPr>
        <w:t xml:space="preserve"> </w:t>
      </w:r>
      <w:r>
        <w:rPr>
          <w:rFonts w:ascii="Arial" w:cs="Arial" w:eastAsia="Arial" w:hAnsi="Arial"/>
          <w:sz w:val="16"/>
          <w:szCs w:val="16"/>
          <w:color w:val="auto"/>
        </w:rPr>
        <w:t>regional, state or local regulatory agency, department, bureau, commission, council or other governmental authority that, in each case, regulates or governs the Exploitation of the Compound or Licensed Product or the granting of Regulatory Approval of a Licensed Product in a regulatory jurisdiction.</w:t>
      </w:r>
    </w:p>
    <w:p>
      <w:pPr>
        <w:spacing w:after="0" w:line="16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Exclusivity</w:t>
      </w:r>
      <w:r>
        <w:rPr>
          <w:rFonts w:ascii="Arial" w:cs="Arial" w:eastAsia="Arial" w:hAnsi="Arial"/>
          <w:sz w:val="18"/>
          <w:szCs w:val="18"/>
          <w:color w:val="auto"/>
        </w:rPr>
        <w:t xml:space="preserve">” means </w:t>
      </w:r>
      <w:r>
        <w:rPr>
          <w:rFonts w:ascii="Arial" w:cs="Arial" w:eastAsia="Arial" w:hAnsi="Arial"/>
          <w:sz w:val="17"/>
          <w:szCs w:val="17"/>
          <w:color w:val="auto"/>
        </w:rPr>
        <w:t>any exclusive marketing rights or data exclusivity rights granted by a Regulatory Authority (other than Patents) with</w:t>
      </w:r>
      <w:r>
        <w:rPr>
          <w:rFonts w:ascii="Arial" w:cs="Arial" w:eastAsia="Arial" w:hAnsi="Arial"/>
          <w:sz w:val="18"/>
          <w:szCs w:val="18"/>
          <w:color w:val="auto"/>
        </w:rPr>
        <w:t xml:space="preserve"> </w:t>
      </w:r>
      <w:r>
        <w:rPr>
          <w:rFonts w:ascii="Arial" w:cs="Arial" w:eastAsia="Arial" w:hAnsi="Arial"/>
          <w:sz w:val="17"/>
          <w:szCs w:val="17"/>
          <w:color w:val="auto"/>
        </w:rPr>
        <w:t>respect to a Licensed Product sold in a given country, including orphan drug exclusivity, new chemical entity exclusivity, data exclusivity or pediatric exclusivity, which confers an exclusive commercialization period during which Fulcrum or its Affiliates or Sublicensees have the exclusive right to market and sell a Licensed Product in such country</w:t>
      </w:r>
      <w:r>
        <w:rPr>
          <w:rFonts w:ascii="Arial" w:cs="Arial" w:eastAsia="Arial" w:hAnsi="Arial"/>
          <w:sz w:val="18"/>
          <w:szCs w:val="18"/>
          <w:color w:val="auto"/>
        </w:rPr>
        <w: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Management Designees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 contract research organization, a contract manufacturing organization or other similar service provider that provides drug development services to Fulcrum.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Spreadsheet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Sublicensee</w:t>
      </w:r>
      <w:r>
        <w:rPr>
          <w:rFonts w:ascii="Arial" w:cs="Arial" w:eastAsia="Arial" w:hAnsi="Arial"/>
          <w:sz w:val="17"/>
          <w:szCs w:val="17"/>
          <w:color w:val="auto"/>
        </w:rPr>
        <w:t xml:space="preserve">” means </w:t>
      </w:r>
      <w:r>
        <w:rPr>
          <w:rFonts w:ascii="Arial" w:cs="Arial" w:eastAsia="Arial" w:hAnsi="Arial"/>
          <w:sz w:val="16"/>
          <w:szCs w:val="16"/>
          <w:color w:val="auto"/>
        </w:rPr>
        <w:t>a Third Party that has been granted a sublicense under the rights granted to Fulcrum pursuant to</w:t>
      </w:r>
      <w:r>
        <w:rPr>
          <w:rFonts w:ascii="Arial" w:cs="Arial" w:eastAsia="Arial" w:hAnsi="Arial"/>
          <w:sz w:val="17"/>
          <w:szCs w:val="17"/>
          <w:color w:val="auto"/>
        </w:rPr>
        <w:t xml:space="preserve"> </w:t>
      </w:r>
      <w:r>
        <w:rPr>
          <w:rFonts w:ascii="Arial" w:cs="Arial" w:eastAsia="Arial" w:hAnsi="Arial"/>
          <w:sz w:val="16"/>
          <w:szCs w:val="16"/>
          <w:u w:val="single" w:color="auto"/>
          <w:color w:val="auto"/>
        </w:rPr>
        <w:t>Section 2.3</w:t>
      </w:r>
      <w:r>
        <w:rPr>
          <w:rFonts w:ascii="Arial" w:cs="Arial" w:eastAsia="Arial" w:hAnsi="Arial"/>
          <w:sz w:val="17"/>
          <w:szCs w:val="17"/>
          <w:color w:val="auto"/>
        </w:rPr>
        <w:t xml:space="preserve"> </w:t>
      </w:r>
      <w:r>
        <w:rPr>
          <w:rFonts w:ascii="Arial" w:cs="Arial" w:eastAsia="Arial" w:hAnsi="Arial"/>
          <w:sz w:val="16"/>
          <w:szCs w:val="16"/>
          <w:color w:val="auto"/>
        </w:rPr>
        <w:t>of this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Supplemental Data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2.5(c)</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 worldwide.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w:t>
      </w:r>
      <w:r>
        <w:rPr>
          <w:rFonts w:ascii="Arial" w:cs="Arial" w:eastAsia="Arial" w:hAnsi="Arial"/>
          <w:sz w:val="17"/>
          <w:szCs w:val="17"/>
          <w:color w:val="auto"/>
        </w:rPr>
        <w:t>means any Person other than GSK or Fulcrum or any of their respective Affiliates.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means any</w:t>
      </w:r>
      <w:r>
        <w:rPr>
          <w:rFonts w:ascii="Arial" w:cs="Arial" w:eastAsia="Arial" w:hAnsi="Arial"/>
          <w:sz w:val="17"/>
          <w:szCs w:val="17"/>
          <w:color w:val="auto"/>
        </w:rPr>
        <w:t>, action, suit, proceeding, liability or obligation brought by a Third Party.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2" w:name="page383"/>
    <w:bookmarkEnd w:id="382"/>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LICENSE GRANT; DATA TRANSFER</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u w:val="single" w:color="auto"/>
          <w:color w:val="auto"/>
        </w:rPr>
        <w:t>Right of Reference</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 xml:space="preserve">GSK hereby grants Fulcrum a right of reference as to the Losmapimod IND. Within [**] following the Effective Date GSK shall deliver, or shall cause to be delivered, to Fulcrum an executed Letter of Authorization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to the FDA confirming that Fulcrum, its Affiliates and its Sublicensees have the right to reference the Losmapimod IND in connection with their Exploitation of the Compound and Licensed Products as provided under this Agreement.</w:t>
      </w:r>
    </w:p>
    <w:p>
      <w:pPr>
        <w:spacing w:after="0" w:line="183"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u w:val="single" w:color="auto"/>
          <w:color w:val="auto"/>
        </w:rPr>
        <w:t>License Grant</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Subject to the terms and conditions of this Agreement, GSK, on behalf of itself and its Affiliates, shall and hereby does, effective as of the Effective Date, grant Fulcrum an exclusive (subject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royalty-bearing, sublicensable (subject to </w:t>
      </w:r>
      <w:r>
        <w:rPr>
          <w:rFonts w:ascii="Arial" w:cs="Arial" w:eastAsia="Arial" w:hAnsi="Arial"/>
          <w:sz w:val="18"/>
          <w:szCs w:val="18"/>
          <w:u w:val="single" w:color="auto"/>
          <w:color w:val="auto"/>
        </w:rPr>
        <w:t>Article IV</w:t>
      </w:r>
      <w:r>
        <w:rPr>
          <w:rFonts w:ascii="Arial" w:cs="Arial" w:eastAsia="Arial" w:hAnsi="Arial"/>
          <w:sz w:val="18"/>
          <w:szCs w:val="18"/>
          <w:color w:val="auto"/>
        </w:rPr>
        <w:t>) license under the GSK Intellectual Property to Exploit the Compound and Licensed Products in the Field in the Territory.</w:t>
      </w:r>
    </w:p>
    <w:p>
      <w:pPr>
        <w:spacing w:after="0" w:line="17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5"/>
          <w:szCs w:val="15"/>
          <w:b w:val="1"/>
          <w:bCs w:val="1"/>
          <w:u w:val="single" w:color="auto"/>
          <w:color w:val="auto"/>
        </w:rPr>
        <w:t>Sublicenses</w:t>
      </w:r>
      <w:r>
        <w:rPr>
          <w:rFonts w:ascii="Arial" w:cs="Arial" w:eastAsia="Arial" w:hAnsi="Arial"/>
          <w:sz w:val="15"/>
          <w:szCs w:val="15"/>
          <w:b w:val="1"/>
          <w:bCs w:val="1"/>
          <w:color w:val="auto"/>
        </w:rPr>
        <w:t>.</w:t>
      </w:r>
    </w:p>
    <w:p>
      <w:pPr>
        <w:spacing w:after="0" w:line="229" w:lineRule="exact"/>
        <w:rPr>
          <w:sz w:val="20"/>
          <w:szCs w:val="20"/>
          <w:color w:val="auto"/>
        </w:rPr>
      </w:pPr>
    </w:p>
    <w:p>
      <w:pPr>
        <w:ind w:right="140" w:firstLine="656"/>
        <w:spacing w:after="0" w:line="279" w:lineRule="auto"/>
        <w:tabs>
          <w:tab w:leader="none" w:pos="1294"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Sections 2.3(b)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w:t>
      </w:r>
      <w:r>
        <w:rPr>
          <w:rFonts w:ascii="Arial" w:cs="Arial" w:eastAsia="Arial" w:hAnsi="Arial"/>
          <w:sz w:val="17"/>
          <w:szCs w:val="17"/>
          <w:color w:val="auto"/>
        </w:rPr>
        <w:t xml:space="preserve">, Fulcrum may sublicense the rights granted to it by GSK under </w:t>
      </w:r>
      <w:r>
        <w:rPr>
          <w:rFonts w:ascii="Arial" w:cs="Arial" w:eastAsia="Arial" w:hAnsi="Arial"/>
          <w:sz w:val="17"/>
          <w:szCs w:val="17"/>
          <w:u w:val="single" w:color="auto"/>
          <w:color w:val="auto"/>
        </w:rPr>
        <w:t>Section 2.2</w:t>
      </w:r>
      <w:r>
        <w:rPr>
          <w:rFonts w:ascii="Arial" w:cs="Arial" w:eastAsia="Arial" w:hAnsi="Arial"/>
          <w:sz w:val="17"/>
          <w:szCs w:val="17"/>
          <w:color w:val="auto"/>
        </w:rPr>
        <w:t>. Each sublicense to a Sublicensee must be granted pursuant to a written sublicense agreement consistent with the requirements of this Agreement applicable thereto, and Fulcrum shall provide to GSK, within [**] after the execution of such sublicense agreement, a complete copy thereof, which copy Fulcrum may redact for financial terms and other information not required to evidence Fulcrum’s compliance with the sublicensing terms of this Agreement.</w:t>
      </w:r>
    </w:p>
    <w:p>
      <w:pPr>
        <w:spacing w:after="0" w:line="171" w:lineRule="exact"/>
        <w:rPr>
          <w:rFonts w:ascii="Arial" w:cs="Arial" w:eastAsia="Arial" w:hAnsi="Arial"/>
          <w:sz w:val="17"/>
          <w:szCs w:val="17"/>
          <w:color w:val="auto"/>
        </w:rPr>
      </w:pPr>
    </w:p>
    <w:p>
      <w:pPr>
        <w:ind w:right="60" w:firstLine="656"/>
        <w:spacing w:after="0" w:line="259" w:lineRule="auto"/>
        <w:tabs>
          <w:tab w:leader="none" w:pos="130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Commencing on the Effective Date and continuing until the date on which Fulcrum first submits an IND to the FDA for a Licensed Product, Fulcrum shall not sublicense any of the rights as to Licensed Products in the United States granted to Fulcrum by GSK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to any Third Party without GSK’s prior written consent;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terms of this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shall not apply to any sublicense by Fulcrum to any Service Provider.</w:t>
      </w:r>
    </w:p>
    <w:p>
      <w:pPr>
        <w:spacing w:after="0" w:line="186" w:lineRule="exact"/>
        <w:rPr>
          <w:rFonts w:ascii="Arial" w:cs="Arial" w:eastAsia="Arial" w:hAnsi="Arial"/>
          <w:sz w:val="18"/>
          <w:szCs w:val="18"/>
          <w:color w:val="auto"/>
        </w:rPr>
      </w:pPr>
    </w:p>
    <w:p>
      <w:pPr>
        <w:ind w:right="60" w:firstLine="656"/>
        <w:spacing w:after="0" w:line="259" w:lineRule="auto"/>
        <w:tabs>
          <w:tab w:leader="none" w:pos="1307"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Fulcrum shall remain responsible for its obligations, including as set forth in </w:t>
      </w:r>
      <w:r>
        <w:rPr>
          <w:rFonts w:ascii="Arial" w:cs="Arial" w:eastAsia="Arial" w:hAnsi="Arial"/>
          <w:sz w:val="18"/>
          <w:szCs w:val="18"/>
          <w:u w:val="single" w:color="auto"/>
          <w:color w:val="auto"/>
        </w:rPr>
        <w:t>Sections 3.2</w:t>
      </w:r>
      <w:r>
        <w:rPr>
          <w:rFonts w:ascii="Arial" w:cs="Arial" w:eastAsia="Arial" w:hAnsi="Arial"/>
          <w:sz w:val="18"/>
          <w:szCs w:val="18"/>
          <w:color w:val="auto"/>
        </w:rPr>
        <w:t xml:space="preserve">,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3.4</w:t>
      </w:r>
      <w:r>
        <w:rPr>
          <w:rFonts w:ascii="Arial" w:cs="Arial" w:eastAsia="Arial" w:hAnsi="Arial"/>
          <w:sz w:val="18"/>
          <w:szCs w:val="18"/>
          <w:color w:val="auto"/>
        </w:rPr>
        <w:t>, that have been delegated, subcontracted or sublicensed to any of its Affiliates or Sublicensees, and Fulcrum shall be liable for any failure by any Affiliate or Sublicensee of Fulcrum to comply with the terms of this Agreement to the extent that compliance with such terms has been delegated, subcontracted or sublicensed to such Affiliate or Sublicensee.</w:t>
      </w:r>
    </w:p>
    <w:p>
      <w:pPr>
        <w:spacing w:after="0" w:line="183"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u w:val="single" w:color="auto"/>
          <w:color w:val="auto"/>
        </w:rPr>
        <w:t>Rights Retained by GSK</w:t>
      </w:r>
      <w:r>
        <w:rPr>
          <w:rFonts w:ascii="Arial" w:cs="Arial" w:eastAsia="Arial" w:hAnsi="Arial"/>
          <w:sz w:val="16"/>
          <w:szCs w:val="16"/>
          <w:b w:val="1"/>
          <w:bCs w:val="1"/>
          <w:color w:val="auto"/>
        </w:rPr>
        <w:t>.</w:t>
      </w:r>
    </w:p>
    <w:p>
      <w:pPr>
        <w:spacing w:after="0" w:line="229"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Fulcrum shall receive only those rights of GSK expressly granted by GSK under the provisions of this Agreement, and any right of GSK not expressly granted to Fulcrum under the provisions of this Agreement shall be retained by GSK. For the avoidance of doubt, (a) GSK</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83" w:name="page384"/>
    <w:bookmarkEnd w:id="383"/>
    <w:p>
      <w:pPr>
        <w:ind w:right="20"/>
        <w:spacing w:after="0" w:line="255" w:lineRule="auto"/>
        <w:rPr>
          <w:sz w:val="20"/>
          <w:szCs w:val="20"/>
          <w:color w:val="auto"/>
        </w:rPr>
      </w:pPr>
      <w:r>
        <w:rPr>
          <w:rFonts w:ascii="Arial" w:cs="Arial" w:eastAsia="Arial" w:hAnsi="Arial"/>
          <w:sz w:val="18"/>
          <w:szCs w:val="18"/>
          <w:color w:val="auto"/>
        </w:rPr>
        <w:t xml:space="preserve">and its Affiliates shall retain the right, without the right to grant sublicenses, to conduct nonclinical research under the GSK Intellectual Property; and (b) with Fulcrum’s consent (as described below), GSK’s [**] may, under the GSK Patents, [**] solely relating to the use of Licensed Product in connection with the [**];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 prior to [**], GSK shall seek Fulcrum’s consent thereto and, in connection therewith, shall [**] to Fulcrum for its review, and (ii) Fulcrum shall determine whether to grant such consent based on such protocol and all other relevant factors, which consent Fulcrum shall not unreasonably withhold or delay. This Agreement creates no obligation for GSK or any of its Affiliates to remove or segregate the Data from its systems for any purpose.</w:t>
      </w:r>
    </w:p>
    <w:p>
      <w:pPr>
        <w:spacing w:after="0" w:line="189"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6"/>
          <w:szCs w:val="16"/>
          <w:b w:val="1"/>
          <w:bCs w:val="1"/>
          <w:u w:val="single" w:color="auto"/>
          <w:color w:val="auto"/>
        </w:rPr>
        <w:t>Data Transfer</w:t>
      </w:r>
      <w:r>
        <w:rPr>
          <w:rFonts w:ascii="Arial" w:cs="Arial" w:eastAsia="Arial" w:hAnsi="Arial"/>
          <w:sz w:val="16"/>
          <w:szCs w:val="16"/>
          <w:b w:val="1"/>
          <w:bCs w:val="1"/>
          <w:color w:val="auto"/>
        </w:rPr>
        <w:t>.</w:t>
      </w:r>
    </w:p>
    <w:p>
      <w:pPr>
        <w:spacing w:after="0" w:line="229" w:lineRule="exact"/>
        <w:rPr>
          <w:sz w:val="20"/>
          <w:szCs w:val="20"/>
          <w:color w:val="auto"/>
        </w:rPr>
      </w:pPr>
    </w:p>
    <w:p>
      <w:pPr>
        <w:ind w:firstLine="656"/>
        <w:spacing w:after="0" w:line="277" w:lineRule="auto"/>
        <w:tabs>
          <w:tab w:leader="none" w:pos="129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To the extent not already provided prior to the Effective Date, within [**] following the Effective Date, GSK shall cooperate with Fulcrum’s reasonable instructions to effect the transfer of electronic copies of the Data to Fulcrum (the “</w:t>
      </w:r>
      <w:r>
        <w:rPr>
          <w:rFonts w:ascii="Arial" w:cs="Arial" w:eastAsia="Arial" w:hAnsi="Arial"/>
          <w:sz w:val="18"/>
          <w:szCs w:val="18"/>
          <w:u w:val="single" w:color="auto"/>
          <w:color w:val="auto"/>
        </w:rPr>
        <w:t>Data Transfer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656"/>
        <w:spacing w:after="0" w:line="270" w:lineRule="auto"/>
        <w:tabs>
          <w:tab w:leader="none" w:pos="1304" w:val="left"/>
        </w:tabs>
        <w:numPr>
          <w:ilvl w:val="0"/>
          <w:numId w:val="275"/>
        </w:numPr>
        <w:rPr>
          <w:rFonts w:ascii="Arial" w:cs="Arial" w:eastAsia="Arial" w:hAnsi="Arial"/>
          <w:sz w:val="17"/>
          <w:szCs w:val="17"/>
          <w:color w:val="auto"/>
        </w:rPr>
      </w:pPr>
      <w:r>
        <w:rPr>
          <w:rFonts w:ascii="Arial" w:cs="Arial" w:eastAsia="Arial" w:hAnsi="Arial"/>
          <w:sz w:val="17"/>
          <w:szCs w:val="17"/>
          <w:color w:val="auto"/>
        </w:rPr>
        <w:t>Commencing on the Effective Date, GSK shall use commercially reasonable efforts to deliver to Fulcrum (i) those SAS datasets related to the Compound, which are set forth on Schedule 2.5(b), within [**] following the Effective Date, and (ii) as requested by Fulcrum in a spreadsheet named “GSK Information Requests_vMaster 05 Feb (version 2) sent to GSK on February 5, 2019 by [**] of Fulcrum to [**] of GSK (the “</w:t>
      </w:r>
      <w:r>
        <w:rPr>
          <w:rFonts w:ascii="Arial" w:cs="Arial" w:eastAsia="Arial" w:hAnsi="Arial"/>
          <w:sz w:val="17"/>
          <w:szCs w:val="17"/>
          <w:u w:val="single" w:color="auto"/>
          <w:color w:val="auto"/>
        </w:rPr>
        <w:t>Spreadsheet</w:t>
      </w:r>
      <w:r>
        <w:rPr>
          <w:rFonts w:ascii="Arial" w:cs="Arial" w:eastAsia="Arial" w:hAnsi="Arial"/>
          <w:sz w:val="17"/>
          <w:szCs w:val="17"/>
          <w:color w:val="auto"/>
        </w:rPr>
        <w:t xml:space="preserve">”): (A) the drug substance and placebo batch records related to the physical material of the Compound being transferred to Fulcrum as described in Section 2.6 below, which are set forth in request number [**] and request numbers [**] (inclusive) of the Spreadsheet, within [**] following the Effective Date and (B) the Microsoft Word and PDF files for all nonclinical and clinical study reports related to the Compound, which are set forth in request numbers [**] (inclusive) of the Spreadsheet, within [**] following the Effective Date to the extent not previously delivered by GSK to Fulcrum. If, upon expiration of the applicable timeframes in this </w:t>
      </w:r>
      <w:r>
        <w:rPr>
          <w:rFonts w:ascii="Arial" w:cs="Arial" w:eastAsia="Arial" w:hAnsi="Arial"/>
          <w:sz w:val="17"/>
          <w:szCs w:val="17"/>
          <w:u w:val="single" w:color="auto"/>
          <w:color w:val="auto"/>
        </w:rPr>
        <w:t>Section 2.5(b)</w:t>
      </w:r>
      <w:r>
        <w:rPr>
          <w:rFonts w:ascii="Arial" w:cs="Arial" w:eastAsia="Arial" w:hAnsi="Arial"/>
          <w:sz w:val="17"/>
          <w:szCs w:val="17"/>
          <w:color w:val="auto"/>
        </w:rPr>
        <w:t xml:space="preserve">, GSK has not delivered all Data described in this </w:t>
      </w:r>
      <w:r>
        <w:rPr>
          <w:rFonts w:ascii="Arial" w:cs="Arial" w:eastAsia="Arial" w:hAnsi="Arial"/>
          <w:sz w:val="17"/>
          <w:szCs w:val="17"/>
          <w:u w:val="single" w:color="auto"/>
          <w:color w:val="auto"/>
        </w:rPr>
        <w:t>Section 2.5(b)</w:t>
      </w:r>
      <w:r>
        <w:rPr>
          <w:rFonts w:ascii="Arial" w:cs="Arial" w:eastAsia="Arial" w:hAnsi="Arial"/>
          <w:sz w:val="17"/>
          <w:szCs w:val="17"/>
          <w:color w:val="auto"/>
        </w:rPr>
        <w:t xml:space="preserve"> then GSK and Fulcrum shall use good faith efforts to implement an appropriate alternative means to provide Fulcrum with any such Data that GSK has not delivered within the applicable timeframes in this </w:t>
      </w:r>
      <w:r>
        <w:rPr>
          <w:rFonts w:ascii="Arial" w:cs="Arial" w:eastAsia="Arial" w:hAnsi="Arial"/>
          <w:sz w:val="17"/>
          <w:szCs w:val="17"/>
          <w:u w:val="single" w:color="auto"/>
          <w:color w:val="auto"/>
        </w:rPr>
        <w:t>Section 2.5(b)</w:t>
      </w:r>
      <w:r>
        <w:rPr>
          <w:rFonts w:ascii="Arial" w:cs="Arial" w:eastAsia="Arial" w:hAnsi="Arial"/>
          <w:sz w:val="17"/>
          <w:szCs w:val="17"/>
          <w:color w:val="auto"/>
        </w:rPr>
        <w:t>, to the extent such Data is available.</w:t>
      </w:r>
    </w:p>
    <w:p>
      <w:pPr>
        <w:spacing w:after="0" w:line="177" w:lineRule="exact"/>
        <w:rPr>
          <w:rFonts w:ascii="Arial" w:cs="Arial" w:eastAsia="Arial" w:hAnsi="Arial"/>
          <w:sz w:val="17"/>
          <w:szCs w:val="17"/>
          <w:color w:val="auto"/>
        </w:rPr>
      </w:pPr>
    </w:p>
    <w:p>
      <w:pPr>
        <w:ind w:right="140" w:firstLine="656"/>
        <w:spacing w:after="0" w:line="293" w:lineRule="auto"/>
        <w:tabs>
          <w:tab w:leader="none" w:pos="1307" w:val="left"/>
        </w:tabs>
        <w:numPr>
          <w:ilvl w:val="0"/>
          <w:numId w:val="275"/>
        </w:numPr>
        <w:rPr>
          <w:rFonts w:ascii="Arial" w:cs="Arial" w:eastAsia="Arial" w:hAnsi="Arial"/>
          <w:sz w:val="16"/>
          <w:szCs w:val="16"/>
          <w:color w:val="auto"/>
        </w:rPr>
      </w:pPr>
      <w:r>
        <w:rPr>
          <w:rFonts w:ascii="Arial" w:cs="Arial" w:eastAsia="Arial" w:hAnsi="Arial"/>
          <w:sz w:val="16"/>
          <w:szCs w:val="16"/>
          <w:color w:val="auto"/>
        </w:rPr>
        <w:t>For a period of [**] commencing on the Effective Date, Fulcrum may request, and GSK shall use commercially reasonable efforts to provide, any Data not provided in the initial Data Transfer. During such [**] period commencing on the Effective Date, Fulcrum may also request that GSK provide information that is not Data that is reasonably related to the Compound and may be useful to Fulcrum for further development of, or the submission of regulatory filings relating to, the Compound for the treatment of FSHD (such information, “</w:t>
      </w:r>
      <w:r>
        <w:rPr>
          <w:rFonts w:ascii="Arial" w:cs="Arial" w:eastAsia="Arial" w:hAnsi="Arial"/>
          <w:sz w:val="16"/>
          <w:szCs w:val="16"/>
          <w:u w:val="single" w:color="auto"/>
          <w:color w:val="auto"/>
        </w:rPr>
        <w:t>Supplemental Data</w:t>
      </w:r>
      <w:r>
        <w:rPr>
          <w:rFonts w:ascii="Arial" w:cs="Arial" w:eastAsia="Arial" w:hAnsi="Arial"/>
          <w:sz w:val="16"/>
          <w:szCs w:val="16"/>
          <w:color w:val="auto"/>
        </w:rPr>
        <w:t>”), to the extent such Supplemental Data is in GSK’s (or its Affiliates’) possession and is Controlled by GSK (or its Affiliates), and GSK shall use commercially reasonable efforts to locate or provide any such requested Supplemental Data. Any Supplemental Data that may be provided by GSK to Fulcrum as provided herein shall be deemed to be Data.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4" w:name="page385"/>
    <w:bookmarkEnd w:id="384"/>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7"/>
          <w:szCs w:val="17"/>
          <w:b w:val="1"/>
          <w:bCs w:val="1"/>
          <w:u w:val="single" w:color="auto"/>
          <w:color w:val="auto"/>
        </w:rPr>
        <w:t>Material Transfer</w:t>
      </w:r>
      <w:r>
        <w:rPr>
          <w:rFonts w:ascii="Arial" w:cs="Arial" w:eastAsia="Arial" w:hAnsi="Arial"/>
          <w:sz w:val="17"/>
          <w:szCs w:val="17"/>
          <w:b w:val="1"/>
          <w:bCs w:val="1"/>
          <w:color w:val="auto"/>
        </w:rPr>
        <w:t>.</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GSK shall provide to Fulcrum the physical material of the Compound, including clinical placebo tablets, which are set forth on </w:t>
      </w:r>
      <w:r>
        <w:rPr>
          <w:rFonts w:ascii="Arial" w:cs="Arial" w:eastAsia="Arial" w:hAnsi="Arial"/>
          <w:sz w:val="18"/>
          <w:szCs w:val="18"/>
          <w:u w:val="single" w:color="auto"/>
          <w:color w:val="auto"/>
        </w:rPr>
        <w:t>Schedule 2.6</w:t>
      </w:r>
      <w:r>
        <w:rPr>
          <w:rFonts w:ascii="Arial" w:cs="Arial" w:eastAsia="Arial" w:hAnsi="Arial"/>
          <w:sz w:val="18"/>
          <w:szCs w:val="18"/>
          <w:color w:val="auto"/>
        </w:rPr>
        <w:t xml:space="preserve"> attached hereto and incorporated herein, and which physical transfer GSK shall initiate within [**] of the Effective Date with respect to all physical material of the Compound set forth on </w:t>
      </w:r>
      <w:r>
        <w:rPr>
          <w:rFonts w:ascii="Arial" w:cs="Arial" w:eastAsia="Arial" w:hAnsi="Arial"/>
          <w:sz w:val="18"/>
          <w:szCs w:val="18"/>
          <w:u w:val="single" w:color="auto"/>
          <w:color w:val="auto"/>
        </w:rPr>
        <w:t>Schedule 2.6</w:t>
      </w:r>
      <w:r>
        <w:rPr>
          <w:rFonts w:ascii="Arial" w:cs="Arial" w:eastAsia="Arial" w:hAnsi="Arial"/>
          <w:sz w:val="18"/>
          <w:szCs w:val="18"/>
          <w:color w:val="auto"/>
        </w:rPr>
        <w:t>.</w:t>
      </w:r>
    </w:p>
    <w:p>
      <w:pPr>
        <w:spacing w:after="0" w:line="17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6"/>
          <w:szCs w:val="16"/>
          <w:b w:val="1"/>
          <w:bCs w:val="1"/>
          <w:u w:val="single" w:color="auto"/>
          <w:color w:val="auto"/>
        </w:rPr>
        <w:t>Reports.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Within [**] after then end of each Calendar Year during the Term, Fulcrum shall provide a written report to GSK, which report shall summarize in reasonable detail all of the development, regulatory and commercialization activities conducted by or on behalf of Fulcrum or its Affiliates with respect to the Compound and Product in the Territory.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EQUITY ISSUANCE; PAYMENTS</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u w:val="single" w:color="auto"/>
          <w:color w:val="auto"/>
        </w:rPr>
        <w:t>Equity Issuance</w:t>
      </w:r>
      <w:r>
        <w:rPr>
          <w:rFonts w:ascii="Arial" w:cs="Arial" w:eastAsia="Arial" w:hAnsi="Arial"/>
          <w:sz w:val="16"/>
          <w:szCs w:val="16"/>
          <w:b w:val="1"/>
          <w:bCs w:val="1"/>
          <w:color w:val="auto"/>
        </w:rPr>
        <w:t>.</w:t>
      </w:r>
    </w:p>
    <w:p>
      <w:pPr>
        <w:spacing w:after="0" w:line="229" w:lineRule="exact"/>
        <w:rPr>
          <w:sz w:val="20"/>
          <w:szCs w:val="20"/>
          <w:color w:val="auto"/>
        </w:rPr>
      </w:pPr>
    </w:p>
    <w:p>
      <w:pPr>
        <w:ind w:right="220" w:firstLine="656"/>
        <w:spacing w:after="0" w:line="259" w:lineRule="auto"/>
        <w:tabs>
          <w:tab w:leader="none" w:pos="1294"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Issuance of Equity</w:t>
      </w:r>
      <w:r>
        <w:rPr>
          <w:rFonts w:ascii="Arial" w:cs="Arial" w:eastAsia="Arial" w:hAnsi="Arial"/>
          <w:sz w:val="18"/>
          <w:szCs w:val="18"/>
          <w:color w:val="auto"/>
        </w:rPr>
        <w:t>. In partial consideration for the licenses and other rights granted to Fulcrum hereunder, Fulcrum shall issue to GSK twelve million five hundred thousand (12,500,000) shares of Fulcrum’s Series B Preferred Stock pursuant to a subscription agreement and any other agreements by and between GSK and Fulcrum and dated as of the date hereof, relating to the issuance of such shares and any other rights related thereto to GSK (collectively, the “</w:t>
      </w:r>
      <w:r>
        <w:rPr>
          <w:rFonts w:ascii="Arial" w:cs="Arial" w:eastAsia="Arial" w:hAnsi="Arial"/>
          <w:sz w:val="18"/>
          <w:szCs w:val="18"/>
          <w:u w:val="single" w:color="auto"/>
          <w:color w:val="auto"/>
        </w:rPr>
        <w:t>Equity Agreements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40" w:firstLine="656"/>
        <w:spacing w:after="0" w:line="308" w:lineRule="auto"/>
        <w:tabs>
          <w:tab w:leader="none" w:pos="1304" w:val="left"/>
        </w:tabs>
        <w:numPr>
          <w:ilvl w:val="0"/>
          <w:numId w:val="276"/>
        </w:numPr>
        <w:rPr>
          <w:rFonts w:ascii="Arial" w:cs="Arial" w:eastAsia="Arial" w:hAnsi="Arial"/>
          <w:sz w:val="17"/>
          <w:szCs w:val="17"/>
          <w:color w:val="auto"/>
        </w:rPr>
      </w:pPr>
      <w:r>
        <w:rPr>
          <w:rFonts w:ascii="Arial" w:cs="Arial" w:eastAsia="Arial" w:hAnsi="Arial"/>
          <w:sz w:val="17"/>
          <w:szCs w:val="17"/>
          <w:u w:val="single" w:color="auto"/>
          <w:color w:val="auto"/>
        </w:rPr>
        <w:t>Equity Agreements</w:t>
      </w:r>
      <w:r>
        <w:rPr>
          <w:rFonts w:ascii="Arial" w:cs="Arial" w:eastAsia="Arial" w:hAnsi="Arial"/>
          <w:sz w:val="17"/>
          <w:szCs w:val="17"/>
          <w:color w:val="auto"/>
        </w:rPr>
        <w:t>. As a condition precedent to the effectiveness of this Agreement, the Parties shall have duly authorized, executed and delivered the all of the Equity Agreements and performed their respective obligations that are required to be performed thereunder.</w:t>
      </w:r>
    </w:p>
    <w:p>
      <w:pPr>
        <w:spacing w:after="0" w:line="143"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6"/>
          <w:szCs w:val="16"/>
          <w:b w:val="1"/>
          <w:bCs w:val="1"/>
          <w:u w:val="single" w:color="auto"/>
          <w:color w:val="auto"/>
        </w:rPr>
        <w:t>Development and Regulatory Milestone Payments</w:t>
      </w:r>
      <w:r>
        <w:rPr>
          <w:rFonts w:ascii="Arial" w:cs="Arial" w:eastAsia="Arial" w:hAnsi="Arial"/>
          <w:sz w:val="16"/>
          <w:szCs w:val="16"/>
          <w:b w:val="1"/>
          <w:bCs w:val="1"/>
          <w:color w:val="auto"/>
        </w:rPr>
        <w:t>.</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Fulcrum shall make each of the development and regulatory milestone payments set forth in the table below in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to GSK within [**] after the first achievement (whether by or on behalf of Fulcrum or any of its Affiliates or, subject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Sublicensees) of the corresponding milestone event set forth in the table below in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by the first Licensed Product to achieve such a milestone event. Fulcrum shall notify GSK within [**] of the achievement of each development and regulatory milestone event. Each milestone payment set forth in the table below in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be paid only once during the Term, for the first time any Licensed Product reaches such milestone event during the Term, and regardless of the number of Licensed Products that achieve such milestone event, the number of times such milestone event is achieved by any Licensed Product, or the number of additional Licensed Products that subsequently achieve any such milestone event. Notwithstanding the foregoing, in the event any regulatory milestone event in</w:t>
      </w:r>
    </w:p>
    <w:p>
      <w:pPr>
        <w:spacing w:after="0" w:line="3" w:lineRule="exact"/>
        <w:rPr>
          <w:sz w:val="20"/>
          <w:szCs w:val="20"/>
          <w:color w:val="auto"/>
        </w:rPr>
      </w:pPr>
    </w:p>
    <w:p>
      <w:pPr>
        <w:ind w:left="5660" w:right="1120" w:hanging="5652"/>
        <w:spacing w:after="0" w:line="511" w:lineRule="auto"/>
        <w:tabs>
          <w:tab w:leader="none" w:pos="24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through (e) is achieved, prior to the achievement of a development milestone in (a) or (b) (the “skipped milestone”), the applicable skipped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85" w:name="page386"/>
    <w:bookmarkEnd w:id="385"/>
    <w:p>
      <w:pPr>
        <w:ind w:right="100"/>
        <w:spacing w:after="0" w:line="264" w:lineRule="auto"/>
        <w:rPr>
          <w:sz w:val="20"/>
          <w:szCs w:val="20"/>
          <w:color w:val="auto"/>
        </w:rPr>
      </w:pPr>
      <w:r>
        <w:rPr>
          <w:rFonts w:ascii="Arial" w:cs="Arial" w:eastAsia="Arial" w:hAnsi="Arial"/>
          <w:sz w:val="18"/>
          <w:szCs w:val="18"/>
          <w:color w:val="auto"/>
        </w:rPr>
        <w:t xml:space="preserve">milestone will become due and payable together with the applicable regulatory milestone in (c), (d) or (e). For clarification, the total milestone payments that may become payable under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if all milestone events in the table below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are achieved is thirty-seven million five hundred thousand dollars ($37,500,000).</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660" w:type="dxa"/>
            <w:vAlign w:val="bottom"/>
            <w:gridSpan w:val="2"/>
          </w:tcPr>
          <w:p>
            <w:pPr>
              <w:spacing w:after="0"/>
              <w:rPr>
                <w:sz w:val="20"/>
                <w:szCs w:val="20"/>
                <w:color w:val="auto"/>
              </w:rPr>
            </w:pPr>
            <w:r>
              <w:rPr>
                <w:rFonts w:ascii="Arial" w:cs="Arial" w:eastAsia="Arial" w:hAnsi="Arial"/>
                <w:sz w:val="14"/>
                <w:szCs w:val="14"/>
                <w:b w:val="1"/>
                <w:bCs w:val="1"/>
                <w:color w:val="auto"/>
              </w:rPr>
              <w:t>Milestone Event</w:t>
            </w:r>
          </w:p>
        </w:tc>
        <w:tc>
          <w:tcPr>
            <w:tcW w:w="460" w:type="dxa"/>
            <w:vAlign w:val="bottom"/>
          </w:tcPr>
          <w:p>
            <w:pPr>
              <w:spacing w:after="0"/>
              <w:rPr>
                <w:sz w:val="14"/>
                <w:szCs w:val="14"/>
                <w:color w:val="auto"/>
              </w:rPr>
            </w:pPr>
          </w:p>
        </w:tc>
        <w:tc>
          <w:tcPr>
            <w:tcW w:w="24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Milestone Payment</w:t>
            </w:r>
          </w:p>
        </w:tc>
      </w:tr>
      <w:tr>
        <w:trPr>
          <w:trHeight w:val="210"/>
        </w:trPr>
        <w:tc>
          <w:tcPr>
            <w:tcW w:w="7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 Initiation of the first Phase 2 Clinical Trial for a Licensed Product</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(b) [**]</w:t>
            </w:r>
          </w:p>
        </w:tc>
        <w:tc>
          <w:tcPr>
            <w:tcW w:w="460" w:type="dxa"/>
            <w:vAlign w:val="bottom"/>
          </w:tcPr>
          <w:p>
            <w:pPr>
              <w:spacing w:after="0"/>
              <w:rPr>
                <w:sz w:val="18"/>
                <w:szCs w:val="18"/>
                <w:color w:val="auto"/>
              </w:rPr>
            </w:pPr>
          </w:p>
        </w:tc>
        <w:tc>
          <w:tcPr>
            <w:tcW w:w="2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w:t>
            </w:r>
          </w:p>
        </w:tc>
        <w:tc>
          <w:tcPr>
            <w:tcW w:w="46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(d) [**]</w:t>
            </w:r>
          </w:p>
        </w:tc>
        <w:tc>
          <w:tcPr>
            <w:tcW w:w="460" w:type="dxa"/>
            <w:vAlign w:val="bottom"/>
          </w:tcPr>
          <w:p>
            <w:pPr>
              <w:spacing w:after="0"/>
              <w:rPr>
                <w:sz w:val="18"/>
                <w:szCs w:val="18"/>
                <w:color w:val="auto"/>
              </w:rPr>
            </w:pPr>
          </w:p>
        </w:tc>
        <w:tc>
          <w:tcPr>
            <w:tcW w:w="2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 [**]</w:t>
            </w:r>
          </w:p>
        </w:tc>
        <w:tc>
          <w:tcPr>
            <w:tcW w:w="46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5"/>
          <w:szCs w:val="15"/>
          <w:b w:val="1"/>
          <w:bCs w:val="1"/>
          <w:u w:val="single" w:color="auto"/>
          <w:color w:val="auto"/>
        </w:rPr>
        <w:t>Sales Milestone Payments</w:t>
      </w:r>
      <w:r>
        <w:rPr>
          <w:rFonts w:ascii="Arial" w:cs="Arial" w:eastAsia="Arial" w:hAnsi="Arial"/>
          <w:sz w:val="15"/>
          <w:szCs w:val="15"/>
          <w:b w:val="1"/>
          <w:bCs w:val="1"/>
          <w:color w:val="auto"/>
        </w:rPr>
        <w:t>.</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Fulcrum shall make each of the following one-time sales milestone payments to GSK within [**] after the end of the Calendar Quarter in which aggregate annual Net Sales of the first Licensed Product in the Territory to reach the threshold(s) specified in the table below in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Fulcrum shall notify GSK promptly of the achievement of each such sales threshold. If more than one sales threshold is reached in any given Calendar Year, then the applicable milestone payment for each such achievement shall be due and owing with respect to such Calendar Year. Each milestone payment set forth in the table below in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shall be paid only once during the Term, for the first time any Licensed Product reaches such sales milestone threshold, and regardless of the number of Licensed Products that achieve such sales milestone threshold, the number of times such milestone event is achieved by any Licensed Product, or the number of additional Licensed Products for which such milestone event is subsequently achieved. For clarification, the total milestone payments that may become payable under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if all sales milestone thresholds in the table below in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are achieved is sixty million dollars ($60,000,000).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Threshold for Aggregate Annual</w:t>
            </w:r>
          </w:p>
        </w:tc>
        <w:tc>
          <w:tcPr>
            <w:tcW w:w="2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Milestone Payment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4"/>
                <w:szCs w:val="14"/>
                <w:b w:val="1"/>
                <w:bCs w:val="1"/>
                <w:color w:val="auto"/>
              </w:rPr>
              <w:t>Worldwide Net Sales</w:t>
            </w: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780" w:type="dxa"/>
            <w:vAlign w:val="bottom"/>
            <w:tcBorders>
              <w:top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7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920" w:type="dxa"/>
            <w:vAlign w:val="bottom"/>
            <w:gridSpan w:val="3"/>
          </w:tcPr>
          <w:p>
            <w:pPr>
              <w:jc w:val="center"/>
              <w:ind w:left="30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5920" w:type="dxa"/>
            <w:vAlign w:val="bottom"/>
            <w:gridSpan w:val="3"/>
            <w:shd w:val="clear" w:color="auto" w:fill="CCEEFF"/>
          </w:tcPr>
          <w:p>
            <w:pPr>
              <w:jc w:val="center"/>
              <w:ind w:left="30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20" w:type="dxa"/>
            <w:vAlign w:val="bottom"/>
          </w:tcPr>
          <w:p>
            <w:pPr>
              <w:jc w:val="right"/>
              <w:ind w:right="183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78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96"/>
        </w:trPr>
        <w:tc>
          <w:tcPr>
            <w:tcW w:w="340" w:type="dxa"/>
            <w:vAlign w:val="bottom"/>
          </w:tcPr>
          <w:p>
            <w:pPr>
              <w:spacing w:after="0"/>
              <w:rPr>
                <w:sz w:val="24"/>
                <w:szCs w:val="24"/>
                <w:color w:val="auto"/>
              </w:rPr>
            </w:pPr>
          </w:p>
        </w:tc>
        <w:tc>
          <w:tcPr>
            <w:tcW w:w="1780" w:type="dxa"/>
            <w:vAlign w:val="bottom"/>
          </w:tcPr>
          <w:p>
            <w:pPr>
              <w:ind w:left="320"/>
              <w:spacing w:after="0"/>
              <w:rPr>
                <w:sz w:val="20"/>
                <w:szCs w:val="20"/>
                <w:color w:val="auto"/>
              </w:rPr>
            </w:pPr>
            <w:r>
              <w:rPr>
                <w:rFonts w:ascii="Arial" w:cs="Arial" w:eastAsia="Arial" w:hAnsi="Arial"/>
                <w:sz w:val="18"/>
                <w:szCs w:val="18"/>
                <w:b w:val="1"/>
                <w:bCs w:val="1"/>
                <w:color w:val="auto"/>
              </w:rPr>
              <w:t>Section 3.4.</w:t>
            </w:r>
          </w:p>
        </w:tc>
        <w:tc>
          <w:tcPr>
            <w:tcW w:w="2780" w:type="dxa"/>
            <w:vAlign w:val="bottom"/>
            <w:gridSpan w:val="2"/>
          </w:tcPr>
          <w:p>
            <w:pPr>
              <w:jc w:val="right"/>
              <w:ind w:right="1340"/>
              <w:spacing w:after="0"/>
              <w:rPr>
                <w:sz w:val="20"/>
                <w:szCs w:val="20"/>
                <w:color w:val="auto"/>
              </w:rPr>
            </w:pPr>
            <w:r>
              <w:rPr>
                <w:rFonts w:ascii="Arial" w:cs="Arial" w:eastAsia="Arial" w:hAnsi="Arial"/>
                <w:sz w:val="18"/>
                <w:szCs w:val="18"/>
                <w:b w:val="1"/>
                <w:bCs w:val="1"/>
                <w:color w:val="auto"/>
                <w:w w:val="88"/>
              </w:rPr>
              <w:t>Royalty Payments.</w:t>
            </w: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-353060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-353060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ind w:right="160" w:firstLine="656"/>
        <w:spacing w:after="0" w:line="286" w:lineRule="auto"/>
        <w:tabs>
          <w:tab w:leader="none" w:pos="1294"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Royalty Rates</w:t>
      </w:r>
      <w:r>
        <w:rPr>
          <w:rFonts w:ascii="Arial" w:cs="Arial" w:eastAsia="Arial" w:hAnsi="Arial"/>
          <w:sz w:val="16"/>
          <w:szCs w:val="16"/>
          <w:color w:val="auto"/>
        </w:rPr>
        <w:t>. Fulcrum shall pay to GSK tiered royalties on the aggregate annual Net Sales of Licensed Products sold in the Territory during each Calendar Year quarterly within [**] after the end of such Calendar Quarter during the Royalty Term at the applicable rate(s) set forth below with such royalties to be calculated by multiplying the applicable incremental amount of Net Sales of such Licensed Products in the Territory in such Calendar Quarter by the corresponding royalty rate set forth in the table below and by subsequently making the applicable adjustments in accordance with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3.4(c)</w:t>
      </w:r>
      <w:r>
        <w:rPr>
          <w:rFonts w:ascii="Arial" w:cs="Arial" w:eastAsia="Arial" w:hAnsi="Arial"/>
          <w:sz w:val="18"/>
          <w:szCs w:val="18"/>
          <w:color w:val="auto"/>
        </w:rPr>
        <w:t>.</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Annual Net Sales of Licensed Product</w:t>
            </w:r>
          </w:p>
        </w:tc>
        <w:tc>
          <w:tcPr>
            <w:tcW w:w="2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Royalty Rate</w:t>
            </w:r>
          </w:p>
        </w:tc>
        <w:tc>
          <w:tcPr>
            <w:tcW w:w="260" w:type="dxa"/>
            <w:vAlign w:val="bottom"/>
            <w:tcBorders>
              <w:bottom w:val="single" w:sz="8" w:color="CCEEFF"/>
            </w:tcBorders>
          </w:tcPr>
          <w:p>
            <w:pPr>
              <w:spacing w:after="0"/>
              <w:rPr>
                <w:sz w:val="14"/>
                <w:szCs w:val="14"/>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For that portion of annual Net Sales less than or equal to $[**]</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For that portion of annual Net Sales greater than $[**] and less than or equal to $[**]</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that portion of annual Net Sales greater than $[**]</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40" w:firstLine="656"/>
        <w:spacing w:after="0" w:line="280" w:lineRule="auto"/>
        <w:tabs>
          <w:tab w:leader="none" w:pos="1304"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Royalty Term</w:t>
      </w:r>
      <w:r>
        <w:rPr>
          <w:rFonts w:ascii="Arial" w:cs="Arial" w:eastAsia="Arial" w:hAnsi="Arial"/>
          <w:sz w:val="16"/>
          <w:szCs w:val="16"/>
          <w:color w:val="auto"/>
        </w:rPr>
        <w:t xml:space="preserve">. Royalties under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shall be payable on a country-by-country basis in the Territory during the period commencing on the First Commercial Sale of such Licensed Product in such country and continuing on until the earlier of (i) approval of a Generic Version of such Licensed Product by the applicable Regulatory Agency on a country-by-country basis; and (ii) the tenth (10</w:t>
      </w:r>
      <w:r>
        <w:rPr>
          <w:rFonts w:ascii="Arial" w:cs="Arial" w:eastAsia="Arial" w:hAnsi="Arial"/>
          <w:sz w:val="20"/>
          <w:szCs w:val="20"/>
          <w:color w:val="auto"/>
          <w:vertAlign w:val="superscript"/>
        </w:rPr>
        <w:t>th</w:t>
      </w:r>
      <w:r>
        <w:rPr>
          <w:rFonts w:ascii="Arial" w:cs="Arial" w:eastAsia="Arial" w:hAnsi="Arial"/>
          <w:sz w:val="16"/>
          <w:szCs w:val="16"/>
          <w:color w:val="auto"/>
        </w:rPr>
        <w:t>) anniversary of the First Commercial Sale of such Licensed Product in such country (the “</w:t>
      </w:r>
      <w:r>
        <w:rPr>
          <w:rFonts w:ascii="Arial" w:cs="Arial" w:eastAsia="Arial" w:hAnsi="Arial"/>
          <w:sz w:val="16"/>
          <w:szCs w:val="16"/>
          <w:u w:val="single" w:color="auto"/>
          <w:color w:val="auto"/>
        </w:rPr>
        <w:t>Royalty Term</w:t>
      </w:r>
      <w:r>
        <w:rPr>
          <w:rFonts w:ascii="Arial" w:cs="Arial" w:eastAsia="Arial" w:hAnsi="Arial"/>
          <w:sz w:val="16"/>
          <w:szCs w:val="16"/>
          <w:color w:val="auto"/>
        </w:rPr>
        <w:t xml:space="preserve">”). Upon expiration of the Royalty Term for any Licensed Product in a given country, the licenses granted to Fulcrum under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with respect to such Licensed Product in such country shall automatically become fully paid-up, perpetual and royalty-free and shall survive any expiration or termination of this Agreement, and Net Sales of such Licensed Product in such country shall thereafter be excluded from aggregate annual Net Sales of such Licensed Product for purposes of calculating royalties pursuant to </w:t>
      </w:r>
      <w:r>
        <w:rPr>
          <w:rFonts w:ascii="Arial" w:cs="Arial" w:eastAsia="Arial" w:hAnsi="Arial"/>
          <w:sz w:val="16"/>
          <w:szCs w:val="16"/>
          <w:u w:val="single" w:color="auto"/>
          <w:color w:val="auto"/>
        </w:rPr>
        <w:t>Section 3.4(a)</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1320" w:hanging="664"/>
        <w:spacing w:after="0"/>
        <w:tabs>
          <w:tab w:leader="none" w:pos="132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Royalty 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60" w:firstLine="645"/>
        <w:spacing w:after="0" w:line="264" w:lineRule="auto"/>
        <w:tabs>
          <w:tab w:leader="none" w:pos="1978" w:val="left"/>
        </w:tabs>
        <w:numPr>
          <w:ilvl w:val="1"/>
          <w:numId w:val="279"/>
        </w:numPr>
        <w:rPr>
          <w:rFonts w:ascii="Arial" w:cs="Arial" w:eastAsia="Arial" w:hAnsi="Arial"/>
          <w:sz w:val="18"/>
          <w:szCs w:val="18"/>
          <w:color w:val="auto"/>
        </w:rPr>
      </w:pPr>
      <w:r>
        <w:rPr>
          <w:rFonts w:ascii="Arial" w:cs="Arial" w:eastAsia="Arial" w:hAnsi="Arial"/>
          <w:sz w:val="18"/>
          <w:szCs w:val="18"/>
          <w:color w:val="auto"/>
        </w:rPr>
        <w:t>During any applicable Royalty Term, following the expiration of Regulatory Exclusivity for any Licensed Product on a country-by-country basis, the royalty rates in Table 3.4(a) applicable to Net Sales of such Licensed Products in such country will be reduced by [**] percent ([**]%).</w:t>
      </w:r>
    </w:p>
    <w:p>
      <w:pPr>
        <w:spacing w:after="0" w:line="181" w:lineRule="exact"/>
        <w:rPr>
          <w:rFonts w:ascii="Arial" w:cs="Arial" w:eastAsia="Arial" w:hAnsi="Arial"/>
          <w:sz w:val="18"/>
          <w:szCs w:val="18"/>
          <w:color w:val="auto"/>
        </w:rPr>
      </w:pPr>
    </w:p>
    <w:p>
      <w:pPr>
        <w:jc w:val="both"/>
        <w:ind w:left="660" w:right="420" w:firstLine="645"/>
        <w:spacing w:after="0" w:line="312" w:lineRule="auto"/>
        <w:tabs>
          <w:tab w:leader="none" w:pos="1987" w:val="left"/>
        </w:tabs>
        <w:numPr>
          <w:ilvl w:val="1"/>
          <w:numId w:val="279"/>
        </w:numPr>
        <w:rPr>
          <w:rFonts w:ascii="Arial" w:cs="Arial" w:eastAsia="Arial" w:hAnsi="Arial"/>
          <w:sz w:val="16"/>
          <w:szCs w:val="16"/>
          <w:color w:val="auto"/>
        </w:rPr>
      </w:pPr>
      <w:r>
        <w:rPr>
          <w:rFonts w:ascii="Arial" w:cs="Arial" w:eastAsia="Arial" w:hAnsi="Arial"/>
          <w:sz w:val="16"/>
          <w:szCs w:val="16"/>
          <w:color w:val="auto"/>
        </w:rPr>
        <w:t>If Fulcrum or any of its Affiliates or Sublicensees, as applicable, determines, in its reasonable judgment, that it is necessary to obtain a license from any Third Party (each a “</w:t>
      </w:r>
      <w:r>
        <w:rPr>
          <w:rFonts w:ascii="Arial" w:cs="Arial" w:eastAsia="Arial" w:hAnsi="Arial"/>
          <w:sz w:val="16"/>
          <w:szCs w:val="16"/>
          <w:u w:val="single" w:color="auto"/>
          <w:color w:val="auto"/>
        </w:rPr>
        <w:t>Third Party License</w:t>
      </w:r>
      <w:r>
        <w:rPr>
          <w:rFonts w:ascii="Arial" w:cs="Arial" w:eastAsia="Arial" w:hAnsi="Arial"/>
          <w:sz w:val="16"/>
          <w:szCs w:val="16"/>
          <w:color w:val="auto"/>
        </w:rPr>
        <w:t>”) under any Patents in order to Exploit a Licensed Product in a country, then Fulcrum may deduct [**] percent ([**]%) of any license fees under such Third Party License payable by Fulcrum or any Affiliate or</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86" w:name="page387"/>
    <w:bookmarkEnd w:id="386"/>
    <w:p>
      <w:pPr>
        <w:ind w:left="600" w:right="80"/>
        <w:spacing w:after="0" w:line="271" w:lineRule="auto"/>
        <w:rPr>
          <w:sz w:val="20"/>
          <w:szCs w:val="20"/>
          <w:color w:val="auto"/>
        </w:rPr>
      </w:pPr>
      <w:r>
        <w:rPr>
          <w:rFonts w:ascii="Arial" w:cs="Arial" w:eastAsia="Arial" w:hAnsi="Arial"/>
          <w:sz w:val="17"/>
          <w:szCs w:val="17"/>
          <w:color w:val="auto"/>
        </w:rPr>
        <w:t xml:space="preserve">Sublicensee in any Calendar Quarter to such Third Party with respect to sales of such Licensed Product in such country under such Third Party License from the royalty payment that would otherwise be due with respect to Net Sales of such Licensed Product in such country in such Calendar Quarter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(as adjusted by </w:t>
      </w:r>
      <w:r>
        <w:rPr>
          <w:rFonts w:ascii="Arial" w:cs="Arial" w:eastAsia="Arial" w:hAnsi="Arial"/>
          <w:sz w:val="17"/>
          <w:szCs w:val="17"/>
          <w:u w:val="single" w:color="auto"/>
          <w:color w:val="auto"/>
        </w:rPr>
        <w:t>Section 3.4(c)(i)</w:t>
      </w:r>
      <w:r>
        <w:rPr>
          <w:rFonts w:ascii="Arial" w:cs="Arial" w:eastAsia="Arial" w:hAnsi="Arial"/>
          <w:sz w:val="17"/>
          <w:szCs w:val="17"/>
          <w:color w:val="auto"/>
        </w:rPr>
        <w:t xml:space="preserve">, as applicable);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no event shall any royalty payment to GSK on Net Sales of any Licensed Product in any country in any Calendar Quarter be reduced to less than [**] percent ([**]%) of the royalties that would otherwise be owed to GSK with respect to Net Sales of such Licensed Product under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(as adjusted by </w:t>
      </w:r>
      <w:r>
        <w:rPr>
          <w:rFonts w:ascii="Arial" w:cs="Arial" w:eastAsia="Arial" w:hAnsi="Arial"/>
          <w:sz w:val="17"/>
          <w:szCs w:val="17"/>
          <w:u w:val="single" w:color="auto"/>
          <w:color w:val="auto"/>
        </w:rPr>
        <w:t>Section 3.4(c)(i)</w:t>
      </w:r>
      <w:r>
        <w:rPr>
          <w:rFonts w:ascii="Arial" w:cs="Arial" w:eastAsia="Arial" w:hAnsi="Arial"/>
          <w:sz w:val="17"/>
          <w:szCs w:val="17"/>
          <w:color w:val="auto"/>
        </w:rPr>
        <w:t xml:space="preserve">, if applicable). Any amount of royalties paid to such Third Party which is entitled to be deducted under this </w:t>
      </w:r>
      <w:r>
        <w:rPr>
          <w:rFonts w:ascii="Arial" w:cs="Arial" w:eastAsia="Arial" w:hAnsi="Arial"/>
          <w:sz w:val="17"/>
          <w:szCs w:val="17"/>
          <w:u w:val="single" w:color="auto"/>
          <w:color w:val="auto"/>
        </w:rPr>
        <w:t>Section 3.4(c)(ii)</w:t>
      </w:r>
      <w:r>
        <w:rPr>
          <w:rFonts w:ascii="Arial" w:cs="Arial" w:eastAsia="Arial" w:hAnsi="Arial"/>
          <w:sz w:val="17"/>
          <w:szCs w:val="17"/>
          <w:color w:val="auto"/>
        </w:rPr>
        <w:t xml:space="preserve"> but is not deducted as a result of the foregoing limitation shall be carried over and applied against royalties payable to GSK in respect of such Licensed Product in such country in subsequent Calendar Quarters until the full deduction is taken.</w:t>
      </w:r>
    </w:p>
    <w:p>
      <w:pPr>
        <w:spacing w:after="0" w:line="175" w:lineRule="exact"/>
        <w:rPr>
          <w:sz w:val="20"/>
          <w:szCs w:val="20"/>
          <w:color w:val="auto"/>
        </w:rPr>
      </w:pPr>
    </w:p>
    <w:p>
      <w:pPr>
        <w:ind w:left="600"/>
        <w:spacing w:after="0"/>
        <w:tabs>
          <w:tab w:leader="none" w:pos="204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6"/>
          <w:szCs w:val="16"/>
          <w:b w:val="1"/>
          <w:bCs w:val="1"/>
          <w:u w:val="single" w:color="auto"/>
          <w:color w:val="auto"/>
        </w:rPr>
        <w:t>Reports; Audits</w:t>
      </w:r>
      <w:r>
        <w:rPr>
          <w:rFonts w:ascii="Arial" w:cs="Arial" w:eastAsia="Arial" w:hAnsi="Arial"/>
          <w:sz w:val="16"/>
          <w:szCs w:val="16"/>
          <w:b w:val="1"/>
          <w:bCs w:val="1"/>
          <w:color w:val="auto"/>
        </w:rPr>
        <w:t>.</w:t>
      </w:r>
    </w:p>
    <w:p>
      <w:pPr>
        <w:spacing w:after="0" w:line="229" w:lineRule="exact"/>
        <w:rPr>
          <w:sz w:val="20"/>
          <w:szCs w:val="20"/>
          <w:color w:val="auto"/>
        </w:rPr>
      </w:pPr>
    </w:p>
    <w:p>
      <w:pPr>
        <w:ind w:left="-60" w:right="60" w:firstLine="656"/>
        <w:spacing w:after="0" w:line="255" w:lineRule="auto"/>
        <w:tabs>
          <w:tab w:leader="none" w:pos="123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Until the expiration of the Term as to all Licensed Products in all countries, Fulcrum agrees to make written reports to GSK within [**] after the end of each Calendar Quarter covering sales by Fulcrum, its Affiliates and Sublicensees of any Licensed Product that is subject to Fulcrum’s royalty obligations hereunder on a country-by-country basis during such Calendar Quarter. Each such written report shall provide (a) the Net Sales during such Calendar Quarter, in US dollars, (b) the royalties payable, in US dollars, which accrued hereunder with respect to such Net Sales and (c) the exchange rate used in calculating any of the foregoing. The information contained in each report under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be considered Confidential Information of Fulcrum and its Affiliates.</w:t>
      </w:r>
    </w:p>
    <w:p>
      <w:pPr>
        <w:spacing w:after="0" w:line="193" w:lineRule="exact"/>
        <w:rPr>
          <w:rFonts w:ascii="Arial" w:cs="Arial" w:eastAsia="Arial" w:hAnsi="Arial"/>
          <w:sz w:val="18"/>
          <w:szCs w:val="18"/>
          <w:color w:val="auto"/>
        </w:rPr>
      </w:pPr>
    </w:p>
    <w:p>
      <w:pPr>
        <w:ind w:left="-60" w:firstLine="656"/>
        <w:spacing w:after="0" w:line="253" w:lineRule="auto"/>
        <w:tabs>
          <w:tab w:leader="none" w:pos="124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Fulcrum agrees, upon not less than [**] prior written notice, to permit, and to require its Affiliates and Sublicensees to permit, an independent accounting firm selected by GSK and reasonably acceptable to Fulcrum to examine the books and records relating to any Licensed Product for the purpose of verifying reports provided by Fulcrum under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Such audit shall not (i) be performed more frequently than [**] period (unless a previous audit during such [**] period revealed a material discrepancy with respect to such period), or (ii) be repeated for any Calendar Quarter, and shall be conducted for the sole purpose of verifying the accuracy and completeness of all financial, accounting and numerical information and calculations provided under this Agreement. The independent accounting firm shall have the right to make copies of relevant portions of Fulcrum’s books and records;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copies shall be the Confidential Information of Fulcrum, shall be protected by appropriate confidentiality obligations and shall not be shared with GSK or any other Person. The independent accounting firm will prepare and provide to the Parties a written report stating only whether the reports submitted, and amounts paid hereunder were correct or incorrect, and the amounts of any discrepancies. GSK shall bear the cost of any audit conducted under this </w:t>
      </w:r>
      <w:r>
        <w:rPr>
          <w:rFonts w:ascii="Arial" w:cs="Arial" w:eastAsia="Arial" w:hAnsi="Arial"/>
          <w:sz w:val="18"/>
          <w:szCs w:val="18"/>
          <w:u w:val="single" w:color="auto"/>
          <w:color w:val="auto"/>
        </w:rPr>
        <w:t>Section 3.5(b)</w:t>
      </w:r>
      <w:r>
        <w:rPr>
          <w:rFonts w:ascii="Arial" w:cs="Arial" w:eastAsia="Arial" w:hAnsi="Arial"/>
          <w:sz w:val="18"/>
          <w:szCs w:val="18"/>
          <w:color w:val="auto"/>
        </w:rPr>
        <w:t xml:space="preserve"> unless a discrepancy greater than [**] percent ([**]%) over any Calendar Year is found, in which case Fulcrum shall bear the cost of such audit.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00" w:top="341" w:right="279" w:bottom="1440" w:gutter="0" w:footer="0" w:header="0"/>
        </w:sectPr>
      </w:pPr>
    </w:p>
    <w:bookmarkStart w:id="387" w:name="page388"/>
    <w:bookmarkEnd w:id="387"/>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6"/>
          <w:szCs w:val="16"/>
          <w:b w:val="1"/>
          <w:bCs w:val="1"/>
          <w:u w:val="single" w:color="auto"/>
          <w:color w:val="auto"/>
        </w:rPr>
        <w:t>Payment Method</w:t>
      </w:r>
      <w:r>
        <w:rPr>
          <w:rFonts w:ascii="Arial" w:cs="Arial" w:eastAsia="Arial" w:hAnsi="Arial"/>
          <w:sz w:val="16"/>
          <w:szCs w:val="16"/>
          <w:b w:val="1"/>
          <w:bCs w:val="1"/>
          <w:color w:val="auto"/>
        </w:rPr>
        <w:t>.</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All Royalty Payments shall be made in US dollars in immediately available funds via either a bank wire transfer, an ACH (automated clearing house) mechanism, or any other means of electronic funds transfer, at Fulcrum’s election, to a bank account specified by GSK in a notice at least [**] before the payment is due.</w:t>
      </w:r>
    </w:p>
    <w:p>
      <w:pPr>
        <w:spacing w:after="0" w:line="17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u w:val="single" w:color="auto"/>
          <w:color w:val="auto"/>
        </w:rPr>
        <w:t>Late Payments</w:t>
      </w:r>
      <w:r>
        <w:rPr>
          <w:rFonts w:ascii="Arial" w:cs="Arial" w:eastAsia="Arial" w:hAnsi="Arial"/>
          <w:sz w:val="16"/>
          <w:szCs w:val="16"/>
          <w:b w:val="1"/>
          <w:bCs w:val="1"/>
          <w:color w:val="auto"/>
        </w:rPr>
        <w:t>.</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If Fulcrum shall fail to make a timely Royalty Payment pursuant to the terms of this Agreement, GSK shall provide written notice of such failure to Fulcrum (a “</w:t>
      </w:r>
      <w:r>
        <w:rPr>
          <w:rFonts w:ascii="Arial" w:cs="Arial" w:eastAsia="Arial" w:hAnsi="Arial"/>
          <w:sz w:val="17"/>
          <w:szCs w:val="17"/>
          <w:u w:val="single" w:color="auto"/>
          <w:color w:val="auto"/>
        </w:rPr>
        <w:t>Late Payment Notice</w:t>
      </w:r>
      <w:r>
        <w:rPr>
          <w:rFonts w:ascii="Arial" w:cs="Arial" w:eastAsia="Arial" w:hAnsi="Arial"/>
          <w:sz w:val="17"/>
          <w:szCs w:val="17"/>
          <w:color w:val="auto"/>
        </w:rPr>
        <w:t>”), and interest shall accrue on the past due amount starting on the date of the Late Payment Notice at the prime or equivalent rate per annum quoted by the Wall Street Journal, Eastern Edition on the first Business Day after such payment is due, plus [**] percent ([**]%), computed for the actual number of days after the date of the Late Payment Notice that the payment was past due.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OF FIRST NEGOTIATION</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6"/>
          <w:szCs w:val="16"/>
          <w:b w:val="1"/>
          <w:bCs w:val="1"/>
          <w:u w:val="single" w:color="auto"/>
          <w:color w:val="auto"/>
        </w:rPr>
        <w:t>Negotiation Right</w:t>
      </w:r>
      <w:r>
        <w:rPr>
          <w:rFonts w:ascii="Arial" w:cs="Arial" w:eastAsia="Arial" w:hAnsi="Arial"/>
          <w:sz w:val="16"/>
          <w:szCs w:val="16"/>
          <w:b w:val="1"/>
          <w:bCs w:val="1"/>
          <w:color w:val="auto"/>
        </w:rPr>
        <w:t>.</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Commencing on the Effective Date and until the completion of a Phase 2 Clinical Trial for a Licensed Product, if Fulcrum wishes to sublicense to any Third Party any of the rights granted to Fulcrum by GSK under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in any country(ies) in the Territory other than the United States, Fulcrum shall, prior to entering into a sublicense agreement with any Third Party, notify GSK in writing of Fulcrum’s desire to sublicense its rights to a Third Party and the terms on which Fulcrum proposes to grant such sublicense;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terms of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not apply to any sublicense to any Service Provider. GSK shall have [**] from receipt of such notice to decide whether to enter into further negotiations with Fulcrum for GSK or its Affiliate to Exploit Licensed Product in the applicable country(ies) in the Territory other than the United States. If GSK does not elect for it or its Affiliate to Exploit Licensed Product in the applicable country(ies) in the Territory other than the United States or does not respond to Fulcrum’s notice within such [**] period, subject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Fulcrum may sublicense the rights granted to Fulcrum by GSK under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in the applicable country(ies) in the Territory other than the United States to any Third Party, subject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If GSK elects within such [**] period to negotiate for it or its Affiliate to Exploit Licensed Product in the applicable country(ies) in the Territory other than the United States, then the Parties shall negotiate in good faith for a period of not more than [**] after such election by GSK. If the Parties have not reached an agreement within such [**] period, then Fulcrum shall have the right to (i) enter into negotiations with any Third Party for the sublicense of its rights granted to Fulcrum by GSK under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in the applicable country(ies) in the Territory other than the United States and (ii) grant sublicenses in the applicable country(ies) in the Territory without further obligations to negotiate with GSK, provided that any such sublicense (x) is subject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and (y) does not include terms that are in the aggregate less favorable than those offered by GSK. For the avoidance of doubt, GSK’s right of first negotiation under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expire upon the first completion of a Phase 2 Clinical Trial for a Licensed Product.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88" w:name="page389"/>
    <w:bookmarkEnd w:id="388"/>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07" w:lineRule="exact"/>
        <w:rPr>
          <w:sz w:val="20"/>
          <w:szCs w:val="20"/>
          <w:color w:val="auto"/>
        </w:rPr>
      </w:pPr>
    </w:p>
    <w:p>
      <w:pPr>
        <w:ind w:left="640"/>
        <w:spacing w:after="0"/>
        <w:tabs>
          <w:tab w:leader="none" w:pos="208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6"/>
          <w:szCs w:val="16"/>
          <w:b w:val="1"/>
          <w:bCs w:val="1"/>
          <w:u w:val="single" w:color="auto"/>
          <w:color w:val="auto"/>
        </w:rPr>
        <w:t>Patent Maintenance</w:t>
      </w:r>
      <w:r>
        <w:rPr>
          <w:rFonts w:ascii="Arial" w:cs="Arial" w:eastAsia="Arial" w:hAnsi="Arial"/>
          <w:sz w:val="16"/>
          <w:szCs w:val="16"/>
          <w:b w:val="1"/>
          <w:bCs w:val="1"/>
          <w:color w:val="auto"/>
        </w:rPr>
        <w:t>.</w:t>
      </w:r>
    </w:p>
    <w:p>
      <w:pPr>
        <w:spacing w:after="0" w:line="229" w:lineRule="exact"/>
        <w:rPr>
          <w:sz w:val="20"/>
          <w:szCs w:val="20"/>
          <w:color w:val="auto"/>
        </w:rPr>
      </w:pPr>
    </w:p>
    <w:p>
      <w:pPr>
        <w:ind w:left="-20" w:right="120" w:firstLine="656"/>
        <w:spacing w:after="0" w:line="279" w:lineRule="auto"/>
        <w:tabs>
          <w:tab w:leader="none" w:pos="1274"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GSK Patents</w:t>
      </w:r>
      <w:r>
        <w:rPr>
          <w:rFonts w:ascii="Arial" w:cs="Arial" w:eastAsia="Arial" w:hAnsi="Arial"/>
          <w:sz w:val="17"/>
          <w:szCs w:val="17"/>
          <w:color w:val="auto"/>
        </w:rPr>
        <w:t xml:space="preserve">. All decisions and actions with respect to the maintenance of the GSK Patents shall be the responsibility of Fulcrum, at Fulcrum’s sole cost and expense. Fulcrum may abandon or discontinue the maintenance of any GSK Patent in a country;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Fulcrum first notifies GSK in writing at least [**] in advance of the due date of any payment or other action that is required to maintain such GSK Patent, and, upon such notice, GSK shall have the option, but not the obligation, to maintain such GSK Patent in the Territory at its sole cost and expense.</w:t>
      </w:r>
    </w:p>
    <w:p>
      <w:pPr>
        <w:spacing w:after="0" w:line="171" w:lineRule="exact"/>
        <w:rPr>
          <w:rFonts w:ascii="Arial" w:cs="Arial" w:eastAsia="Arial" w:hAnsi="Arial"/>
          <w:sz w:val="17"/>
          <w:szCs w:val="17"/>
          <w:color w:val="auto"/>
        </w:rPr>
      </w:pPr>
    </w:p>
    <w:p>
      <w:pPr>
        <w:ind w:left="-20" w:right="180" w:firstLine="656"/>
        <w:spacing w:after="0" w:line="286" w:lineRule="auto"/>
        <w:tabs>
          <w:tab w:leader="none" w:pos="1284"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Patent Term Extensions</w:t>
      </w:r>
      <w:r>
        <w:rPr>
          <w:rFonts w:ascii="Arial" w:cs="Arial" w:eastAsia="Arial" w:hAnsi="Arial"/>
          <w:sz w:val="17"/>
          <w:szCs w:val="17"/>
          <w:color w:val="auto"/>
        </w:rPr>
        <w:t>. As between the Parties, Fulcrum shall have the sole right, but not the obligation, at its sole cost and expense, to file for and seek to obtain patent term extensions (including any pediatric exclusivity extensions as may be available) or supplemental protection certificates or their equivalents in any country with respect to the GSK Patents based on Regulatory Approvals for the GSK Patents.</w:t>
      </w:r>
    </w:p>
    <w:p>
      <w:pPr>
        <w:spacing w:after="0" w:line="165" w:lineRule="exact"/>
        <w:rPr>
          <w:rFonts w:ascii="Arial" w:cs="Arial" w:eastAsia="Arial" w:hAnsi="Arial"/>
          <w:sz w:val="17"/>
          <w:szCs w:val="17"/>
          <w:color w:val="auto"/>
        </w:rPr>
      </w:pPr>
    </w:p>
    <w:p>
      <w:pPr>
        <w:ind w:left="-20" w:right="420" w:firstLine="656"/>
        <w:spacing w:after="0" w:line="277" w:lineRule="auto"/>
        <w:tabs>
          <w:tab w:leader="none" w:pos="1287"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Data Exclusivity</w:t>
      </w:r>
      <w:r>
        <w:rPr>
          <w:rFonts w:ascii="Arial" w:cs="Arial" w:eastAsia="Arial" w:hAnsi="Arial"/>
          <w:sz w:val="18"/>
          <w:szCs w:val="18"/>
          <w:color w:val="auto"/>
        </w:rPr>
        <w:t>. With respect to data exclusivity periods, Fulcrum shall have the sole right, but not the obligation, at its sole cost and expense, to seek, maintain and enforce all such data exclusivity periods available for Licensed Products.</w:t>
      </w:r>
    </w:p>
    <w:p>
      <w:pPr>
        <w:spacing w:after="0" w:line="166" w:lineRule="exact"/>
        <w:rPr>
          <w:sz w:val="20"/>
          <w:szCs w:val="20"/>
          <w:color w:val="auto"/>
        </w:rPr>
      </w:pPr>
    </w:p>
    <w:p>
      <w:pPr>
        <w:ind w:left="640"/>
        <w:spacing w:after="0"/>
        <w:tabs>
          <w:tab w:leader="none" w:pos="208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6"/>
          <w:szCs w:val="16"/>
          <w:b w:val="1"/>
          <w:bCs w:val="1"/>
          <w:u w:val="single" w:color="auto"/>
          <w:color w:val="auto"/>
        </w:rPr>
        <w:t>Patent Enforcement</w:t>
      </w:r>
      <w:r>
        <w:rPr>
          <w:rFonts w:ascii="Arial" w:cs="Arial" w:eastAsia="Arial" w:hAnsi="Arial"/>
          <w:sz w:val="16"/>
          <w:szCs w:val="16"/>
          <w:b w:val="1"/>
          <w:bCs w:val="1"/>
          <w:color w:val="auto"/>
        </w:rPr>
        <w:t>.</w:t>
      </w:r>
    </w:p>
    <w:p>
      <w:pPr>
        <w:spacing w:after="0" w:line="229" w:lineRule="exact"/>
        <w:rPr>
          <w:sz w:val="20"/>
          <w:szCs w:val="20"/>
          <w:color w:val="auto"/>
        </w:rPr>
      </w:pPr>
    </w:p>
    <w:p>
      <w:pPr>
        <w:ind w:left="-20" w:firstLine="656"/>
        <w:spacing w:after="0" w:line="270" w:lineRule="auto"/>
        <w:tabs>
          <w:tab w:leader="none" w:pos="1274" w:val="left"/>
        </w:tabs>
        <w:numPr>
          <w:ilvl w:val="0"/>
          <w:numId w:val="282"/>
        </w:numPr>
        <w:rPr>
          <w:rFonts w:ascii="Arial" w:cs="Arial" w:eastAsia="Arial" w:hAnsi="Arial"/>
          <w:sz w:val="17"/>
          <w:szCs w:val="17"/>
          <w:color w:val="auto"/>
        </w:rPr>
      </w:pPr>
      <w:r>
        <w:rPr>
          <w:rFonts w:ascii="Arial" w:cs="Arial" w:eastAsia="Arial" w:hAnsi="Arial"/>
          <w:sz w:val="17"/>
          <w:szCs w:val="17"/>
          <w:u w:val="single" w:color="auto"/>
          <w:color w:val="auto"/>
        </w:rPr>
        <w:t>Notification</w:t>
      </w:r>
      <w:r>
        <w:rPr>
          <w:rFonts w:ascii="Arial" w:cs="Arial" w:eastAsia="Arial" w:hAnsi="Arial"/>
          <w:sz w:val="17"/>
          <w:szCs w:val="17"/>
          <w:color w:val="auto"/>
        </w:rPr>
        <w:t>. If either Party becomes aware of any existing or threatened infringement of any GSK Patent in the Field in the Territory, including (i) any such existing or threatened infringement on account of a Third Party’s Exploitation of the Compound or any Generic Version of a Licensed Product in the Field in any country in the Territory, or (ii) any certification filed by a Third Party in the United States pursuant to the Drug Price Competition and Patent Term Restoration Act of 1984 (or any successor legislation) or similar provisions in other jurisdictions, in connection with an abbreviated new drug application or a paper new drug application (or equivalent) with respect to the Compound or any Licensed Product in the Field in any country in the Territory, or any other similar Third Party communication, including notices pursuant to §§ 101 and 103 of such act from any person or entity who has filed an abbreviated new drug application or a paper new drug application (or equivalent) with respect to the Compound or any Generic Version of a Licensed Product in the Field ((i) and (ii), collectively, “</w:t>
      </w:r>
      <w:r>
        <w:rPr>
          <w:rFonts w:ascii="Arial" w:cs="Arial" w:eastAsia="Arial" w:hAnsi="Arial"/>
          <w:sz w:val="17"/>
          <w:szCs w:val="17"/>
          <w:u w:val="single" w:color="auto"/>
          <w:color w:val="auto"/>
        </w:rPr>
        <w:t>Competitive Infringement</w:t>
      </w:r>
      <w:r>
        <w:rPr>
          <w:rFonts w:ascii="Arial" w:cs="Arial" w:eastAsia="Arial" w:hAnsi="Arial"/>
          <w:sz w:val="17"/>
          <w:szCs w:val="17"/>
          <w:color w:val="auto"/>
        </w:rPr>
        <w:t>”), it shall promptly notify the other Party in writing to that effect, and the Parties will consult with each other regarding any actions to be taken with respect to such Competitive Infringement.</w:t>
      </w:r>
    </w:p>
    <w:p>
      <w:pPr>
        <w:spacing w:after="0" w:line="177" w:lineRule="exact"/>
        <w:rPr>
          <w:rFonts w:ascii="Arial" w:cs="Arial" w:eastAsia="Arial" w:hAnsi="Arial"/>
          <w:sz w:val="17"/>
          <w:szCs w:val="17"/>
          <w:color w:val="auto"/>
        </w:rPr>
      </w:pPr>
    </w:p>
    <w:p>
      <w:pPr>
        <w:ind w:left="-20" w:right="40" w:firstLine="656"/>
        <w:spacing w:after="0" w:line="261" w:lineRule="auto"/>
        <w:tabs>
          <w:tab w:leader="none" w:pos="1284"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Right to Enforce</w:t>
      </w:r>
      <w:r>
        <w:rPr>
          <w:rFonts w:ascii="Arial" w:cs="Arial" w:eastAsia="Arial" w:hAnsi="Arial"/>
          <w:sz w:val="18"/>
          <w:szCs w:val="18"/>
          <w:b w:val="1"/>
          <w:bCs w:val="1"/>
          <w:color w:val="auto"/>
        </w:rPr>
        <w:t>.</w:t>
      </w:r>
      <w:r>
        <w:rPr>
          <w:rFonts w:ascii="Arial" w:cs="Arial" w:eastAsia="Arial" w:hAnsi="Arial"/>
          <w:sz w:val="18"/>
          <w:szCs w:val="18"/>
          <w:color w:val="auto"/>
        </w:rPr>
        <w:t xml:space="preserve"> Fulcrum shall have the first right, but shall not be obligated, to bring and control an infringement action with respect to any Competitive Infringement of any GSK Patent, at Fulcrum’s sole cost and expense. If Fulcrum does not bring such an action with respect to a GSK Patent (or settle or otherwise secure the abatement of such infringement) prior to the earlier of: (i) [**] following GSK’s receipt or delivery of the notice under </w:t>
      </w:r>
      <w:r>
        <w:rPr>
          <w:rFonts w:ascii="Arial" w:cs="Arial" w:eastAsia="Arial" w:hAnsi="Arial"/>
          <w:sz w:val="18"/>
          <w:szCs w:val="18"/>
          <w:u w:val="single" w:color="auto"/>
          <w:color w:val="auto"/>
        </w:rPr>
        <w:t>Section 5.2(a)</w:t>
      </w:r>
      <w:r>
        <w:rPr>
          <w:rFonts w:ascii="Arial" w:cs="Arial" w:eastAsia="Arial" w:hAnsi="Arial"/>
          <w:sz w:val="18"/>
          <w:szCs w:val="18"/>
          <w:color w:val="auto"/>
        </w:rPr>
        <w:t>, or (ii) [**] before the deadline, if any, set forth in the applicable Laws for the filing of such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389" w:name="page390"/>
    <w:bookmarkEnd w:id="389"/>
    <w:p>
      <w:pPr>
        <w:spacing w:after="0"/>
        <w:rPr>
          <w:sz w:val="20"/>
          <w:szCs w:val="20"/>
          <w:color w:val="auto"/>
        </w:rPr>
      </w:pPr>
      <w:r>
        <w:rPr>
          <w:rFonts w:ascii="Arial" w:cs="Arial" w:eastAsia="Arial" w:hAnsi="Arial"/>
          <w:sz w:val="17"/>
          <w:szCs w:val="17"/>
          <w:color w:val="auto"/>
        </w:rPr>
        <w:t>actions, GSK shall have the right, but not the obligation, to bring and control any such action, at its own expense and by counsel of its own choice.</w:t>
      </w:r>
    </w:p>
    <w:p>
      <w:pPr>
        <w:spacing w:after="0" w:line="237" w:lineRule="exact"/>
        <w:rPr>
          <w:sz w:val="20"/>
          <w:szCs w:val="20"/>
          <w:color w:val="auto"/>
        </w:rPr>
      </w:pPr>
    </w:p>
    <w:p>
      <w:pPr>
        <w:ind w:firstLine="656"/>
        <w:spacing w:after="0" w:line="255" w:lineRule="auto"/>
        <w:tabs>
          <w:tab w:leader="none" w:pos="1307"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Each Party shall cooperate fully with the enforcing Party in such enforcement, at such enforcing Party’s request and expense, including joining such action as a party plaintiff if required by applicable Laws to pursue such action. The enforcing Party shall keep the other Party regularly informed of the status and progress of such enforcement efforts and shall reasonably consider the other Party’s comments on any such efforts. The non-enforcing Party shall be entitled to separate representation in such matter by counsel of its own choice and at its own expense, but such Party shall at all times cooperate fully with the enforcing Party. Neither Party shall have the right to settle any patent infringement litigation under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in a manner that diminishes the rights or interests of the other Party without the prior written consent of such other Party, such consent not to be unreasonably withheld, conditioned or delayed.</w:t>
      </w:r>
    </w:p>
    <w:p>
      <w:pPr>
        <w:spacing w:after="0" w:line="189" w:lineRule="exact"/>
        <w:rPr>
          <w:rFonts w:ascii="Arial" w:cs="Arial" w:eastAsia="Arial" w:hAnsi="Arial"/>
          <w:sz w:val="18"/>
          <w:szCs w:val="18"/>
          <w:color w:val="auto"/>
        </w:rPr>
      </w:pPr>
    </w:p>
    <w:p>
      <w:pPr>
        <w:ind w:firstLine="656"/>
        <w:spacing w:after="0" w:line="255" w:lineRule="auto"/>
        <w:tabs>
          <w:tab w:leader="none" w:pos="1304"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Expenses and Recoveries</w:t>
      </w:r>
      <w:r>
        <w:rPr>
          <w:rFonts w:ascii="Arial" w:cs="Arial" w:eastAsia="Arial" w:hAnsi="Arial"/>
          <w:sz w:val="18"/>
          <w:szCs w:val="18"/>
          <w:color w:val="auto"/>
        </w:rPr>
        <w:t xml:space="preserve">. The enforcing Party bringing a claim, suit or action under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solely responsible for any expenses incurred by such Party as a result of such claim, suit or action. If such Party recovers monetary damages in such claim, suit or action, except as otherwise agreed by the Parties in connection with a cost-sharing arrangement, such recovery shall be allocated first to the reimbursement of any expenses incurred by the Parties in such litigation, and any remaining amounts shall be shared as follows: the remaining amount of any such recovery shall be deemed Net Sales for the Calendar Quarter in which such recovery payment is received by the Parties, and GSK shall receive royalty payments on such amounts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GSK COVENANTS</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6"/>
          <w:szCs w:val="16"/>
          <w:b w:val="1"/>
          <w:bCs w:val="1"/>
          <w:u w:val="single" w:color="auto"/>
          <w:color w:val="auto"/>
        </w:rPr>
        <w:t>Representations and Warranties of Both Parties</w:t>
      </w:r>
      <w:r>
        <w:rPr>
          <w:rFonts w:ascii="Arial" w:cs="Arial" w:eastAsia="Arial" w:hAnsi="Arial"/>
          <w:sz w:val="16"/>
          <w:szCs w:val="16"/>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Party hereby represents and warrants to the other Party, as of the Effective Date, that:</w:t>
      </w:r>
    </w:p>
    <w:p>
      <w:pPr>
        <w:spacing w:after="0" w:line="225" w:lineRule="exact"/>
        <w:rPr>
          <w:sz w:val="20"/>
          <w:szCs w:val="20"/>
          <w:color w:val="auto"/>
        </w:rPr>
      </w:pPr>
    </w:p>
    <w:p>
      <w:pPr>
        <w:ind w:right="500" w:firstLine="656"/>
        <w:spacing w:after="0" w:line="277" w:lineRule="auto"/>
        <w:tabs>
          <w:tab w:leader="none" w:pos="129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Such Party is duly organized, validly existing and in good standing under the Laws of the jurisdiction of its incorporation and has full corporate power and authority to enter into this Agreement and to carry out the provisions hereof;</w:t>
      </w:r>
    </w:p>
    <w:p>
      <w:pPr>
        <w:spacing w:after="0" w:line="170" w:lineRule="exact"/>
        <w:rPr>
          <w:rFonts w:ascii="Arial" w:cs="Arial" w:eastAsia="Arial" w:hAnsi="Arial"/>
          <w:sz w:val="18"/>
          <w:szCs w:val="18"/>
          <w:color w:val="auto"/>
        </w:rPr>
      </w:pPr>
    </w:p>
    <w:p>
      <w:pPr>
        <w:ind w:right="260" w:firstLine="656"/>
        <w:spacing w:after="0" w:line="277" w:lineRule="auto"/>
        <w:tabs>
          <w:tab w:leader="none" w:pos="130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Such Party has taken all necessary action on its part to authorize the execution and delivery of this Agreement and the performance of its obligations hereunder;</w:t>
      </w:r>
    </w:p>
    <w:p>
      <w:pPr>
        <w:spacing w:after="0" w:line="170" w:lineRule="exact"/>
        <w:rPr>
          <w:rFonts w:ascii="Arial" w:cs="Arial" w:eastAsia="Arial" w:hAnsi="Arial"/>
          <w:sz w:val="18"/>
          <w:szCs w:val="18"/>
          <w:color w:val="auto"/>
        </w:rPr>
      </w:pPr>
    </w:p>
    <w:p>
      <w:pPr>
        <w:ind w:right="20" w:firstLine="656"/>
        <w:spacing w:after="0" w:line="277" w:lineRule="auto"/>
        <w:tabs>
          <w:tab w:leader="none" w:pos="130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on behalf of such Party, and constitutes a legal, valid, binding obligation, enforceable against it in accordance with the terms hereof;</w:t>
      </w:r>
    </w:p>
    <w:p>
      <w:pPr>
        <w:spacing w:after="0" w:line="170" w:lineRule="exact"/>
        <w:rPr>
          <w:rFonts w:ascii="Arial" w:cs="Arial" w:eastAsia="Arial" w:hAnsi="Arial"/>
          <w:sz w:val="18"/>
          <w:szCs w:val="18"/>
          <w:color w:val="auto"/>
        </w:rPr>
      </w:pPr>
    </w:p>
    <w:p>
      <w:pPr>
        <w:ind w:right="660" w:firstLine="656"/>
        <w:spacing w:after="0" w:line="308" w:lineRule="auto"/>
        <w:tabs>
          <w:tab w:leader="none" w:pos="1304"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by such Party does not and will not conflict with any agreement or any provision thereof, or any instrument or understanding, oral or written, to which it is or becomes a party or by which it is or becomes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0" w:name="page391"/>
    <w:bookmarkEnd w:id="390"/>
    <w:p>
      <w:pPr>
        <w:spacing w:after="0"/>
        <w:rPr>
          <w:sz w:val="20"/>
          <w:szCs w:val="20"/>
          <w:color w:val="auto"/>
        </w:rPr>
      </w:pPr>
      <w:r>
        <w:rPr>
          <w:rFonts w:ascii="Arial" w:cs="Arial" w:eastAsia="Arial" w:hAnsi="Arial"/>
          <w:sz w:val="17"/>
          <w:szCs w:val="17"/>
          <w:color w:val="auto"/>
        </w:rPr>
        <w:t>bound, nor violate any Law or regulation of any court, governmental body or administrative or other agency having jurisdiction over such Party; and</w:t>
      </w:r>
    </w:p>
    <w:p>
      <w:pPr>
        <w:spacing w:after="0" w:line="237" w:lineRule="exact"/>
        <w:rPr>
          <w:sz w:val="20"/>
          <w:szCs w:val="20"/>
          <w:color w:val="auto"/>
        </w:rPr>
      </w:pPr>
    </w:p>
    <w:p>
      <w:pPr>
        <w:ind w:right="20" w:firstLine="656"/>
        <w:spacing w:after="0" w:line="264" w:lineRule="auto"/>
        <w:tabs>
          <w:tab w:leader="none" w:pos="1307" w:val="left"/>
        </w:tabs>
        <w:numPr>
          <w:ilvl w:val="0"/>
          <w:numId w:val="285"/>
        </w:numPr>
        <w:rPr>
          <w:rFonts w:ascii="Arial" w:cs="Arial" w:eastAsia="Arial" w:hAnsi="Arial"/>
          <w:sz w:val="18"/>
          <w:szCs w:val="18"/>
          <w:color w:val="auto"/>
        </w:rPr>
      </w:pPr>
      <w:r>
        <w:rPr>
          <w:rFonts w:ascii="Arial" w:cs="Arial" w:eastAsia="Arial" w:hAnsi="Arial"/>
          <w:sz w:val="18"/>
          <w:szCs w:val="18"/>
          <w:color w:val="auto"/>
        </w:rPr>
        <w:t>No government authorization, consent, approval, license, exemption of, or filing or registration with any court or governmental department, commission, board, bureau, agency or instrumentality, domestic or foreign, under any Laws currently in effect, is necessary for its execution and delivery of this Agreement.</w:t>
      </w:r>
    </w:p>
    <w:p>
      <w:pPr>
        <w:spacing w:after="0" w:line="17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6"/>
          <w:szCs w:val="16"/>
          <w:b w:val="1"/>
          <w:bCs w:val="1"/>
          <w:u w:val="single" w:color="auto"/>
          <w:color w:val="auto"/>
        </w:rPr>
        <w:t>Additional Representations and Warranties of GSK</w:t>
      </w:r>
      <w:r>
        <w:rPr>
          <w:rFonts w:ascii="Arial" w:cs="Arial" w:eastAsia="Arial" w:hAnsi="Arial"/>
          <w:sz w:val="16"/>
          <w:szCs w:val="16"/>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GSK hereby represents and warrants to Fulcrum, as of the Effective Date, that:</w:t>
      </w:r>
    </w:p>
    <w:p>
      <w:pPr>
        <w:spacing w:after="0" w:line="225" w:lineRule="exact"/>
        <w:rPr>
          <w:sz w:val="20"/>
          <w:szCs w:val="20"/>
          <w:color w:val="auto"/>
        </w:rPr>
      </w:pPr>
    </w:p>
    <w:p>
      <w:pPr>
        <w:ind w:right="100" w:firstLine="656"/>
        <w:spacing w:after="0" w:line="277" w:lineRule="auto"/>
        <w:tabs>
          <w:tab w:leader="none" w:pos="129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GSK or its Affiliates Control the Losmapimod IND and the GSK Intellectual Property and is entitled to grant the rights and licenses under the Losmapimod IND and the GSK Intellectual Property specified herein;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GSK has not granted a right of reference to the Losmapimod IND or licensed the GSK Intellectual Property to any Third Party.</w:t>
      </w:r>
    </w:p>
    <w:p>
      <w:pPr>
        <w:spacing w:after="0" w:line="221"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6.3.</w:t>
      </w:r>
      <w:r>
        <w:rPr>
          <w:sz w:val="20"/>
          <w:szCs w:val="20"/>
          <w:color w:val="auto"/>
        </w:rPr>
        <w:tab/>
      </w:r>
      <w:r>
        <w:rPr>
          <w:rFonts w:ascii="Arial" w:cs="Arial" w:eastAsia="Arial" w:hAnsi="Arial"/>
          <w:sz w:val="16"/>
          <w:szCs w:val="16"/>
          <w:b w:val="1"/>
          <w:bCs w:val="1"/>
          <w:u w:val="single" w:color="auto"/>
          <w:color w:val="auto"/>
        </w:rPr>
        <w:t>GSK Covenants</w:t>
      </w:r>
      <w:r>
        <w:rPr>
          <w:rFonts w:ascii="Arial" w:cs="Arial" w:eastAsia="Arial" w:hAnsi="Arial"/>
          <w:sz w:val="16"/>
          <w:szCs w:val="16"/>
          <w:b w:val="1"/>
          <w:bCs w:val="1"/>
          <w:color w:val="auto"/>
        </w:rPr>
        <w:t>.</w:t>
      </w:r>
    </w:p>
    <w:p>
      <w:pPr>
        <w:spacing w:after="0" w:line="229" w:lineRule="exact"/>
        <w:rPr>
          <w:sz w:val="20"/>
          <w:szCs w:val="20"/>
          <w:color w:val="auto"/>
        </w:rPr>
      </w:pPr>
    </w:p>
    <w:p>
      <w:pPr>
        <w:ind w:left="1300" w:hanging="644"/>
        <w:spacing w:after="0"/>
        <w:tabs>
          <w:tab w:leader="none" w:pos="13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GSK shall not grant to any Third Party any rights that would be inconsistent with Fulcrum’s rights hereunder.</w:t>
      </w:r>
    </w:p>
    <w:p>
      <w:pPr>
        <w:spacing w:after="0" w:line="225" w:lineRule="exact"/>
        <w:rPr>
          <w:rFonts w:ascii="Arial" w:cs="Arial" w:eastAsia="Arial" w:hAnsi="Arial"/>
          <w:sz w:val="18"/>
          <w:szCs w:val="18"/>
          <w:color w:val="auto"/>
        </w:rPr>
      </w:pPr>
    </w:p>
    <w:p>
      <w:pPr>
        <w:ind w:right="620" w:firstLine="656"/>
        <w:spacing w:after="0" w:line="277" w:lineRule="auto"/>
        <w:tabs>
          <w:tab w:leader="none" w:pos="130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GSK shall not assign, transfer, convey or otherwise encumber its right, title and interest in and to the Losmapimod IND or the GSK Intellectual Property in a manner that conflicts with any rights granted to Fulcrum hereunder.</w:t>
      </w:r>
    </w:p>
    <w:p>
      <w:pPr>
        <w:spacing w:after="0" w:line="166"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6.4.</w:t>
      </w:r>
      <w:r>
        <w:rPr>
          <w:sz w:val="20"/>
          <w:szCs w:val="20"/>
          <w:color w:val="auto"/>
        </w:rPr>
        <w:tab/>
      </w:r>
      <w:r>
        <w:rPr>
          <w:rFonts w:ascii="Arial" w:cs="Arial" w:eastAsia="Arial" w:hAnsi="Arial"/>
          <w:sz w:val="16"/>
          <w:szCs w:val="16"/>
          <w:b w:val="1"/>
          <w:bCs w:val="1"/>
          <w:u w:val="single" w:color="auto"/>
          <w:color w:val="auto"/>
        </w:rPr>
        <w:t>Fulcrum Covenants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During the Term:</w:t>
      </w:r>
    </w:p>
    <w:p>
      <w:pPr>
        <w:spacing w:after="0" w:line="229" w:lineRule="exact"/>
        <w:rPr>
          <w:sz w:val="20"/>
          <w:szCs w:val="20"/>
          <w:color w:val="auto"/>
        </w:rPr>
      </w:pPr>
    </w:p>
    <w:p>
      <w:pPr>
        <w:ind w:right="300" w:firstLine="656"/>
        <w:spacing w:after="0" w:line="277" w:lineRule="auto"/>
        <w:tabs>
          <w:tab w:leader="none" w:pos="129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Fulcrum hereby covenants that it and its Affiliates shall use Commercially Reasonable Efforts to develop and commercialize a Licensed Product for FSHD in the Territory.</w:t>
      </w:r>
    </w:p>
    <w:p>
      <w:pPr>
        <w:spacing w:after="0" w:line="170" w:lineRule="exact"/>
        <w:rPr>
          <w:rFonts w:ascii="Arial" w:cs="Arial" w:eastAsia="Arial" w:hAnsi="Arial"/>
          <w:sz w:val="18"/>
          <w:szCs w:val="18"/>
          <w:color w:val="auto"/>
        </w:rPr>
      </w:pPr>
    </w:p>
    <w:p>
      <w:pPr>
        <w:ind w:right="100" w:firstLine="656"/>
        <w:spacing w:after="0" w:line="277" w:lineRule="auto"/>
        <w:tabs>
          <w:tab w:leader="none" w:pos="130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Fulcrum and its Affiliates shall conduct, and shall use Commercially Reasonable Efforts to cause its Sublicensees and Service Providers to conduct, all activities contemplated under this Agreement in accordance with applicable Law.</w:t>
      </w:r>
    </w:p>
    <w:p>
      <w:pPr>
        <w:spacing w:after="0" w:line="170" w:lineRule="exact"/>
        <w:rPr>
          <w:rFonts w:ascii="Arial" w:cs="Arial" w:eastAsia="Arial" w:hAnsi="Arial"/>
          <w:sz w:val="18"/>
          <w:szCs w:val="18"/>
          <w:color w:val="auto"/>
        </w:rPr>
      </w:pPr>
    </w:p>
    <w:p>
      <w:pPr>
        <w:ind w:right="240" w:firstLine="656"/>
        <w:spacing w:after="0" w:line="277" w:lineRule="auto"/>
        <w:tabs>
          <w:tab w:leader="none" w:pos="130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Fulcrum and its Affiliates will conduct its business and all activities with respect to the Licensed Product in compliance with the Foreign Corrupt Practices Act of 1977, the UK Bribery Act of 2010 and any other applicable anti-corruption laws.</w:t>
      </w:r>
    </w:p>
    <w:p>
      <w:pPr>
        <w:spacing w:after="0" w:line="170" w:lineRule="exact"/>
        <w:rPr>
          <w:rFonts w:ascii="Arial" w:cs="Arial" w:eastAsia="Arial" w:hAnsi="Arial"/>
          <w:sz w:val="18"/>
          <w:szCs w:val="18"/>
          <w:color w:val="auto"/>
        </w:rPr>
      </w:pPr>
    </w:p>
    <w:p>
      <w:pPr>
        <w:ind w:firstLine="656"/>
        <w:spacing w:after="0" w:line="257" w:lineRule="auto"/>
        <w:tabs>
          <w:tab w:leader="none" w:pos="130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Neither Fulcrum nor any of its Affiliates will knowingly use in any capacity in connection with the Exploitation of any Licensed Product, any Person who has been Debarred. Fulcrum shall notify GSK immediately upon becoming aware that any Person who is performing services with respect to any Licensed Product has been Debarred or if any claim is pending or, to the best of Fulcrum’s knowledge, threatened, relating to the Debarment of Fulcrum, its Affiliates or any Person in connection with the Exploitation of any Licensed Product. For the avoidance of doubt, neither Fulcrum nor any of its Affiliates shall have any liability to GSK or any of its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1" w:name="page392"/>
    <w:bookmarkEnd w:id="391"/>
    <w:p>
      <w:pPr>
        <w:ind w:right="120"/>
        <w:spacing w:after="0" w:line="259" w:lineRule="auto"/>
        <w:rPr>
          <w:sz w:val="20"/>
          <w:szCs w:val="20"/>
          <w:color w:val="auto"/>
        </w:rPr>
      </w:pPr>
      <w:r>
        <w:rPr>
          <w:rFonts w:ascii="Arial" w:cs="Arial" w:eastAsia="Arial" w:hAnsi="Arial"/>
          <w:sz w:val="18"/>
          <w:szCs w:val="18"/>
          <w:color w:val="auto"/>
        </w:rPr>
        <w:t>Affiliates as a result of any Debarred Person’s involvement in the Exploitation of any Licensed Product to the extent Fulcrum, having instituted the policies and procedures set forth in Section 6.4(e), had no knowledge of such Person’s Debarment or any claim (whether pending or threatened) relating to the Debarment of such Person, provided that Fulcrum takes prompt action to terminate such Debarred Person’s involvement in the Exploitation of any Licensed Product upon learning of such Debarment or claim relating to the Debarment of such Person.</w:t>
      </w:r>
    </w:p>
    <w:p>
      <w:pPr>
        <w:spacing w:after="0" w:line="187" w:lineRule="exact"/>
        <w:rPr>
          <w:sz w:val="20"/>
          <w:szCs w:val="20"/>
          <w:color w:val="auto"/>
        </w:rPr>
      </w:pPr>
    </w:p>
    <w:p>
      <w:pPr>
        <w:ind w:right="160" w:firstLine="656"/>
        <w:spacing w:after="0" w:line="308" w:lineRule="auto"/>
        <w:tabs>
          <w:tab w:leader="none" w:pos="1307" w:val="left"/>
        </w:tabs>
        <w:numPr>
          <w:ilvl w:val="0"/>
          <w:numId w:val="289"/>
        </w:numPr>
        <w:rPr>
          <w:rFonts w:ascii="Arial" w:cs="Arial" w:eastAsia="Arial" w:hAnsi="Arial"/>
          <w:sz w:val="17"/>
          <w:szCs w:val="17"/>
          <w:color w:val="auto"/>
        </w:rPr>
      </w:pPr>
      <w:r>
        <w:rPr>
          <w:rFonts w:ascii="Arial" w:cs="Arial" w:eastAsia="Arial" w:hAnsi="Arial"/>
          <w:sz w:val="17"/>
          <w:szCs w:val="17"/>
          <w:color w:val="auto"/>
        </w:rPr>
        <w:t>Fulcrum and its Affiliates will maintain internal policies and procedures designed to reasonably ensure that neither Fulcrum nor any of its Affiliates will knowingly use in any capacity in connection with the Exploitation of any Licensed Product, any Person who has been Debarred.</w:t>
      </w:r>
    </w:p>
    <w:p>
      <w:pPr>
        <w:spacing w:after="0" w:line="143"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6"/>
          <w:szCs w:val="16"/>
          <w:b w:val="1"/>
          <w:bCs w:val="1"/>
          <w:u w:val="single" w:color="auto"/>
          <w:color w:val="auto"/>
        </w:rPr>
        <w:t>No Other Warranties</w:t>
      </w:r>
      <w:r>
        <w:rPr>
          <w:rFonts w:ascii="Arial" w:cs="Arial" w:eastAsia="Arial" w:hAnsi="Arial"/>
          <w:sz w:val="16"/>
          <w:szCs w:val="16"/>
          <w:b w:val="1"/>
          <w:bCs w:val="1"/>
          <w:color w:val="auto"/>
        </w:rPr>
        <w:t>.</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EXCEPT AS OTHERWISE EXPRESSLY SET FORTH IN THIS AGREEMENT, NEITHER PARTY MAKES ANY REPRESENTATION OR WARRANTY OF ANY KIND, EITHER EXPRESS, IMPLIED, STATUTORY OR OTHERWISE, WITH RESPECT TO THE SUBJECT MATTER OF THIS AGREEMENT (INCLUDING, WITHOUT LIMITATION, THE DATA, LOSMAPIMOD IND, COMPOUND, ANY LICENSED PRODUCT OR GSK INTELLECTUAL PROPERTY), INCLUDING ANY WARRANTY OF MERCHANTABILITY, NONINFRINGEMENT, OR FITNESS FOR A PARTICULAR PURPOSE. EACH PARTY DISCLAIMS ANY REPRESENTATION OR WARRANTY THAT THE EXPLOITATION OF LICENSED PRODUCT PURSUANT TO THIS AGREEMENT WILL BE SUCCESSFUL.</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CONFIDENTIALITY</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w:t>
      </w:r>
    </w:p>
    <w:p>
      <w:pPr>
        <w:spacing w:after="0" w:line="229" w:lineRule="exact"/>
        <w:rPr>
          <w:sz w:val="20"/>
          <w:szCs w:val="20"/>
          <w:color w:val="auto"/>
        </w:rPr>
      </w:pPr>
    </w:p>
    <w:p>
      <w:pPr>
        <w:ind w:right="20" w:firstLine="656"/>
        <w:spacing w:after="0" w:line="269" w:lineRule="auto"/>
        <w:tabs>
          <w:tab w:leader="none" w:pos="1294"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During the Term and for [**] thereafter, each Party shall maintain Confidential Information (as defined in </w:t>
      </w:r>
      <w:r>
        <w:rPr>
          <w:rFonts w:ascii="Arial" w:cs="Arial" w:eastAsia="Arial" w:hAnsi="Arial"/>
          <w:sz w:val="17"/>
          <w:szCs w:val="17"/>
          <w:u w:val="single" w:color="auto"/>
          <w:color w:val="auto"/>
        </w:rPr>
        <w:t>Section 7.1(b)</w:t>
      </w:r>
      <w:r>
        <w:rPr>
          <w:rFonts w:ascii="Arial" w:cs="Arial" w:eastAsia="Arial" w:hAnsi="Arial"/>
          <w:sz w:val="17"/>
          <w:szCs w:val="17"/>
          <w:color w:val="auto"/>
        </w:rPr>
        <w:t>) of the other Party in confidence, and shall not disclose, divulge or otherwise communicate such Confidential Information to others (except for agents, directors, officers, employees, consultants, subcontractors, Affiliates, advisors, licensees, sublicensees, partners and potential licensees, sublicensees and partners (collectively, “</w:t>
      </w:r>
      <w:r>
        <w:rPr>
          <w:rFonts w:ascii="Arial" w:cs="Arial" w:eastAsia="Arial" w:hAnsi="Arial"/>
          <w:sz w:val="17"/>
          <w:szCs w:val="17"/>
          <w:u w:val="single" w:color="auto"/>
          <w:color w:val="auto"/>
        </w:rPr>
        <w:t>Agents</w:t>
      </w:r>
      <w:r>
        <w:rPr>
          <w:rFonts w:ascii="Arial" w:cs="Arial" w:eastAsia="Arial" w:hAnsi="Arial"/>
          <w:sz w:val="17"/>
          <w:szCs w:val="17"/>
          <w:color w:val="auto"/>
        </w:rPr>
        <w:t xml:space="preserve">”) under obligations of confidentiality at least as restrictive as set forth in this Article VII) or use it for any purpose other than in connection with the Exploitation of the Compound or any Licensed Product pursuant to this Agreement, and each Party shall exercise commercially reasonable efforts to prevent the unauthorized disclosure of such Confidential Information by any of its Agents, which efforts shall be at least as diligent as those generally used by such Party in protecting its own confidential and proprietary information. Each Party will be responsible for a breach of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by its Agents. For clarity, Fulcrum may disclose Confidential Information of GSK (a) to governmental authorities (i) to the extent desirable to obtain or maintain INDs or regulatory approvals for the Compound or any Licensed Product within the Territory and (ii) in order to respond to inquiries, requests or investigations by governmental authorities; (b) to outside consultants, scientific advisory boards, managed care organizations, and non-clinical and clinical investigators to the extent necessary to Exploit the Compound or</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2" w:name="page393"/>
    <w:bookmarkEnd w:id="392"/>
    <w:p>
      <w:pPr>
        <w:ind w:right="180"/>
        <w:spacing w:after="0" w:line="312" w:lineRule="auto"/>
        <w:rPr>
          <w:sz w:val="20"/>
          <w:szCs w:val="20"/>
          <w:color w:val="auto"/>
        </w:rPr>
      </w:pPr>
      <w:r>
        <w:rPr>
          <w:rFonts w:ascii="Arial" w:cs="Arial" w:eastAsia="Arial" w:hAnsi="Arial"/>
          <w:sz w:val="16"/>
          <w:szCs w:val="16"/>
          <w:color w:val="auto"/>
        </w:rPr>
        <w:t xml:space="preserve">any Licensed Product; (c) to the extent useful to develop, manufacture and commercialize the Compound or any Licensed Product; and (d) to the extent necessary or useful in order to enjoy its rights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Fulcrum shall obtain the same confidentiality obligations from any Third Parties to which it discloses the Confidential Information of GSK as it obtains with respect to its own similar types of confidential information.</w:t>
      </w:r>
    </w:p>
    <w:p>
      <w:pPr>
        <w:spacing w:after="0" w:line="147" w:lineRule="exact"/>
        <w:rPr>
          <w:sz w:val="20"/>
          <w:szCs w:val="20"/>
          <w:color w:val="auto"/>
        </w:rPr>
      </w:pPr>
    </w:p>
    <w:p>
      <w:pPr>
        <w:ind w:firstLine="656"/>
        <w:spacing w:after="0" w:line="273" w:lineRule="auto"/>
        <w:tabs>
          <w:tab w:leader="none" w:pos="1304"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all trade secrets or other proprietary information, including any proprietary data and materials (whether or not patentable or protectable as a trade secret), regarding a Party’s or its Affiliate’s or licensor’s technology, products, business, financial status or prospects or objectives regarding the Licensed Products that is disclosed by a Party to the other Party. All information disclosed prior to the Effective Date by a Party to the other Party pursuant to the Mutual Non-Disclosure Agreement by and between the Parties, dated as of June 4, 2018 through the Effective Date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shall be deemed “Confidential Information” of such disclosing Party. Notwithstanding the foregoing, there shall be excluded from the foregoing definition of Confidential Information any of the foregoing that:</w:t>
      </w:r>
    </w:p>
    <w:p>
      <w:pPr>
        <w:spacing w:after="0" w:line="178" w:lineRule="exact"/>
        <w:rPr>
          <w:rFonts w:ascii="Arial" w:cs="Arial" w:eastAsia="Arial" w:hAnsi="Arial"/>
          <w:sz w:val="17"/>
          <w:szCs w:val="17"/>
          <w:color w:val="auto"/>
        </w:rPr>
      </w:pPr>
    </w:p>
    <w:p>
      <w:pPr>
        <w:ind w:left="660" w:right="200" w:firstLine="645"/>
        <w:spacing w:after="0" w:line="277" w:lineRule="auto"/>
        <w:tabs>
          <w:tab w:leader="none" w:pos="1978" w:val="left"/>
        </w:tabs>
        <w:numPr>
          <w:ilvl w:val="1"/>
          <w:numId w:val="291"/>
        </w:numPr>
        <w:rPr>
          <w:rFonts w:ascii="Arial" w:cs="Arial" w:eastAsia="Arial" w:hAnsi="Arial"/>
          <w:sz w:val="18"/>
          <w:szCs w:val="18"/>
          <w:color w:val="auto"/>
        </w:rPr>
      </w:pPr>
      <w:r>
        <w:rPr>
          <w:rFonts w:ascii="Arial" w:cs="Arial" w:eastAsia="Arial" w:hAnsi="Arial"/>
          <w:sz w:val="18"/>
          <w:szCs w:val="18"/>
          <w:color w:val="auto"/>
        </w:rPr>
        <w:t>either before or after the date of the disclosure to the receiving Party is lawfully disclosed to the receiving Party by a Third Party without any violation of any obligation to the other Party; or</w:t>
      </w:r>
    </w:p>
    <w:p>
      <w:pPr>
        <w:spacing w:after="0" w:line="170" w:lineRule="exact"/>
        <w:rPr>
          <w:rFonts w:ascii="Arial" w:cs="Arial" w:eastAsia="Arial" w:hAnsi="Arial"/>
          <w:sz w:val="18"/>
          <w:szCs w:val="18"/>
          <w:color w:val="auto"/>
        </w:rPr>
      </w:pPr>
    </w:p>
    <w:p>
      <w:pPr>
        <w:ind w:left="660" w:right="80" w:firstLine="645"/>
        <w:spacing w:after="0" w:line="277" w:lineRule="auto"/>
        <w:tabs>
          <w:tab w:leader="none" w:pos="1987" w:val="left"/>
        </w:tabs>
        <w:numPr>
          <w:ilvl w:val="1"/>
          <w:numId w:val="291"/>
        </w:numPr>
        <w:rPr>
          <w:rFonts w:ascii="Arial" w:cs="Arial" w:eastAsia="Arial" w:hAnsi="Arial"/>
          <w:sz w:val="18"/>
          <w:szCs w:val="18"/>
          <w:color w:val="auto"/>
        </w:rPr>
      </w:pPr>
      <w:r>
        <w:rPr>
          <w:rFonts w:ascii="Arial" w:cs="Arial" w:eastAsia="Arial" w:hAnsi="Arial"/>
          <w:sz w:val="18"/>
          <w:szCs w:val="18"/>
          <w:color w:val="auto"/>
        </w:rPr>
        <w:t>either before or after the date of the disclosure to the receiving Party, becomes published or generally known to the public through no fault or omission on the part of the receiving Party or its Agents; or</w:t>
      </w:r>
    </w:p>
    <w:p>
      <w:pPr>
        <w:spacing w:after="0" w:line="170" w:lineRule="exact"/>
        <w:rPr>
          <w:rFonts w:ascii="Arial" w:cs="Arial" w:eastAsia="Arial" w:hAnsi="Arial"/>
          <w:sz w:val="18"/>
          <w:szCs w:val="18"/>
          <w:color w:val="auto"/>
        </w:rPr>
      </w:pPr>
    </w:p>
    <w:p>
      <w:pPr>
        <w:ind w:left="660" w:right="140" w:firstLine="645"/>
        <w:spacing w:after="0" w:line="277" w:lineRule="auto"/>
        <w:tabs>
          <w:tab w:leader="none" w:pos="1997" w:val="left"/>
        </w:tabs>
        <w:numPr>
          <w:ilvl w:val="1"/>
          <w:numId w:val="291"/>
        </w:numPr>
        <w:rPr>
          <w:rFonts w:ascii="Arial" w:cs="Arial" w:eastAsia="Arial" w:hAnsi="Arial"/>
          <w:sz w:val="18"/>
          <w:szCs w:val="18"/>
          <w:color w:val="auto"/>
        </w:rPr>
      </w:pPr>
      <w:r>
        <w:rPr>
          <w:rFonts w:ascii="Arial" w:cs="Arial" w:eastAsia="Arial" w:hAnsi="Arial"/>
          <w:sz w:val="18"/>
          <w:szCs w:val="18"/>
          <w:color w:val="auto"/>
        </w:rPr>
        <w:t>is independently developed by or for the receiving Party without reference to or reliance upon the disclosing Party’s Confidential Information as demonstrated by contemporaneous written records of the receiving Party.</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Notwithstanding the foregoing, the receiving Party may disclose the disclosing Party’s Confidential Information if it is required to be disclosed to comply with applicable Laws, to defend or prosecute litigation or to comply with governmental regulations or the regulations or requirements of any stock exchange,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receiving Party promptly provides prior notice of such disclosure to the other Party and uses commercially reasonable efforts to avoid or</w:t>
      </w:r>
      <w:r>
        <w:rPr>
          <w:rFonts w:ascii="Arial" w:cs="Arial" w:eastAsia="Arial" w:hAnsi="Arial"/>
          <w:sz w:val="18"/>
          <w:szCs w:val="18"/>
          <w:i w:val="1"/>
          <w:iCs w:val="1"/>
          <w:color w:val="auto"/>
        </w:rPr>
        <w:t xml:space="preserve"> </w:t>
      </w:r>
      <w:r>
        <w:rPr>
          <w:rFonts w:ascii="Arial" w:cs="Arial" w:eastAsia="Arial" w:hAnsi="Arial"/>
          <w:sz w:val="18"/>
          <w:szCs w:val="18"/>
          <w:color w:val="auto"/>
        </w:rPr>
        <w:t>minimize the degree of such disclosure.</w:t>
      </w:r>
    </w:p>
    <w:p>
      <w:pPr>
        <w:spacing w:after="0" w:line="187" w:lineRule="exact"/>
        <w:rPr>
          <w:sz w:val="20"/>
          <w:szCs w:val="20"/>
          <w:color w:val="auto"/>
        </w:rPr>
      </w:pPr>
    </w:p>
    <w:p>
      <w:pPr>
        <w:ind w:firstLine="656"/>
        <w:spacing w:after="0" w:line="255" w:lineRule="auto"/>
        <w:tabs>
          <w:tab w:leader="none" w:pos="1307"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Terms of this Agreement</w:t>
      </w:r>
      <w:r>
        <w:rPr>
          <w:rFonts w:ascii="Arial" w:cs="Arial" w:eastAsia="Arial" w:hAnsi="Arial"/>
          <w:sz w:val="18"/>
          <w:szCs w:val="18"/>
          <w:color w:val="auto"/>
        </w:rPr>
        <w:t>. Neither Party may disclose the terms of this Agreement except to the extent required to comply with applicable Laws or legal process, including the rules and regulations of the U.S. Securities and Exchange Commission, or similar agency in any country other than the United States, or of any stock exchange, including Nasdaq. Notwithstanding the foregoing, before disclosing the terms of this Agreement with respect to any filings with the U.S. Securities and Exchange Commission or similar agency in any country other than the United States or of any stock exchange, including Nasdaq, on which securities issued by a Party or a Party’s Affiliate are traded, the Parties will, prior to any such disclosure, agree upon the redaction of certain provisions of this Agreement, and each Party will use commercially reasonable efforts to seek confidential treatment for such terms as may be reasonably requested by the other Party.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3" w:name="page394"/>
    <w:bookmarkEnd w:id="393"/>
    <w:p>
      <w:pPr>
        <w:ind w:right="120" w:firstLine="656"/>
        <w:spacing w:after="0" w:line="255" w:lineRule="auto"/>
        <w:tabs>
          <w:tab w:leader="none" w:pos="1304"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Return of Confidential Information</w:t>
      </w:r>
      <w:r>
        <w:rPr>
          <w:rFonts w:ascii="Arial" w:cs="Arial" w:eastAsia="Arial" w:hAnsi="Arial"/>
          <w:sz w:val="18"/>
          <w:szCs w:val="18"/>
          <w:color w:val="auto"/>
        </w:rPr>
        <w:t xml:space="preserve">. Upon the termination of this Agreement (other than on expiration of this Agreement following which Fulcrum’s license rights hereunder survive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each Party shall return the other Party’s Confidential Information or destroy the other Party’s Confidential Information at the other Party’s request; provided, that each Party may retain one (1) copy of the other Party’s Confidential Information for archival purposes only and neither Party shall be required to return or destroy Confidential Information of the other Party stored on automatically created back-up computer systems. Notwithstanding the foregoing, each Party shall continue to be bound by its obligations of confidentiality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right="20" w:firstLine="656"/>
        <w:spacing w:after="0" w:line="255" w:lineRule="auto"/>
        <w:tabs>
          <w:tab w:leader="none" w:pos="1307"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Publicity</w:t>
      </w:r>
      <w:r>
        <w:rPr>
          <w:rFonts w:ascii="Arial" w:cs="Arial" w:eastAsia="Arial" w:hAnsi="Arial"/>
          <w:sz w:val="18"/>
          <w:szCs w:val="18"/>
          <w:color w:val="auto"/>
        </w:rPr>
        <w:t xml:space="preserve">. The Parties agree that following the Effective Date Fulcrum may issue a mutually agreed press release announcing the execution of this Agreement. Any press release or other public announcement relating to the terms of this Agreement will first be reviewed and approved in writing by both Parties, such approval not to be unreasonably withheld;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disclosure the minimum information of which is required by applicable Law (including the rules of a securities exchange), as reasonably advised by the disclosing Party’s counsel, may be made without the prior consent of the other Party, although the other Party will be given prompt notice of any such legally required disclosure and to the extent practicable will be provided an opportunity to comment on the proposed disclosure and the disclosing Party will consider in good faith any comments provided by the other Party on such proposed disclosure.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6"/>
          <w:szCs w:val="16"/>
          <w:b w:val="1"/>
          <w:bCs w:val="1"/>
          <w:u w:val="single" w:color="auto"/>
          <w:color w:val="auto"/>
        </w:rPr>
        <w:t>Indemnification by GSK</w:t>
      </w:r>
      <w:r>
        <w:rPr>
          <w:rFonts w:ascii="Arial" w:cs="Arial" w:eastAsia="Arial" w:hAnsi="Arial"/>
          <w:sz w:val="16"/>
          <w:szCs w:val="16"/>
          <w:b w:val="1"/>
          <w:bCs w:val="1"/>
          <w:color w:val="auto"/>
        </w:rPr>
        <w:t>.</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GSK will defend, indemnify and hold harmless Fulcrum, its Affiliates and its and their respective directors, officers, employees and agents (each a “</w:t>
      </w:r>
      <w:r>
        <w:rPr>
          <w:rFonts w:ascii="Arial" w:cs="Arial" w:eastAsia="Arial" w:hAnsi="Arial"/>
          <w:sz w:val="18"/>
          <w:szCs w:val="18"/>
          <w:u w:val="single" w:color="auto"/>
          <w:color w:val="auto"/>
        </w:rPr>
        <w:t>Fulcrum Indemnitee</w:t>
      </w:r>
      <w:r>
        <w:rPr>
          <w:rFonts w:ascii="Arial" w:cs="Arial" w:eastAsia="Arial" w:hAnsi="Arial"/>
          <w:sz w:val="18"/>
          <w:szCs w:val="18"/>
          <w:color w:val="auto"/>
        </w:rPr>
        <w:t>”) from and against any and all Third Party Claims (including without limitation reasonable attorneys’ fees and court costs) that constitute, or arise out of or in connection with:</w:t>
      </w:r>
    </w:p>
    <w:p>
      <w:pPr>
        <w:spacing w:after="0" w:line="181" w:lineRule="exact"/>
        <w:rPr>
          <w:sz w:val="20"/>
          <w:szCs w:val="20"/>
          <w:color w:val="auto"/>
        </w:rPr>
      </w:pPr>
    </w:p>
    <w:p>
      <w:pPr>
        <w:ind w:left="1300" w:hanging="644"/>
        <w:spacing w:after="0"/>
        <w:tabs>
          <w:tab w:leader="none" w:pos="13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any misrepresentation or breach of warranty made by GSK under </w:t>
      </w:r>
      <w:r>
        <w:rPr>
          <w:rFonts w:ascii="Arial" w:cs="Arial" w:eastAsia="Arial" w:hAnsi="Arial"/>
          <w:sz w:val="18"/>
          <w:szCs w:val="18"/>
          <w:u w:val="single" w:color="auto"/>
          <w:color w:val="auto"/>
        </w:rPr>
        <w:t>Sections 6.1 and 6.2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default by GSK or its Affiliates in the performance or observance of any of its covenants or agreements hereunder;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negligence or willful misconduct of any of GSK or its Affiliates in connection with GSK’s performance of this Agreement;</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except, in each case ((a)-(c)) for those Third Party Claims for which Fulcrum, in whole or in part, has an obligation to indemnify GSK pursuant to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hereof, as to which Third Party Claims each Party shall indemnify the other to the extent of their respective Liability for the Third Party Claim.</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4" w:name="page395"/>
    <w:bookmarkEnd w:id="394"/>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8.2.</w:t>
      </w:r>
      <w:r>
        <w:rPr>
          <w:sz w:val="20"/>
          <w:szCs w:val="20"/>
          <w:color w:val="auto"/>
        </w:rPr>
        <w:tab/>
      </w:r>
      <w:r>
        <w:rPr>
          <w:rFonts w:ascii="Arial" w:cs="Arial" w:eastAsia="Arial" w:hAnsi="Arial"/>
          <w:sz w:val="16"/>
          <w:szCs w:val="16"/>
          <w:b w:val="1"/>
          <w:bCs w:val="1"/>
          <w:u w:val="single" w:color="auto"/>
          <w:color w:val="auto"/>
        </w:rPr>
        <w:t>Indemnification by Fulcrum</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Fulcrum will defend, indemnify and hold harmless GSK, its Affiliates and its and their respective directors, officers, employees and agents (each a “</w:t>
      </w:r>
      <w:r>
        <w:rPr>
          <w:rFonts w:ascii="Arial" w:cs="Arial" w:eastAsia="Arial" w:hAnsi="Arial"/>
          <w:sz w:val="18"/>
          <w:szCs w:val="18"/>
          <w:u w:val="single" w:color="auto"/>
          <w:color w:val="auto"/>
        </w:rPr>
        <w:t>GSK Indemnitee</w:t>
      </w:r>
      <w:r>
        <w:rPr>
          <w:rFonts w:ascii="Arial" w:cs="Arial" w:eastAsia="Arial" w:hAnsi="Arial"/>
          <w:sz w:val="18"/>
          <w:szCs w:val="18"/>
          <w:color w:val="auto"/>
        </w:rPr>
        <w:t>”) from and against any and all Third Party Claims (including without limitation reasonable attorneys’ fees and court costs) that constitute, or arise out of or in connection with:</w:t>
      </w:r>
    </w:p>
    <w:p>
      <w:pPr>
        <w:spacing w:after="0" w:line="181" w:lineRule="exact"/>
        <w:rPr>
          <w:sz w:val="20"/>
          <w:szCs w:val="20"/>
          <w:color w:val="auto"/>
        </w:rPr>
      </w:pPr>
    </w:p>
    <w:p>
      <w:pPr>
        <w:ind w:left="1300" w:hanging="644"/>
        <w:spacing w:after="0"/>
        <w:tabs>
          <w:tab w:leader="none" w:pos="13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any misrepresentation or breach of warranty made by Fulcrum under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any default by Fulcrum, its Affiliates or any Sublicensees in the performance or observance of any of its covenants or agreements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hereunder;</w:t>
      </w:r>
    </w:p>
    <w:p>
      <w:pPr>
        <w:spacing w:after="0" w:line="210" w:lineRule="exact"/>
        <w:rPr>
          <w:rFonts w:ascii="Arial" w:cs="Arial" w:eastAsia="Arial" w:hAnsi="Arial"/>
          <w:sz w:val="17"/>
          <w:szCs w:val="17"/>
          <w:color w:val="auto"/>
        </w:rPr>
      </w:pPr>
    </w:p>
    <w:p>
      <w:pPr>
        <w:ind w:right="100" w:firstLine="656"/>
        <w:spacing w:after="0" w:line="264" w:lineRule="auto"/>
        <w:tabs>
          <w:tab w:leader="none" w:pos="1307"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Exploitation of the Compound or Licensed Products by Fulcrum, its Affiliates or Sublicensees, including all Third Party Claims involving death or bodily injury caused or allegedly caused as a result of the Exploitation of the Compound or Licensed Products by Fulcrum or its Affiliates or its Sublicensees inside the Territory;</w:t>
      </w:r>
    </w:p>
    <w:p>
      <w:pPr>
        <w:spacing w:after="0" w:line="181" w:lineRule="exact"/>
        <w:rPr>
          <w:rFonts w:ascii="Arial" w:cs="Arial" w:eastAsia="Arial" w:hAnsi="Arial"/>
          <w:sz w:val="18"/>
          <w:szCs w:val="18"/>
          <w:color w:val="auto"/>
        </w:rPr>
      </w:pPr>
    </w:p>
    <w:p>
      <w:pPr>
        <w:ind w:right="20" w:firstLine="656"/>
        <w:spacing w:after="0" w:line="264" w:lineRule="auto"/>
        <w:tabs>
          <w:tab w:leader="none" w:pos="130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any actual or alleged infringement of any trademark, patent right or other intellectual property right, or misappropriation of any trade secret, of any Third Party as a result of the Exploitation of the Compound or Licensed Products by Fulcrum or its Affiliates or its Sublicensees inside the Territory; or</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the negligence or willful misconduct of any of Fulcrum, its Affiliates or Sublicensees in connection with Fulcrum’s performance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except, in each case ((a)-(e)) for those Third Party Claims for which GSK, in whole or in part, has an obligation to indemnify Fulcrum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hereof, as to which Third Party Claims each Party shall indemnify the other to the extent of their respective Liability for the Third Party Claim.</w:t>
      </w:r>
    </w:p>
    <w:p>
      <w:pPr>
        <w:spacing w:after="0" w:line="120"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8.3.</w:t>
      </w:r>
      <w:r>
        <w:rPr>
          <w:sz w:val="20"/>
          <w:szCs w:val="20"/>
          <w:color w:val="auto"/>
        </w:rPr>
        <w:tab/>
      </w:r>
      <w:r>
        <w:rPr>
          <w:rFonts w:ascii="Arial" w:cs="Arial" w:eastAsia="Arial" w:hAnsi="Arial"/>
          <w:sz w:val="16"/>
          <w:szCs w:val="16"/>
          <w:b w:val="1"/>
          <w:bCs w:val="1"/>
          <w:u w:val="single" w:color="auto"/>
          <w:color w:val="auto"/>
        </w:rPr>
        <w:t>Procedure</w:t>
      </w:r>
      <w:r>
        <w:rPr>
          <w:rFonts w:ascii="Arial" w:cs="Arial" w:eastAsia="Arial" w:hAnsi="Arial"/>
          <w:sz w:val="16"/>
          <w:szCs w:val="16"/>
          <w:b w:val="1"/>
          <w:bCs w:val="1"/>
          <w:color w:val="auto"/>
        </w:rPr>
        <w:t>.</w:t>
      </w:r>
    </w:p>
    <w:p>
      <w:pPr>
        <w:spacing w:after="0" w:line="229" w:lineRule="exact"/>
        <w:rPr>
          <w:sz w:val="20"/>
          <w:szCs w:val="20"/>
          <w:color w:val="auto"/>
        </w:rPr>
      </w:pPr>
    </w:p>
    <w:p>
      <w:pPr>
        <w:ind w:right="60" w:firstLine="656"/>
        <w:spacing w:after="0" w:line="276" w:lineRule="auto"/>
        <w:tabs>
          <w:tab w:leader="none" w:pos="1294"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A Fulcrum Indemnitee or a GSK Indemnitee seeking indemnification pursuant to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shall give prompt written notice to the Party from whom indemnification is sought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of the commencement or assertion of any Third Party Claim for which indemnification may be sought (it being understood and agreed, however, that the failure by an Indemnified Party to give notice of a Third Party Claim as provided in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shall not relieve the Indemnifying Party of its indemnification obligation under this Agreement except and only to the extent that such Indemnifying Party is actually prejudiced as a result of such failure to give notice).</w:t>
      </w:r>
    </w:p>
    <w:p>
      <w:pPr>
        <w:spacing w:after="0" w:line="172" w:lineRule="exact"/>
        <w:rPr>
          <w:rFonts w:ascii="Arial" w:cs="Arial" w:eastAsia="Arial" w:hAnsi="Arial"/>
          <w:sz w:val="17"/>
          <w:szCs w:val="17"/>
          <w:color w:val="auto"/>
        </w:rPr>
      </w:pPr>
    </w:p>
    <w:p>
      <w:pPr>
        <w:ind w:right="120" w:firstLine="656"/>
        <w:spacing w:after="0" w:line="297" w:lineRule="auto"/>
        <w:tabs>
          <w:tab w:leader="none" w:pos="1304" w:val="left"/>
        </w:tabs>
        <w:numPr>
          <w:ilvl w:val="0"/>
          <w:numId w:val="296"/>
        </w:numPr>
        <w:rPr>
          <w:rFonts w:ascii="Arial" w:cs="Arial" w:eastAsia="Arial" w:hAnsi="Arial"/>
          <w:sz w:val="16"/>
          <w:szCs w:val="16"/>
          <w:color w:val="auto"/>
        </w:rPr>
      </w:pPr>
      <w:r>
        <w:rPr>
          <w:rFonts w:ascii="Arial" w:cs="Arial" w:eastAsia="Arial" w:hAnsi="Arial"/>
          <w:sz w:val="16"/>
          <w:szCs w:val="16"/>
          <w:color w:val="auto"/>
        </w:rPr>
        <w:t>Within [**] after delivery of such notification, the Indemnifying Party may, upon written notice thereof to the Indemnified Party, assume control of the defense of such Third Party Claim with counsel reasonably satisfactory to the Indemnified Party. If the Indemnifying Party does not assume control of such defense, the Indemnified Party shall control such defense and, without limiting the Indemnifying Party’s indemnification obligations, the Indemnifying Party shall reimburse the Indemnified Party for all costs and expenses, including reasonable attorneys’ fees and disbursements, incurred by the Indemnified Party in defending itself within [**] after receipt of any invoice therefor from the Indemnified Party. The Party not controlling such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defense may participate therein at its own expense;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Indemnifying Party assumes control of such defense and the Indemnified Party in good faith concludes, based on written advice from outside counsel, that the Indemnifying Party and the Indemnified Party have conflicting interests with respect to such Third Party Claim sufficiently adverse to make unadvisable the representation by the same counsel of both Parties under Law, ethical rules or equitable principles, the Indemnifying Party shall be responsible for the reasonable fees and expenses of a single counsel to the Indemnified Party in connection therewith. The Party controlling such defense shall keep the other Party advised of the status of such Third Party Claim and the defense thereof and shall consider recommendations made by the other Party with respect thereto.</w:t>
      </w:r>
    </w:p>
    <w:p>
      <w:pPr>
        <w:spacing w:after="0" w:line="178" w:lineRule="exact"/>
        <w:rPr>
          <w:sz w:val="20"/>
          <w:szCs w:val="20"/>
          <w:color w:val="auto"/>
        </w:rPr>
      </w:pPr>
    </w:p>
    <w:p>
      <w:pPr>
        <w:ind w:right="80" w:firstLine="656"/>
        <w:spacing w:after="0" w:line="291" w:lineRule="auto"/>
        <w:tabs>
          <w:tab w:leader="none" w:pos="1307"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The Indemnified Party shall not agree to any settlement of such Third Party Claim without the prior written consent of the Indemnifying Party, which consent shall not be unreasonably withheld, delayed or conditioned;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if the Indemnifying Party does not assume the defense of such Third Party Claim in accordance with </w:t>
      </w:r>
      <w:r>
        <w:rPr>
          <w:rFonts w:ascii="Arial" w:cs="Arial" w:eastAsia="Arial" w:hAnsi="Arial"/>
          <w:sz w:val="16"/>
          <w:szCs w:val="16"/>
          <w:u w:val="single" w:color="auto"/>
          <w:color w:val="auto"/>
        </w:rPr>
        <w:t>Section 8.3(b)</w:t>
      </w:r>
      <w:r>
        <w:rPr>
          <w:rFonts w:ascii="Arial" w:cs="Arial" w:eastAsia="Arial" w:hAnsi="Arial"/>
          <w:sz w:val="16"/>
          <w:szCs w:val="16"/>
          <w:color w:val="auto"/>
        </w:rPr>
        <w:t>, the Indemnified Party may thereafter agree to a settlement of such Third Party Claim that does not impose obligations on the Indemnifying Party that are more burdensome than the Indemnifying Party’s indemnification obligations under this Agreement. The Indemnifying Party shall not agree to any settlement of such Third Party Claim or consent to any judgment in respect thereof that does not include a complete and unconditional release of the Indemnified Party from all liability with respect thereto, that imposes any liability or obligation on the Indemnified Party or that acknowledges fault by the Indemnified Party, without the prior written consent of the Indemnified Party.</w:t>
      </w:r>
    </w:p>
    <w:p>
      <w:pPr>
        <w:spacing w:after="0" w:line="167" w:lineRule="exact"/>
        <w:rPr>
          <w:rFonts w:ascii="Arial" w:cs="Arial" w:eastAsia="Arial" w:hAnsi="Arial"/>
          <w:sz w:val="16"/>
          <w:szCs w:val="16"/>
          <w:color w:val="auto"/>
        </w:rPr>
      </w:pPr>
    </w:p>
    <w:p>
      <w:pPr>
        <w:ind w:right="120" w:firstLine="656"/>
        <w:spacing w:after="0" w:line="293" w:lineRule="auto"/>
        <w:tabs>
          <w:tab w:leader="none" w:pos="1304"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Any indemnification hereunder for a Third Party Claim shall be made net of any insurance proceeds actually recovered by the Indemnified Party from unaffiliated Third Parties for such Third Party Claim to the extent that such insurance proceeds actually reduce the amount of such Third Party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following the indemnification payment to the Indemnified Party of any amount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such Indemnified Party recovers any such insurance proceeds in respect of the Third Party Claim for which such indemnification payment was made, the Indemnified Party shall promptly pay the Indemnifying Party an amount equal to the excess of the indemnification payment received over the amount of the indemnification payment that would have been due if the insurance proceeds had been received, realized or recovered before the indemnification payment was made.</w:t>
      </w:r>
    </w:p>
    <w:p>
      <w:pPr>
        <w:spacing w:after="0" w:line="164" w:lineRule="exact"/>
        <w:rPr>
          <w:rFonts w:ascii="Arial" w:cs="Arial" w:eastAsia="Arial" w:hAnsi="Arial"/>
          <w:sz w:val="16"/>
          <w:szCs w:val="16"/>
          <w:color w:val="auto"/>
        </w:rPr>
      </w:pPr>
    </w:p>
    <w:p>
      <w:pPr>
        <w:ind w:firstLine="656"/>
        <w:spacing w:after="0" w:line="277" w:lineRule="auto"/>
        <w:tabs>
          <w:tab w:leader="none" w:pos="130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The Parties agree and acknowledge that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represent any Indemnified Party’s exclusive recourse with respect to any Losses for which indemnification is provided to such Indemnified Party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66"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8.4.</w:t>
      </w:r>
      <w:r>
        <w:rPr>
          <w:sz w:val="20"/>
          <w:szCs w:val="20"/>
          <w:color w:val="auto"/>
        </w:rPr>
        <w:tab/>
      </w:r>
      <w:r>
        <w:rPr>
          <w:rFonts w:ascii="Arial" w:cs="Arial" w:eastAsia="Arial" w:hAnsi="Arial"/>
          <w:sz w:val="17"/>
          <w:szCs w:val="17"/>
          <w:b w:val="1"/>
          <w:bCs w:val="1"/>
          <w:u w:val="single" w:color="auto"/>
          <w:color w:val="auto"/>
        </w:rPr>
        <w:t>Limitation of Liability</w:t>
      </w:r>
      <w:r>
        <w:rPr>
          <w:rFonts w:ascii="Arial" w:cs="Arial" w:eastAsia="Arial" w:hAnsi="Arial"/>
          <w:sz w:val="17"/>
          <w:szCs w:val="17"/>
          <w:b w:val="1"/>
          <w:bCs w:val="1"/>
          <w:color w:val="auto"/>
        </w:rPr>
        <w:t>.</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u w:val="single" w:color="auto"/>
          <w:color w:val="auto"/>
        </w:rPr>
        <w:t>No Consequential Damages</w:t>
      </w:r>
      <w:r>
        <w:rPr>
          <w:rFonts w:ascii="Arial" w:cs="Arial" w:eastAsia="Arial" w:hAnsi="Arial"/>
          <w:sz w:val="18"/>
          <w:szCs w:val="18"/>
          <w:color w:val="auto"/>
        </w:rPr>
        <w:t xml:space="preserve">. NEITHER PARTY NOR ANY OF THEIR RESPECTIVE AFFILIATES SHALL BE LIABLE TO THE OTHER PARTY OR ITS AFFILIATES FOR SPECIAL, INDIRECT, INCIDENTAL, EXEMPLARY, CONSEQUENTIAL DAMAGES OR LOSS OF PROFITS OR OPPORTUNITIES OR DIMINUTION OF GOODWILL ARISING OUT OF THIS AGREEMENT BASED ON CONTRACT, TORT OR ANY OTHER LEGAL THEORY;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0" w:gutter="0" w:footer="0" w:header="0"/>
        </w:sectPr>
      </w:pPr>
    </w:p>
    <w:bookmarkStart w:id="395" w:name="page396"/>
    <w:bookmarkEnd w:id="3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6" w:name="page397"/>
    <w:bookmarkEnd w:id="396"/>
    <w:p>
      <w:pPr>
        <w:ind w:right="80"/>
        <w:spacing w:after="0" w:line="308" w:lineRule="auto"/>
        <w:rPr>
          <w:sz w:val="20"/>
          <w:szCs w:val="20"/>
          <w:color w:val="auto"/>
        </w:rPr>
      </w:pPr>
      <w:r>
        <w:rPr>
          <w:rFonts w:ascii="Arial" w:cs="Arial" w:eastAsia="Arial" w:hAnsi="Arial"/>
          <w:sz w:val="17"/>
          <w:szCs w:val="17"/>
          <w:color w:val="auto"/>
        </w:rPr>
        <w:t>INTENDED TO LIMIT OR RESTRICT THE INDEMNIFICATION RIGHTS OR OBLIGATIONS OF EITHER PARTY UNDER THIS AGREEMENT WITH RESPECT TO THIRD PARTY CLAIMS OR THE WILLFUL MISCONDUCT, INTENTIONAL BREACH OR FRAUD OF THE OTHER PARTY.</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TERM</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6"/>
          <w:szCs w:val="16"/>
          <w:b w:val="1"/>
          <w:bCs w:val="1"/>
          <w:u w:val="single" w:color="auto"/>
          <w:color w:val="auto"/>
        </w:rPr>
        <w:t>Term</w:t>
      </w:r>
      <w:r>
        <w:rPr>
          <w:rFonts w:ascii="Arial" w:cs="Arial" w:eastAsia="Arial" w:hAnsi="Arial"/>
          <w:sz w:val="16"/>
          <w:szCs w:val="16"/>
          <w:b w:val="1"/>
          <w:bCs w:val="1"/>
          <w:color w:val="auto"/>
        </w:rPr>
        <w:t>.</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term of this Agreement (the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shall commence on the Effective Date and, unless earlier terminated as provided in this </w:t>
      </w:r>
      <w:r>
        <w:rPr>
          <w:rFonts w:ascii="Arial" w:cs="Arial" w:eastAsia="Arial" w:hAnsi="Arial"/>
          <w:sz w:val="18"/>
          <w:szCs w:val="18"/>
          <w:u w:val="single" w:color="auto"/>
          <w:color w:val="auto"/>
        </w:rPr>
        <w:t>Article IX</w:t>
      </w:r>
      <w:r>
        <w:rPr>
          <w:rFonts w:ascii="Arial" w:cs="Arial" w:eastAsia="Arial" w:hAnsi="Arial"/>
          <w:sz w:val="18"/>
          <w:szCs w:val="18"/>
          <w:color w:val="auto"/>
        </w:rPr>
        <w:t>, shall continue in full force and effect, on a county-by-country and Licensed Product-by-Licensed Product basis until the expiration of the Royalty Term in each country in the Territory, at which time (unless earlier terminated) this Agreement shall expire with respect to such Licensed Product in such country and Fulcrum shall have a fully paid-up, royalty-free and perpetual license under the GSK Intellectual Property with respect to such Licensed Product in such country. This Agreement shall terminate in its entirety on the date this Agreement has expired with respect to all Licensed Products in all countries in the Territory.</w:t>
      </w:r>
    </w:p>
    <w:p>
      <w:pPr>
        <w:spacing w:after="0" w:line="189"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9.2.</w:t>
      </w:r>
      <w:r>
        <w:rPr>
          <w:sz w:val="20"/>
          <w:szCs w:val="20"/>
          <w:color w:val="auto"/>
        </w:rPr>
        <w:tab/>
      </w: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Either Party (the “</w:t>
      </w:r>
      <w:r>
        <w:rPr>
          <w:rFonts w:ascii="Arial" w:cs="Arial" w:eastAsia="Arial" w:hAnsi="Arial"/>
          <w:sz w:val="18"/>
          <w:szCs w:val="18"/>
          <w:u w:val="single" w:color="auto"/>
          <w:color w:val="auto"/>
        </w:rPr>
        <w:t>Non-Breaching Party</w:t>
      </w:r>
      <w:r>
        <w:rPr>
          <w:rFonts w:ascii="Arial" w:cs="Arial" w:eastAsia="Arial" w:hAnsi="Arial"/>
          <w:sz w:val="18"/>
          <w:szCs w:val="18"/>
          <w:color w:val="auto"/>
        </w:rPr>
        <w:t>”) may, without prejudice to any other remedies available to it under Law or in equity, terminate this Agreement if the other Party (the “</w:t>
      </w:r>
      <w:r>
        <w:rPr>
          <w:rFonts w:ascii="Arial" w:cs="Arial" w:eastAsia="Arial" w:hAnsi="Arial"/>
          <w:sz w:val="18"/>
          <w:szCs w:val="18"/>
          <w:u w:val="single" w:color="auto"/>
          <w:color w:val="auto"/>
        </w:rPr>
        <w:t>Breaching Party</w:t>
      </w:r>
      <w:r>
        <w:rPr>
          <w:rFonts w:ascii="Arial" w:cs="Arial" w:eastAsia="Arial" w:hAnsi="Arial"/>
          <w:sz w:val="18"/>
          <w:szCs w:val="18"/>
          <w:color w:val="auto"/>
        </w:rPr>
        <w:t>”) shall have materially breached in the performance of its obligations hereunder, and such breach shall have continued for (i) [**] in the case of a breach of any obligation other than a payment obligation or (ii) [**] in the case of a breach of any payment obligation hereunder (as applicable, the “</w:t>
      </w:r>
      <w:r>
        <w:rPr>
          <w:rFonts w:ascii="Arial" w:cs="Arial" w:eastAsia="Arial" w:hAnsi="Arial"/>
          <w:sz w:val="18"/>
          <w:szCs w:val="18"/>
          <w:u w:val="single" w:color="auto"/>
          <w:color w:val="auto"/>
        </w:rPr>
        <w:t>Cure Period</w:t>
      </w:r>
      <w:r>
        <w:rPr>
          <w:rFonts w:ascii="Arial" w:cs="Arial" w:eastAsia="Arial" w:hAnsi="Arial"/>
          <w:sz w:val="18"/>
          <w:szCs w:val="18"/>
          <w:color w:val="auto"/>
        </w:rPr>
        <w:t xml:space="preserve">”) after written notice thereof was provided to the Breaching Party by the Non-Breaching Party, such notice describing the alleged breach. Any such termination of this Agreement under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shall become effective [**] after written termination notice from the Non-Breaching Party following expiration of the Cure Period, unless the Breaching Party has cured such breach prior to the expiration of the applicable Cure Period.</w:t>
      </w:r>
    </w:p>
    <w:p>
      <w:pPr>
        <w:spacing w:after="0" w:line="185"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9.3.</w:t>
      </w:r>
      <w:r>
        <w:rPr>
          <w:sz w:val="20"/>
          <w:szCs w:val="20"/>
          <w:color w:val="auto"/>
        </w:rPr>
        <w:tab/>
      </w:r>
      <w:r>
        <w:rPr>
          <w:rFonts w:ascii="Arial" w:cs="Arial" w:eastAsia="Arial" w:hAnsi="Arial"/>
          <w:sz w:val="16"/>
          <w:szCs w:val="16"/>
          <w:b w:val="1"/>
          <w:bCs w:val="1"/>
          <w:u w:val="single" w:color="auto"/>
          <w:color w:val="auto"/>
        </w:rPr>
        <w:t>Effect of Termination; Accrued Rights and Obligations</w:t>
      </w:r>
      <w:r>
        <w:rPr>
          <w:rFonts w:ascii="Arial" w:cs="Arial" w:eastAsia="Arial" w:hAnsi="Arial"/>
          <w:sz w:val="16"/>
          <w:szCs w:val="16"/>
          <w:b w:val="1"/>
          <w:bCs w:val="1"/>
          <w:color w:val="auto"/>
        </w:rPr>
        <w: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Termination of this Agreement for any reason shall not release either Party from any liability that, at the time of such termination, has already accrued or that is attributable to a period prior to such termination (including payment obligations accrued pursuant to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prior to the effective date of termination) nor preclude either Party from pursuing any right or remedy it may have hereunder or at Law or in equity with respect to any breach of this Agreement. It is understood and agreed that monetary damages may not be a sufficient remedy for any breach of this Agreement and that the non-breaching Party may be entitled to seek injunctive relief as a remedy for any such breach.</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397" w:name="page398"/>
    <w:bookmarkEnd w:id="397"/>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9.4.</w:t>
      </w:r>
      <w:r>
        <w:rPr>
          <w:sz w:val="20"/>
          <w:szCs w:val="20"/>
          <w:color w:val="auto"/>
        </w:rPr>
        <w:tab/>
      </w:r>
      <w:r>
        <w:rPr>
          <w:rFonts w:ascii="Arial" w:cs="Arial" w:eastAsia="Arial" w:hAnsi="Arial"/>
          <w:sz w:val="16"/>
          <w:szCs w:val="16"/>
          <w:b w:val="1"/>
          <w:bCs w:val="1"/>
          <w:u w:val="single" w:color="auto"/>
          <w:color w:val="auto"/>
        </w:rPr>
        <w:t>Survival</w:t>
      </w:r>
      <w:r>
        <w:rPr>
          <w:rFonts w:ascii="Arial" w:cs="Arial" w:eastAsia="Arial" w:hAnsi="Arial"/>
          <w:sz w:val="16"/>
          <w:szCs w:val="16"/>
          <w:b w:val="1"/>
          <w:bCs w:val="1"/>
          <w:color w:val="auto"/>
        </w:rPr>
        <w:t>.</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The rights and obligations set forth in this Agreement shall extend beyond the Term or termination of this Agreement only to the extent expressly provided for in this Agreement or to the extent required to give effect to a termination of this Agreement or the consequences of a termination of this Agreement as expressly provided for in this Agreement. Without limiting the generality of the foregoing, it is agreed that the provisions of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Article VIII,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(with respect to the licenses granted therein),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survive expiration or termination of this Agreement for any reason.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All notices, communications and deliveries under this Agreement will be made in writing signed by or on behalf of the Party making the same, shall specify the Section under this Agreement pursuant to which it is given or being made and shall be deemed given (a) when delivered personally, (b) when transmitted by facsimile or other electronic transmission (receipt confirmed), (c) on the close of business, local time of the recipient, on the third (3</w:t>
      </w:r>
      <w:r>
        <w:rPr>
          <w:rFonts w:ascii="Arial" w:cs="Arial" w:eastAsia="Arial" w:hAnsi="Arial"/>
          <w:sz w:val="22"/>
          <w:szCs w:val="22"/>
          <w:color w:val="auto"/>
          <w:vertAlign w:val="superscript"/>
        </w:rPr>
        <w:t>rd</w:t>
      </w:r>
      <w:r>
        <w:rPr>
          <w:rFonts w:ascii="Arial" w:cs="Arial" w:eastAsia="Arial" w:hAnsi="Arial"/>
          <w:sz w:val="17"/>
          <w:szCs w:val="17"/>
          <w:color w:val="auto"/>
        </w:rPr>
        <w:t>) Business Day after the day it is so placed in the mail or, if earlier, the time of actual receipt following mailing by registered or certified mail (return receipt requested) or (d) on the first Business Day following deposit with an overnight delivery service of national reputation, in each case to the applicable addressee at the addresses or facsimile number set forth below. Any notice that is addressed and mailed in the manner herein provided shall be conclusively presumed to have been duly given to the Party to which it is addressed.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If to GSK: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GlaxoSmithKline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1250 S. Collegeville Road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Collegeville, PA 19426-0989, United States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Worldwide Business Development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Vice President &amp; Associate General Counsel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Legal- Business Development &amp; Corporate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GlaxoSmithKline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1250 S. Collegeville Road/ UP4110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Collegeville, PA 19426-0989,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Fulcrum: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Fulcrum Therapeutics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26 Landsdowne Street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98" w:name="page399"/>
    <w:bookmarkEnd w:id="398"/>
    <w:p>
      <w:pPr>
        <w:ind w:left="660"/>
        <w:spacing w:after="0"/>
        <w:rPr>
          <w:sz w:val="20"/>
          <w:szCs w:val="20"/>
          <w:color w:val="auto"/>
        </w:rPr>
      </w:pPr>
      <w:r>
        <w:rPr>
          <w:rFonts w:ascii="Arial" w:cs="Arial" w:eastAsia="Arial" w:hAnsi="Arial"/>
          <w:sz w:val="18"/>
          <w:szCs w:val="18"/>
          <w:color w:val="auto"/>
        </w:rPr>
        <w:t>Cambridge, MA 02139</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Bryan Stuart, Chief Operating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WilmerHale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60 State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Steven D. Barrett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(617) 526-6000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(617) 526-5000</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10.2.</w:t>
      </w:r>
      <w:r>
        <w:rPr>
          <w:sz w:val="20"/>
          <w:szCs w:val="20"/>
          <w:color w:val="auto"/>
        </w:rPr>
        <w:tab/>
      </w:r>
      <w:r>
        <w:rPr>
          <w:rFonts w:ascii="Arial" w:cs="Arial" w:eastAsia="Arial" w:hAnsi="Arial"/>
          <w:sz w:val="16"/>
          <w:szCs w:val="16"/>
          <w:b w:val="1"/>
          <w:bCs w:val="1"/>
          <w:u w:val="single" w:color="auto"/>
          <w:color w:val="auto"/>
        </w:rPr>
        <w:t>Schedules and Exhibits; Entire Agreement; Amendments</w:t>
      </w:r>
      <w:r>
        <w:rPr>
          <w:rFonts w:ascii="Arial" w:cs="Arial" w:eastAsia="Arial" w:hAnsi="Arial"/>
          <w:sz w:val="16"/>
          <w:szCs w:val="16"/>
          <w:b w:val="1"/>
          <w:bCs w:val="1"/>
          <w:color w:val="auto"/>
        </w:rPr>
        <w:t>.</w:t>
      </w:r>
    </w:p>
    <w:p>
      <w:pPr>
        <w:spacing w:after="0" w:line="229"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The Schedules and Exhibits to this Agreement are hereby incorporated into this Agreement and are hereby made a part of this Agreement as if set out in full in this Agreement. </w:t>
      </w:r>
      <w:r>
        <w:rPr>
          <w:rFonts w:ascii="Arial" w:cs="Arial" w:eastAsia="Arial" w:hAnsi="Arial"/>
          <w:sz w:val="17"/>
          <w:szCs w:val="17"/>
          <w:color w:val="auto"/>
        </w:rPr>
        <w:t>This Agreement, together with the Schedules and Exhibits hereto, set forth all the covenants, promises, agreements, warranties,</w:t>
      </w:r>
      <w:r>
        <w:rPr>
          <w:rFonts w:ascii="Arial" w:cs="Arial" w:eastAsia="Arial" w:hAnsi="Arial"/>
          <w:sz w:val="18"/>
          <w:szCs w:val="18"/>
          <w:color w:val="auto"/>
        </w:rPr>
        <w:t xml:space="preserve"> </w:t>
      </w:r>
      <w:r>
        <w:rPr>
          <w:rFonts w:ascii="Arial" w:cs="Arial" w:eastAsia="Arial" w:hAnsi="Arial"/>
          <w:sz w:val="17"/>
          <w:szCs w:val="17"/>
          <w:color w:val="auto"/>
        </w:rPr>
        <w:t xml:space="preserve">representations, conditions and understandings between the Parties hereto and supersede and terminate all prior agreements and understanding between the Parties. There are no covenants, promises, agreements, warranties, representations, conditions or understandings, either oral or written, between the Parties other than as set forth herein and therein. </w:t>
      </w:r>
      <w:r>
        <w:rPr>
          <w:rFonts w:ascii="Arial" w:cs="Arial" w:eastAsia="Arial" w:hAnsi="Arial"/>
          <w:sz w:val="18"/>
          <w:szCs w:val="18"/>
          <w:color w:val="auto"/>
        </w:rPr>
        <w:t>This Agreement may not be amended, modified or supplemented except by written agreement of the Parties expressly</w:t>
      </w:r>
      <w:r>
        <w:rPr>
          <w:rFonts w:ascii="Arial" w:cs="Arial" w:eastAsia="Arial" w:hAnsi="Arial"/>
          <w:sz w:val="17"/>
          <w:szCs w:val="17"/>
          <w:color w:val="auto"/>
        </w:rPr>
        <w:t xml:space="preserve"> </w:t>
      </w:r>
      <w:r>
        <w:rPr>
          <w:rFonts w:ascii="Arial" w:cs="Arial" w:eastAsia="Arial" w:hAnsi="Arial"/>
          <w:sz w:val="18"/>
          <w:szCs w:val="18"/>
          <w:color w:val="auto"/>
        </w:rPr>
        <w:t>referencing this Agreement.</w:t>
      </w:r>
    </w:p>
    <w:p>
      <w:pPr>
        <w:spacing w:after="0" w:line="186"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10.3.</w:t>
      </w:r>
      <w:r>
        <w:rPr>
          <w:sz w:val="20"/>
          <w:szCs w:val="20"/>
          <w:color w:val="auto"/>
        </w:rPr>
        <w:tab/>
      </w:r>
      <w:r>
        <w:rPr>
          <w:rFonts w:ascii="Arial" w:cs="Arial" w:eastAsia="Arial" w:hAnsi="Arial"/>
          <w:sz w:val="15"/>
          <w:szCs w:val="15"/>
          <w:b w:val="1"/>
          <w:bCs w:val="1"/>
          <w:u w:val="single" w:color="auto"/>
          <w:color w:val="auto"/>
        </w:rPr>
        <w:t>Assignment</w:t>
      </w:r>
      <w:r>
        <w:rPr>
          <w:rFonts w:ascii="Arial" w:cs="Arial" w:eastAsia="Arial" w:hAnsi="Arial"/>
          <w:sz w:val="15"/>
          <w:szCs w:val="15"/>
          <w:b w:val="1"/>
          <w:bCs w:val="1"/>
          <w:color w:val="auto"/>
        </w:rPr>
        <w:t>.</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Neither this Agreement nor any right, interest or obligation hereunder may be assigned, pledged or otherwise transferred by either Party, whether by operation of law or otherwise, without the prior consent of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that either Party may assign its rights hereunder to (a) any of its respective Affiliates or (b) an acquirer of all or substantially all of the business or assets of such Party relating to the subject matter of this Agreement, whether by merger, sale of assets or otherwise, provided, further that in each case of (a) and (b) with respect to either Party, such Person to which such Party assigns this Agreement expressly agrees in writing to assume and be bound by all obligations of such Party under this Agreement and a copy of such written agreement by such assignee shall be provided to the other Party within [**] after such assignment.</w:t>
      </w:r>
    </w:p>
    <w:p>
      <w:pPr>
        <w:spacing w:after="0" w:line="174"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10.4.</w:t>
      </w:r>
      <w:r>
        <w:rPr>
          <w:sz w:val="20"/>
          <w:szCs w:val="20"/>
          <w:color w:val="auto"/>
        </w:rPr>
        <w:tab/>
      </w:r>
      <w:r>
        <w:rPr>
          <w:rFonts w:ascii="Arial" w:cs="Arial" w:eastAsia="Arial" w:hAnsi="Arial"/>
          <w:sz w:val="16"/>
          <w:szCs w:val="16"/>
          <w:b w:val="1"/>
          <w:bCs w:val="1"/>
          <w:u w:val="single" w:color="auto"/>
          <w:color w:val="auto"/>
        </w:rPr>
        <w:t>Controlling Law; Dispute Resolution</w:t>
      </w:r>
      <w:r>
        <w:rPr>
          <w:rFonts w:ascii="Arial" w:cs="Arial" w:eastAsia="Arial" w:hAnsi="Arial"/>
          <w:sz w:val="16"/>
          <w:szCs w:val="16"/>
          <w:b w:val="1"/>
          <w:bCs w:val="1"/>
          <w:color w:val="auto"/>
        </w:rPr>
        <w:t>.</w:t>
      </w:r>
    </w:p>
    <w:p>
      <w:pPr>
        <w:spacing w:after="0" w:line="229" w:lineRule="exact"/>
        <w:rPr>
          <w:sz w:val="20"/>
          <w:szCs w:val="20"/>
          <w:color w:val="auto"/>
        </w:rPr>
      </w:pPr>
    </w:p>
    <w:p>
      <w:pPr>
        <w:ind w:right="280" w:firstLine="656"/>
        <w:spacing w:after="0" w:line="264" w:lineRule="auto"/>
        <w:tabs>
          <w:tab w:leader="none" w:pos="1294"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Controlling Law</w:t>
      </w:r>
      <w:r>
        <w:rPr>
          <w:rFonts w:ascii="Arial" w:cs="Arial" w:eastAsia="Arial" w:hAnsi="Arial"/>
          <w:sz w:val="18"/>
          <w:szCs w:val="18"/>
          <w:color w:val="auto"/>
        </w:rPr>
        <w:t>. This Agreement shall be governed by and construed and enforced in accordance with the internal laws of the State of Delaware without reference to its choice of law rules; provided, that those matters pertaining to the validity or enforceability of patent rights shall be interpreted and enforced in accordance with the laws of the territory in which such patent rights exist.</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99" w:name="page400"/>
    <w:bookmarkEnd w:id="399"/>
    <w:p>
      <w:pPr>
        <w:ind w:firstLine="656"/>
        <w:spacing w:after="0" w:line="288" w:lineRule="auto"/>
        <w:tabs>
          <w:tab w:leader="none" w:pos="1304" w:val="left"/>
        </w:tabs>
        <w:numPr>
          <w:ilvl w:val="1"/>
          <w:numId w:val="299"/>
        </w:numPr>
        <w:rPr>
          <w:rFonts w:ascii="Arial" w:cs="Arial" w:eastAsia="Arial" w:hAnsi="Arial"/>
          <w:sz w:val="16"/>
          <w:szCs w:val="16"/>
          <w:color w:val="auto"/>
        </w:rPr>
      </w:pPr>
      <w:r>
        <w:rPr>
          <w:rFonts w:ascii="Arial" w:cs="Arial" w:eastAsia="Arial" w:hAnsi="Arial"/>
          <w:sz w:val="16"/>
          <w:szCs w:val="16"/>
          <w:u w:val="single" w:color="auto"/>
          <w:color w:val="auto"/>
        </w:rPr>
        <w:t>Negotiation</w:t>
      </w:r>
      <w:r>
        <w:rPr>
          <w:rFonts w:ascii="Arial" w:cs="Arial" w:eastAsia="Arial" w:hAnsi="Arial"/>
          <w:sz w:val="16"/>
          <w:szCs w:val="16"/>
          <w:color w:val="auto"/>
        </w:rPr>
        <w:t>. The Parties shall endeavor to resolve in good faith any disputes or conflict arising from or relating to the subject matter of this Agreement, failing which either Party may submit such dispute for resolution to the members of their senior management as each Party may designate to handle such disputes from time to time (“</w:t>
      </w:r>
      <w:r>
        <w:rPr>
          <w:rFonts w:ascii="Arial" w:cs="Arial" w:eastAsia="Arial" w:hAnsi="Arial"/>
          <w:sz w:val="16"/>
          <w:szCs w:val="16"/>
          <w:u w:val="single" w:color="auto"/>
          <w:color w:val="auto"/>
        </w:rPr>
        <w:t>Senior Management Designees</w:t>
      </w:r>
      <w:r>
        <w:rPr>
          <w:rFonts w:ascii="Arial" w:cs="Arial" w:eastAsia="Arial" w:hAnsi="Arial"/>
          <w:sz w:val="16"/>
          <w:szCs w:val="16"/>
          <w:color w:val="auto"/>
        </w:rPr>
        <w:t>”). If such Senior Management Designees are unable to resolve such dispute within</w:t>
      </w:r>
    </w:p>
    <w:p>
      <w:pPr>
        <w:ind w:left="360" w:hanging="352"/>
        <w:spacing w:after="0"/>
        <w:tabs>
          <w:tab w:leader="none" w:pos="3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after such conflict is submitted to them for resolution, either Party may refer the dispute for mediation as set forth in </w:t>
      </w:r>
      <w:r>
        <w:rPr>
          <w:rFonts w:ascii="Arial" w:cs="Arial" w:eastAsia="Arial" w:hAnsi="Arial"/>
          <w:sz w:val="18"/>
          <w:szCs w:val="18"/>
          <w:u w:val="single" w:color="auto"/>
          <w:color w:val="auto"/>
        </w:rPr>
        <w:t>Section 10.4(c)</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right="100" w:firstLine="656"/>
        <w:spacing w:after="0" w:line="293" w:lineRule="auto"/>
        <w:tabs>
          <w:tab w:leader="none" w:pos="1307" w:val="left"/>
        </w:tabs>
        <w:numPr>
          <w:ilvl w:val="1"/>
          <w:numId w:val="300"/>
        </w:numPr>
        <w:rPr>
          <w:rFonts w:ascii="Arial" w:cs="Arial" w:eastAsia="Arial" w:hAnsi="Arial"/>
          <w:sz w:val="16"/>
          <w:szCs w:val="16"/>
          <w:color w:val="auto"/>
        </w:rPr>
      </w:pPr>
      <w:r>
        <w:rPr>
          <w:rFonts w:ascii="Arial" w:cs="Arial" w:eastAsia="Arial" w:hAnsi="Arial"/>
          <w:sz w:val="16"/>
          <w:szCs w:val="16"/>
          <w:u w:val="single" w:color="auto"/>
          <w:color w:val="auto"/>
        </w:rPr>
        <w:t>Mediation</w:t>
      </w:r>
      <w:r>
        <w:rPr>
          <w:rFonts w:ascii="Arial" w:cs="Arial" w:eastAsia="Arial" w:hAnsi="Arial"/>
          <w:sz w:val="16"/>
          <w:szCs w:val="16"/>
          <w:color w:val="auto"/>
        </w:rPr>
        <w:t xml:space="preserve">. If the Parties are unable to resolve a dispute arising out of or relating to this Agreement through the negotiation procedures set forth in </w:t>
      </w:r>
      <w:r>
        <w:rPr>
          <w:rFonts w:ascii="Arial" w:cs="Arial" w:eastAsia="Arial" w:hAnsi="Arial"/>
          <w:sz w:val="16"/>
          <w:szCs w:val="16"/>
          <w:u w:val="single" w:color="auto"/>
          <w:color w:val="auto"/>
        </w:rPr>
        <w:t>Section 10.4(b)</w:t>
      </w:r>
      <w:r>
        <w:rPr>
          <w:rFonts w:ascii="Arial" w:cs="Arial" w:eastAsia="Arial" w:hAnsi="Arial"/>
          <w:sz w:val="16"/>
          <w:szCs w:val="16"/>
          <w:color w:val="auto"/>
        </w:rPr>
        <w:t xml:space="preserve">, then at the end of such [**] period, the Parties agree to submit such dispute for confidential mediation under the CPR Mediation Procedure then in effect at the start of mediation with the International Institute for Conflict Prevention &amp; Resolution (www.cpradr.org). Unless otherwise agreed, the Parties shall select a mediator from the CPR Panels of Distinguished Neutrals. If the Parties cannot agree, they shall defer to the CPR to select a mediator. The cost of the mediator shall be borne equally by the Parties. Any dispute not resolved within [**] (or within such other time period as may be agreed to by the Parties in writing) after appointment of a mediator shall be finally resolved by arbitration pursuant to </w:t>
      </w:r>
      <w:r>
        <w:rPr>
          <w:rFonts w:ascii="Arial" w:cs="Arial" w:eastAsia="Arial" w:hAnsi="Arial"/>
          <w:sz w:val="16"/>
          <w:szCs w:val="16"/>
          <w:u w:val="single" w:color="auto"/>
          <w:color w:val="auto"/>
        </w:rPr>
        <w:t>Section 10.4(d)</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right="20" w:firstLine="656"/>
        <w:spacing w:after="0" w:line="271" w:lineRule="auto"/>
        <w:tabs>
          <w:tab w:leader="none" w:pos="1304" w:val="left"/>
        </w:tabs>
        <w:numPr>
          <w:ilvl w:val="1"/>
          <w:numId w:val="300"/>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xml:space="preserve">. If the Parties are unable to resolve a dispute arising out of or relating to this Agreement through the negotiation procedures set forth in </w:t>
      </w:r>
      <w:r>
        <w:rPr>
          <w:rFonts w:ascii="Arial" w:cs="Arial" w:eastAsia="Arial" w:hAnsi="Arial"/>
          <w:sz w:val="17"/>
          <w:szCs w:val="17"/>
          <w:u w:val="single" w:color="auto"/>
          <w:color w:val="auto"/>
        </w:rPr>
        <w:t>Section 10.4(b)</w:t>
      </w:r>
      <w:r>
        <w:rPr>
          <w:rFonts w:ascii="Arial" w:cs="Arial" w:eastAsia="Arial" w:hAnsi="Arial"/>
          <w:sz w:val="17"/>
          <w:szCs w:val="17"/>
          <w:color w:val="auto"/>
        </w:rPr>
        <w:t xml:space="preserve"> and the mediation procedures set forth in </w:t>
      </w:r>
      <w:r>
        <w:rPr>
          <w:rFonts w:ascii="Arial" w:cs="Arial" w:eastAsia="Arial" w:hAnsi="Arial"/>
          <w:sz w:val="17"/>
          <w:szCs w:val="17"/>
          <w:u w:val="single" w:color="auto"/>
          <w:color w:val="auto"/>
        </w:rPr>
        <w:t>Section 10.4(c)</w:t>
      </w:r>
      <w:r>
        <w:rPr>
          <w:rFonts w:ascii="Arial" w:cs="Arial" w:eastAsia="Arial" w:hAnsi="Arial"/>
          <w:sz w:val="17"/>
          <w:szCs w:val="17"/>
          <w:color w:val="auto"/>
        </w:rPr>
        <w:t xml:space="preserve"> within the timeframes set forth in such Sections, the Parties agree that they shall submit such dispute for final settlement via binding arbitration. The arbitration shall be conducted under the Commercial Arbitration Rules of the American Arbitration Association in effect at the time of the arbitration, except as they may be modified herein or by mutual agreement of the Parties, but need not be under the auspices of the American Arbitration Association, and heard before a single arbitrator as selected in accordance with the Commercial Arbitration Rules. Such arbitration shall be held in Wilmington, Delaware and shall be conducted in English</w:t>
      </w:r>
      <w:r>
        <w:rPr>
          <w:rFonts w:ascii="Arial" w:cs="Arial" w:eastAsia="Arial" w:hAnsi="Arial"/>
          <w:sz w:val="17"/>
          <w:szCs w:val="17"/>
          <w:i w:val="1"/>
          <w:iCs w:val="1"/>
          <w:color w:val="auto"/>
        </w:rPr>
        <w:t>.</w:t>
      </w:r>
      <w:r>
        <w:rPr>
          <w:rFonts w:ascii="Arial" w:cs="Arial" w:eastAsia="Arial" w:hAnsi="Arial"/>
          <w:sz w:val="17"/>
          <w:szCs w:val="17"/>
          <w:color w:val="auto"/>
        </w:rPr>
        <w:t xml:space="preserve"> Except as otherwise determined by the arbitrator, each Party shall be responsible for its own expenses in connection therewith. The arbitration award shall be final and binding upon the Parties, and judgement on the award may be entered in any court having jurisdiction thereof.</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1"/>
          <w:numId w:val="300"/>
        </w:numPr>
        <w:rPr>
          <w:rFonts w:ascii="Arial" w:cs="Arial" w:eastAsia="Arial" w:hAnsi="Arial"/>
          <w:sz w:val="17"/>
          <w:szCs w:val="17"/>
          <w:color w:val="auto"/>
        </w:rPr>
      </w:pPr>
      <w:r>
        <w:rPr>
          <w:rFonts w:ascii="Arial" w:cs="Arial" w:eastAsia="Arial" w:hAnsi="Arial"/>
          <w:sz w:val="17"/>
          <w:szCs w:val="17"/>
          <w:color w:val="auto"/>
        </w:rPr>
        <w:t>For the avoidance of doubt, from the date any such dispute is referred to the Senior Management Designees in accordance with</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u w:val="single" w:color="auto"/>
          <w:color w:val="auto"/>
        </w:rPr>
        <w:t>Section 10.4(b)</w:t>
      </w:r>
      <w:r>
        <w:rPr>
          <w:rFonts w:ascii="Arial" w:cs="Arial" w:eastAsia="Arial" w:hAnsi="Arial"/>
          <w:sz w:val="18"/>
          <w:szCs w:val="18"/>
          <w:color w:val="auto"/>
        </w:rPr>
        <w:t xml:space="preserve"> until such time as the dispute has become finally settled or resolved, any cure periods, if applicable, shall be suspended and no termination of this Agreement by either Party as provided in this Agreement shall become effective.</w:t>
      </w:r>
    </w:p>
    <w:p>
      <w:pPr>
        <w:spacing w:after="0" w:line="184" w:lineRule="exact"/>
        <w:rPr>
          <w:sz w:val="20"/>
          <w:szCs w:val="20"/>
          <w:color w:val="auto"/>
        </w:rPr>
      </w:pPr>
    </w:p>
    <w:p>
      <w:pPr>
        <w:ind w:right="180" w:firstLine="656"/>
        <w:spacing w:after="0" w:line="264" w:lineRule="auto"/>
        <w:tabs>
          <w:tab w:leader="none" w:pos="130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As between the Parties, notwithstanding anything herein to the contrary, any dispute, controversy or claim relating to the scope, validity, enforceability or infringement of any GSK Patent Rights shall not be subject to arbitration, but shall be submitted to a court of competent jurisdiction in the jurisdiction in which such Patent rights were granted or arose.</w:t>
      </w:r>
    </w:p>
    <w:p>
      <w:pPr>
        <w:spacing w:after="0" w:line="181" w:lineRule="exact"/>
        <w:rPr>
          <w:rFonts w:ascii="Arial" w:cs="Arial" w:eastAsia="Arial" w:hAnsi="Arial"/>
          <w:sz w:val="18"/>
          <w:szCs w:val="18"/>
          <w:color w:val="auto"/>
        </w:rPr>
      </w:pPr>
    </w:p>
    <w:p>
      <w:pPr>
        <w:ind w:right="660" w:firstLine="656"/>
        <w:spacing w:after="0" w:line="277" w:lineRule="auto"/>
        <w:tabs>
          <w:tab w:leader="none" w:pos="1317" w:val="left"/>
        </w:tabs>
        <w:numPr>
          <w:ilvl w:val="0"/>
          <w:numId w:val="301"/>
        </w:numPr>
        <w:rPr>
          <w:rFonts w:ascii="Arial" w:cs="Arial" w:eastAsia="Arial" w:hAnsi="Arial"/>
          <w:sz w:val="18"/>
          <w:szCs w:val="18"/>
          <w:color w:val="auto"/>
        </w:rPr>
      </w:pPr>
      <w:r>
        <w:rPr>
          <w:rFonts w:ascii="Arial" w:cs="Arial" w:eastAsia="Arial" w:hAnsi="Arial"/>
          <w:sz w:val="18"/>
          <w:szCs w:val="18"/>
          <w:color w:val="auto"/>
        </w:rPr>
        <w:t>Notwithstanding the Parties agreement to arbitrate, the Parties hereby agree that a Party may apply to any court of law or equity of competent jurisdiction for specific performance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00" w:name="page401"/>
    <w:bookmarkEnd w:id="400"/>
    <w:p>
      <w:pPr>
        <w:spacing w:after="0"/>
        <w:rPr>
          <w:sz w:val="20"/>
          <w:szCs w:val="20"/>
          <w:color w:val="auto"/>
        </w:rPr>
      </w:pPr>
      <w:r>
        <w:rPr>
          <w:rFonts w:ascii="Arial" w:cs="Arial" w:eastAsia="Arial" w:hAnsi="Arial"/>
          <w:sz w:val="18"/>
          <w:szCs w:val="18"/>
          <w:color w:val="auto"/>
        </w:rPr>
        <w:t xml:space="preserve">or injunctive relief to enforce or prevent any violation of the provisions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of this Agreement.</w:t>
      </w:r>
    </w:p>
    <w:p>
      <w:pPr>
        <w:spacing w:after="0" w:line="221"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10.5.</w:t>
      </w:r>
      <w:r>
        <w:rPr>
          <w:sz w:val="20"/>
          <w:szCs w:val="20"/>
          <w:color w:val="auto"/>
        </w:rPr>
        <w:tab/>
      </w: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Any provision of this Agreement which is prohibited or unenforceable in any jurisdiction shall, as to such jurisdiction, be ineffective to the extent of such prohibition or unenforceability without invalidating the remaining provisions of this Agreement, and any such prohibition or unenforceability in any jurisdiction shall not invalidate or render unenforceable such provision in any other jurisdiction. To the extent permitted by Law, the parties waive any provision of Law which renders any such provision prohibited or unenforceable in any respect.</w:t>
      </w:r>
    </w:p>
    <w:p>
      <w:pPr>
        <w:spacing w:after="0" w:line="183"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10.6.</w:t>
      </w:r>
      <w:r>
        <w:rPr>
          <w:sz w:val="20"/>
          <w:szCs w:val="20"/>
          <w:color w:val="auto"/>
        </w:rPr>
        <w:tab/>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Agreement may be executed in two or more counterparts (delivery of which may be by facsimile, or via email as a portable document format (.pdf)), each of which will be deemed an original, and it will not be necessary in making proof of this Agreement or the terms of this Agreement to produce or account for more than one of such counterparts.</w:t>
      </w:r>
    </w:p>
    <w:p>
      <w:pPr>
        <w:spacing w:after="0" w:line="17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10.7.</w:t>
      </w:r>
      <w:r>
        <w:rPr>
          <w:sz w:val="20"/>
          <w:szCs w:val="20"/>
          <w:color w:val="auto"/>
        </w:rPr>
        <w:tab/>
      </w:r>
      <w:r>
        <w:rPr>
          <w:rFonts w:ascii="Arial" w:cs="Arial" w:eastAsia="Arial" w:hAnsi="Arial"/>
          <w:sz w:val="16"/>
          <w:szCs w:val="16"/>
          <w:b w:val="1"/>
          <w:bCs w:val="1"/>
          <w:u w:val="single" w:color="auto"/>
          <w:color w:val="auto"/>
        </w:rPr>
        <w:t>No Third Party Beneficiaries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Except for indemnification obligations hereunder to any Indemnified Party, nothing expressed or implied in this Agreement is intended, or shall be construed, to confer upon or give any Person other than the Parties, and their successors or permitted assigns, any rights, remedies, obligations or liabilities under or by reason of this Agreement, or result in such Person being deemed a third party beneficiary of this Agreement.</w:t>
      </w:r>
    </w:p>
    <w:p>
      <w:pPr>
        <w:spacing w:after="0" w:line="162"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10.8.</w:t>
      </w:r>
      <w:r>
        <w:rPr>
          <w:sz w:val="20"/>
          <w:szCs w:val="20"/>
          <w:color w:val="auto"/>
        </w:rPr>
        <w:tab/>
      </w:r>
      <w:r>
        <w:rPr>
          <w:rFonts w:ascii="Arial" w:cs="Arial" w:eastAsia="Arial" w:hAnsi="Arial"/>
          <w:sz w:val="16"/>
          <w:szCs w:val="16"/>
          <w:b w:val="1"/>
          <w:bCs w:val="1"/>
          <w:u w:val="single" w:color="auto"/>
          <w:color w:val="auto"/>
        </w:rPr>
        <w:t>Further Assurances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Following the Effective Date, each of the Parties shall deliver to the other such further information and documents and shall execute and deliver to the others such further instruments and agreements as the other Party shall reasonably request to consummate or confirm the transactions provided for in this Agreement, to accomplish the purpose of this Agreement or to assure to such other Party the benefits of this Agreement.</w:t>
      </w:r>
    </w:p>
    <w:p>
      <w:pPr>
        <w:spacing w:after="0" w:line="162"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10.9.</w:t>
      </w:r>
      <w:r>
        <w:rPr>
          <w:sz w:val="20"/>
          <w:szCs w:val="20"/>
          <w:color w:val="auto"/>
        </w:rPr>
        <w:tab/>
      </w:r>
      <w:r>
        <w:rPr>
          <w:rFonts w:ascii="Arial" w:cs="Arial" w:eastAsia="Arial" w:hAnsi="Arial"/>
          <w:sz w:val="15"/>
          <w:szCs w:val="15"/>
          <w:b w:val="1"/>
          <w:bCs w:val="1"/>
          <w:u w:val="single" w:color="auto"/>
          <w:color w:val="auto"/>
        </w:rPr>
        <w:t>Transaction Costs</w:t>
      </w:r>
      <w:r>
        <w:rPr>
          <w:rFonts w:ascii="Arial" w:cs="Arial" w:eastAsia="Arial" w:hAnsi="Arial"/>
          <w:sz w:val="15"/>
          <w:szCs w:val="15"/>
          <w:b w:val="1"/>
          <w:bCs w:val="1"/>
          <w:color w:val="auto"/>
        </w:rPr>
        <w:t>.</w:t>
      </w:r>
    </w:p>
    <w:p>
      <w:pPr>
        <w:spacing w:after="0" w:line="229"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Each Party shall bear its own expenses incident to the preparation, negotiation, execution and delivery of this Agreement and the performance of its obligations hereunder.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1" w:name="page402"/>
    <w:bookmarkEnd w:id="401"/>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Agreement to be duly executed, as of the date first above written.</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GLAXOSMITHKLINE INTELLECTUAL PROPERTY (NO. 2)</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LIMITED</w:t>
      </w:r>
    </w:p>
    <w:p>
      <w:pPr>
        <w:spacing w:after="0" w:line="200" w:lineRule="exact"/>
        <w:rPr>
          <w:sz w:val="20"/>
          <w:szCs w:val="20"/>
          <w:color w:val="auto"/>
        </w:rPr>
      </w:pPr>
    </w:p>
    <w:p>
      <w:pPr>
        <w:spacing w:after="0" w:line="227"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Jerome Andries</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Jerome Andries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GLAXOSMITHKLINE LLC</w:t>
            </w:r>
          </w:p>
        </w:tc>
      </w:tr>
      <w:tr>
        <w:trPr>
          <w:trHeight w:val="64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Hatixhe Hoxha</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Hatixhe Hoxha</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Assistant Secretary</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GLAXO GROUP LIMITED</w:t>
            </w:r>
          </w:p>
        </w:tc>
      </w:tr>
      <w:tr>
        <w:trPr>
          <w:trHeight w:val="64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Sadler</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John Sadler</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Authorised Signatory For and on behalf Edinburgh</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Pharmaceutical Industries Limited Corporate Director</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FULCRUM THERAPEUTICS, INC.</w:t>
            </w:r>
          </w:p>
        </w:tc>
      </w:tr>
      <w:tr>
        <w:trPr>
          <w:trHeight w:val="64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Gould</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Robert J. Gould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20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Right of Reference and License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37" w:right="239" w:bottom="1440" w:gutter="0" w:footer="0" w:header="0"/>
        </w:sectPr>
      </w:pPr>
    </w:p>
    <w:bookmarkStart w:id="402" w:name="page403"/>
    <w:bookmarkEnd w:id="402"/>
    <w:p>
      <w:pPr>
        <w:jc w:val="center"/>
        <w:ind w:right="-1220"/>
        <w:spacing w:after="0"/>
        <w:rPr>
          <w:sz w:val="20"/>
          <w:szCs w:val="20"/>
          <w:color w:val="auto"/>
        </w:rPr>
      </w:pPr>
      <w:r>
        <w:rPr>
          <w:rFonts w:ascii="Arial" w:cs="Arial" w:eastAsia="Arial" w:hAnsi="Arial"/>
          <w:sz w:val="18"/>
          <w:szCs w:val="18"/>
          <w:b w:val="1"/>
          <w:bCs w:val="1"/>
          <w:u w:val="single" w:color="auto"/>
          <w:color w:val="auto"/>
        </w:rPr>
        <w:t>SCHEDULE 1.1</w:t>
      </w:r>
    </w:p>
    <w:p>
      <w:pPr>
        <w:spacing w:after="0" w:line="225" w:lineRule="exact"/>
        <w:rPr>
          <w:sz w:val="20"/>
          <w:szCs w:val="20"/>
          <w:color w:val="auto"/>
        </w:rPr>
      </w:pPr>
    </w:p>
    <w:p>
      <w:pPr>
        <w:jc w:val="right"/>
        <w:ind w:right="3299"/>
        <w:spacing w:after="0"/>
        <w:rPr>
          <w:sz w:val="20"/>
          <w:szCs w:val="20"/>
          <w:color w:val="auto"/>
        </w:rPr>
      </w:pPr>
      <w:r>
        <w:rPr>
          <w:rFonts w:ascii="Arial" w:cs="Arial" w:eastAsia="Arial" w:hAnsi="Arial"/>
          <w:sz w:val="18"/>
          <w:szCs w:val="18"/>
          <w:b w:val="1"/>
          <w:bCs w:val="1"/>
          <w:u w:val="single" w:color="auto"/>
          <w:color w:val="auto"/>
        </w:rPr>
        <w:t>LOSMAPIMOD COMPOUND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154305</wp:posOffset>
            </wp:positionV>
            <wp:extent cx="1715135" cy="17151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715135"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Formula: C</w:t>
      </w:r>
      <w:r>
        <w:rPr>
          <w:rFonts w:ascii="Arial" w:cs="Arial" w:eastAsia="Arial" w:hAnsi="Arial"/>
          <w:sz w:val="11"/>
          <w:szCs w:val="11"/>
          <w:color w:val="auto"/>
        </w:rPr>
        <w:t>22</w:t>
      </w:r>
      <w:r>
        <w:rPr>
          <w:rFonts w:ascii="Arial" w:cs="Arial" w:eastAsia="Arial" w:hAnsi="Arial"/>
          <w:sz w:val="18"/>
          <w:szCs w:val="18"/>
          <w:color w:val="auto"/>
        </w:rPr>
        <w:t>H</w:t>
      </w:r>
      <w:r>
        <w:rPr>
          <w:rFonts w:ascii="Arial" w:cs="Arial" w:eastAsia="Arial" w:hAnsi="Arial"/>
          <w:sz w:val="11"/>
          <w:szCs w:val="11"/>
          <w:color w:val="auto"/>
        </w:rPr>
        <w:t>26</w:t>
      </w:r>
      <w:r>
        <w:rPr>
          <w:rFonts w:ascii="Arial" w:cs="Arial" w:eastAsia="Arial" w:hAnsi="Arial"/>
          <w:sz w:val="18"/>
          <w:szCs w:val="18"/>
          <w:color w:val="auto"/>
        </w:rPr>
        <w:t>FN</w:t>
      </w:r>
      <w:r>
        <w:rPr>
          <w:rFonts w:ascii="Arial" w:cs="Arial" w:eastAsia="Arial" w:hAnsi="Arial"/>
          <w:sz w:val="11"/>
          <w:szCs w:val="11"/>
          <w:color w:val="auto"/>
        </w:rPr>
        <w:t>3</w:t>
      </w:r>
      <w:r>
        <w:rPr>
          <w:rFonts w:ascii="Arial" w:cs="Arial" w:eastAsia="Arial" w:hAnsi="Arial"/>
          <w:sz w:val="18"/>
          <w:szCs w:val="18"/>
          <w:color w:val="auto"/>
        </w:rPr>
        <w:t>O</w:t>
      </w:r>
      <w:r>
        <w:rPr>
          <w:rFonts w:ascii="Arial" w:cs="Arial" w:eastAsia="Arial" w:hAnsi="Arial"/>
          <w:sz w:val="11"/>
          <w:szCs w:val="11"/>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Molecular Weight: 383.459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GSK Compound Number: GW856553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403" w:name="page404"/>
    <w:bookmarkEnd w:id="403"/>
    <w:p>
      <w:pPr>
        <w:jc w:val="center"/>
        <w:spacing w:after="0"/>
        <w:rPr>
          <w:sz w:val="20"/>
          <w:szCs w:val="20"/>
          <w:color w:val="auto"/>
        </w:rPr>
      </w:pPr>
      <w:r>
        <w:rPr>
          <w:rFonts w:ascii="Arial" w:cs="Arial" w:eastAsia="Arial" w:hAnsi="Arial"/>
          <w:sz w:val="17"/>
          <w:szCs w:val="17"/>
          <w:b w:val="1"/>
          <w:bCs w:val="1"/>
          <w:u w:val="single" w:color="auto"/>
          <w:color w:val="auto"/>
        </w:rPr>
        <w:t>SCHEDULE 1.2</w:t>
      </w:r>
    </w:p>
    <w:p>
      <w:pPr>
        <w:sectPr>
          <w:pgSz w:w="11900" w:h="16838" w:orient="portrait"/>
          <w:cols w:equalWidth="0" w:num="1">
            <w:col w:w="9019"/>
          </w:cols>
          <w:pgMar w:left="1440" w:top="337"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GSK PATENTS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04" w:name="page405"/>
    <w:bookmarkEnd w:id="404"/>
    <w:tbl>
      <w:tblPr>
        <w:tblLayout w:type="fixed"/>
        <w:tblInd w:w="0" w:type="dxa"/>
        <w:tblCellMar>
          <w:top w:w="0" w:type="dxa"/>
          <w:left w:w="0" w:type="dxa"/>
          <w:bottom w:w="0" w:type="dxa"/>
          <w:right w:w="0" w:type="dxa"/>
        </w:tblCellMar>
      </w:tblPr>
      <w:tr>
        <w:trPr>
          <w:trHeight w:val="161"/>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Case No.</w:t>
            </w:r>
          </w:p>
        </w:tc>
        <w:tc>
          <w:tcPr>
            <w:tcW w:w="14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Country</w:t>
            </w:r>
          </w:p>
        </w:tc>
        <w:tc>
          <w:tcPr>
            <w:tcW w:w="16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Application Number</w:t>
            </w:r>
          </w:p>
        </w:tc>
        <w:tc>
          <w:tcPr>
            <w:tcW w:w="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280" w:type="dxa"/>
            <w:vAlign w:val="bottom"/>
          </w:tcPr>
          <w:p>
            <w:pPr>
              <w:spacing w:after="0"/>
              <w:rPr>
                <w:sz w:val="14"/>
                <w:szCs w:val="14"/>
                <w:color w:val="auto"/>
              </w:rPr>
            </w:pPr>
          </w:p>
        </w:tc>
        <w:tc>
          <w:tcPr>
            <w:tcW w:w="11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Grant Date</w:t>
            </w:r>
          </w:p>
        </w:tc>
        <w:tc>
          <w:tcPr>
            <w:tcW w:w="280" w:type="dxa"/>
            <w:vAlign w:val="bottom"/>
          </w:tcPr>
          <w:p>
            <w:pPr>
              <w:spacing w:after="0"/>
              <w:rPr>
                <w:sz w:val="14"/>
                <w:szCs w:val="14"/>
                <w:color w:val="auto"/>
              </w:rPr>
            </w:pPr>
          </w:p>
        </w:tc>
        <w:tc>
          <w:tcPr>
            <w:tcW w:w="17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Patent Number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2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1216"/>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762"/>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121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jc w:val="right"/>
              <w:ind w:right="65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2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1" w:right="199" w:bottom="1440" w:gutter="0" w:footer="0" w:header="0"/>
        </w:sectPr>
      </w:pPr>
    </w:p>
    <w:bookmarkStart w:id="405" w:name="page406"/>
    <w:bookmarkEnd w:id="405"/>
    <w:p>
      <w:pPr>
        <w:jc w:val="center"/>
        <w:ind w:right="-860"/>
        <w:spacing w:after="0"/>
        <w:rPr>
          <w:sz w:val="20"/>
          <w:szCs w:val="20"/>
          <w:color w:val="auto"/>
        </w:rPr>
      </w:pPr>
      <w:r>
        <w:rPr>
          <w:rFonts w:ascii="Arial" w:cs="Arial" w:eastAsia="Arial" w:hAnsi="Arial"/>
          <w:sz w:val="18"/>
          <w:szCs w:val="18"/>
          <w:b w:val="1"/>
          <w:bCs w:val="1"/>
          <w:u w:val="single" w:color="auto"/>
          <w:color w:val="auto"/>
        </w:rPr>
        <w:t>SCHEDULE 2.5(b)</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u w:val="single" w:color="auto"/>
          <w:color w:val="auto"/>
        </w:rPr>
        <w:t>SAS DATASETS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SAS datasets related to the studies listed below (to be provided in current format):</w:t>
      </w:r>
    </w:p>
    <w:p>
      <w:pPr>
        <w:spacing w:after="0" w:line="24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218440</wp:posOffset>
            </wp:positionV>
            <wp:extent cx="726757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879"/>
          </w:cols>
          <w:pgMar w:left="580" w:top="337" w:right="1440" w:bottom="1440" w:gutter="0" w:footer="0" w:header="0"/>
        </w:sectPr>
      </w:pPr>
    </w:p>
    <w:bookmarkStart w:id="406" w:name="page407"/>
    <w:bookmarkEnd w:id="406"/>
    <w:p>
      <w:pPr>
        <w:jc w:val="center"/>
        <w:ind w:right="40"/>
        <w:spacing w:after="0"/>
        <w:rPr>
          <w:sz w:val="20"/>
          <w:szCs w:val="20"/>
          <w:color w:val="auto"/>
        </w:rPr>
      </w:pPr>
      <w:r>
        <w:rPr>
          <w:rFonts w:ascii="Arial" w:cs="Arial" w:eastAsia="Arial" w:hAnsi="Arial"/>
          <w:sz w:val="18"/>
          <w:szCs w:val="18"/>
          <w:b w:val="1"/>
          <w:bCs w:val="1"/>
          <w:u w:val="single" w:color="auto"/>
          <w:color w:val="auto"/>
        </w:rPr>
        <w:t>SCHEDULE 2.6</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MATERIAL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Losmapimod Material Transfer: 7.5 mg tablets, placebo tablets and API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Tablets (located in [**] and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20"/>
                <w:szCs w:val="20"/>
                <w:color w:val="auto"/>
              </w:rPr>
            </w:pPr>
            <w:r>
              <w:rPr>
                <w:rFonts w:ascii="Arial" w:cs="Arial" w:eastAsia="Arial" w:hAnsi="Arial"/>
                <w:sz w:val="14"/>
                <w:szCs w:val="14"/>
                <w:b w:val="1"/>
                <w:bCs w:val="1"/>
                <w:color w:val="auto"/>
              </w:rPr>
              <w:t>Lot Number</w:t>
            </w:r>
          </w:p>
        </w:tc>
        <w:tc>
          <w:tcPr>
            <w:tcW w:w="300" w:type="dxa"/>
            <w:vAlign w:val="bottom"/>
          </w:tcPr>
          <w:p>
            <w:pPr>
              <w:spacing w:after="0"/>
              <w:rPr>
                <w:sz w:val="14"/>
                <w:szCs w:val="14"/>
                <w:color w:val="auto"/>
              </w:rPr>
            </w:pPr>
          </w:p>
        </w:tc>
        <w:tc>
          <w:tcPr>
            <w:tcW w:w="1360" w:type="dxa"/>
            <w:vAlign w:val="bottom"/>
          </w:tcPr>
          <w:p>
            <w:pPr>
              <w:jc w:val="right"/>
              <w:ind w:right="339"/>
              <w:spacing w:after="0"/>
              <w:rPr>
                <w:sz w:val="20"/>
                <w:szCs w:val="20"/>
                <w:color w:val="auto"/>
              </w:rPr>
            </w:pPr>
            <w:r>
              <w:rPr>
                <w:rFonts w:ascii="Arial" w:cs="Arial" w:eastAsia="Arial" w:hAnsi="Arial"/>
                <w:sz w:val="14"/>
                <w:szCs w:val="14"/>
                <w:b w:val="1"/>
                <w:bCs w:val="1"/>
                <w:color w:val="auto"/>
              </w:rPr>
              <w:t>Material</w:t>
            </w:r>
          </w:p>
        </w:tc>
        <w:tc>
          <w:tcPr>
            <w:tcW w:w="300" w:type="dxa"/>
            <w:vAlign w:val="bottom"/>
          </w:tcPr>
          <w:p>
            <w:pPr>
              <w:spacing w:after="0"/>
              <w:rPr>
                <w:sz w:val="14"/>
                <w:szCs w:val="14"/>
                <w:color w:val="auto"/>
              </w:rPr>
            </w:pPr>
          </w:p>
        </w:tc>
        <w:tc>
          <w:tcPr>
            <w:tcW w:w="1360" w:type="dxa"/>
            <w:vAlign w:val="bottom"/>
          </w:tcPr>
          <w:p>
            <w:pPr>
              <w:jc w:val="right"/>
              <w:ind w:right="319"/>
              <w:spacing w:after="0"/>
              <w:rPr>
                <w:sz w:val="20"/>
                <w:szCs w:val="20"/>
                <w:color w:val="auto"/>
              </w:rPr>
            </w:pPr>
            <w:r>
              <w:rPr>
                <w:rFonts w:ascii="Arial" w:cs="Arial" w:eastAsia="Arial" w:hAnsi="Arial"/>
                <w:sz w:val="14"/>
                <w:szCs w:val="14"/>
                <w:b w:val="1"/>
                <w:bCs w:val="1"/>
                <w:color w:val="auto"/>
              </w:rPr>
              <w:t>Quantity</w:t>
            </w:r>
          </w:p>
        </w:tc>
        <w:tc>
          <w:tcPr>
            <w:tcW w:w="280" w:type="dxa"/>
            <w:vAlign w:val="bottom"/>
          </w:tcPr>
          <w:p>
            <w:pPr>
              <w:spacing w:after="0"/>
              <w:rPr>
                <w:sz w:val="14"/>
                <w:szCs w:val="14"/>
                <w:color w:val="auto"/>
              </w:rPr>
            </w:pPr>
          </w:p>
        </w:tc>
        <w:tc>
          <w:tcPr>
            <w:tcW w:w="1360" w:type="dxa"/>
            <w:vAlign w:val="bottom"/>
          </w:tcPr>
          <w:p>
            <w:pPr>
              <w:jc w:val="right"/>
              <w:ind w:right="239"/>
              <w:spacing w:after="0"/>
              <w:rPr>
                <w:sz w:val="20"/>
                <w:szCs w:val="20"/>
                <w:color w:val="auto"/>
              </w:rPr>
            </w:pPr>
            <w:r>
              <w:rPr>
                <w:rFonts w:ascii="Arial" w:cs="Arial" w:eastAsia="Arial" w:hAnsi="Arial"/>
                <w:sz w:val="14"/>
                <w:szCs w:val="14"/>
                <w:b w:val="1"/>
                <w:bCs w:val="1"/>
                <w:color w:val="auto"/>
              </w:rPr>
              <w:t>Expiry date</w:t>
            </w:r>
          </w:p>
        </w:tc>
        <w:tc>
          <w:tcPr>
            <w:tcW w:w="280" w:type="dxa"/>
            <w:vAlign w:val="bottom"/>
          </w:tcPr>
          <w:p>
            <w:pPr>
              <w:spacing w:after="0"/>
              <w:rPr>
                <w:sz w:val="14"/>
                <w:szCs w:val="14"/>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Status</w:t>
            </w:r>
          </w:p>
        </w:tc>
        <w:tc>
          <w:tcPr>
            <w:tcW w:w="40" w:type="dxa"/>
            <w:vAlign w:val="bottom"/>
          </w:tcPr>
          <w:p>
            <w:pPr>
              <w:spacing w:after="0"/>
              <w:rPr>
                <w:sz w:val="14"/>
                <w:szCs w:val="14"/>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Placebo tablets (located in [**])</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4700" w:type="dxa"/>
            <w:vAlign w:val="bottom"/>
          </w:tcPr>
          <w:p>
            <w:pPr>
              <w:spacing w:after="0"/>
              <w:rPr>
                <w:sz w:val="20"/>
                <w:szCs w:val="20"/>
                <w:color w:val="auto"/>
              </w:rPr>
            </w:pPr>
            <w:r>
              <w:rPr>
                <w:rFonts w:ascii="Arial" w:cs="Arial" w:eastAsia="Arial" w:hAnsi="Arial"/>
                <w:sz w:val="14"/>
                <w:szCs w:val="14"/>
                <w:b w:val="1"/>
                <w:bCs w:val="1"/>
                <w:color w:val="auto"/>
              </w:rPr>
              <w:t>Lot Number</w:t>
            </w:r>
          </w:p>
        </w:tc>
        <w:tc>
          <w:tcPr>
            <w:tcW w:w="300" w:type="dxa"/>
            <w:vAlign w:val="bottom"/>
          </w:tcPr>
          <w:p>
            <w:pPr>
              <w:spacing w:after="0"/>
              <w:rPr>
                <w:sz w:val="24"/>
                <w:szCs w:val="24"/>
                <w:color w:val="auto"/>
              </w:rPr>
            </w:pPr>
          </w:p>
        </w:tc>
        <w:tc>
          <w:tcPr>
            <w:tcW w:w="1360" w:type="dxa"/>
            <w:vAlign w:val="bottom"/>
          </w:tcPr>
          <w:p>
            <w:pPr>
              <w:jc w:val="right"/>
              <w:ind w:right="339"/>
              <w:spacing w:after="0"/>
              <w:rPr>
                <w:sz w:val="20"/>
                <w:szCs w:val="20"/>
                <w:color w:val="auto"/>
              </w:rPr>
            </w:pPr>
            <w:r>
              <w:rPr>
                <w:rFonts w:ascii="Arial" w:cs="Arial" w:eastAsia="Arial" w:hAnsi="Arial"/>
                <w:sz w:val="14"/>
                <w:szCs w:val="14"/>
                <w:b w:val="1"/>
                <w:bCs w:val="1"/>
                <w:color w:val="auto"/>
              </w:rPr>
              <w:t>Material</w:t>
            </w:r>
          </w:p>
        </w:tc>
        <w:tc>
          <w:tcPr>
            <w:tcW w:w="300" w:type="dxa"/>
            <w:vAlign w:val="bottom"/>
          </w:tcPr>
          <w:p>
            <w:pPr>
              <w:spacing w:after="0"/>
              <w:rPr>
                <w:sz w:val="24"/>
                <w:szCs w:val="24"/>
                <w:color w:val="auto"/>
              </w:rPr>
            </w:pPr>
          </w:p>
        </w:tc>
        <w:tc>
          <w:tcPr>
            <w:tcW w:w="1360" w:type="dxa"/>
            <w:vAlign w:val="bottom"/>
          </w:tcPr>
          <w:p>
            <w:pPr>
              <w:jc w:val="right"/>
              <w:ind w:right="319"/>
              <w:spacing w:after="0"/>
              <w:rPr>
                <w:sz w:val="20"/>
                <w:szCs w:val="20"/>
                <w:color w:val="auto"/>
              </w:rPr>
            </w:pPr>
            <w:r>
              <w:rPr>
                <w:rFonts w:ascii="Arial" w:cs="Arial" w:eastAsia="Arial" w:hAnsi="Arial"/>
                <w:sz w:val="14"/>
                <w:szCs w:val="14"/>
                <w:b w:val="1"/>
                <w:bCs w:val="1"/>
                <w:color w:val="auto"/>
              </w:rPr>
              <w:t>Quantity</w:t>
            </w:r>
          </w:p>
        </w:tc>
        <w:tc>
          <w:tcPr>
            <w:tcW w:w="280" w:type="dxa"/>
            <w:vAlign w:val="bottom"/>
          </w:tcPr>
          <w:p>
            <w:pPr>
              <w:spacing w:after="0"/>
              <w:rPr>
                <w:sz w:val="24"/>
                <w:szCs w:val="24"/>
                <w:color w:val="auto"/>
              </w:rPr>
            </w:pPr>
          </w:p>
        </w:tc>
        <w:tc>
          <w:tcPr>
            <w:tcW w:w="1360" w:type="dxa"/>
            <w:vAlign w:val="bottom"/>
          </w:tcPr>
          <w:p>
            <w:pPr>
              <w:jc w:val="right"/>
              <w:ind w:right="239"/>
              <w:spacing w:after="0"/>
              <w:rPr>
                <w:sz w:val="20"/>
                <w:szCs w:val="20"/>
                <w:color w:val="auto"/>
              </w:rPr>
            </w:pPr>
            <w:r>
              <w:rPr>
                <w:rFonts w:ascii="Arial" w:cs="Arial" w:eastAsia="Arial" w:hAnsi="Arial"/>
                <w:sz w:val="14"/>
                <w:szCs w:val="14"/>
                <w:b w:val="1"/>
                <w:bCs w:val="1"/>
                <w:color w:val="auto"/>
              </w:rPr>
              <w:t>Expiry date</w:t>
            </w:r>
          </w:p>
        </w:tc>
        <w:tc>
          <w:tcPr>
            <w:tcW w:w="280" w:type="dxa"/>
            <w:vAlign w:val="bottom"/>
          </w:tcPr>
          <w:p>
            <w:pPr>
              <w:spacing w:after="0"/>
              <w:rPr>
                <w:sz w:val="24"/>
                <w:szCs w:val="24"/>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Status</w:t>
            </w:r>
          </w:p>
        </w:tc>
        <w:tc>
          <w:tcPr>
            <w:tcW w:w="40" w:type="dxa"/>
            <w:vAlign w:val="bottom"/>
          </w:tcPr>
          <w:p>
            <w:pPr>
              <w:spacing w:after="0"/>
              <w:rPr>
                <w:sz w:val="24"/>
                <w:szCs w:val="24"/>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API, available for clinical development (located in [**])</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4700" w:type="dxa"/>
            <w:vAlign w:val="bottom"/>
          </w:tcPr>
          <w:p>
            <w:pPr>
              <w:spacing w:after="0"/>
              <w:rPr>
                <w:sz w:val="20"/>
                <w:szCs w:val="20"/>
                <w:color w:val="auto"/>
              </w:rPr>
            </w:pPr>
            <w:r>
              <w:rPr>
                <w:rFonts w:ascii="Arial" w:cs="Arial" w:eastAsia="Arial" w:hAnsi="Arial"/>
                <w:sz w:val="14"/>
                <w:szCs w:val="14"/>
                <w:b w:val="1"/>
                <w:bCs w:val="1"/>
                <w:color w:val="auto"/>
              </w:rPr>
              <w:t>Lot Number</w:t>
            </w:r>
          </w:p>
        </w:tc>
        <w:tc>
          <w:tcPr>
            <w:tcW w:w="300" w:type="dxa"/>
            <w:vAlign w:val="bottom"/>
          </w:tcPr>
          <w:p>
            <w:pPr>
              <w:spacing w:after="0"/>
              <w:rPr>
                <w:sz w:val="24"/>
                <w:szCs w:val="24"/>
                <w:color w:val="auto"/>
              </w:rPr>
            </w:pPr>
          </w:p>
        </w:tc>
        <w:tc>
          <w:tcPr>
            <w:tcW w:w="1360" w:type="dxa"/>
            <w:vAlign w:val="bottom"/>
          </w:tcPr>
          <w:p>
            <w:pPr>
              <w:jc w:val="right"/>
              <w:ind w:right="339"/>
              <w:spacing w:after="0"/>
              <w:rPr>
                <w:sz w:val="20"/>
                <w:szCs w:val="20"/>
                <w:color w:val="auto"/>
              </w:rPr>
            </w:pPr>
            <w:r>
              <w:rPr>
                <w:rFonts w:ascii="Arial" w:cs="Arial" w:eastAsia="Arial" w:hAnsi="Arial"/>
                <w:sz w:val="14"/>
                <w:szCs w:val="14"/>
                <w:b w:val="1"/>
                <w:bCs w:val="1"/>
                <w:color w:val="auto"/>
              </w:rPr>
              <w:t>Material</w:t>
            </w:r>
          </w:p>
        </w:tc>
        <w:tc>
          <w:tcPr>
            <w:tcW w:w="300" w:type="dxa"/>
            <w:vAlign w:val="bottom"/>
          </w:tcPr>
          <w:p>
            <w:pPr>
              <w:spacing w:after="0"/>
              <w:rPr>
                <w:sz w:val="24"/>
                <w:szCs w:val="24"/>
                <w:color w:val="auto"/>
              </w:rPr>
            </w:pPr>
          </w:p>
        </w:tc>
        <w:tc>
          <w:tcPr>
            <w:tcW w:w="1360" w:type="dxa"/>
            <w:vAlign w:val="bottom"/>
          </w:tcPr>
          <w:p>
            <w:pPr>
              <w:jc w:val="right"/>
              <w:ind w:right="319"/>
              <w:spacing w:after="0"/>
              <w:rPr>
                <w:sz w:val="20"/>
                <w:szCs w:val="20"/>
                <w:color w:val="auto"/>
              </w:rPr>
            </w:pPr>
            <w:r>
              <w:rPr>
                <w:rFonts w:ascii="Arial" w:cs="Arial" w:eastAsia="Arial" w:hAnsi="Arial"/>
                <w:sz w:val="14"/>
                <w:szCs w:val="14"/>
                <w:b w:val="1"/>
                <w:bCs w:val="1"/>
                <w:color w:val="auto"/>
              </w:rPr>
              <w:t>Quantity</w:t>
            </w:r>
          </w:p>
        </w:tc>
        <w:tc>
          <w:tcPr>
            <w:tcW w:w="280" w:type="dxa"/>
            <w:vAlign w:val="bottom"/>
          </w:tcPr>
          <w:p>
            <w:pPr>
              <w:spacing w:after="0"/>
              <w:rPr>
                <w:sz w:val="24"/>
                <w:szCs w:val="24"/>
                <w:color w:val="auto"/>
              </w:rPr>
            </w:pPr>
          </w:p>
        </w:tc>
        <w:tc>
          <w:tcPr>
            <w:tcW w:w="1360" w:type="dxa"/>
            <w:vAlign w:val="bottom"/>
          </w:tcPr>
          <w:p>
            <w:pPr>
              <w:jc w:val="right"/>
              <w:ind w:right="239"/>
              <w:spacing w:after="0"/>
              <w:rPr>
                <w:sz w:val="20"/>
                <w:szCs w:val="20"/>
                <w:color w:val="auto"/>
              </w:rPr>
            </w:pPr>
            <w:r>
              <w:rPr>
                <w:rFonts w:ascii="Arial" w:cs="Arial" w:eastAsia="Arial" w:hAnsi="Arial"/>
                <w:sz w:val="14"/>
                <w:szCs w:val="14"/>
                <w:b w:val="1"/>
                <w:bCs w:val="1"/>
                <w:color w:val="auto"/>
              </w:rPr>
              <w:t>Expiry date</w:t>
            </w:r>
          </w:p>
        </w:tc>
        <w:tc>
          <w:tcPr>
            <w:tcW w:w="280" w:type="dxa"/>
            <w:vAlign w:val="bottom"/>
          </w:tcPr>
          <w:p>
            <w:pPr>
              <w:spacing w:after="0"/>
              <w:rPr>
                <w:sz w:val="24"/>
                <w:szCs w:val="24"/>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Status</w:t>
            </w:r>
          </w:p>
        </w:tc>
        <w:tc>
          <w:tcPr>
            <w:tcW w:w="40" w:type="dxa"/>
            <w:vAlign w:val="bottom"/>
          </w:tcPr>
          <w:p>
            <w:pPr>
              <w:spacing w:after="0"/>
              <w:rPr>
                <w:sz w:val="24"/>
                <w:szCs w:val="24"/>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6360" w:type="dxa"/>
            <w:vAlign w:val="bottom"/>
            <w:gridSpan w:val="3"/>
          </w:tcPr>
          <w:p>
            <w:pPr>
              <w:spacing w:after="0"/>
              <w:rPr>
                <w:sz w:val="20"/>
                <w:szCs w:val="20"/>
                <w:color w:val="auto"/>
              </w:rPr>
            </w:pPr>
            <w:r>
              <w:rPr>
                <w:rFonts w:ascii="Arial" w:cs="Arial" w:eastAsia="Arial" w:hAnsi="Arial"/>
                <w:sz w:val="18"/>
                <w:szCs w:val="18"/>
                <w:color w:val="auto"/>
              </w:rPr>
              <w:t>API, “development batches”, not to be used for clinical material (located in [**])</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4700" w:type="dxa"/>
            <w:vAlign w:val="bottom"/>
          </w:tcPr>
          <w:p>
            <w:pPr>
              <w:spacing w:after="0"/>
              <w:rPr>
                <w:sz w:val="20"/>
                <w:szCs w:val="20"/>
                <w:color w:val="auto"/>
              </w:rPr>
            </w:pPr>
            <w:r>
              <w:rPr>
                <w:rFonts w:ascii="Arial" w:cs="Arial" w:eastAsia="Arial" w:hAnsi="Arial"/>
                <w:sz w:val="14"/>
                <w:szCs w:val="14"/>
                <w:b w:val="1"/>
                <w:bCs w:val="1"/>
                <w:color w:val="auto"/>
              </w:rPr>
              <w:t>Lot Number</w:t>
            </w:r>
          </w:p>
        </w:tc>
        <w:tc>
          <w:tcPr>
            <w:tcW w:w="300" w:type="dxa"/>
            <w:vAlign w:val="bottom"/>
          </w:tcPr>
          <w:p>
            <w:pPr>
              <w:spacing w:after="0"/>
              <w:rPr>
                <w:sz w:val="24"/>
                <w:szCs w:val="24"/>
                <w:color w:val="auto"/>
              </w:rPr>
            </w:pPr>
          </w:p>
        </w:tc>
        <w:tc>
          <w:tcPr>
            <w:tcW w:w="1360" w:type="dxa"/>
            <w:vAlign w:val="bottom"/>
          </w:tcPr>
          <w:p>
            <w:pPr>
              <w:jc w:val="right"/>
              <w:ind w:right="339"/>
              <w:spacing w:after="0"/>
              <w:rPr>
                <w:sz w:val="20"/>
                <w:szCs w:val="20"/>
                <w:color w:val="auto"/>
              </w:rPr>
            </w:pPr>
            <w:r>
              <w:rPr>
                <w:rFonts w:ascii="Arial" w:cs="Arial" w:eastAsia="Arial" w:hAnsi="Arial"/>
                <w:sz w:val="14"/>
                <w:szCs w:val="14"/>
                <w:b w:val="1"/>
                <w:bCs w:val="1"/>
                <w:color w:val="auto"/>
              </w:rPr>
              <w:t>Material</w:t>
            </w:r>
          </w:p>
        </w:tc>
        <w:tc>
          <w:tcPr>
            <w:tcW w:w="300" w:type="dxa"/>
            <w:vAlign w:val="bottom"/>
          </w:tcPr>
          <w:p>
            <w:pPr>
              <w:spacing w:after="0"/>
              <w:rPr>
                <w:sz w:val="24"/>
                <w:szCs w:val="24"/>
                <w:color w:val="auto"/>
              </w:rPr>
            </w:pPr>
          </w:p>
        </w:tc>
        <w:tc>
          <w:tcPr>
            <w:tcW w:w="1360" w:type="dxa"/>
            <w:vAlign w:val="bottom"/>
          </w:tcPr>
          <w:p>
            <w:pPr>
              <w:jc w:val="right"/>
              <w:ind w:right="319"/>
              <w:spacing w:after="0"/>
              <w:rPr>
                <w:sz w:val="20"/>
                <w:szCs w:val="20"/>
                <w:color w:val="auto"/>
              </w:rPr>
            </w:pPr>
            <w:r>
              <w:rPr>
                <w:rFonts w:ascii="Arial" w:cs="Arial" w:eastAsia="Arial" w:hAnsi="Arial"/>
                <w:sz w:val="14"/>
                <w:szCs w:val="14"/>
                <w:b w:val="1"/>
                <w:bCs w:val="1"/>
                <w:color w:val="auto"/>
              </w:rPr>
              <w:t>Quantity</w:t>
            </w:r>
          </w:p>
        </w:tc>
        <w:tc>
          <w:tcPr>
            <w:tcW w:w="280" w:type="dxa"/>
            <w:vAlign w:val="bottom"/>
          </w:tcPr>
          <w:p>
            <w:pPr>
              <w:spacing w:after="0"/>
              <w:rPr>
                <w:sz w:val="24"/>
                <w:szCs w:val="24"/>
                <w:color w:val="auto"/>
              </w:rPr>
            </w:pPr>
          </w:p>
        </w:tc>
        <w:tc>
          <w:tcPr>
            <w:tcW w:w="1360" w:type="dxa"/>
            <w:vAlign w:val="bottom"/>
          </w:tcPr>
          <w:p>
            <w:pPr>
              <w:jc w:val="right"/>
              <w:ind w:right="239"/>
              <w:spacing w:after="0"/>
              <w:rPr>
                <w:sz w:val="20"/>
                <w:szCs w:val="20"/>
                <w:color w:val="auto"/>
              </w:rPr>
            </w:pPr>
            <w:r>
              <w:rPr>
                <w:rFonts w:ascii="Arial" w:cs="Arial" w:eastAsia="Arial" w:hAnsi="Arial"/>
                <w:sz w:val="14"/>
                <w:szCs w:val="14"/>
                <w:b w:val="1"/>
                <w:bCs w:val="1"/>
                <w:color w:val="auto"/>
              </w:rPr>
              <w:t>Expiry date</w:t>
            </w:r>
          </w:p>
        </w:tc>
        <w:tc>
          <w:tcPr>
            <w:tcW w:w="280" w:type="dxa"/>
            <w:vAlign w:val="bottom"/>
          </w:tcPr>
          <w:p>
            <w:pPr>
              <w:spacing w:after="0"/>
              <w:rPr>
                <w:sz w:val="24"/>
                <w:szCs w:val="24"/>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Status</w:t>
            </w:r>
          </w:p>
        </w:tc>
        <w:tc>
          <w:tcPr>
            <w:tcW w:w="40" w:type="dxa"/>
            <w:vAlign w:val="bottom"/>
          </w:tcPr>
          <w:p>
            <w:pPr>
              <w:spacing w:after="0"/>
              <w:rPr>
                <w:sz w:val="24"/>
                <w:szCs w:val="24"/>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348"/>
        </w:trPr>
        <w:tc>
          <w:tcPr>
            <w:tcW w:w="47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07" w:name="page408"/>
    <w:bookmarkEnd w:id="407"/>
    <w:p>
      <w:pPr>
        <w:jc w:val="center"/>
        <w:ind w:right="-3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LETTER OF AUTHORIZATION</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[GSK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Division Director at FDA Division of Neurology Products,</w:t>
      </w:r>
    </w:p>
    <w:p>
      <w:pPr>
        <w:spacing w:after="0" w:line="2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a request from Fulcrum Therapeutics (“</w:t>
      </w:r>
      <w:r>
        <w:rPr>
          <w:rFonts w:ascii="Arial" w:cs="Arial" w:eastAsia="Arial" w:hAnsi="Arial"/>
          <w:sz w:val="18"/>
          <w:szCs w:val="18"/>
          <w:b w:val="1"/>
          <w:bCs w:val="1"/>
          <w:color w:val="auto"/>
        </w:rPr>
        <w:t>Fulcrum</w:t>
      </w:r>
      <w:r>
        <w:rPr>
          <w:rFonts w:ascii="Arial" w:cs="Arial" w:eastAsia="Arial" w:hAnsi="Arial"/>
          <w:sz w:val="18"/>
          <w:szCs w:val="18"/>
          <w:color w:val="auto"/>
        </w:rPr>
        <w:t>”), GSK hereby authorizes the United States Food and Drug Administration (“</w:t>
      </w:r>
      <w:r>
        <w:rPr>
          <w:rFonts w:ascii="Arial" w:cs="Arial" w:eastAsia="Arial" w:hAnsi="Arial"/>
          <w:sz w:val="18"/>
          <w:szCs w:val="18"/>
          <w:b w:val="1"/>
          <w:bCs w:val="1"/>
          <w:color w:val="auto"/>
        </w:rPr>
        <w:t>FDA</w:t>
      </w:r>
      <w:r>
        <w:rPr>
          <w:rFonts w:ascii="Arial" w:cs="Arial" w:eastAsia="Arial" w:hAnsi="Arial"/>
          <w:sz w:val="18"/>
          <w:szCs w:val="18"/>
          <w:color w:val="auto"/>
        </w:rPr>
        <w:t>”) to refer to the information contained in the withdrawn GSK-sponsored losmapimod INDs (IND No. [**]) in their entirety and all information therein in connection with any filing or application made by Fulcrum Therapeutics, including without limitation Fulcrum Therapeutics’ PIND [**] filing for its FTX-1821 product for treatment of Facioscapulohumeral muscular dystrophy (FSHD).</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indicated by my signature below, I am authorized to provide this authorization on behalf of GSK and my full name, title, address, email address, telephone number, are listed below.</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contact me at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Ian Hunt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President, Global Regulatory Affairs, Therapeutic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RD Chief Regulatory Office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1250 S. Collegeville Road, Collegeville, Pennsylvania, 19426-0989,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Office Phone </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Mobile Phone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154305</wp:posOffset>
            </wp:positionV>
            <wp:extent cx="1809750" cy="44577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8097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June 12,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J. Gould,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Offer of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Robert:</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Fulcrum Therapeutics, Inc. (the “Company”) is pleased to confirm its offer to employ you as President and Chief Executive Officer. As President and Chief Executive Officer you will be a member of the Board and report to the Company’s Board of Directors (the “Board”). Your start date will be no later than June 20, 2016 pending completion of all meetings with team members and signing of the new agreed upon Agreement with Epizyme.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Responsibilities are expected to include, but may not limited to, the following:</w:t>
      </w:r>
    </w:p>
    <w:p>
      <w:pPr>
        <w:spacing w:after="0" w:line="225" w:lineRule="exact"/>
        <w:rPr>
          <w:sz w:val="20"/>
          <w:szCs w:val="20"/>
          <w:color w:val="auto"/>
        </w:rPr>
      </w:pPr>
    </w:p>
    <w:p>
      <w:pPr>
        <w:ind w:left="740" w:right="460" w:hanging="327"/>
        <w:spacing w:after="0" w:line="308" w:lineRule="auto"/>
        <w:tabs>
          <w:tab w:leader="none" w:pos="704" w:val="left"/>
        </w:tabs>
        <w:numPr>
          <w:ilvl w:val="0"/>
          <w:numId w:val="302"/>
        </w:numPr>
        <w:rPr>
          <w:rFonts w:ascii="Arial" w:cs="Arial" w:eastAsia="Arial" w:hAnsi="Arial"/>
          <w:sz w:val="17"/>
          <w:szCs w:val="17"/>
          <w:color w:val="auto"/>
        </w:rPr>
      </w:pPr>
      <w:r>
        <w:rPr>
          <w:rFonts w:ascii="Arial" w:cs="Arial" w:eastAsia="Arial" w:hAnsi="Arial"/>
          <w:sz w:val="17"/>
          <w:szCs w:val="17"/>
          <w:color w:val="auto"/>
        </w:rPr>
        <w:t>Oversee and integrate all company activities to ensure Fulcrum meets its research, development, and business milestones by focusing on value creation for our founders, employees, partners, investors and most importantly, making a difference in patients’ lives</w:t>
      </w:r>
    </w:p>
    <w:p>
      <w:pPr>
        <w:spacing w:after="0" w:line="146" w:lineRule="exact"/>
        <w:rPr>
          <w:rFonts w:ascii="Arial" w:cs="Arial" w:eastAsia="Arial" w:hAnsi="Arial"/>
          <w:sz w:val="17"/>
          <w:szCs w:val="17"/>
          <w:color w:val="auto"/>
        </w:rPr>
      </w:pPr>
    </w:p>
    <w:p>
      <w:pPr>
        <w:ind w:left="740" w:right="100" w:hanging="327"/>
        <w:spacing w:after="0" w:line="264" w:lineRule="auto"/>
        <w:tabs>
          <w:tab w:leader="none" w:pos="70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Work with the Board and senior management to develop and communicate a compelling vision, strategic direction and company business plan; continually evaluate alternative strategies; identify competitive issues; capitalize on the product engine and develop and implement operating plans to achieve objectives</w:t>
      </w:r>
    </w:p>
    <w:p>
      <w:pPr>
        <w:spacing w:after="0" w:line="181" w:lineRule="exact"/>
        <w:rPr>
          <w:rFonts w:ascii="Arial" w:cs="Arial" w:eastAsia="Arial" w:hAnsi="Arial"/>
          <w:sz w:val="18"/>
          <w:szCs w:val="18"/>
          <w:color w:val="auto"/>
        </w:rPr>
      </w:pPr>
    </w:p>
    <w:p>
      <w:pPr>
        <w:ind w:left="740" w:right="100" w:hanging="327"/>
        <w:spacing w:after="0" w:line="264" w:lineRule="auto"/>
        <w:tabs>
          <w:tab w:leader="none" w:pos="70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Build a robust organization by ensuring that qualified research &amp; development and business talent are recruited hired and retained. Work with the Board and the senior management team to manage uncertainty while maintaining an entrepreneurial environment; manage performance of team by providing feedback, teaching and development opportunities</w:t>
      </w:r>
    </w:p>
    <w:p>
      <w:pPr>
        <w:spacing w:after="0" w:line="181" w:lineRule="exact"/>
        <w:rPr>
          <w:rFonts w:ascii="Arial" w:cs="Arial" w:eastAsia="Arial" w:hAnsi="Arial"/>
          <w:sz w:val="18"/>
          <w:szCs w:val="18"/>
          <w:color w:val="auto"/>
        </w:rPr>
      </w:pPr>
    </w:p>
    <w:p>
      <w:pPr>
        <w:ind w:left="740" w:right="200" w:hanging="327"/>
        <w:spacing w:after="0" w:line="277" w:lineRule="auto"/>
        <w:tabs>
          <w:tab w:leader="none" w:pos="70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Foster an internal atmosphere that supports individual accountability, transparency, open communication and respect to enable employees to focus on the Company’s culture and mission</w:t>
      </w:r>
    </w:p>
    <w:p>
      <w:pPr>
        <w:spacing w:after="0" w:line="170" w:lineRule="exact"/>
        <w:rPr>
          <w:rFonts w:ascii="Arial" w:cs="Arial" w:eastAsia="Arial" w:hAnsi="Arial"/>
          <w:sz w:val="18"/>
          <w:szCs w:val="18"/>
          <w:color w:val="auto"/>
        </w:rPr>
      </w:pPr>
    </w:p>
    <w:p>
      <w:pPr>
        <w:ind w:left="740" w:right="260" w:hanging="327"/>
        <w:spacing w:after="0" w:line="342" w:lineRule="auto"/>
        <w:tabs>
          <w:tab w:leader="none" w:pos="704" w:val="left"/>
        </w:tabs>
        <w:numPr>
          <w:ilvl w:val="0"/>
          <w:numId w:val="302"/>
        </w:numPr>
        <w:rPr>
          <w:rFonts w:ascii="Arial" w:cs="Arial" w:eastAsia="Arial" w:hAnsi="Arial"/>
          <w:sz w:val="16"/>
          <w:szCs w:val="16"/>
          <w:color w:val="auto"/>
        </w:rPr>
      </w:pPr>
      <w:r>
        <w:rPr>
          <w:rFonts w:ascii="Arial" w:cs="Arial" w:eastAsia="Arial" w:hAnsi="Arial"/>
          <w:sz w:val="16"/>
          <w:szCs w:val="16"/>
          <w:color w:val="auto"/>
        </w:rPr>
        <w:t>Build and maintain a “Group Genius” environment for our founders, employees, advisors, key opinion leaders, partners and investors where everyone expresses their ideas and opinions and where we ultimately integrate these ideas to achieve the best plans and solutions for our patients</w:t>
      </w:r>
    </w:p>
    <w:p>
      <w:pPr>
        <w:spacing w:after="0" w:line="123" w:lineRule="exact"/>
        <w:rPr>
          <w:rFonts w:ascii="Arial" w:cs="Arial" w:eastAsia="Arial" w:hAnsi="Arial"/>
          <w:sz w:val="16"/>
          <w:szCs w:val="16"/>
          <w:color w:val="auto"/>
        </w:rPr>
      </w:pPr>
    </w:p>
    <w:p>
      <w:pPr>
        <w:ind w:left="740" w:right="660" w:hanging="327"/>
        <w:spacing w:after="0" w:line="277" w:lineRule="auto"/>
        <w:tabs>
          <w:tab w:leader="none" w:pos="70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Develop, build and lead strategic partnerships with external companies to complement Fulcrum’s capability, to raise dollars for building the company and to bring important products to the patients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09" w:name="page410"/>
    <w:bookmarkEnd w:id="409"/>
    <w:p>
      <w:pPr>
        <w:ind w:left="740" w:right="400" w:hanging="327"/>
        <w:spacing w:after="0" w:line="277" w:lineRule="auto"/>
        <w:tabs>
          <w:tab w:leader="none" w:pos="70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Serve as the primary spokesperson for company, establishing and communicating the company’s vision and image, and enhancing its visibility among potential partners</w:t>
      </w:r>
    </w:p>
    <w:p>
      <w:pPr>
        <w:spacing w:after="0" w:line="17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Your compensation for this position will be at the rate of $420,000 a year, payable in accordance with the Company’s normal pay schedule, which the Company currently expects will be bi-weekly. All payments are subject to legally required tax withholdings. It is expected that, when an annual bonus program is approved by the Board of Directors, you will be eligible for a target bonus at 35% of your annual compensation, based upon the achievement of corporate and individual goals, as agreed by the Board of Directors. You will be eligible to participate each year in any annual bonus plan adopted by the Company and the Company, subject to financial, business, and other circumstances and factors.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After Series A funding, you will be issued restricted stock grant for 3,000,000 shares of Fulcrum Therapeutics, Inc. common stock (the “Shares”), subject to approval of the Company’s Board of Directors, at an exercise or purchase price equal to the fair market value of the Company’s common stock on the date of grant or issuance, subject to the standard terms and conditions of Fulcrum Therapeutics, Inc. Stock Incentive Plan and form of stock option or restricted stock agreement, including vesting, subject to continued employment. The Shares shall vest over four years at the rate of 25% on the first anniversary of the commencement date of your employment and an additional 6.25% per quarter for the next twelve successive quarters of employment when, after four full years of employment, the Shares will be fully vested. The Share grant will be brought to the Board of Directors for approval soon after you begin employment with the Company.</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will offer a comprehensive benefits program and you will be eligible to participate in the program to the extent that the company establishes them soon after the completion of the Series A financing. You will accrue 15 paid vacation days each year for the first 5 years of service and receive all paid holidays annually in accordance with the company holiday schedule.</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It is understood that you are an “at-will” employee. You are not being offered employment for a definite period of time, and either you or the Company may terminate the employment relationship at any time and for any reason, with or without Cause or prior notice and without additional compensation to you, other than as provided below.</w:t>
      </w:r>
    </w:p>
    <w:p>
      <w:pPr>
        <w:spacing w:after="0" w:line="181" w:lineRule="exact"/>
        <w:rPr>
          <w:sz w:val="20"/>
          <w:szCs w:val="20"/>
          <w:color w:val="auto"/>
        </w:rPr>
      </w:pPr>
    </w:p>
    <w:p>
      <w:pPr>
        <w:ind w:right="20" w:firstLine="8"/>
        <w:spacing w:after="0" w:line="277" w:lineRule="auto"/>
        <w:tabs>
          <w:tab w:leader="none" w:pos="29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Company may terminate your employment for “Cause” (as defined below) upon written notice to you effectively immediately, in which case you will not be entitled to receive any form of payment other than your earned compensation through your date of separation;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410" w:name="page411"/>
    <w:bookmarkEnd w:id="410"/>
    <w:p>
      <w:pPr>
        <w:ind w:right="240" w:firstLine="8"/>
        <w:spacing w:after="0" w:line="264" w:lineRule="auto"/>
        <w:tabs>
          <w:tab w:leader="none" w:pos="3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you may terminate your employment voluntarily other than for “Good Reason” (as defined below) upon at least thirty (30) days’ prior written notice to the Company, in which case you will not be entitled to receive any form of payment other than your earned compensation through your date of separation; and</w:t>
      </w:r>
    </w:p>
    <w:p>
      <w:pPr>
        <w:spacing w:after="0" w:line="181" w:lineRule="exact"/>
        <w:rPr>
          <w:rFonts w:ascii="Arial" w:cs="Arial" w:eastAsia="Arial" w:hAnsi="Arial"/>
          <w:sz w:val="18"/>
          <w:szCs w:val="18"/>
          <w:color w:val="auto"/>
        </w:rPr>
      </w:pPr>
    </w:p>
    <w:p>
      <w:pPr>
        <w:ind w:right="20" w:firstLine="8"/>
        <w:spacing w:after="0" w:line="291" w:lineRule="auto"/>
        <w:tabs>
          <w:tab w:leader="none" w:pos="24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Notwithstanding the foregoing, in the event that the Company terminates your employment without Cause, then, subject to you entering into and complying with a separation agreement and general release in a form provided by the Company, you will be entitled to a severance pay in an amount equal to:</w:t>
      </w:r>
    </w:p>
    <w:p>
      <w:pPr>
        <w:ind w:firstLine="8"/>
        <w:spacing w:after="0" w:line="271" w:lineRule="auto"/>
        <w:tabs>
          <w:tab w:leader="none" w:pos="215"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twelve months of your then base salary as of the date of termination, such amount to be paid in equal installments over a twelve (12) month period after the date of your termination in accordance with the Company’s usual payroll practices and periods, subject to applicable taxes and withholding, (ii) payment for twelve (12) months of monthly COBRA premiums at the same rate as the Company pays for active employees for you and your eligible dependents, subject to applicable COBRA terms and in compliance with applicable non-discrimination or other requirements under the Internal Revenue Code (the “Code”), the Patient Protection and Affordable Care Act, or the Health Care and Education Reconciliation Act.</w:t>
      </w:r>
    </w:p>
    <w:p>
      <w:pPr>
        <w:spacing w:after="0" w:line="178" w:lineRule="exact"/>
        <w:rPr>
          <w:rFonts w:ascii="Arial" w:cs="Arial" w:eastAsia="Arial" w:hAnsi="Arial"/>
          <w:sz w:val="17"/>
          <w:szCs w:val="17"/>
          <w:color w:val="auto"/>
        </w:rPr>
      </w:pPr>
    </w:p>
    <w:p>
      <w:pPr>
        <w:ind w:left="260" w:hanging="252"/>
        <w:spacing w:after="0"/>
        <w:tabs>
          <w:tab w:leader="none" w:pos="2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For purposes of this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“Cause” means: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Your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(ii) your conviction of (A) a felony or (B) any misdemeanor involving moral turpitude, deceit, dishonesty or fraud; (iii) your failure to perform your assigned duties and responsibilities to the reasonable satisfaction of the Company which failure continues, in the reasonable judgment of the Company, for thirty (30) days after written notice given to you by the Company describing such failure in reasonable detail; (iv) your gross negligence, willful misconduct or insubordination with respect to the Company that results in or is reasonably anticipated to result in material harm to the Company; or (v) your material violation of any provision of any agreement(s) between you and the Company relating to noncompetition, nonsolicitation, nondisclosure and/or assignment of inventions.</w:t>
      </w:r>
    </w:p>
    <w:p>
      <w:pPr>
        <w:spacing w:after="0" w:line="192" w:lineRule="exact"/>
        <w:rPr>
          <w:sz w:val="20"/>
          <w:szCs w:val="20"/>
          <w:color w:val="auto"/>
        </w:rPr>
      </w:pPr>
    </w:p>
    <w:p>
      <w:pPr>
        <w:ind w:right="80" w:firstLine="8"/>
        <w:spacing w:after="0" w:line="255" w:lineRule="auto"/>
        <w:tabs>
          <w:tab w:leader="none" w:pos="24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For purposes of this letter, “Good Reason” means, in the context of your resignation from your employment position with the Company, a resignation that occurs within thirty (30) days following: (i) a change in the principal location at which you provide services to the Company beyond fifty (50) miles from Cambridge, MA; (ii) a material reduction in your compensation or a material reduction in your benefits, except such a reduction in connection with a general reduction in compensation or other benefits of all senior executives of the Company; (iii) a material breach of this letter by the Company that has not been cured within ten (10) days after written notice thereof by you to the Company; or (iv) a failure by the Company to obtain the assumption of this letter by any successor to the Company.</w:t>
      </w:r>
    </w:p>
    <w:p>
      <w:pPr>
        <w:spacing w:after="0" w:line="193" w:lineRule="exact"/>
        <w:rPr>
          <w:rFonts w:ascii="Arial" w:cs="Arial" w:eastAsia="Arial" w:hAnsi="Arial"/>
          <w:sz w:val="18"/>
          <w:szCs w:val="18"/>
          <w:color w:val="auto"/>
        </w:rPr>
      </w:pPr>
    </w:p>
    <w:p>
      <w:pPr>
        <w:ind w:right="160" w:firstLine="8"/>
        <w:spacing w:after="0" w:line="342" w:lineRule="auto"/>
        <w:tabs>
          <w:tab w:leader="none" w:pos="22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time for payment, or schedule for payment, of any severance payments due hereunder may not be accelerated, except as provided for in the Treasury Regulations promulgated under Section 409A of the Internal Revenue Code of 1986 (the “Code11), or any law replacing or superseding such Section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1" w:name="page412"/>
    <w:bookmarkEnd w:id="411"/>
    <w:p>
      <w:pPr>
        <w:ind w:right="300"/>
        <w:spacing w:after="0" w:line="291" w:lineRule="auto"/>
        <w:rPr>
          <w:sz w:val="20"/>
          <w:szCs w:val="20"/>
          <w:color w:val="auto"/>
        </w:rPr>
      </w:pPr>
      <w:r>
        <w:rPr>
          <w:rFonts w:ascii="Arial" w:cs="Arial" w:eastAsia="Arial" w:hAnsi="Arial"/>
          <w:sz w:val="16"/>
          <w:szCs w:val="16"/>
          <w:color w:val="auto"/>
        </w:rPr>
        <w:t>regulations. Notwithstanding the preceding provisions of this Section 6(d), in the case that the Company becomes a publicly traded company and you are deemed a “specified employee” (as defined in Section 409A(2)(B)(i) of the Code), no severance payment may be made earlier than the date which is six</w:t>
      </w:r>
    </w:p>
    <w:p>
      <w:pPr>
        <w:ind w:firstLine="8"/>
        <w:spacing w:after="0" w:line="261" w:lineRule="auto"/>
        <w:tabs>
          <w:tab w:leader="none" w:pos="25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months after the termination of employment hereunder (or, if earlier, the date of the death of the Executive) if and to the extent required by applicable law or other rules of any stock exchange upon which any of shares of the Company’s capital stock are then traded</w:t>
      </w:r>
      <w:r>
        <w:rPr>
          <w:rFonts w:ascii="Arial" w:cs="Arial" w:eastAsia="Arial" w:hAnsi="Arial"/>
          <w:sz w:val="17"/>
          <w:szCs w:val="17"/>
          <w:color w:val="auto"/>
        </w:rPr>
        <w:t>.</w:t>
      </w:r>
    </w:p>
    <w:p>
      <w:pPr>
        <w:spacing w:after="0" w:line="18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Enclosed is a “Non-Solicitation, Non-Competition, Confidentiality and Assignment Agreement” (the “Employee Agreement”). This offer of employment is conditioned on your willingness to enter into and abide by the terms of the Employee Agreement, the terms of which are incorporated into this offer letter.</w:t>
      </w:r>
    </w:p>
    <w:p>
      <w:pPr>
        <w:spacing w:after="0" w:line="12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making this offer, the Company understands, and in accepting it you represent that you are not under any obligation to any former employer or any person or entity which would prevent, limit, or impair in any way the performance by you of your duties as an employee of the Company.</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Immigration Reform and Control Act requires employers to verify the employment eligibility and identity of new employees. You will be required to complete a Form I-9 which will be provided to you before the Start Date. Please bring the appropriate documents listed on that form with you when you report for work. We will not be able to employ you if you fail to comply with this requirement.</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offer letter and the Employee Agreement and Equity Documents referenced above constitute the complete agreement between you and the Company, contain all of the terms of your employment with the Company and supersede any prior agreements, representations or understandings (whether written, oral or implied) between you and the Company. Neither this offer letter nor the Employee Agreement may be amended or modified, except by an express written agreement signed by both you and a duly authorized officer of the Company, although, consistent with your at-will employment, your job duties, title, reporting relationship, compensation and benefits may change from time to time, at the Company’s option.</w:t>
      </w:r>
    </w:p>
    <w:p>
      <w:pPr>
        <w:spacing w:after="0" w:line="17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Please indicate your acceptance of this offer by signing and returning the enclosed copy of this letter and the Employee Agreement no later than “-” based on when he is scheduled to come back to meet the rest of the team. You may indicate your acceptance of this offer by signing on the appropriate space below and returning a signed, scanned copy of this letter and the Employee Agreement to Chris Robinson, [**] and Susan O’Connor at [**].</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12" w:name="page413"/>
    <w:bookmarkEnd w:id="412"/>
    <w:p>
      <w:pPr>
        <w:spacing w:after="0"/>
        <w:rPr>
          <w:sz w:val="20"/>
          <w:szCs w:val="20"/>
          <w:color w:val="auto"/>
        </w:rPr>
      </w:pPr>
      <w:r>
        <w:rPr>
          <w:rFonts w:ascii="Arial" w:cs="Arial" w:eastAsia="Arial" w:hAnsi="Arial"/>
          <w:sz w:val="16"/>
          <w:szCs w:val="16"/>
          <w:color w:val="auto"/>
        </w:rPr>
        <w:t>We look forward to your joining the Company and are pleased that you will be working with 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Mark Levin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Robert J. Gould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J. Gould,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13 June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413" w:name="page414"/>
    <w:bookmarkEnd w:id="413"/>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154305</wp:posOffset>
            </wp:positionV>
            <wp:extent cx="5788660" cy="116649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788660"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December 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Bryan Stuart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Offer of Employment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Bryan,</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Fulcrum Therapeutics, Inc. (the “Company”) is pleased to confirm its offer to employ you as a Chief Operating Officer reporting to Robert Gould, President &amp; CEO. As the COO you will be a key business partner with the CEO in building the company, setting and driving corporate strategy and long-range planning, and helping to lead and maintain strong relationships with the financial and business community. You will partner with the CEO and the leadership team to develop Fulcrum’s long-term business strategy and assure continuous integration across Corporate Development, Scientific and Financial strategies. In this role, the COO is a key strategic partner focusing on future value creation for Fulcrum. This includes oversight for portfolio strategy including project planning and management, business development, operations, and patient advocacy.</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Your effective date of hire as an employee will be a date agreed to by you and the Company. For purposes of this offer letter, the actual first day of your employment shall be referred to as the “Start Date”. Your start date will be no later than December 17, 2018. Your normal place of work will be at the Company’s offices in Cambridge, MA.</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Your annual compensation for this position will be at the rate of $400,000 per year, payable in accordance with the Company’s normal pay schedule, which currently is semi-monthly (“Base Salary”). All payments are subject to legally required tax withholdings. In addition to your Base Salary, you will be eligible to earn an annual target bonus of up to 35% of your Base Salary. The actual amount of such bonus, if any, will be determined by the Company’s Board of Directors (the “Board”) and your manager in their good faith discretion, based upon achievement of corporate and individual goals. The bonus, if any, shall be paid at a time and in a manner as determined by the Company in its sole discretion. You must be employed by Fulcrum at the time of any such bonus payment to be eligible for any such payment. Because your start date is after October 1, 2018, you will not be eligible to participate in our 2018-year end compensation program (base salary/bonus/equity); you will be eligible to begin participating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988060</wp:posOffset>
            </wp:positionV>
            <wp:extent cx="726757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115570</wp:posOffset>
            </wp:positionV>
            <wp:extent cx="6080125" cy="6686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080125" cy="668655"/>
                    </a:xfrm>
                    <a:prstGeom prst="rect">
                      <a:avLst/>
                    </a:prstGeom>
                    <a:noFill/>
                  </pic:spPr>
                </pic:pic>
              </a:graphicData>
            </a:graphic>
          </wp:anchor>
        </w:drawing>
      </w:r>
    </w:p>
    <w:p>
      <w:pPr>
        <w:sectPr>
          <w:pgSz w:w="11900" w:h="16838" w:orient="portrait"/>
          <w:cols w:equalWidth="0" w:num="1">
            <w:col w:w="11080"/>
          </w:cols>
          <w:pgMar w:left="580" w:top="364" w:right="239" w:bottom="1440" w:gutter="0" w:footer="0" w:header="0"/>
        </w:sectPr>
      </w:pPr>
    </w:p>
    <w:bookmarkStart w:id="414" w:name="page415"/>
    <w:bookmarkEnd w:id="414"/>
    <w:p>
      <w:pPr>
        <w:ind w:right="120"/>
        <w:spacing w:after="0" w:line="272" w:lineRule="auto"/>
        <w:rPr>
          <w:sz w:val="20"/>
          <w:szCs w:val="20"/>
          <w:color w:val="auto"/>
        </w:rPr>
      </w:pPr>
      <w:r>
        <w:rPr>
          <w:rFonts w:ascii="Arial" w:cs="Arial" w:eastAsia="Arial" w:hAnsi="Arial"/>
          <w:sz w:val="17"/>
          <w:szCs w:val="17"/>
          <w:color w:val="auto"/>
        </w:rPr>
        <w:t>You will be issued a stock option grant for 2,125,000 shares of Fulcrum Therapeutics, Inc. stock (the “Options”), subject to approval of the Company’s Board of Directors, at an exercise price equal to the fair market value of the Company’s common stock on the date of grant or issuance, subject to the standard terms and conditions of Fulcrum Therapeutics, Inc. Stock Incentive Plan and form of stock option agreement, including vesting, subject to continued employment. Subject to the terms of the stock option agreement and your continued employment, the Options shall vest over four years at the rate of 25% on the first anniversary of the commencement date of your employment and an additional 6.25% per quarter for the next twelve successive quarters of employment when, after four full years of employment, the Options will be fully vested. The Options grant will be brought to the Board of Directors for approval soon after you begin employment with the Company.</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will be eligible to participate in the Company’s health insurance programs as well as the life, AD&amp;D, short and long-term disability plans, along with the Company’s 401k plan, subject to the terms of those plans. As of January 1, 2019, Fulcrum now offers employees a discretionary vacation time off program. In addition, you will receive paid holidays in accordance with the annual company holiday schedule. Current Benefits Summary is attached. Benefits are subject to change at any time in the Company’s sole discretion.</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It is understood and agreed that that you are an “at-will” employee. You are not being offered employment for a definite period of time, and either you or the Company may terminate the employment relationship at any time and for any reason, with or without cause or prior notice and without additional compensation to you, other than as provided below:</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Notwithstanding the foregoing, in the event that the Company terminates your employment without Cause (as defined below), and for the avoidance of doubt, not due to death or disability, then, subject to you entering into and complying with a separation agreement and general release in a form provided by the Company no later than sixty (60) days following termination of employment, you will be entitled to severance pay in an amount equal to:</w:t>
      </w:r>
    </w:p>
    <w:p>
      <w:pPr>
        <w:spacing w:after="0" w:line="147" w:lineRule="exact"/>
        <w:rPr>
          <w:sz w:val="20"/>
          <w:szCs w:val="20"/>
          <w:color w:val="auto"/>
        </w:rPr>
      </w:pPr>
    </w:p>
    <w:p>
      <w:pPr>
        <w:ind w:left="640" w:right="160" w:hanging="324"/>
        <w:spacing w:after="0" w:line="279" w:lineRule="auto"/>
        <w:tabs>
          <w:tab w:leader="none" w:pos="604" w:val="left"/>
        </w:tabs>
        <w:numPr>
          <w:ilvl w:val="0"/>
          <w:numId w:val="310"/>
        </w:numPr>
        <w:rPr>
          <w:rFonts w:ascii="Arial" w:cs="Arial" w:eastAsia="Arial" w:hAnsi="Arial"/>
          <w:sz w:val="17"/>
          <w:szCs w:val="17"/>
          <w:color w:val="auto"/>
        </w:rPr>
      </w:pPr>
      <w:r>
        <w:rPr>
          <w:rFonts w:ascii="Arial" w:cs="Arial" w:eastAsia="Arial" w:hAnsi="Arial"/>
          <w:sz w:val="17"/>
          <w:szCs w:val="17"/>
          <w:color w:val="auto"/>
        </w:rPr>
        <w:t>Six (6) months of your then current Base Salary, less lawful deductions, paid in equal installments in accordance with the Company’s standard payroll practice over the six-month period immediately following your termination of employment (the “Severance Payments”); provided, that the first installment payment of the Severance Payments shall be made on the sixtieth (60th) day after the date of you termination, and will include payment of any installment payments that were otherwise due prior thereto; plus</w:t>
      </w:r>
    </w:p>
    <w:p>
      <w:pPr>
        <w:spacing w:after="0" w:line="171" w:lineRule="exact"/>
        <w:rPr>
          <w:rFonts w:ascii="Arial" w:cs="Arial" w:eastAsia="Arial" w:hAnsi="Arial"/>
          <w:sz w:val="17"/>
          <w:szCs w:val="17"/>
          <w:color w:val="auto"/>
        </w:rPr>
      </w:pPr>
    </w:p>
    <w:p>
      <w:pPr>
        <w:jc w:val="both"/>
        <w:ind w:left="640" w:right="20" w:hanging="324"/>
        <w:spacing w:after="0" w:line="264" w:lineRule="auto"/>
        <w:tabs>
          <w:tab w:leader="none" w:pos="60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subject to (i) your timely election of continuation coverage under COBRA, and (ii) your continued copayment of premiums at the same level and cost to you as if you were an employee of the Company (excluding, for purposes of calculating cost, an employee’s ability to pay premiums with pre-tax dollars), continued payment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190500</wp:posOffset>
            </wp:positionV>
            <wp:extent cx="726757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80"/>
          </w:cols>
          <w:pgMar w:left="580" w:top="342" w:right="239" w:bottom="1440" w:gutter="0" w:footer="0" w:header="0"/>
        </w:sectPr>
      </w:pPr>
    </w:p>
    <w:bookmarkStart w:id="415" w:name="page416"/>
    <w:bookmarkEnd w:id="415"/>
    <w:p>
      <w:pPr>
        <w:ind w:left="648" w:right="180"/>
        <w:spacing w:after="0" w:line="259" w:lineRule="auto"/>
        <w:rPr>
          <w:sz w:val="20"/>
          <w:szCs w:val="20"/>
          <w:color w:val="auto"/>
        </w:rPr>
      </w:pPr>
      <w:r>
        <w:rPr>
          <w:rFonts w:ascii="Arial" w:cs="Arial" w:eastAsia="Arial" w:hAnsi="Arial"/>
          <w:sz w:val="18"/>
          <w:szCs w:val="18"/>
          <w:color w:val="auto"/>
        </w:rPr>
        <w:t>Company of your (and your dependents, if applicable) health, insurance coverage during the six (6) month period following the date of termination to the same extent that the Company paid for such coverage immediately prior to the date of termination, in a manner intended to avoid any excise tax under Section 4980D of the Internal Revenue Code of 1986, as amended, subject to the eligibility requirements and other terms and conditions of such insurance coverage.</w:t>
      </w:r>
    </w:p>
    <w:p>
      <w:pPr>
        <w:spacing w:after="0" w:line="187" w:lineRule="exact"/>
        <w:rPr>
          <w:sz w:val="20"/>
          <w:szCs w:val="20"/>
          <w:color w:val="auto"/>
        </w:rPr>
      </w:pPr>
    </w:p>
    <w:p>
      <w:pPr>
        <w:ind w:left="8"/>
        <w:spacing w:after="0"/>
        <w:rPr>
          <w:sz w:val="20"/>
          <w:szCs w:val="20"/>
          <w:color w:val="auto"/>
        </w:rPr>
      </w:pPr>
      <w:r>
        <w:rPr>
          <w:rFonts w:ascii="Arial" w:cs="Arial" w:eastAsia="Arial" w:hAnsi="Arial"/>
          <w:sz w:val="18"/>
          <w:szCs w:val="18"/>
          <w:color w:val="auto"/>
        </w:rPr>
        <w:t>For purposes of this letter agreement:</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“Cause” means:</w:t>
      </w:r>
    </w:p>
    <w:p>
      <w:pPr>
        <w:spacing w:after="0" w:line="225" w:lineRule="exact"/>
        <w:rPr>
          <w:sz w:val="20"/>
          <w:szCs w:val="20"/>
          <w:color w:val="auto"/>
        </w:rPr>
      </w:pPr>
    </w:p>
    <w:p>
      <w:pPr>
        <w:ind w:left="8" w:right="120" w:hanging="8"/>
        <w:spacing w:after="0" w:line="291" w:lineRule="auto"/>
        <w:tabs>
          <w:tab w:leader="none" w:pos="216" w:val="left"/>
        </w:tabs>
        <w:numPr>
          <w:ilvl w:val="0"/>
          <w:numId w:val="311"/>
        </w:numPr>
        <w:rPr>
          <w:rFonts w:ascii="Arial" w:cs="Arial" w:eastAsia="Arial" w:hAnsi="Arial"/>
          <w:sz w:val="16"/>
          <w:szCs w:val="16"/>
          <w:color w:val="auto"/>
        </w:rPr>
      </w:pPr>
      <w:r>
        <w:rPr>
          <w:rFonts w:ascii="Arial" w:cs="Arial" w:eastAsia="Arial" w:hAnsi="Arial"/>
          <w:sz w:val="16"/>
          <w:szCs w:val="16"/>
          <w:color w:val="auto"/>
        </w:rPr>
        <w:t>Your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w:t>
      </w:r>
    </w:p>
    <w:p>
      <w:pPr>
        <w:ind w:left="8" w:right="300" w:hanging="8"/>
        <w:spacing w:after="0" w:line="281" w:lineRule="auto"/>
        <w:tabs>
          <w:tab w:leader="none" w:pos="273" w:val="left"/>
        </w:tabs>
        <w:numPr>
          <w:ilvl w:val="0"/>
          <w:numId w:val="311"/>
        </w:numPr>
        <w:rPr>
          <w:rFonts w:ascii="Arial" w:cs="Arial" w:eastAsia="Arial" w:hAnsi="Arial"/>
          <w:sz w:val="16"/>
          <w:szCs w:val="16"/>
          <w:color w:val="auto"/>
        </w:rPr>
      </w:pPr>
      <w:r>
        <w:rPr>
          <w:rFonts w:ascii="Arial" w:cs="Arial" w:eastAsia="Arial" w:hAnsi="Arial"/>
          <w:sz w:val="16"/>
          <w:szCs w:val="16"/>
          <w:color w:val="auto"/>
        </w:rPr>
        <w:t>your conviction of (A) a felony or (B) any misdemeanor involving moral turpitude, deceit, dishonesty or fraud; (iii) your gross negligence, willful misconduct or insubordination with respect to the Company that results in or is reasonably anticipated to result in material harm to the Company; or</w:t>
      </w:r>
    </w:p>
    <w:p>
      <w:pPr>
        <w:spacing w:after="0" w:line="1" w:lineRule="exact"/>
        <w:rPr>
          <w:rFonts w:ascii="Arial" w:cs="Arial" w:eastAsia="Arial" w:hAnsi="Arial"/>
          <w:sz w:val="16"/>
          <w:szCs w:val="16"/>
          <w:color w:val="auto"/>
        </w:rPr>
      </w:pPr>
    </w:p>
    <w:p>
      <w:pPr>
        <w:ind w:left="8" w:right="640" w:hanging="8"/>
        <w:spacing w:after="0" w:line="261" w:lineRule="auto"/>
        <w:tabs>
          <w:tab w:leader="none" w:pos="31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your material violation of any provision of any agreement(s) between you and the Company relating to nonsolicitation, nondisclosure and/or assignment of inventions.</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Section 409A.</w:t>
      </w:r>
    </w:p>
    <w:p>
      <w:pPr>
        <w:spacing w:after="0" w:line="225" w:lineRule="exact"/>
        <w:rPr>
          <w:sz w:val="20"/>
          <w:szCs w:val="20"/>
          <w:color w:val="auto"/>
        </w:rPr>
      </w:pPr>
    </w:p>
    <w:p>
      <w:pPr>
        <w:ind w:left="8" w:right="80"/>
        <w:spacing w:after="0" w:line="255" w:lineRule="auto"/>
        <w:rPr>
          <w:sz w:val="20"/>
          <w:szCs w:val="20"/>
          <w:color w:val="auto"/>
        </w:rPr>
      </w:pPr>
      <w:r>
        <w:rPr>
          <w:rFonts w:ascii="Arial" w:cs="Arial" w:eastAsia="Arial" w:hAnsi="Arial"/>
          <w:sz w:val="18"/>
          <w:szCs w:val="18"/>
          <w:color w:val="auto"/>
        </w:rPr>
        <w:t>Although the Company does not guarantee the tax treatment of any payments under this letter agreement, the intent of the Company is that the payments and benefits under this letter agreement be exempt from, or comply with, Section 409A of the Internal Revenue Code of 1986, as amended, and all Treasury Regulations and guidance promulgated thereunder (“Code Section 409A”) and to the maximum extent permitted the Agreement shall be limited, construed and interpreted in accordance with such intent. In no event whatsoever shall the Company or its affiliates or their respective officers, directors, employees or agents be liable for any additional tax, interest or penalties that may be imposed on you by Code Section 409A or damages for failing to comply with Code Section 409A.</w:t>
      </w:r>
    </w:p>
    <w:p>
      <w:pPr>
        <w:spacing w:after="0" w:line="193" w:lineRule="exact"/>
        <w:rPr>
          <w:sz w:val="20"/>
          <w:szCs w:val="20"/>
          <w:color w:val="auto"/>
        </w:rPr>
      </w:pPr>
    </w:p>
    <w:p>
      <w:pPr>
        <w:ind w:left="8"/>
        <w:spacing w:after="0" w:line="279" w:lineRule="auto"/>
        <w:rPr>
          <w:sz w:val="20"/>
          <w:szCs w:val="20"/>
          <w:color w:val="auto"/>
        </w:rPr>
      </w:pPr>
      <w:r>
        <w:rPr>
          <w:rFonts w:ascii="Arial" w:cs="Arial" w:eastAsia="Arial" w:hAnsi="Arial"/>
          <w:sz w:val="17"/>
          <w:szCs w:val="17"/>
          <w:color w:val="auto"/>
        </w:rPr>
        <w:t>Notwithstanding any other provision of this letter agreement to the contrary, to the extent that any reimbursement of expenses constitutes “deferred compensation” under Code Section 409A, such reimbursement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184785</wp:posOffset>
            </wp:positionV>
            <wp:extent cx="726757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68"/>
          </w:cols>
          <w:pgMar w:left="572" w:top="341" w:right="259" w:bottom="1440" w:gutter="0" w:footer="0" w:header="0"/>
        </w:sectPr>
      </w:pPr>
    </w:p>
    <w:bookmarkStart w:id="416" w:name="page417"/>
    <w:bookmarkEnd w:id="416"/>
    <w:p>
      <w:pPr>
        <w:ind w:right="160"/>
        <w:spacing w:after="0" w:line="264" w:lineRule="auto"/>
        <w:rPr>
          <w:sz w:val="20"/>
          <w:szCs w:val="20"/>
          <w:color w:val="auto"/>
        </w:rPr>
      </w:pPr>
      <w:r>
        <w:rPr>
          <w:rFonts w:ascii="Arial" w:cs="Arial" w:eastAsia="Arial" w:hAnsi="Arial"/>
          <w:sz w:val="18"/>
          <w:szCs w:val="18"/>
          <w:color w:val="auto"/>
        </w:rPr>
        <w:t>For purposes of Code Section 409A (including, without limitation, for purposes of Treasury Regulation Section l.409A-2(b)(2)(iii)), the right to receive payments in the form of installment payments shall be treated as a right to receive a series of separate payments and, accordingly, each installment payment shall at all times be considered a separate and distinct payment.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any other provision of this letter agreement to the contrary, if at the time of your separation from service (as defined in Code</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Section 409A), you are a “Specified Employee”, then the Company will defer the payment or commencement of any nonqualified deferred compensation subject to Code Section 409A payable upon separation from service (without any reduction in such payments or benefits ultimately paid or provided to you) until the date that is six (6) months following separation from service or, if earlier, the earliest other date as is permitted under Code Section 409A (and any amounts that otherwise would have been paid during this deferral period will be paid in a lump sum on the day after the expiration of the six (6) month period or such shorter period, if applicable).</w:t>
      </w:r>
    </w:p>
    <w:p>
      <w:pPr>
        <w:spacing w:after="0" w:line="19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offer of employment is contingent upon you’re signing the Employee Confidentiality and Assignment Agreement (the “Employee Agreement”) and receipt of a satisfactory outcome of pre-employment screening activities including favorable reference checks of former employment, verification of your ability to work in the United States, education and criminal history check. In making this offer, the Company understands, and in accepting it you represent that you are not under any obligation to any former employer or any person or entity which would prevent, limit, or impair in any way the performance by you of your duties as an employee of the Company.</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Immigration Reform and Control Act requires employers to verify the employment eligibility and identity of new employees. You will be required to complete a Form I-9 which will be provided to you before the Start Date. Please bring the appropriate documents listed on that form with you when you report for work. We will not be able to employ you if you fail to comply with this requirement.</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offer letter and the Employee Agreement and Equity Documents referenced above constitute the complete agreement between you and the Company, contain all the terms of your employment with the Company and supersede any prior agreements, representations or understandings (whether written, oral or implied) between you and the Company. Neither this offer letter nor the Employee Agreement may be amended or modified, except by an express written agreement signed by both you and a duly authorized officer of the Company, although, consistent with your at-will employment, your job duties, title, reporting relationship, compensation and benefits may change from time to time, at the Company’s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185420</wp:posOffset>
            </wp:positionV>
            <wp:extent cx="726757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60"/>
          </w:cols>
          <w:pgMar w:left="580" w:top="341" w:right="259" w:bottom="1440" w:gutter="0" w:footer="0" w:header="0"/>
        </w:sectPr>
      </w:pPr>
    </w:p>
    <w:bookmarkStart w:id="417" w:name="page418"/>
    <w:bookmarkEnd w:id="417"/>
    <w:p>
      <w:pPr>
        <w:ind w:left="340" w:right="360"/>
        <w:spacing w:after="0" w:line="342" w:lineRule="auto"/>
        <w:rPr>
          <w:sz w:val="20"/>
          <w:szCs w:val="20"/>
          <w:color w:val="auto"/>
        </w:rPr>
      </w:pPr>
      <w:r>
        <w:rPr>
          <w:rFonts w:ascii="Arial" w:cs="Arial" w:eastAsia="Arial" w:hAnsi="Arial"/>
          <w:sz w:val="16"/>
          <w:szCs w:val="16"/>
          <w:color w:val="auto"/>
        </w:rPr>
        <w:t>Please indicate your acceptance of this offer by signing and returning the enclosed copy of this letter and the Employee Agreement. You may indicate your acceptance of this offer by signing on the appropriate space below and returning a signed, scanned copy of this letter to Kim Hazen at [**].</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look forward to your joining Fulcrum and are pleased that you will be working with 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Robert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348170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Robert Gould, Ph.D.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President &amp; CEO</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Accepted and Agreed:</w:t>
            </w:r>
          </w:p>
        </w:tc>
        <w:tc>
          <w:tcPr>
            <w:tcW w:w="5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/s/ Bryan Stuart</w:t>
            </w:r>
          </w:p>
        </w:tc>
        <w:tc>
          <w:tcPr>
            <w:tcW w:w="5180" w:type="dxa"/>
            <w:vAlign w:val="bottom"/>
          </w:tcPr>
          <w:p>
            <w:pPr>
              <w:spacing w:after="0"/>
              <w:rPr>
                <w:sz w:val="20"/>
                <w:szCs w:val="20"/>
                <w:color w:val="auto"/>
              </w:rPr>
            </w:pPr>
            <w:r>
              <w:rPr>
                <w:rFonts w:ascii="Arial" w:cs="Arial" w:eastAsia="Arial" w:hAnsi="Arial"/>
                <w:sz w:val="18"/>
                <w:szCs w:val="18"/>
                <w:color w:val="auto"/>
              </w:rPr>
              <w:t>12/6/18</w:t>
            </w:r>
          </w:p>
        </w:tc>
        <w:tc>
          <w:tcPr>
            <w:tcW w:w="18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Bryan Stuart</w:t>
            </w:r>
          </w:p>
        </w:tc>
        <w:tc>
          <w:tcPr>
            <w:tcW w:w="38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180" w:type="dxa"/>
            <w:vAlign w:val="bottom"/>
          </w:tcPr>
          <w:p>
            <w:pPr>
              <w:spacing w:after="0"/>
              <w:rPr>
                <w:sz w:val="19"/>
                <w:szCs w:val="19"/>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53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18" w:name="page419"/>
    <w:bookmarkEnd w:id="418"/>
    <w:p>
      <w:pPr>
        <w:jc w:val="right"/>
        <w:spacing w:after="0"/>
        <w:rPr>
          <w:sz w:val="20"/>
          <w:szCs w:val="20"/>
          <w:color w:val="auto"/>
        </w:rPr>
      </w:pPr>
      <w:r>
        <w:rPr>
          <w:rFonts w:ascii="Arial" w:cs="Arial" w:eastAsia="Arial" w:hAnsi="Arial"/>
          <w:sz w:val="18"/>
          <w:szCs w:val="18"/>
          <w:b w:val="1"/>
          <w:bCs w:val="1"/>
          <w:color w:val="auto"/>
        </w:rPr>
        <w:t>Exhibit 10.14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Diego Cadavid,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Offer of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Diego,</w:t>
      </w:r>
    </w:p>
    <w:p>
      <w:pPr>
        <w:spacing w:after="0" w:line="225"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Fulcrum Therapeutics, Inc. (the “Company’’) is pleased to confirm its offer to employ you as Vice President, Clinical Development. As Vice President, clinical development, you will report into Robert Gould, PhD, President and Chief Executive Officer. Your effective date of hire as a regular, full-time employee (the ‘‘Start Date”) will be September 6, 2016. Your normal place of work will be at the Company’s offices in Cambridge, MA.</w:t>
      </w:r>
    </w:p>
    <w:p>
      <w:pPr>
        <w:spacing w:after="0" w:line="147"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Your compensation for this position will be at the rate of $330,000 a year, payable in accordance with the Company’s normal pay schedule, which the Company currently expects will be bi-weekly. All payments are subject to legally required tax withholdings. It is expected that, when an annual bonus program is approved by the Board of Directors, you will be eligible for a target bonus at 25% of your annual compensation, based upon the achievement of corporate and individual goals, as agreed by the Board of Directors. You will be eligible to participate each year in any annual bonus plan adopted by the Company and the Company, subject to financial business, and other circumstances and factors.</w:t>
      </w:r>
    </w:p>
    <w:p>
      <w:pPr>
        <w:spacing w:after="0" w:line="17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addition, the Company will provide you with a one-time sign-on bonus of $150,000 which will be paid to you in two installments. You will receive the first payment of $125,000 during your first month of employment and it will be subject to customary deductions and withholdings as required by law. You will receive the second payment of $25,000 upon the first anniversary of your Start Date with the Company. Should you voluntarily leave the Company, other than for death or disability, within 12 months of receiving either payment, you will be obligated to return the gross amount of the payment to the company within 30 Days of your departure date.</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After Series A funding, you will be issued either a stock option or restricted stock grant for 400,000 shares of Fulcrum Therapeutics, Inc. common stock (the “Shares”), subject to approval of the Company’s Board of Directors, at an exercise or purchase price equal to the fair market value of the Company’s common stock on the date of grant or issuance, subject to the standard terms and conditions of Fulcrum Therapeutics, Inc. Stock Incentive Plan and form of stock option or restricted stock agreement, including vesting, subject to continued employment. The Shares shall vest over four years at the rate of 25% on the first anniversary of the commencement date of your employment and an additional 6.25% per quarter for the next twelve successive quarters of employment when, after four full years of employment, the Shares will be fully vested. The Share grant will be brought to the Board of Directors for approval soon after you begin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19" w:name="page420"/>
    <w:bookmarkEnd w:id="419"/>
    <w:p>
      <w:pPr>
        <w:ind w:right="40"/>
        <w:spacing w:after="0" w:line="264" w:lineRule="auto"/>
        <w:rPr>
          <w:sz w:val="20"/>
          <w:szCs w:val="20"/>
          <w:color w:val="auto"/>
        </w:rPr>
      </w:pPr>
      <w:r>
        <w:rPr>
          <w:rFonts w:ascii="Arial" w:cs="Arial" w:eastAsia="Arial" w:hAnsi="Arial"/>
          <w:sz w:val="18"/>
          <w:szCs w:val="18"/>
          <w:color w:val="auto"/>
        </w:rPr>
        <w:t>The Company will offer a comprehensive benefits program and you will be eligible to participate in the program to the extent that the company establishes them soon after the completion of the Series A financing. You will accrue 15 paid vacation days each year for the first 5 years of service and receive 12 paid holidays annually in accordance with the company holiday schedule.</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It is understood and agreed that that you are an “at-will” employee. You are not being offered employment for a definite period of time, and either you or the Company may terminate the employment relationship at any time and for any reason, with or without cause or prior notice and without additional compensation to you except for your salary through the last day of your employment plus any then accrued but unused vacation.</w:t>
      </w:r>
    </w:p>
    <w:p>
      <w:pPr>
        <w:spacing w:after="0" w:line="16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Enclosed is a ‘‘Non-Solicitation, Non-Competition, Confidentiality and Assignment Agreement” (the ‘‘Employee Agreement”). This offer of employment is conditioned on your willingness to enter into and abide by the terms of the Employee Agreement, the terms of which are incorporated into this offer letter.</w:t>
      </w:r>
    </w:p>
    <w:p>
      <w:pPr>
        <w:spacing w:after="0" w:line="12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making this offer, the Company understands, and in accepting it you represent that you are not under any obligation to any former employer or any person or entity which would prevent, limit, or impair in any way the performance by you of your duties as an employee of the Company.</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Immigration Reform and Control Act requires employers to verify the employment eligibility and identity of new employees. You will be required to complete a Form I-9 which will be provided to you before the Start Date. Please bring the appropriate documents listed on that form with you when you report for work. We will not be able to employ you if you fail to comply with this requirement.</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offer letter and the Employee Agreement and Equity Documents referenced above constitute the complete agreement between you and the Company, contain all of the terms of your employment with the Company and supersede any prior agreements, representations or understandings (whether written, oral or implied) between you and the Company. Neither this offer letter nor the Employee Agreement may be amended or modified, except by an express written agreement signed by both you and a duly authorized officer of the Company, although, consistent with your at-will employment, your job duties, title, reporting relationship, compensation and benefits may change from time to time, at the Company’s option.</w:t>
      </w:r>
    </w:p>
    <w:p>
      <w:pPr>
        <w:spacing w:after="0" w:line="17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Please indicate your acceptance of this offer by signing and returning the enclosed copy of this letter and the Employee Agreement no later than August 10, 2016. You may indicate your acceptance of this offer by signing on the appropriate space below and returning a signed, scanned copy of this letter and the Employee Agreement to Susan O’Connor at [**]</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2" w:right="319" w:bottom="1440" w:gutter="0" w:footer="0" w:header="0"/>
        </w:sectPr>
      </w:pPr>
    </w:p>
    <w:bookmarkStart w:id="420" w:name="page421"/>
    <w:bookmarkEnd w:id="420"/>
    <w:p>
      <w:pPr>
        <w:spacing w:after="0"/>
        <w:rPr>
          <w:sz w:val="20"/>
          <w:szCs w:val="20"/>
          <w:color w:val="auto"/>
        </w:rPr>
      </w:pPr>
      <w:r>
        <w:rPr>
          <w:rFonts w:ascii="Arial" w:cs="Arial" w:eastAsia="Arial" w:hAnsi="Arial"/>
          <w:sz w:val="16"/>
          <w:szCs w:val="16"/>
          <w:color w:val="auto"/>
        </w:rPr>
        <w:t>We look forward to your joining the Company and are pleased that you will be working with 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Robert Gould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Gould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Diego Cadavid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Diego Cadavid,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10 August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421" w:name="page422"/>
    <w:bookmarkEnd w:id="421"/>
    <w:p>
      <w:pPr>
        <w:ind w:left="10480"/>
        <w:spacing w:after="0"/>
        <w:rPr>
          <w:sz w:val="20"/>
          <w:szCs w:val="20"/>
          <w:color w:val="auto"/>
        </w:rPr>
      </w:pPr>
      <w:r>
        <w:rPr>
          <w:rFonts w:ascii="Arial" w:cs="Arial" w:eastAsia="Arial" w:hAnsi="Arial"/>
          <w:sz w:val="17"/>
          <w:szCs w:val="17"/>
          <w:b w:val="1"/>
          <w:bCs w:val="1"/>
          <w:color w:val="auto"/>
        </w:rPr>
        <w:t>Exhibit 21.1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7520" w:type="dxa"/>
            <w:vAlign w:val="bottom"/>
            <w:gridSpan w:val="5"/>
          </w:tcPr>
          <w:p>
            <w:pPr>
              <w:ind w:left="1120"/>
              <w:spacing w:after="0"/>
              <w:rPr>
                <w:sz w:val="20"/>
                <w:szCs w:val="20"/>
                <w:color w:val="auto"/>
              </w:rPr>
            </w:pPr>
            <w:r>
              <w:rPr>
                <w:rFonts w:ascii="Arial" w:cs="Arial" w:eastAsia="Arial" w:hAnsi="Arial"/>
                <w:sz w:val="18"/>
                <w:szCs w:val="18"/>
                <w:color w:val="auto"/>
              </w:rPr>
              <w:t>List of Subsidiaries</w:t>
            </w:r>
          </w:p>
        </w:tc>
        <w:tc>
          <w:tcPr>
            <w:tcW w:w="40" w:type="dxa"/>
            <w:vAlign w:val="bottom"/>
          </w:tcPr>
          <w:p>
            <w:pPr>
              <w:spacing w:after="0"/>
              <w:rPr>
                <w:sz w:val="17"/>
                <w:szCs w:val="17"/>
                <w:color w:val="auto"/>
              </w:rPr>
            </w:pPr>
          </w:p>
        </w:tc>
      </w:tr>
      <w:tr>
        <w:trPr>
          <w:trHeight w:val="385"/>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500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Jurisdiction of Incorporation</w:t>
            </w:r>
          </w:p>
        </w:tc>
        <w:tc>
          <w:tcPr>
            <w:tcW w:w="40" w:type="dxa"/>
            <w:vAlign w:val="bottom"/>
          </w:tcPr>
          <w:p>
            <w:pPr>
              <w:spacing w:after="0"/>
              <w:rPr>
                <w:sz w:val="24"/>
                <w:szCs w:val="24"/>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Fulcrum Therapeutics Securities Corp.</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Massachusetts</w:t>
            </w:r>
          </w:p>
        </w:tc>
        <w:tc>
          <w:tcPr>
            <w:tcW w:w="40" w:type="dxa"/>
            <w:vAlign w:val="bottom"/>
          </w:tcPr>
          <w:p>
            <w:pPr>
              <w:spacing w:after="0"/>
              <w:rPr>
                <w:sz w:val="18"/>
                <w:szCs w:val="18"/>
                <w:color w:val="auto"/>
              </w:rPr>
            </w:pPr>
          </w:p>
        </w:tc>
      </w:tr>
      <w:tr>
        <w:trPr>
          <w:trHeight w:val="348"/>
        </w:trPr>
        <w:tc>
          <w:tcPr>
            <w:tcW w:w="39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64"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7C2FF4"/>
    <w:multiLevelType w:val="hybridMultilevel"/>
    <w:lvl w:ilvl="0">
      <w:lvlJc w:val="left"/>
      <w:lvlText w:val="(%1)"/>
      <w:numFmt w:val="decimal"/>
      <w:start w:val="1"/>
    </w:lvl>
  </w:abstractNum>
  <w:abstractNum w:abstractNumId="1">
    <w:nsid w:val="25413BEC"/>
    <w:multiLevelType w:val="hybridMultilevel"/>
    <w:lvl w:ilvl="0">
      <w:lvlJc w:val="left"/>
      <w:lvlText w:val="(%1)"/>
      <w:numFmt w:val="decimal"/>
      <w:start w:val="1"/>
    </w:lvl>
  </w:abstractNum>
  <w:abstractNum w:abstractNumId="2">
    <w:nsid w:val="17180B0B"/>
    <w:multiLevelType w:val="hybridMultilevel"/>
    <w:lvl w:ilvl="0">
      <w:lvlJc w:val="left"/>
      <w:lvlText w:val="•"/>
      <w:numFmt w:val="bullet"/>
      <w:start w:val="1"/>
    </w:lvl>
  </w:abstractNum>
  <w:abstractNum w:abstractNumId="3">
    <w:nsid w:val="579328B9"/>
    <w:multiLevelType w:val="hybridMultilevel"/>
    <w:lvl w:ilvl="0">
      <w:lvlJc w:val="left"/>
      <w:lvlText w:val="•"/>
      <w:numFmt w:val="bullet"/>
      <w:start w:val="1"/>
    </w:lvl>
  </w:abstractNum>
  <w:abstractNum w:abstractNumId="4">
    <w:nsid w:val="5D205E20"/>
    <w:multiLevelType w:val="hybridMultilevel"/>
    <w:lvl w:ilvl="0">
      <w:lvlJc w:val="left"/>
      <w:lvlText w:val="•"/>
      <w:numFmt w:val="bullet"/>
      <w:start w:val="1"/>
    </w:lvl>
  </w:abstractNum>
  <w:abstractNum w:abstractNumId="5">
    <w:nsid w:val="11CCA8BA"/>
    <w:multiLevelType w:val="hybridMultilevel"/>
    <w:lvl w:ilvl="0">
      <w:lvlJc w:val="left"/>
      <w:lvlText w:val="•"/>
      <w:numFmt w:val="bullet"/>
      <w:start w:val="1"/>
    </w:lvl>
  </w:abstractNum>
  <w:abstractNum w:abstractNumId="6">
    <w:nsid w:val="4D32AB86"/>
    <w:multiLevelType w:val="hybridMultilevel"/>
    <w:lvl w:ilvl="0">
      <w:lvlJc w:val="left"/>
      <w:lvlText w:val="•"/>
      <w:numFmt w:val="bullet"/>
      <w:start w:val="1"/>
    </w:lvl>
  </w:abstractNum>
  <w:abstractNum w:abstractNumId="7">
    <w:nsid w:val="3F07ACC3"/>
    <w:multiLevelType w:val="hybridMultilevel"/>
    <w:lvl w:ilvl="0">
      <w:lvlJc w:val="left"/>
      <w:lvlText w:val="(%1)"/>
      <w:numFmt w:val="decimal"/>
      <w:start w:val="1"/>
    </w:lvl>
  </w:abstractNum>
  <w:abstractNum w:abstractNumId="8">
    <w:nsid w:val="6B47F63E"/>
    <w:multiLevelType w:val="hybridMultilevel"/>
    <w:lvl w:ilvl="0">
      <w:lvlJc w:val="left"/>
      <w:lvlText w:val="(%1)"/>
      <w:numFmt w:val="decimal"/>
      <w:start w:val="1"/>
    </w:lvl>
  </w:abstractNum>
  <w:abstractNum w:abstractNumId="9">
    <w:nsid w:val="5CB44A05"/>
    <w:multiLevelType w:val="hybridMultilevel"/>
    <w:lvl w:ilvl="0">
      <w:lvlJc w:val="left"/>
      <w:lvlText w:val="(%1)"/>
      <w:numFmt w:val="decimal"/>
      <w:start w:val="2"/>
    </w:lvl>
  </w:abstractNum>
  <w:abstractNum w:abstractNumId="10">
    <w:nsid w:val="16CF80F1"/>
    <w:multiLevelType w:val="hybridMultilevel"/>
    <w:lvl w:ilvl="0">
      <w:lvlJc w:val="left"/>
      <w:lvlText w:val="•"/>
      <w:numFmt w:val="bullet"/>
      <w:start w:val="1"/>
    </w:lvl>
  </w:abstractNum>
  <w:abstractNum w:abstractNumId="11">
    <w:nsid w:val="1C695DEC"/>
    <w:multiLevelType w:val="hybridMultilevel"/>
    <w:lvl w:ilvl="0">
      <w:lvlJc w:val="left"/>
      <w:lvlText w:val="•"/>
      <w:numFmt w:val="bullet"/>
      <w:start w:val="1"/>
    </w:lvl>
  </w:abstractNum>
  <w:abstractNum w:abstractNumId="12">
    <w:nsid w:val="3FCFAED9"/>
    <w:multiLevelType w:val="hybridMultilevel"/>
    <w:lvl w:ilvl="0">
      <w:lvlJc w:val="left"/>
      <w:lvlText w:val="•"/>
      <w:numFmt w:val="bullet"/>
      <w:start w:val="1"/>
    </w:lvl>
  </w:abstractNum>
  <w:abstractNum w:abstractNumId="13">
    <w:nsid w:val="F856867"/>
    <w:multiLevelType w:val="hybridMultilevel"/>
    <w:lvl w:ilvl="0">
      <w:lvlJc w:val="left"/>
      <w:lvlText w:val="•"/>
      <w:numFmt w:val="bullet"/>
      <w:start w:val="1"/>
    </w:lvl>
  </w:abstractNum>
  <w:abstractNum w:abstractNumId="14">
    <w:nsid w:val="11B1CC33"/>
    <w:multiLevelType w:val="hybridMultilevel"/>
    <w:lvl w:ilvl="0">
      <w:lvlJc w:val="left"/>
      <w:lvlText w:val="•"/>
      <w:numFmt w:val="bullet"/>
      <w:start w:val="1"/>
    </w:lvl>
  </w:abstractNum>
  <w:abstractNum w:abstractNumId="15">
    <w:nsid w:val="2E22FBB7"/>
    <w:multiLevelType w:val="hybridMultilevel"/>
    <w:lvl w:ilvl="0">
      <w:lvlJc w:val="left"/>
      <w:lvlText w:val="•"/>
      <w:numFmt w:val="bullet"/>
      <w:start w:val="1"/>
    </w:lvl>
  </w:abstractNum>
  <w:abstractNum w:abstractNumId="16">
    <w:nsid w:val="29934699"/>
    <w:multiLevelType w:val="hybridMultilevel"/>
    <w:lvl w:ilvl="0">
      <w:lvlJc w:val="left"/>
      <w:lvlText w:val="•"/>
      <w:numFmt w:val="bullet"/>
      <w:start w:val="1"/>
    </w:lvl>
  </w:abstractNum>
  <w:abstractNum w:abstractNumId="17">
    <w:nsid w:val="77485850"/>
    <w:multiLevelType w:val="hybridMultilevel"/>
    <w:lvl w:ilvl="0">
      <w:lvlJc w:val="left"/>
      <w:lvlText w:val="•"/>
      <w:numFmt w:val="bullet"/>
      <w:start w:val="1"/>
    </w:lvl>
  </w:abstractNum>
  <w:abstractNum w:abstractNumId="18">
    <w:nsid w:val="744939A3"/>
    <w:multiLevelType w:val="hybridMultilevel"/>
    <w:lvl w:ilvl="0">
      <w:lvlJc w:val="left"/>
      <w:lvlText w:val="•"/>
      <w:numFmt w:val="bullet"/>
      <w:start w:val="1"/>
    </w:lvl>
  </w:abstractNum>
  <w:abstractNum w:abstractNumId="19">
    <w:nsid w:val="4FA0D2E3"/>
    <w:multiLevelType w:val="hybridMultilevel"/>
    <w:lvl w:ilvl="0">
      <w:lvlJc w:val="left"/>
      <w:lvlText w:val="•"/>
      <w:numFmt w:val="bullet"/>
      <w:start w:val="1"/>
    </w:lvl>
  </w:abstractNum>
  <w:abstractNum w:abstractNumId="20">
    <w:nsid w:val="6B1D2C14"/>
    <w:multiLevelType w:val="hybridMultilevel"/>
    <w:lvl w:ilvl="0">
      <w:lvlJc w:val="left"/>
      <w:lvlText w:val="•"/>
      <w:numFmt w:val="bullet"/>
      <w:start w:val="1"/>
    </w:lvl>
  </w:abstractNum>
  <w:abstractNum w:abstractNumId="21">
    <w:nsid w:val="68B867D3"/>
    <w:multiLevelType w:val="hybridMultilevel"/>
    <w:lvl w:ilvl="0">
      <w:lvlJc w:val="left"/>
      <w:lvlText w:val="•"/>
      <w:numFmt w:val="bullet"/>
      <w:start w:val="1"/>
    </w:lvl>
  </w:abstractNum>
  <w:abstractNum w:abstractNumId="22">
    <w:nsid w:val="3F7F5DD9"/>
    <w:multiLevelType w:val="hybridMultilevel"/>
    <w:lvl w:ilvl="0">
      <w:lvlJc w:val="left"/>
      <w:lvlText w:val="•"/>
      <w:numFmt w:val="bullet"/>
      <w:start w:val="1"/>
    </w:lvl>
  </w:abstractNum>
  <w:abstractNum w:abstractNumId="23">
    <w:nsid w:val="2AE05A34"/>
    <w:multiLevelType w:val="hybridMultilevel"/>
    <w:lvl w:ilvl="0">
      <w:lvlJc w:val="left"/>
      <w:lvlText w:val="•"/>
      <w:numFmt w:val="bullet"/>
      <w:start w:val="1"/>
    </w:lvl>
  </w:abstractNum>
  <w:abstractNum w:abstractNumId="24">
    <w:nsid w:val="32794FF7"/>
    <w:multiLevelType w:val="hybridMultilevel"/>
    <w:lvl w:ilvl="0">
      <w:lvlJc w:val="left"/>
      <w:lvlText w:val="•"/>
      <w:numFmt w:val="bullet"/>
      <w:start w:val="1"/>
    </w:lvl>
  </w:abstractNum>
  <w:abstractNum w:abstractNumId="25">
    <w:nsid w:val="5454945E"/>
    <w:multiLevelType w:val="hybridMultilevel"/>
    <w:lvl w:ilvl="0">
      <w:lvlJc w:val="left"/>
      <w:lvlText w:val="•"/>
      <w:numFmt w:val="bullet"/>
      <w:start w:val="1"/>
    </w:lvl>
  </w:abstractNum>
  <w:abstractNum w:abstractNumId="26">
    <w:nsid w:val="4DEFDFA0"/>
    <w:multiLevelType w:val="hybridMultilevel"/>
    <w:lvl w:ilvl="0">
      <w:lvlJc w:val="left"/>
      <w:lvlText w:val="•"/>
      <w:numFmt w:val="bullet"/>
      <w:start w:val="1"/>
    </w:lvl>
  </w:abstractNum>
  <w:abstractNum w:abstractNumId="27">
    <w:nsid w:val="2123D5F2"/>
    <w:multiLevelType w:val="hybridMultilevel"/>
    <w:lvl w:ilvl="0">
      <w:lvlJc w:val="left"/>
      <w:lvlText w:val="•"/>
      <w:numFmt w:val="bullet"/>
      <w:start w:val="1"/>
    </w:lvl>
  </w:abstractNum>
  <w:abstractNum w:abstractNumId="28">
    <w:nsid w:val="135B8110"/>
    <w:multiLevelType w:val="hybridMultilevel"/>
    <w:lvl w:ilvl="0">
      <w:lvlJc w:val="left"/>
      <w:lvlText w:val="•"/>
      <w:numFmt w:val="bullet"/>
      <w:start w:val="1"/>
    </w:lvl>
  </w:abstractNum>
  <w:abstractNum w:abstractNumId="29">
    <w:nsid w:val="94927A8"/>
    <w:multiLevelType w:val="hybridMultilevel"/>
    <w:lvl w:ilvl="0">
      <w:lvlJc w:val="left"/>
      <w:lvlText w:val="•"/>
      <w:numFmt w:val="bullet"/>
      <w:start w:val="1"/>
    </w:lvl>
  </w:abstractNum>
  <w:abstractNum w:abstractNumId="30">
    <w:nsid w:val="DCDF8F6"/>
    <w:multiLevelType w:val="hybridMultilevel"/>
    <w:lvl w:ilvl="0">
      <w:lvlJc w:val="left"/>
      <w:lvlText w:val="•"/>
      <w:numFmt w:val="bullet"/>
      <w:start w:val="1"/>
    </w:lvl>
  </w:abstractNum>
  <w:abstractNum w:abstractNumId="31">
    <w:nsid w:val="52D7B105"/>
    <w:multiLevelType w:val="hybridMultilevel"/>
    <w:lvl w:ilvl="0">
      <w:lvlJc w:val="left"/>
      <w:lvlText w:val="•"/>
      <w:numFmt w:val="bullet"/>
      <w:start w:val="1"/>
    </w:lvl>
  </w:abstractNum>
  <w:abstractNum w:abstractNumId="32">
    <w:nsid w:val="2E8A6394"/>
    <w:multiLevelType w:val="hybridMultilevel"/>
    <w:lvl w:ilvl="0">
      <w:lvlJc w:val="left"/>
      <w:lvlText w:val="•"/>
      <w:numFmt w:val="bullet"/>
      <w:start w:val="1"/>
    </w:lvl>
  </w:abstractNum>
  <w:abstractNum w:abstractNumId="33">
    <w:nsid w:val="24E60401"/>
    <w:multiLevelType w:val="hybridMultilevel"/>
    <w:lvl w:ilvl="0">
      <w:lvlJc w:val="left"/>
      <w:lvlText w:val="•"/>
      <w:numFmt w:val="bullet"/>
      <w:start w:val="1"/>
    </w:lvl>
  </w:abstractNum>
  <w:abstractNum w:abstractNumId="34">
    <w:nsid w:val="2A6AD9BE"/>
    <w:multiLevelType w:val="hybridMultilevel"/>
    <w:lvl w:ilvl="0">
      <w:lvlJc w:val="left"/>
      <w:lvlText w:val="•"/>
      <w:numFmt w:val="bullet"/>
      <w:start w:val="1"/>
    </w:lvl>
  </w:abstractNum>
  <w:abstractNum w:abstractNumId="35">
    <w:nsid w:val="BAAC1B4"/>
    <w:multiLevelType w:val="hybridMultilevel"/>
    <w:lvl w:ilvl="0">
      <w:lvlJc w:val="left"/>
      <w:lvlText w:val="•"/>
      <w:numFmt w:val="bullet"/>
      <w:start w:val="1"/>
    </w:lvl>
  </w:abstractNum>
  <w:abstractNum w:abstractNumId="36">
    <w:nsid w:val="36B2ACBC"/>
    <w:multiLevelType w:val="hybridMultilevel"/>
    <w:lvl w:ilvl="0">
      <w:lvlJc w:val="left"/>
      <w:lvlText w:val="•"/>
      <w:numFmt w:val="bullet"/>
      <w:start w:val="1"/>
    </w:lvl>
  </w:abstractNum>
  <w:abstractNum w:abstractNumId="37">
    <w:nsid w:val="779D8544"/>
    <w:multiLevelType w:val="hybridMultilevel"/>
    <w:lvl w:ilvl="0">
      <w:lvlJc w:val="left"/>
      <w:lvlText w:val="•"/>
      <w:numFmt w:val="bullet"/>
      <w:start w:val="1"/>
    </w:lvl>
  </w:abstractNum>
  <w:abstractNum w:abstractNumId="38">
    <w:nsid w:val="4AB26E78"/>
    <w:multiLevelType w:val="hybridMultilevel"/>
    <w:lvl w:ilvl="0">
      <w:lvlJc w:val="left"/>
      <w:lvlText w:val="•"/>
      <w:numFmt w:val="bullet"/>
      <w:start w:val="1"/>
    </w:lvl>
  </w:abstractNum>
  <w:abstractNum w:abstractNumId="39">
    <w:nsid w:val="21FAA2FA"/>
    <w:multiLevelType w:val="hybridMultilevel"/>
    <w:lvl w:ilvl="0">
      <w:lvlJc w:val="left"/>
      <w:lvlText w:val="•"/>
      <w:numFmt w:val="bullet"/>
      <w:start w:val="1"/>
    </w:lvl>
  </w:abstractNum>
  <w:abstractNum w:abstractNumId="40">
    <w:nsid w:val="5451CF49"/>
    <w:multiLevelType w:val="hybridMultilevel"/>
    <w:lvl w:ilvl="0">
      <w:lvlJc w:val="left"/>
      <w:lvlText w:val="•"/>
      <w:numFmt w:val="bullet"/>
      <w:start w:val="1"/>
    </w:lvl>
  </w:abstractNum>
  <w:abstractNum w:abstractNumId="41">
    <w:nsid w:val="6181EF69"/>
    <w:multiLevelType w:val="hybridMultilevel"/>
    <w:lvl w:ilvl="0">
      <w:lvlJc w:val="left"/>
      <w:lvlText w:val="•"/>
      <w:numFmt w:val="bullet"/>
      <w:start w:val="1"/>
    </w:lvl>
  </w:abstractNum>
  <w:abstractNum w:abstractNumId="42">
    <w:nsid w:val="3E6400E6"/>
    <w:multiLevelType w:val="hybridMultilevel"/>
    <w:lvl w:ilvl="0">
      <w:lvlJc w:val="left"/>
      <w:lvlText w:val="•"/>
      <w:numFmt w:val="bullet"/>
      <w:start w:val="1"/>
    </w:lvl>
  </w:abstractNum>
  <w:abstractNum w:abstractNumId="43">
    <w:nsid w:val="14217E23"/>
    <w:multiLevelType w:val="hybridMultilevel"/>
    <w:lvl w:ilvl="0">
      <w:lvlJc w:val="left"/>
      <w:lvlText w:val="•"/>
      <w:numFmt w:val="bullet"/>
      <w:start w:val="1"/>
    </w:lvl>
  </w:abstractNum>
  <w:abstractNum w:abstractNumId="44">
    <w:nsid w:val="710757D0"/>
    <w:multiLevelType w:val="hybridMultilevel"/>
    <w:lvl w:ilvl="0">
      <w:lvlJc w:val="left"/>
      <w:lvlText w:val="•"/>
      <w:numFmt w:val="bullet"/>
      <w:start w:val="1"/>
    </w:lvl>
  </w:abstractNum>
  <w:abstractNum w:abstractNumId="45">
    <w:nsid w:val="5015CD1A"/>
    <w:multiLevelType w:val="hybridMultilevel"/>
    <w:lvl w:ilvl="0">
      <w:lvlJc w:val="left"/>
      <w:lvlText w:val="•"/>
      <w:numFmt w:val="bullet"/>
      <w:start w:val="1"/>
    </w:lvl>
  </w:abstractNum>
  <w:abstractNum w:abstractNumId="46">
    <w:nsid w:val="424479DA"/>
    <w:multiLevelType w:val="hybridMultilevel"/>
    <w:lvl w:ilvl="0">
      <w:lvlJc w:val="left"/>
      <w:lvlText w:val="$"/>
      <w:numFmt w:val="bullet"/>
      <w:start w:val="1"/>
    </w:lvl>
  </w:abstractNum>
  <w:abstractNum w:abstractNumId="47">
    <w:nsid w:val="1A9A9E69"/>
    <w:multiLevelType w:val="hybridMultilevel"/>
    <w:lvl w:ilvl="0">
      <w:lvlJc w:val="left"/>
      <w:lvlText w:val="•"/>
      <w:numFmt w:val="bullet"/>
      <w:start w:val="1"/>
    </w:lvl>
  </w:abstractNum>
  <w:abstractNum w:abstractNumId="48">
    <w:nsid w:val="475E256A"/>
    <w:multiLevelType w:val="hybridMultilevel"/>
    <w:lvl w:ilvl="0">
      <w:lvlJc w:val="left"/>
      <w:lvlText w:val="(%1)"/>
      <w:numFmt w:val="decimal"/>
      <w:start w:val="1"/>
    </w:lvl>
  </w:abstractNum>
  <w:abstractNum w:abstractNumId="49">
    <w:nsid w:val="368DB37E"/>
    <w:multiLevelType w:val="hybridMultilevel"/>
    <w:lvl w:ilvl="0">
      <w:lvlJc w:val="left"/>
      <w:lvlText w:val="(%1)"/>
      <w:numFmt w:val="decimal"/>
      <w:start w:val="1"/>
    </w:lvl>
  </w:abstractNum>
  <w:abstractNum w:abstractNumId="50">
    <w:nsid w:val="6A3B714C"/>
    <w:multiLevelType w:val="hybridMultilevel"/>
    <w:lvl w:ilvl="0">
      <w:lvlJc w:val="left"/>
      <w:lvlText w:val="•"/>
      <w:numFmt w:val="bullet"/>
      <w:start w:val="1"/>
    </w:lvl>
  </w:abstractNum>
  <w:abstractNum w:abstractNumId="51">
    <w:nsid w:val="327B517E"/>
    <w:multiLevelType w:val="hybridMultilevel"/>
    <w:lvl w:ilvl="0">
      <w:lvlJc w:val="left"/>
      <w:lvlText w:val="•"/>
      <w:numFmt w:val="bullet"/>
      <w:start w:val="1"/>
    </w:lvl>
  </w:abstractNum>
  <w:abstractNum w:abstractNumId="52">
    <w:nsid w:val="1F461B51"/>
    <w:multiLevelType w:val="hybridMultilevel"/>
    <w:lvl w:ilvl="0">
      <w:lvlJc w:val="left"/>
      <w:lvlText w:val="•"/>
      <w:numFmt w:val="bullet"/>
      <w:start w:val="1"/>
    </w:lvl>
  </w:abstractNum>
  <w:abstractNum w:abstractNumId="53">
    <w:nsid w:val="29BACF25"/>
    <w:multiLevelType w:val="hybridMultilevel"/>
    <w:lvl w:ilvl="0">
      <w:lvlJc w:val="left"/>
      <w:lvlText w:val="•"/>
      <w:numFmt w:val="bullet"/>
      <w:start w:val="1"/>
    </w:lvl>
  </w:abstractNum>
  <w:abstractNum w:abstractNumId="54">
    <w:nsid w:val="5D5BABB3"/>
    <w:multiLevelType w:val="hybridMultilevel"/>
    <w:lvl w:ilvl="0">
      <w:lvlJc w:val="left"/>
      <w:lvlText w:val="•"/>
      <w:numFmt w:val="bullet"/>
      <w:start w:val="1"/>
    </w:lvl>
  </w:abstractNum>
  <w:abstractNum w:abstractNumId="55">
    <w:nsid w:val="51BF6B48"/>
    <w:multiLevelType w:val="hybridMultilevel"/>
    <w:lvl w:ilvl="0">
      <w:lvlJc w:val="left"/>
      <w:lvlText w:val="•"/>
      <w:numFmt w:val="bullet"/>
      <w:start w:val="1"/>
    </w:lvl>
  </w:abstractNum>
  <w:abstractNum w:abstractNumId="56">
    <w:nsid w:val="7E0F6384"/>
    <w:multiLevelType w:val="hybridMultilevel"/>
    <w:lvl w:ilvl="0">
      <w:lvlJc w:val="left"/>
      <w:lvlText w:val="•"/>
      <w:numFmt w:val="bullet"/>
      <w:start w:val="1"/>
    </w:lvl>
  </w:abstractNum>
  <w:abstractNum w:abstractNumId="57">
    <w:nsid w:val="2B4B8B53"/>
    <w:multiLevelType w:val="hybridMultilevel"/>
    <w:lvl w:ilvl="0">
      <w:lvlJc w:val="left"/>
      <w:lvlText w:val="(%1)"/>
      <w:numFmt w:val="decimal"/>
      <w:start w:val="1"/>
    </w:lvl>
  </w:abstractNum>
  <w:abstractNum w:abstractNumId="58">
    <w:nsid w:val="72E3413A"/>
    <w:multiLevelType w:val="hybridMultilevel"/>
    <w:lvl w:ilvl="0">
      <w:lvlJc w:val="left"/>
      <w:lvlText w:val="•"/>
      <w:numFmt w:val="bullet"/>
      <w:start w:val="1"/>
    </w:lvl>
  </w:abstractNum>
  <w:abstractNum w:abstractNumId="59">
    <w:nsid w:val="116AE494"/>
    <w:multiLevelType w:val="hybridMultilevel"/>
    <w:lvl w:ilvl="0">
      <w:lvlJc w:val="left"/>
      <w:lvlText w:val="(%1)"/>
      <w:numFmt w:val="decimal"/>
      <w:start w:val="1"/>
    </w:lvl>
  </w:abstractNum>
  <w:abstractNum w:abstractNumId="60">
    <w:nsid w:val="3494B2FB"/>
    <w:multiLevelType w:val="hybridMultilevel"/>
    <w:lvl w:ilvl="0">
      <w:lvlJc w:val="left"/>
      <w:lvlText w:val="•"/>
      <w:numFmt w:val="bullet"/>
      <w:start w:val="1"/>
    </w:lvl>
  </w:abstractNum>
  <w:abstractNum w:abstractNumId="61">
    <w:nsid w:val="B13A31"/>
    <w:multiLevelType w:val="hybridMultilevel"/>
    <w:lvl w:ilvl="0">
      <w:lvlJc w:val="left"/>
      <w:lvlText w:val="•"/>
      <w:numFmt w:val="bullet"/>
      <w:start w:val="1"/>
    </w:lvl>
  </w:abstractNum>
  <w:abstractNum w:abstractNumId="62">
    <w:nsid w:val="64429599"/>
    <w:multiLevelType w:val="hybridMultilevel"/>
    <w:lvl w:ilvl="0">
      <w:lvlJc w:val="left"/>
      <w:lvlText w:val="•"/>
      <w:numFmt w:val="bullet"/>
      <w:start w:val="1"/>
    </w:lvl>
  </w:abstractNum>
  <w:abstractNum w:abstractNumId="63">
    <w:nsid w:val="631F1690"/>
    <w:multiLevelType w:val="hybridMultilevel"/>
    <w:lvl w:ilvl="0">
      <w:lvlJc w:val="left"/>
      <w:lvlText w:val="•"/>
      <w:numFmt w:val="bullet"/>
      <w:start w:val="1"/>
    </w:lvl>
  </w:abstractNum>
  <w:abstractNum w:abstractNumId="64">
    <w:nsid w:val="25973E32"/>
    <w:multiLevelType w:val="hybridMultilevel"/>
    <w:lvl w:ilvl="0">
      <w:lvlJc w:val="left"/>
      <w:lvlText w:val="•"/>
      <w:numFmt w:val="bullet"/>
      <w:start w:val="1"/>
    </w:lvl>
  </w:abstractNum>
  <w:abstractNum w:abstractNumId="65">
    <w:nsid w:val="EAD6F57"/>
    <w:multiLevelType w:val="hybridMultilevel"/>
    <w:lvl w:ilvl="0">
      <w:lvlJc w:val="left"/>
      <w:lvlText w:val="•"/>
      <w:numFmt w:val="bullet"/>
      <w:start w:val="1"/>
    </w:lvl>
  </w:abstractNum>
  <w:abstractNum w:abstractNumId="66">
    <w:nsid w:val="6EC9D844"/>
    <w:multiLevelType w:val="hybridMultilevel"/>
    <w:lvl w:ilvl="0">
      <w:lvlJc w:val="left"/>
      <w:lvlText w:val="•"/>
      <w:numFmt w:val="bullet"/>
      <w:start w:val="1"/>
    </w:lvl>
  </w:abstractNum>
  <w:abstractNum w:abstractNumId="67">
    <w:nsid w:val="5C49EAEE"/>
    <w:multiLevelType w:val="hybridMultilevel"/>
    <w:lvl w:ilvl="0">
      <w:lvlJc w:val="left"/>
      <w:lvlText w:val="•"/>
      <w:numFmt w:val="bullet"/>
      <w:start w:val="1"/>
    </w:lvl>
  </w:abstractNum>
  <w:abstractNum w:abstractNumId="68">
    <w:nsid w:val="64AF49B"/>
    <w:multiLevelType w:val="hybridMultilevel"/>
    <w:lvl w:ilvl="0">
      <w:lvlJc w:val="left"/>
      <w:lvlText w:val="•"/>
      <w:numFmt w:val="bullet"/>
      <w:start w:val="1"/>
    </w:lvl>
  </w:abstractNum>
  <w:abstractNum w:abstractNumId="69">
    <w:nsid w:val="397C46BC"/>
    <w:multiLevelType w:val="hybridMultilevel"/>
    <w:lvl w:ilvl="0">
      <w:lvlJc w:val="left"/>
      <w:lvlText w:val="•"/>
      <w:numFmt w:val="bullet"/>
      <w:start w:val="1"/>
    </w:lvl>
  </w:abstractNum>
  <w:abstractNum w:abstractNumId="70">
    <w:nsid w:val="7E448DE9"/>
    <w:multiLevelType w:val="hybridMultilevel"/>
    <w:lvl w:ilvl="0">
      <w:lvlJc w:val="left"/>
      <w:lvlText w:val="•"/>
      <w:numFmt w:val="bullet"/>
      <w:start w:val="1"/>
    </w:lvl>
  </w:abstractNum>
  <w:abstractNum w:abstractNumId="71">
    <w:nsid w:val="5A9CC3E5"/>
    <w:multiLevelType w:val="hybridMultilevel"/>
    <w:lvl w:ilvl="0">
      <w:lvlJc w:val="left"/>
      <w:lvlText w:val="•"/>
      <w:numFmt w:val="bullet"/>
      <w:start w:val="1"/>
    </w:lvl>
  </w:abstractNum>
  <w:abstractNum w:abstractNumId="72">
    <w:nsid w:val="1AFE3625"/>
    <w:multiLevelType w:val="hybridMultilevel"/>
    <w:lvl w:ilvl="0">
      <w:lvlJc w:val="left"/>
      <w:lvlText w:val="•"/>
      <w:numFmt w:val="bullet"/>
      <w:start w:val="1"/>
    </w:lvl>
  </w:abstractNum>
  <w:abstractNum w:abstractNumId="73">
    <w:nsid w:val="3CA88ECF"/>
    <w:multiLevelType w:val="hybridMultilevel"/>
    <w:lvl w:ilvl="0">
      <w:lvlJc w:val="left"/>
      <w:lvlText w:val="(%1)"/>
      <w:numFmt w:val="decimal"/>
      <w:start w:val="1"/>
    </w:lvl>
  </w:abstractNum>
  <w:abstractNum w:abstractNumId="74">
    <w:nsid w:val="6EBE4208"/>
    <w:multiLevelType w:val="hybridMultilevel"/>
    <w:lvl w:ilvl="0">
      <w:lvlJc w:val="left"/>
      <w:lvlText w:val="•"/>
      <w:numFmt w:val="bullet"/>
      <w:start w:val="1"/>
    </w:lvl>
  </w:abstractNum>
  <w:abstractNum w:abstractNumId="75">
    <w:nsid w:val="C058DF5"/>
    <w:multiLevelType w:val="hybridMultilevel"/>
    <w:lvl w:ilvl="0">
      <w:lvlJc w:val="left"/>
      <w:lvlText w:val="•"/>
      <w:numFmt w:val="bullet"/>
      <w:start w:val="1"/>
    </w:lvl>
  </w:abstractNum>
  <w:abstractNum w:abstractNumId="76">
    <w:nsid w:val="CBE5BE9"/>
    <w:multiLevelType w:val="hybridMultilevel"/>
    <w:lvl w:ilvl="0">
      <w:lvlJc w:val="left"/>
      <w:lvlText w:val="•"/>
      <w:numFmt w:val="bullet"/>
      <w:start w:val="1"/>
    </w:lvl>
  </w:abstractNum>
  <w:abstractNum w:abstractNumId="77">
    <w:nsid w:val="3102BBE2"/>
    <w:multiLevelType w:val="hybridMultilevel"/>
    <w:lvl w:ilvl="0">
      <w:lvlJc w:val="left"/>
      <w:lvlText w:val="•"/>
      <w:numFmt w:val="bullet"/>
      <w:start w:val="1"/>
    </w:lvl>
  </w:abstractNum>
  <w:abstractNum w:abstractNumId="78">
    <w:nsid w:val="26A02C5E"/>
    <w:multiLevelType w:val="hybridMultilevel"/>
    <w:lvl w:ilvl="0">
      <w:lvlJc w:val="left"/>
      <w:lvlText w:val="(%1)"/>
      <w:numFmt w:val="decimal"/>
      <w:start w:val="1"/>
    </w:lvl>
  </w:abstractNum>
  <w:abstractNum w:abstractNumId="79">
    <w:nsid w:val="541C8153"/>
    <w:multiLevelType w:val="hybridMultilevel"/>
    <w:lvl w:ilvl="0">
      <w:lvlJc w:val="left"/>
      <w:lvlText w:val="(%1)"/>
      <w:numFmt w:val="decimal"/>
      <w:start w:val="2"/>
    </w:lvl>
  </w:abstractNum>
  <w:abstractNum w:abstractNumId="80">
    <w:nsid w:val="67906F60"/>
    <w:multiLevelType w:val="hybridMultilevel"/>
    <w:lvl w:ilvl="0">
      <w:lvlJc w:val="left"/>
      <w:lvlText w:val="(%1)"/>
      <w:numFmt w:val="decimal"/>
      <w:start w:val="3"/>
    </w:lvl>
  </w:abstractNum>
  <w:abstractNum w:abstractNumId="81">
    <w:nsid w:val="10DB9DAA"/>
    <w:multiLevelType w:val="hybridMultilevel"/>
    <w:lvl w:ilvl="0">
      <w:lvlJc w:val="left"/>
      <w:lvlText w:val="•"/>
      <w:numFmt w:val="bullet"/>
      <w:start w:val="1"/>
    </w:lvl>
  </w:abstractNum>
  <w:abstractNum w:abstractNumId="82">
    <w:nsid w:val="697D2D2"/>
    <w:multiLevelType w:val="hybridMultilevel"/>
    <w:lvl w:ilvl="0">
      <w:lvlJc w:val="left"/>
      <w:lvlText w:val="•"/>
      <w:numFmt w:val="bullet"/>
      <w:start w:val="1"/>
    </w:lvl>
  </w:abstractNum>
  <w:abstractNum w:abstractNumId="83">
    <w:nsid w:val="6D68AB2"/>
    <w:multiLevelType w:val="hybridMultilevel"/>
    <w:lvl w:ilvl="0">
      <w:lvlJc w:val="left"/>
      <w:lvlText w:val="•"/>
      <w:numFmt w:val="bullet"/>
      <w:start w:val="1"/>
    </w:lvl>
  </w:abstractNum>
  <w:abstractNum w:abstractNumId="84">
    <w:nsid w:val="3A966CD0"/>
    <w:multiLevelType w:val="hybridMultilevel"/>
    <w:lvl w:ilvl="0">
      <w:lvlJc w:val="left"/>
      <w:lvlText w:val="•"/>
      <w:numFmt w:val="bullet"/>
      <w:start w:val="1"/>
    </w:lvl>
  </w:abstractNum>
  <w:abstractNum w:abstractNumId="85">
    <w:nsid w:val="63F37E85"/>
    <w:multiLevelType w:val="hybridMultilevel"/>
    <w:lvl w:ilvl="0">
      <w:lvlJc w:val="left"/>
      <w:lvlText w:val="•"/>
      <w:numFmt w:val="bullet"/>
      <w:start w:val="1"/>
    </w:lvl>
  </w:abstractNum>
  <w:abstractNum w:abstractNumId="86">
    <w:nsid w:val="5895F5FA"/>
    <w:multiLevelType w:val="hybridMultilevel"/>
    <w:lvl w:ilvl="0">
      <w:lvlJc w:val="left"/>
      <w:lvlText w:val="•"/>
      <w:numFmt w:val="bullet"/>
      <w:start w:val="1"/>
    </w:lvl>
  </w:abstractNum>
  <w:abstractNum w:abstractNumId="87">
    <w:nsid w:val="38A5D054"/>
    <w:multiLevelType w:val="hybridMultilevel"/>
    <w:lvl w:ilvl="0">
      <w:lvlJc w:val="left"/>
      <w:lvlText w:val="•"/>
      <w:numFmt w:val="bullet"/>
      <w:start w:val="1"/>
    </w:lvl>
  </w:abstractNum>
  <w:abstractNum w:abstractNumId="88">
    <w:nsid w:val="F3F09D8"/>
    <w:multiLevelType w:val="hybridMultilevel"/>
    <w:lvl w:ilvl="0">
      <w:lvlJc w:val="left"/>
      <w:lvlText w:val="•"/>
      <w:numFmt w:val="bullet"/>
      <w:start w:val="1"/>
    </w:lvl>
  </w:abstractNum>
  <w:abstractNum w:abstractNumId="89">
    <w:nsid w:val="4B793735"/>
    <w:multiLevelType w:val="hybridMultilevel"/>
    <w:lvl w:ilvl="0">
      <w:lvlJc w:val="left"/>
      <w:lvlText w:val="•"/>
      <w:numFmt w:val="bullet"/>
      <w:start w:val="1"/>
    </w:lvl>
  </w:abstractNum>
  <w:abstractNum w:abstractNumId="90">
    <w:nsid w:val="4A10B4E8"/>
    <w:multiLevelType w:val="hybridMultilevel"/>
    <w:lvl w:ilvl="0">
      <w:lvlJc w:val="left"/>
      <w:lvlText w:val="(%1)"/>
      <w:numFmt w:val="decimal"/>
      <w:start w:val="1"/>
    </w:lvl>
  </w:abstractNum>
  <w:abstractNum w:abstractNumId="91">
    <w:nsid w:val="43D3BCD4"/>
    <w:multiLevelType w:val="hybridMultilevel"/>
    <w:lvl w:ilvl="0">
      <w:lvlJc w:val="left"/>
      <w:lvlText w:val="(%1)"/>
      <w:numFmt w:val="decimal"/>
      <w:start w:val="1"/>
    </w:lvl>
  </w:abstractNum>
  <w:abstractNum w:abstractNumId="92">
    <w:nsid w:val="4C2A7166"/>
    <w:multiLevelType w:val="hybridMultilevel"/>
    <w:lvl w:ilvl="0">
      <w:lvlJc w:val="left"/>
      <w:lvlText w:val="(%1)"/>
      <w:numFmt w:val="decimal"/>
      <w:start w:val="1"/>
    </w:lvl>
  </w:abstractNum>
  <w:abstractNum w:abstractNumId="93">
    <w:nsid w:val="2E534A82"/>
    <w:multiLevelType w:val="hybridMultilevel"/>
    <w:lvl w:ilvl="0">
      <w:lvlJc w:val="left"/>
      <w:lvlText w:val="•"/>
      <w:numFmt w:val="bullet"/>
      <w:start w:val="1"/>
    </w:lvl>
  </w:abstractNum>
  <w:abstractNum w:abstractNumId="94">
    <w:nsid w:val="26F2D364"/>
    <w:multiLevelType w:val="hybridMultilevel"/>
    <w:lvl w:ilvl="0">
      <w:lvlJc w:val="left"/>
      <w:lvlText w:val="•"/>
      <w:numFmt w:val="bullet"/>
      <w:start w:val="1"/>
    </w:lvl>
  </w:abstractNum>
  <w:abstractNum w:abstractNumId="95">
    <w:nsid w:val="71C1AF98"/>
    <w:multiLevelType w:val="hybridMultilevel"/>
    <w:lvl w:ilvl="0">
      <w:lvlJc w:val="left"/>
      <w:lvlText w:val="•"/>
      <w:numFmt w:val="bullet"/>
      <w:start w:val="1"/>
    </w:lvl>
  </w:abstractNum>
  <w:abstractNum w:abstractNumId="96">
    <w:nsid w:val="3D00B9D9"/>
    <w:multiLevelType w:val="hybridMultilevel"/>
    <w:lvl w:ilvl="0">
      <w:lvlJc w:val="left"/>
      <w:lvlText w:val="•"/>
      <w:numFmt w:val="bullet"/>
      <w:start w:val="1"/>
    </w:lvl>
  </w:abstractNum>
  <w:abstractNum w:abstractNumId="97">
    <w:nsid w:val="15BCABA8"/>
    <w:multiLevelType w:val="hybridMultilevel"/>
    <w:lvl w:ilvl="0">
      <w:lvlJc w:val="left"/>
      <w:lvlText w:val="*"/>
      <w:numFmt w:val="bullet"/>
      <w:start w:val="1"/>
    </w:lvl>
  </w:abstractNum>
  <w:abstractNum w:abstractNumId="98">
    <w:nsid w:val="4E0B9A87"/>
    <w:multiLevelType w:val="hybridMultilevel"/>
    <w:lvl w:ilvl="0">
      <w:lvlJc w:val="left"/>
      <w:lvlText w:val="(%1)"/>
      <w:numFmt w:val="decimal"/>
      <w:start w:val="1"/>
    </w:lvl>
  </w:abstractNum>
  <w:abstractNum w:abstractNumId="99">
    <w:nsid w:val="434BAE75"/>
    <w:multiLevelType w:val="hybridMultilevel"/>
    <w:lvl w:ilvl="0">
      <w:lvlJc w:val="left"/>
      <w:lvlText w:val="(%1)"/>
      <w:numFmt w:val="decimal"/>
      <w:start w:val="4"/>
    </w:lvl>
  </w:abstractNum>
  <w:abstractNum w:abstractNumId="100">
    <w:nsid w:val="4F38F265"/>
    <w:multiLevelType w:val="hybridMultilevel"/>
    <w:lvl w:ilvl="0">
      <w:lvlJc w:val="left"/>
      <w:lvlText w:val="•"/>
      <w:numFmt w:val="bullet"/>
      <w:start w:val="1"/>
    </w:lvl>
  </w:abstractNum>
  <w:abstractNum w:abstractNumId="101">
    <w:nsid w:val="4C502870"/>
    <w:multiLevelType w:val="hybridMultilevel"/>
    <w:lvl w:ilvl="0">
      <w:lvlJc w:val="left"/>
      <w:lvlText w:val="•"/>
      <w:numFmt w:val="bullet"/>
      <w:start w:val="1"/>
    </w:lvl>
  </w:abstractNum>
  <w:abstractNum w:abstractNumId="102">
    <w:nsid w:val="1DE8725A"/>
    <w:multiLevelType w:val="hybridMultilevel"/>
    <w:lvl w:ilvl="0">
      <w:lvlJc w:val="left"/>
      <w:lvlText w:val="•"/>
      <w:numFmt w:val="bullet"/>
      <w:start w:val="1"/>
    </w:lvl>
  </w:abstractNum>
  <w:abstractNum w:abstractNumId="103">
    <w:nsid w:val="6A37288A"/>
    <w:multiLevelType w:val="hybridMultilevel"/>
    <w:lvl w:ilvl="0">
      <w:lvlJc w:val="left"/>
      <w:lvlText w:val="•"/>
      <w:numFmt w:val="bullet"/>
      <w:start w:val="1"/>
    </w:lvl>
  </w:abstractNum>
  <w:abstractNum w:abstractNumId="104">
    <w:nsid w:val="8F8B73F"/>
    <w:multiLevelType w:val="hybridMultilevel"/>
    <w:lvl w:ilvl="0">
      <w:lvlJc w:val="left"/>
      <w:lvlText w:val="•"/>
      <w:numFmt w:val="bullet"/>
      <w:start w:val="1"/>
    </w:lvl>
  </w:abstractNum>
  <w:abstractNum w:abstractNumId="105">
    <w:nsid w:val="CA6B462"/>
    <w:multiLevelType w:val="hybridMultilevel"/>
    <w:lvl w:ilvl="0">
      <w:lvlJc w:val="left"/>
      <w:lvlText w:val="•"/>
      <w:numFmt w:val="bullet"/>
      <w:start w:val="1"/>
    </w:lvl>
  </w:abstractNum>
  <w:abstractNum w:abstractNumId="106">
    <w:nsid w:val="763CB680"/>
    <w:multiLevelType w:val="hybridMultilevel"/>
    <w:lvl w:ilvl="0">
      <w:lvlJc w:val="left"/>
      <w:lvlText w:val="•"/>
      <w:numFmt w:val="bullet"/>
      <w:start w:val="1"/>
    </w:lvl>
  </w:abstractNum>
  <w:abstractNum w:abstractNumId="107">
    <w:nsid w:val="15B71329"/>
    <w:multiLevelType w:val="hybridMultilevel"/>
    <w:lvl w:ilvl="0">
      <w:lvlJc w:val="left"/>
      <w:lvlText w:val="•"/>
      <w:numFmt w:val="bullet"/>
      <w:start w:val="1"/>
    </w:lvl>
  </w:abstractNum>
  <w:abstractNum w:abstractNumId="108">
    <w:nsid w:val="3DA97044"/>
    <w:multiLevelType w:val="hybridMultilevel"/>
    <w:lvl w:ilvl="0">
      <w:lvlJc w:val="left"/>
      <w:lvlText w:val="•"/>
      <w:numFmt w:val="bullet"/>
      <w:start w:val="1"/>
    </w:lvl>
  </w:abstractNum>
  <w:abstractNum w:abstractNumId="109">
    <w:nsid w:val="1CDCE2DE"/>
    <w:multiLevelType w:val="hybridMultilevel"/>
    <w:lvl w:ilvl="0">
      <w:lvlJc w:val="left"/>
      <w:lvlText w:val="•"/>
      <w:numFmt w:val="bullet"/>
      <w:start w:val="1"/>
    </w:lvl>
  </w:abstractNum>
  <w:abstractNum w:abstractNumId="110">
    <w:nsid w:val="69D3947C"/>
    <w:multiLevelType w:val="hybridMultilevel"/>
    <w:lvl w:ilvl="0">
      <w:lvlJc w:val="left"/>
      <w:lvlText w:val="•"/>
      <w:numFmt w:val="bullet"/>
      <w:start w:val="1"/>
    </w:lvl>
  </w:abstractNum>
  <w:abstractNum w:abstractNumId="111">
    <w:nsid w:val="2539DFA5"/>
    <w:multiLevelType w:val="hybridMultilevel"/>
    <w:lvl w:ilvl="0">
      <w:lvlJc w:val="left"/>
      <w:lvlText w:val="(%1)"/>
      <w:numFmt w:val="lowerLetter"/>
      <w:start w:val="1"/>
    </w:lvl>
  </w:abstractNum>
  <w:abstractNum w:abstractNumId="112">
    <w:nsid w:val="2DB88089"/>
    <w:multiLevelType w:val="hybridMultilevel"/>
    <w:lvl w:ilvl="0">
      <w:lvlJc w:val="left"/>
      <w:lvlText w:val="(%1)"/>
      <w:numFmt w:val="lowerLetter"/>
      <w:start w:val="1"/>
    </w:lvl>
  </w:abstractNum>
  <w:abstractNum w:abstractNumId="113">
    <w:nsid w:val="706B674E"/>
    <w:multiLevelType w:val="hybridMultilevel"/>
    <w:lvl w:ilvl="0">
      <w:lvlJc w:val="left"/>
      <w:lvlText w:val="(%1)"/>
      <w:numFmt w:val="lowerRoman"/>
      <w:start w:val="2"/>
    </w:lvl>
  </w:abstractNum>
  <w:abstractNum w:abstractNumId="114">
    <w:nsid w:val="2C106A57"/>
    <w:multiLevelType w:val="hybridMultilevel"/>
    <w:lvl w:ilvl="0">
      <w:lvlJc w:val="left"/>
      <w:lvlText w:val="(%1)"/>
      <w:numFmt w:val="lowerLetter"/>
      <w:start w:val="1"/>
    </w:lvl>
  </w:abstractNum>
  <w:abstractNum w:abstractNumId="115">
    <w:nsid w:val="684EED59"/>
    <w:multiLevelType w:val="hybridMultilevel"/>
    <w:lvl w:ilvl="0">
      <w:lvlJc w:val="left"/>
      <w:lvlText w:val="*"/>
      <w:numFmt w:val="bullet"/>
      <w:start w:val="1"/>
    </w:lvl>
  </w:abstractNum>
  <w:abstractNum w:abstractNumId="116">
    <w:nsid w:val="545EE5D3"/>
    <w:multiLevelType w:val="hybridMultilevel"/>
    <w:lvl w:ilvl="0">
      <w:lvlJc w:val="left"/>
      <w:lvlText w:val="†"/>
      <w:numFmt w:val="bullet"/>
      <w:start w:val="1"/>
    </w:lvl>
  </w:abstractNum>
  <w:abstractNum w:abstractNumId="117">
    <w:nsid w:val="4A66051"/>
    <w:multiLevelType w:val="hybridMultilevel"/>
    <w:lvl w:ilvl="0">
      <w:lvlJc w:val="left"/>
      <w:lvlText w:val="(%1)"/>
      <w:numFmt w:val="lowerLetter"/>
      <w:start w:val="2"/>
    </w:lvl>
  </w:abstractNum>
  <w:abstractNum w:abstractNumId="118">
    <w:nsid w:val="20F4BDA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19">
    <w:nsid w:val="639DEFAC"/>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abstractNum>
  <w:abstractNum w:abstractNumId="120">
    <w:nsid w:val="501F9786"/>
    <w:multiLevelType w:val="hybridMultilevel"/>
    <w:lvl w:ilvl="0">
      <w:lvlJc w:val="left"/>
      <w:lvlText w:val="%1."/>
      <w:numFmt w:val="decimal"/>
      <w:start w:val="1"/>
    </w:lvl>
  </w:abstractNum>
  <w:abstractNum w:abstractNumId="121">
    <w:nsid w:val="6B057295"/>
    <w:multiLevelType w:val="hybridMultilevel"/>
    <w:lvl w:ilvl="0">
      <w:lvlJc w:val="left"/>
      <w:lvlText w:val="%1."/>
      <w:numFmt w:val="upperLetter"/>
      <w:start w:val="1"/>
    </w:lvl>
    <w:lvl w:ilvl="1">
      <w:lvlJc w:val="left"/>
      <w:lvlText w:val="%2."/>
      <w:numFmt w:val="decimal"/>
      <w:start w:val="1"/>
    </w:lvl>
  </w:abstractNum>
  <w:abstractNum w:abstractNumId="122">
    <w:nsid w:val="2771AC80"/>
    <w:multiLevelType w:val="hybridMultilevel"/>
    <w:lvl w:ilvl="0">
      <w:lvlJc w:val="left"/>
      <w:lvlText w:val="%1."/>
      <w:numFmt w:val="decimal"/>
      <w:start w:val="1"/>
    </w:lvl>
  </w:abstractNum>
  <w:abstractNum w:abstractNumId="123">
    <w:nsid w:val="1C4A08EC"/>
    <w:multiLevelType w:val="hybridMultilevel"/>
    <w:lvl w:ilvl="0">
      <w:lvlJc w:val="left"/>
      <w:lvlText w:val="(%1)"/>
      <w:numFmt w:val="lowerRoman"/>
      <w:start w:val="2"/>
    </w:lvl>
    <w:lvl w:ilvl="1">
      <w:lvlJc w:val="left"/>
      <w:lvlText w:val="%2."/>
      <w:numFmt w:val="decimal"/>
      <w:start w:val="2"/>
    </w:lvl>
  </w:abstractNum>
  <w:abstractNum w:abstractNumId="124">
    <w:nsid w:val="1958BD17"/>
    <w:multiLevelType w:val="hybridMultilevel"/>
    <w:lvl w:ilvl="0">
      <w:lvlJc w:val="left"/>
      <w:lvlText w:val="(%1)"/>
      <w:numFmt w:val="lowerLetter"/>
      <w:start w:val="1"/>
    </w:lvl>
    <w:lvl w:ilvl="1">
      <w:lvlJc w:val="left"/>
      <w:lvlText w:val="(%2)"/>
      <w:numFmt w:val="lowerRoman"/>
      <w:start w:val="1"/>
    </w:lvl>
  </w:abstractNum>
  <w:abstractNum w:abstractNumId="125">
    <w:nsid w:val="4E647FE4"/>
    <w:multiLevelType w:val="hybridMultilevel"/>
    <w:lvl w:ilvl="0">
      <w:lvlJc w:val="left"/>
      <w:lvlText w:val="(%1)"/>
      <w:numFmt w:val="lowerLetter"/>
      <w:start w:val="2"/>
    </w:lvl>
  </w:abstractNum>
  <w:abstractNum w:abstractNumId="126">
    <w:nsid w:val="E0BB885"/>
    <w:multiLevelType w:val="hybridMultilevel"/>
    <w:lvl w:ilvl="0">
      <w:lvlJc w:val="left"/>
      <w:lvlText w:val="(%1)"/>
      <w:numFmt w:val="lowerLetter"/>
      <w:start w:val="1"/>
    </w:lvl>
  </w:abstractNum>
  <w:abstractNum w:abstractNumId="127">
    <w:nsid w:val="565976F1"/>
    <w:multiLevelType w:val="hybridMultilevel"/>
    <w:lvl w:ilvl="0">
      <w:lvlJc w:val="left"/>
      <w:lvlText w:val="(%1)"/>
      <w:numFmt w:val="lowerLetter"/>
      <w:start w:val="2"/>
    </w:lvl>
  </w:abstractNum>
  <w:abstractNum w:abstractNumId="128">
    <w:nsid w:val="64212B8C"/>
    <w:multiLevelType w:val="hybridMultilevel"/>
    <w:lvl w:ilvl="0">
      <w:lvlJc w:val="left"/>
      <w:lvlText w:val="(%1)"/>
      <w:numFmt w:val="lowerLetter"/>
      <w:start w:val="3"/>
    </w:lvl>
  </w:abstractNum>
  <w:abstractNum w:abstractNumId="129">
    <w:nsid w:val="5C17530C"/>
    <w:multiLevelType w:val="hybridMultilevel"/>
    <w:lvl w:ilvl="0">
      <w:lvlJc w:val="left"/>
      <w:lvlText w:val="(%1)"/>
      <w:numFmt w:val="lowerRoman"/>
      <w:start w:val="1"/>
    </w:lvl>
  </w:abstractNum>
  <w:abstractNum w:abstractNumId="130">
    <w:nsid w:val="19A52566"/>
    <w:multiLevelType w:val="hybridMultilevel"/>
    <w:lvl w:ilvl="0">
      <w:lvlJc w:val="left"/>
      <w:lvlText w:val="(%1)"/>
      <w:numFmt w:val="lowerRoman"/>
      <w:start w:val="2"/>
    </w:lvl>
  </w:abstractNum>
  <w:abstractNum w:abstractNumId="131">
    <w:nsid w:val="335A1DF1"/>
    <w:multiLevelType w:val="hybridMultilevel"/>
    <w:lvl w:ilvl="0">
      <w:lvlJc w:val="left"/>
      <w:lvlText w:val="%1"/>
      <w:numFmt w:val="lowerLetter"/>
      <w:start w:val="1"/>
    </w:lvl>
    <w:lvl w:ilvl="1">
      <w:lvlJc w:val="left"/>
      <w:lvlText w:val="(%2)"/>
      <w:numFmt w:val="lowerRoman"/>
      <w:start w:val="4"/>
    </w:lvl>
  </w:abstractNum>
  <w:abstractNum w:abstractNumId="132">
    <w:nsid w:val="28677B7C"/>
    <w:multiLevelType w:val="hybridMultilevel"/>
    <w:lvl w:ilvl="0">
      <w:lvlJc w:val="left"/>
      <w:lvlText w:val="(%1)"/>
      <w:numFmt w:val="lowerLetter"/>
      <w:start w:val="4"/>
    </w:lvl>
    <w:lvl w:ilvl="1">
      <w:lvlJc w:val="left"/>
      <w:lvlText w:val="%2"/>
      <w:numFmt w:val="lowerRoman"/>
      <w:start w:val="1"/>
    </w:lvl>
  </w:abstractNum>
  <w:abstractNum w:abstractNumId="133">
    <w:nsid w:val="378D97C0"/>
    <w:multiLevelType w:val="hybridMultilevel"/>
    <w:lvl w:ilvl="0">
      <w:lvlJc w:val="left"/>
      <w:lvlText w:val="(%1)"/>
      <w:numFmt w:val="lowerLetter"/>
      <w:start w:val="1"/>
    </w:lvl>
    <w:lvl w:ilvl="1">
      <w:lvlJc w:val="left"/>
      <w:lvlText w:val="(%2)"/>
      <w:numFmt w:val="lowerRoman"/>
      <w:start w:val="1"/>
    </w:lvl>
  </w:abstractNum>
  <w:abstractNum w:abstractNumId="134">
    <w:nsid w:val="1D91467C"/>
    <w:multiLevelType w:val="hybridMultilevel"/>
    <w:lvl w:ilvl="0">
      <w:lvlJc w:val="left"/>
      <w:lvlText w:val="%1."/>
      <w:numFmt w:val="decimal"/>
      <w:start w:val="3"/>
    </w:lvl>
  </w:abstractNum>
  <w:abstractNum w:abstractNumId="135">
    <w:nsid w:val="316032BB"/>
    <w:multiLevelType w:val="hybridMultilevel"/>
    <w:lvl w:ilvl="0">
      <w:lvlJc w:val="left"/>
      <w:lvlText w:val="(%1)"/>
      <w:numFmt w:val="lowerLetter"/>
      <w:start w:val="1"/>
    </w:lvl>
  </w:abstractNum>
  <w:abstractNum w:abstractNumId="136">
    <w:nsid w:val="44344C22"/>
    <w:multiLevelType w:val="hybridMultilevel"/>
    <w:lvl w:ilvl="0">
      <w:lvlJc w:val="left"/>
      <w:lvlText w:val="(%1)"/>
      <w:numFmt w:val="lowerLetter"/>
      <w:start w:val="4"/>
    </w:lvl>
  </w:abstractNum>
  <w:abstractNum w:abstractNumId="137">
    <w:nsid w:val="13CDFCFC"/>
    <w:multiLevelType w:val="hybridMultilevel"/>
    <w:lvl w:ilvl="0">
      <w:lvlJc w:val="left"/>
      <w:lvlText w:val="(%1)"/>
      <w:numFmt w:val="lowerLetter"/>
      <w:start w:val="1"/>
    </w:lvl>
  </w:abstractNum>
  <w:abstractNum w:abstractNumId="138">
    <w:nsid w:val="471745E4"/>
    <w:multiLevelType w:val="hybridMultilevel"/>
    <w:lvl w:ilvl="0">
      <w:lvlJc w:val="left"/>
      <w:lvlText w:val="%1"/>
      <w:numFmt w:val="decimal"/>
      <w:start w:val="1"/>
    </w:lvl>
    <w:lvl w:ilvl="1">
      <w:lvlJc w:val="left"/>
      <w:lvlText w:val="(%2)"/>
      <w:numFmt w:val="lowerLetter"/>
      <w:start w:val="1"/>
    </w:lvl>
  </w:abstractNum>
  <w:abstractNum w:abstractNumId="139">
    <w:nsid w:val="1DDBC66"/>
    <w:multiLevelType w:val="hybridMultilevel"/>
    <w:lvl w:ilvl="0">
      <w:lvlJc w:val="left"/>
      <w:lvlText w:val="%1."/>
      <w:numFmt w:val="decimal"/>
      <w:start w:val="4"/>
    </w:lvl>
    <w:lvl w:ilvl="1">
      <w:lvlJc w:val="left"/>
      <w:lvlText w:val="%2"/>
      <w:numFmt w:val="lowerLetter"/>
      <w:start w:val="1"/>
    </w:lvl>
  </w:abstractNum>
  <w:abstractNum w:abstractNumId="140">
    <w:nsid w:val="30AADFDA"/>
    <w:multiLevelType w:val="hybridMultilevel"/>
    <w:lvl w:ilvl="0">
      <w:lvlJc w:val="left"/>
      <w:lvlText w:val="(%1)"/>
      <w:numFmt w:val="lowerLetter"/>
      <w:start w:val="1"/>
    </w:lvl>
  </w:abstractNum>
  <w:abstractNum w:abstractNumId="141">
    <w:nsid w:val="30EADA61"/>
    <w:multiLevelType w:val="hybridMultilevel"/>
    <w:lvl w:ilvl="0">
      <w:lvlJc w:val="left"/>
      <w:lvlText w:val="(%1)"/>
      <w:numFmt w:val="lowerLetter"/>
      <w:start w:val="2"/>
    </w:lvl>
  </w:abstractNum>
  <w:abstractNum w:abstractNumId="142">
    <w:nsid w:val="27179C0B"/>
    <w:multiLevelType w:val="hybridMultilevel"/>
    <w:lvl w:ilvl="0">
      <w:lvlJc w:val="left"/>
      <w:lvlText w:val="(%1)"/>
      <w:numFmt w:val="lowerLetter"/>
      <w:start w:val="3"/>
    </w:lvl>
  </w:abstractNum>
  <w:abstractNum w:abstractNumId="143">
    <w:nsid w:val="5E636063"/>
    <w:multiLevelType w:val="hybridMultilevel"/>
    <w:lvl w:ilvl="0">
      <w:lvlJc w:val="left"/>
      <w:lvlText w:val="(%1)"/>
      <w:numFmt w:val="lowerLetter"/>
      <w:start w:val="4"/>
    </w:lvl>
    <w:lvl w:ilvl="1">
      <w:lvlJc w:val="left"/>
      <w:lvlText w:val="(%2)"/>
      <w:numFmt w:val="lowerRoman"/>
      <w:start w:val="1"/>
    </w:lvl>
  </w:abstractNum>
  <w:abstractNum w:abstractNumId="144">
    <w:nsid w:val="215641AF"/>
    <w:multiLevelType w:val="hybridMultilevel"/>
    <w:lvl w:ilvl="0">
      <w:lvlJc w:val="left"/>
      <w:lvlText w:val="(%1)"/>
      <w:numFmt w:val="lowerLetter"/>
      <w:start w:val="1"/>
    </w:lvl>
  </w:abstractNum>
  <w:abstractNum w:abstractNumId="145">
    <w:nsid w:val="53280662"/>
    <w:multiLevelType w:val="hybridMultilevel"/>
    <w:lvl w:ilvl="0">
      <w:lvlJc w:val="left"/>
      <w:lvlText w:val="%1"/>
      <w:numFmt w:val="lowerLetter"/>
      <w:start w:val="1"/>
    </w:lvl>
    <w:lvl w:ilvl="1">
      <w:lvlJc w:val="left"/>
      <w:lvlText w:val="(%2)"/>
      <w:numFmt w:val="lowerLetter"/>
      <w:start w:val="4"/>
    </w:lvl>
  </w:abstractNum>
  <w:abstractNum w:abstractNumId="146">
    <w:nsid w:val="46B24DBC"/>
    <w:multiLevelType w:val="hybridMultilevel"/>
    <w:lvl w:ilvl="0">
      <w:lvlJc w:val="left"/>
      <w:lvlText w:val="(%1)"/>
      <w:numFmt w:val="lowerLetter"/>
      <w:start w:val="3"/>
    </w:lvl>
    <w:lvl w:ilvl="1">
      <w:lvlJc w:val="left"/>
      <w:lvlText w:val="%2"/>
      <w:numFmt w:val="lowerLetter"/>
      <w:start w:val="1"/>
    </w:lvl>
  </w:abstractNum>
  <w:abstractNum w:abstractNumId="147">
    <w:nsid w:val="75B52783"/>
    <w:multiLevelType w:val="hybridMultilevel"/>
    <w:lvl w:ilvl="0">
      <w:lvlJc w:val="left"/>
      <w:lvlText w:val="(%1)"/>
      <w:numFmt w:val="lowerLetter"/>
      <w:start w:val="1"/>
    </w:lvl>
  </w:abstractNum>
  <w:abstractNum w:abstractNumId="148">
    <w:nsid w:val="57CE66B4"/>
    <w:multiLevelType w:val="hybridMultilevel"/>
    <w:lvl w:ilvl="0">
      <w:lvlJc w:val="left"/>
      <w:lvlText w:val="(%1)"/>
      <w:numFmt w:val="lowerLetter"/>
      <w:start w:val="2"/>
    </w:lvl>
  </w:abstractNum>
  <w:abstractNum w:abstractNumId="149">
    <w:nsid w:val="67A70B69"/>
    <w:multiLevelType w:val="hybridMultilevel"/>
    <w:lvl w:ilvl="0">
      <w:lvlJc w:val="left"/>
      <w:lvlText w:val="(%1)"/>
      <w:numFmt w:val="lowerLetter"/>
      <w:start w:val="1"/>
    </w:lvl>
    <w:lvl w:ilvl="1">
      <w:lvlJc w:val="left"/>
      <w:lvlText w:val="(%2)"/>
      <w:numFmt w:val="lowerRoman"/>
      <w:start w:val="1"/>
    </w:lvl>
  </w:abstractNum>
  <w:abstractNum w:abstractNumId="150">
    <w:nsid w:val="5953172F"/>
    <w:multiLevelType w:val="hybridMultilevel"/>
    <w:lvl w:ilvl="0">
      <w:lvlJc w:val="left"/>
      <w:lvlText w:val="(%1)"/>
      <w:numFmt w:val="lowerRoman"/>
      <w:start w:val="2"/>
    </w:lvl>
  </w:abstractNum>
  <w:abstractNum w:abstractNumId="151">
    <w:nsid w:val="27EDFE3A"/>
    <w:multiLevelType w:val="hybridMultilevel"/>
    <w:lvl w:ilvl="0">
      <w:lvlJc w:val="left"/>
      <w:lvlText w:val="(%1)"/>
      <w:numFmt w:val="decimal"/>
      <w:start w:val="1"/>
    </w:lvl>
  </w:abstractNum>
  <w:abstractNum w:abstractNumId="152">
    <w:nsid w:val="52AC7DFF"/>
    <w:multiLevelType w:val="hybridMultilevel"/>
    <w:lvl w:ilvl="0">
      <w:lvlJc w:val="left"/>
      <w:lvlText w:val="(%1)"/>
      <w:numFmt w:val="decimal"/>
      <w:start w:val="2"/>
    </w:lvl>
  </w:abstractNum>
  <w:abstractNum w:abstractNumId="153">
    <w:nsid w:val="C4C3AF"/>
    <w:multiLevelType w:val="hybridMultilevel"/>
    <w:lvl w:ilvl="0">
      <w:lvlJc w:val="left"/>
      <w:lvlText w:val="(%1)"/>
      <w:numFmt w:val="lowerLetter"/>
      <w:start w:val="2"/>
    </w:lvl>
  </w:abstractNum>
  <w:abstractNum w:abstractNumId="154">
    <w:nsid w:val="44380727"/>
    <w:multiLevelType w:val="hybridMultilevel"/>
    <w:lvl w:ilvl="0">
      <w:lvlJc w:val="left"/>
      <w:lvlText w:val="(%1)"/>
      <w:numFmt w:val="lowerLetter"/>
      <w:start w:val="1"/>
    </w:lvl>
  </w:abstractNum>
  <w:abstractNum w:abstractNumId="155">
    <w:nsid w:val="6C053B16"/>
    <w:multiLevelType w:val="hybridMultilevel"/>
    <w:lvl w:ilvl="0">
      <w:lvlJc w:val="left"/>
      <w:lvlText w:val="%1."/>
      <w:numFmt w:val="decimal"/>
      <w:start w:val="5"/>
    </w:lvl>
  </w:abstractNum>
  <w:abstractNum w:abstractNumId="156">
    <w:nsid w:val="4F294393"/>
    <w:multiLevelType w:val="hybridMultilevel"/>
    <w:lvl w:ilvl="0">
      <w:lvlJc w:val="left"/>
      <w:lvlText w:val="%1."/>
      <w:numFmt w:val="decimal"/>
      <w:start w:val="6"/>
    </w:lvl>
  </w:abstractNum>
  <w:abstractNum w:abstractNumId="157">
    <w:nsid w:val="5243BFAC"/>
    <w:multiLevelType w:val="hybridMultilevel"/>
    <w:lvl w:ilvl="0">
      <w:lvlJc w:val="left"/>
      <w:lvlText w:val="%1:"/>
      <w:numFmt w:val="decimal"/>
      <w:start w:val="3"/>
    </w:lvl>
  </w:abstractNum>
  <w:abstractNum w:abstractNumId="158">
    <w:nsid w:val="425EB207"/>
    <w:multiLevelType w:val="hybridMultilevel"/>
    <w:lvl w:ilvl="0">
      <w:lvlJc w:val="left"/>
      <w:lvlText w:val="(%1)"/>
      <w:numFmt w:val="lowerLetter"/>
      <w:start w:val="1"/>
    </w:lvl>
  </w:abstractNum>
  <w:abstractNum w:abstractNumId="159">
    <w:nsid w:val="334A6F1F"/>
    <w:multiLevelType w:val="hybridMultilevel"/>
    <w:lvl w:ilvl="0">
      <w:lvlJc w:val="left"/>
      <w:lvlText w:val="(%1)"/>
      <w:numFmt w:val="lowerLetter"/>
      <w:start w:val="1"/>
    </w:lvl>
  </w:abstractNum>
  <w:abstractNum w:abstractNumId="160">
    <w:nsid w:val="2E5B12B8"/>
    <w:multiLevelType w:val="hybridMultilevel"/>
    <w:lvl w:ilvl="0">
      <w:lvlJc w:val="left"/>
      <w:lvlText w:val="%1."/>
      <w:numFmt w:val="decimal"/>
      <w:start w:val="1"/>
    </w:lvl>
  </w:abstractNum>
  <w:abstractNum w:abstractNumId="161">
    <w:nsid w:val="5C03D76D"/>
    <w:multiLevelType w:val="hybridMultilevel"/>
    <w:lvl w:ilvl="0">
      <w:lvlJc w:val="left"/>
      <w:lvlText w:val="%1."/>
      <w:numFmt w:val="decimal"/>
      <w:start w:val="2"/>
    </w:lvl>
    <w:lvl w:ilvl="1">
      <w:lvlJc w:val="left"/>
      <w:lvlText w:val="(%2)"/>
      <w:numFmt w:val="lowerLetter"/>
      <w:start w:val="1"/>
    </w:lvl>
  </w:abstractNum>
  <w:abstractNum w:abstractNumId="162">
    <w:nsid w:val="66A48D11"/>
    <w:multiLevelType w:val="hybridMultilevel"/>
    <w:lvl w:ilvl="0">
      <w:lvlJc w:val="left"/>
      <w:lvlText w:val="(%1)"/>
      <w:numFmt w:val="lowerRoman"/>
      <w:start w:val="1"/>
    </w:lvl>
  </w:abstractNum>
  <w:abstractNum w:abstractNumId="163">
    <w:nsid w:val="56C28E34"/>
    <w:multiLevelType w:val="hybridMultilevel"/>
    <w:lvl w:ilvl="0">
      <w:lvlJc w:val="left"/>
      <w:lvlText w:val="(%1)"/>
      <w:numFmt w:val="lowerLetter"/>
      <w:start w:val="4"/>
    </w:lvl>
  </w:abstractNum>
  <w:abstractNum w:abstractNumId="164">
    <w:nsid w:val="13916F2D"/>
    <w:multiLevelType w:val="hybridMultilevel"/>
    <w:lvl w:ilvl="0">
      <w:lvlJc w:val="left"/>
      <w:lvlText w:val="(%1)"/>
      <w:numFmt w:val="lowerLetter"/>
      <w:start w:val="1"/>
    </w:lvl>
  </w:abstractNum>
  <w:abstractNum w:abstractNumId="165">
    <w:nsid w:val="435D38D"/>
    <w:multiLevelType w:val="hybridMultilevel"/>
    <w:lvl w:ilvl="0">
      <w:lvlJc w:val="left"/>
      <w:lvlText w:val="(%1)"/>
      <w:numFmt w:val="lowerLetter"/>
      <w:start w:val="3"/>
    </w:lvl>
  </w:abstractNum>
  <w:abstractNum w:abstractNumId="166">
    <w:nsid w:val="822C0EF"/>
    <w:multiLevelType w:val="hybridMultilevel"/>
    <w:lvl w:ilvl="0">
      <w:lvlJc w:val="left"/>
      <w:lvlText w:val="(%1)"/>
      <w:numFmt w:val="lowerLetter"/>
      <w:start w:val="1"/>
    </w:lvl>
  </w:abstractNum>
  <w:abstractNum w:abstractNumId="167">
    <w:nsid w:val="57C5BB4F"/>
    <w:multiLevelType w:val="hybridMultilevel"/>
    <w:lvl w:ilvl="0">
      <w:lvlJc w:val="left"/>
      <w:lvlText w:val="(%1)"/>
      <w:numFmt w:val="lowerLetter"/>
      <w:start w:val="4"/>
    </w:lvl>
  </w:abstractNum>
  <w:abstractNum w:abstractNumId="168">
    <w:nsid w:val="1803D089"/>
    <w:multiLevelType w:val="hybridMultilevel"/>
    <w:lvl w:ilvl="0">
      <w:lvlJc w:val="left"/>
      <w:lvlText w:val="(%1)"/>
      <w:numFmt w:val="lowerLetter"/>
      <w:start w:val="1"/>
    </w:lvl>
  </w:abstractNum>
  <w:abstractNum w:abstractNumId="169">
    <w:nsid w:val="4F3A06D4"/>
    <w:multiLevelType w:val="hybridMultilevel"/>
    <w:lvl w:ilvl="0">
      <w:lvlJc w:val="left"/>
      <w:lvlText w:val="(%1)"/>
      <w:numFmt w:val="lowerLetter"/>
      <w:start w:val="3"/>
    </w:lvl>
  </w:abstractNum>
  <w:abstractNum w:abstractNumId="170">
    <w:nsid w:val="59A377B6"/>
    <w:multiLevelType w:val="hybridMultilevel"/>
    <w:lvl w:ilvl="0">
      <w:lvlJc w:val="left"/>
      <w:lvlText w:val="(%1)"/>
      <w:numFmt w:val="lowerLetter"/>
      <w:start w:val="5"/>
    </w:lvl>
  </w:abstractNum>
  <w:abstractNum w:abstractNumId="171">
    <w:nsid w:val="48AEB063"/>
    <w:multiLevelType w:val="hybridMultilevel"/>
    <w:lvl w:ilvl="0">
      <w:lvlJc w:val="left"/>
      <w:lvlText w:val="(%1)"/>
      <w:numFmt w:val="lowerLetter"/>
      <w:start w:val="1"/>
    </w:lvl>
  </w:abstractNum>
  <w:abstractNum w:abstractNumId="172">
    <w:nsid w:val="24E135"/>
    <w:multiLevelType w:val="hybridMultilevel"/>
    <w:lvl w:ilvl="0">
      <w:lvlJc w:val="left"/>
      <w:lvlText w:val="(%1)"/>
      <w:numFmt w:val="lowerLetter"/>
      <w:start w:val="1"/>
    </w:lvl>
  </w:abstractNum>
  <w:abstractNum w:abstractNumId="173">
    <w:nsid w:val="BB13C1"/>
    <w:multiLevelType w:val="hybridMultilevel"/>
    <w:lvl w:ilvl="0">
      <w:lvlJc w:val="left"/>
      <w:lvlText w:val="(%1)"/>
      <w:numFmt w:val="lowerLetter"/>
      <w:start w:val="3"/>
    </w:lvl>
  </w:abstractNum>
  <w:abstractNum w:abstractNumId="174">
    <w:nsid w:val="271210C7"/>
    <w:multiLevelType w:val="hybridMultilevel"/>
    <w:lvl w:ilvl="0">
      <w:lvlJc w:val="left"/>
      <w:lvlText w:val="(%1)"/>
      <w:numFmt w:val="lowerLetter"/>
      <w:start w:val="1"/>
    </w:lvl>
  </w:abstractNum>
  <w:abstractNum w:abstractNumId="175">
    <w:nsid w:val="217B22E4"/>
    <w:multiLevelType w:val="hybridMultilevel"/>
    <w:lvl w:ilvl="0">
      <w:lvlJc w:val="left"/>
      <w:lvlText w:val="%1."/>
      <w:numFmt w:val="decimal"/>
      <w:start w:val="3"/>
    </w:lvl>
  </w:abstractNum>
  <w:abstractNum w:abstractNumId="176">
    <w:nsid w:val="53E31A24"/>
    <w:multiLevelType w:val="hybridMultilevel"/>
    <w:lvl w:ilvl="0">
      <w:lvlJc w:val="left"/>
      <w:lvlText w:val="%1"/>
      <w:numFmt w:val="lowerLetter"/>
      <w:start w:val="1"/>
    </w:lvl>
    <w:lvl w:ilvl="1">
      <w:lvlJc w:val="left"/>
      <w:lvlText w:val="(%2)"/>
      <w:numFmt w:val="lowerLetter"/>
      <w:start w:val="1"/>
    </w:lvl>
  </w:abstractNum>
  <w:abstractNum w:abstractNumId="177">
    <w:nsid w:val="6DC45E83"/>
    <w:multiLevelType w:val="hybridMultilevel"/>
    <w:lvl w:ilvl="0">
      <w:lvlJc w:val="left"/>
      <w:lvlText w:val="(%1)"/>
      <w:numFmt w:val="lowerLetter"/>
      <w:start w:val="35"/>
    </w:lvl>
    <w:lvl w:ilvl="1">
      <w:lvlJc w:val="left"/>
      <w:lvlText w:val="(%2)"/>
      <w:numFmt w:val="lowerLetter"/>
      <w:start w:val="2"/>
    </w:lvl>
  </w:abstractNum>
  <w:abstractNum w:abstractNumId="178">
    <w:nsid w:val="17304A67"/>
    <w:multiLevelType w:val="hybridMultilevel"/>
    <w:lvl w:ilvl="0">
      <w:lvlJc w:val="left"/>
      <w:lvlText w:val="(%1)"/>
      <w:numFmt w:val="lowerLetter"/>
      <w:start w:val="6"/>
    </w:lvl>
  </w:abstractNum>
  <w:abstractNum w:abstractNumId="179">
    <w:nsid w:val="2BB180D8"/>
    <w:multiLevelType w:val="hybridMultilevel"/>
    <w:lvl w:ilvl="0">
      <w:lvlJc w:val="left"/>
      <w:lvlText w:val="%1."/>
      <w:numFmt w:val="decimal"/>
      <w:start w:val="4"/>
    </w:lvl>
  </w:abstractNum>
  <w:abstractNum w:abstractNumId="180">
    <w:nsid w:val="556B69ED"/>
    <w:multiLevelType w:val="hybridMultilevel"/>
    <w:lvl w:ilvl="0">
      <w:lvlJc w:val="left"/>
      <w:lvlText w:val="%1"/>
      <w:numFmt w:val="decimal"/>
      <w:start w:val="1"/>
    </w:lvl>
    <w:lvl w:ilvl="1">
      <w:lvlJc w:val="left"/>
      <w:lvlText w:val="(%2)"/>
      <w:numFmt w:val="lowerLetter"/>
      <w:start w:val="1"/>
    </w:lvl>
  </w:abstractNum>
  <w:abstractNum w:abstractNumId="181">
    <w:nsid w:val="70836196"/>
    <w:multiLevelType w:val="hybridMultilevel"/>
    <w:lvl w:ilvl="0">
      <w:lvlJc w:val="left"/>
      <w:lvlText w:val="(%1)"/>
      <w:numFmt w:val="decimal"/>
      <w:start w:val="10"/>
    </w:lvl>
    <w:lvl w:ilvl="1">
      <w:lvlJc w:val="left"/>
      <w:lvlText w:val="(%2)"/>
      <w:numFmt w:val="lowerLetter"/>
      <w:start w:val="3"/>
    </w:lvl>
  </w:abstractNum>
  <w:abstractNum w:abstractNumId="182">
    <w:nsid w:val="539F7F12"/>
    <w:multiLevelType w:val="hybridMultilevel"/>
    <w:lvl w:ilvl="0">
      <w:lvlJc w:val="left"/>
      <w:lvlText w:val="(%1)"/>
      <w:numFmt w:val="lowerLetter"/>
      <w:start w:val="4"/>
    </w:lvl>
  </w:abstractNum>
  <w:abstractNum w:abstractNumId="183">
    <w:nsid w:val="2817E7EC"/>
    <w:multiLevelType w:val="hybridMultilevel"/>
    <w:lvl w:ilvl="0">
      <w:lvlJc w:val="left"/>
      <w:lvlText w:val="(%1)"/>
      <w:numFmt w:val="lowerRoman"/>
      <w:start w:val="1"/>
    </w:lvl>
    <w:lvl w:ilvl="1">
      <w:lvlJc w:val="left"/>
      <w:lvlText w:val="%2."/>
      <w:numFmt w:val="decimal"/>
      <w:start w:val="5"/>
    </w:lvl>
  </w:abstractNum>
  <w:abstractNum w:abstractNumId="184">
    <w:nsid w:val="71482545"/>
    <w:multiLevelType w:val="hybridMultilevel"/>
    <w:lvl w:ilvl="0">
      <w:lvlJc w:val="left"/>
      <w:lvlText w:val="(%1)"/>
      <w:numFmt w:val="lowerLetter"/>
      <w:start w:val="1"/>
    </w:lvl>
  </w:abstractNum>
  <w:abstractNum w:abstractNumId="185">
    <w:nsid w:val="17D78639"/>
    <w:multiLevelType w:val="hybridMultilevel"/>
    <w:lvl w:ilvl="0">
      <w:lvlJc w:val="left"/>
      <w:lvlText w:val="(%1)"/>
      <w:numFmt w:val="lowerLetter"/>
      <w:start w:val="10"/>
    </w:lvl>
  </w:abstractNum>
  <w:abstractNum w:abstractNumId="186">
    <w:nsid w:val="141D2302"/>
    <w:multiLevelType w:val="hybridMultilevel"/>
    <w:lvl w:ilvl="0">
      <w:lvlJc w:val="left"/>
      <w:lvlText w:val="(%1)"/>
      <w:numFmt w:val="lowerLetter"/>
      <w:start w:val="1"/>
    </w:lvl>
  </w:abstractNum>
  <w:abstractNum w:abstractNumId="187">
    <w:nsid w:val="407168D8"/>
    <w:multiLevelType w:val="hybridMultilevel"/>
    <w:lvl w:ilvl="0">
      <w:lvlJc w:val="left"/>
      <w:lvlText w:val="%1."/>
      <w:numFmt w:val="decimal"/>
      <w:start w:val="6"/>
    </w:lvl>
  </w:abstractNum>
  <w:abstractNum w:abstractNumId="188">
    <w:nsid w:val="6A1B45E5"/>
    <w:multiLevelType w:val="hybridMultilevel"/>
    <w:lvl w:ilvl="0">
      <w:lvlJc w:val="left"/>
      <w:lvlText w:val="(%1)"/>
      <w:numFmt w:val="lowerRoman"/>
      <w:start w:val="1"/>
    </w:lvl>
  </w:abstractNum>
  <w:abstractNum w:abstractNumId="189">
    <w:nsid w:val="567BD50A"/>
    <w:multiLevelType w:val="hybridMultilevel"/>
    <w:lvl w:ilvl="0">
      <w:lvlJc w:val="left"/>
      <w:lvlText w:val="o"/>
      <w:numFmt w:val="bullet"/>
      <w:start w:val="1"/>
    </w:lvl>
  </w:abstractNum>
  <w:abstractNum w:abstractNumId="190">
    <w:nsid w:val="73BBD7F8"/>
    <w:multiLevelType w:val="hybridMultilevel"/>
    <w:lvl w:ilvl="0">
      <w:lvlJc w:val="left"/>
      <w:lvlText w:val="x"/>
      <w:numFmt w:val="bullet"/>
      <w:start w:val="1"/>
    </w:lvl>
  </w:abstractNum>
  <w:abstractNum w:abstractNumId="191">
    <w:nsid w:val="1876589D"/>
    <w:multiLevelType w:val="hybridMultilevel"/>
    <w:lvl w:ilvl="0">
      <w:lvlJc w:val="left"/>
      <w:lvlText w:val="o"/>
      <w:numFmt w:val="bullet"/>
      <w:start w:val="1"/>
    </w:lvl>
  </w:abstractNum>
  <w:abstractNum w:abstractNumId="192">
    <w:nsid w:val="327FAC77"/>
    <w:multiLevelType w:val="hybridMultilevel"/>
    <w:lvl w:ilvl="0">
      <w:lvlJc w:val="left"/>
      <w:lvlText w:val="%1."/>
      <w:numFmt w:val="decimal"/>
      <w:start w:val="1"/>
    </w:lvl>
  </w:abstractNum>
  <w:abstractNum w:abstractNumId="193">
    <w:nsid w:val="5A606509"/>
    <w:multiLevelType w:val="hybridMultilevel"/>
    <w:lvl w:ilvl="0">
      <w:lvlJc w:val="left"/>
      <w:lvlText w:val="%1."/>
      <w:numFmt w:val="decimal"/>
      <w:start w:val="2"/>
    </w:lvl>
  </w:abstractNum>
  <w:abstractNum w:abstractNumId="194">
    <w:nsid w:val="6F38E6D1"/>
    <w:multiLevelType w:val="hybridMultilevel"/>
    <w:lvl w:ilvl="0">
      <w:lvlJc w:val="left"/>
      <w:lvlText w:val="%1."/>
      <w:numFmt w:val="decimal"/>
      <w:start w:val="3"/>
    </w:lvl>
    <w:lvl w:ilvl="1">
      <w:lvlJc w:val="left"/>
      <w:lvlText w:val="(%2)"/>
      <w:numFmt w:val="lowerLetter"/>
      <w:start w:val="1"/>
    </w:lvl>
  </w:abstractNum>
  <w:abstractNum w:abstractNumId="195">
    <w:nsid w:val="46111BA5"/>
    <w:multiLevelType w:val="hybridMultilevel"/>
    <w:lvl w:ilvl="0">
      <w:lvlJc w:val="left"/>
      <w:lvlText w:val="%1"/>
      <w:numFmt w:val="decimal"/>
      <w:start w:val="1"/>
    </w:lvl>
    <w:lvl w:ilvl="1">
      <w:lvlJc w:val="left"/>
      <w:lvlText w:val="(%2)"/>
      <w:numFmt w:val="lowerLetter"/>
      <w:start w:val="2"/>
    </w:lvl>
  </w:abstractNum>
  <w:abstractNum w:abstractNumId="196">
    <w:nsid w:val="5E963896"/>
    <w:multiLevelType w:val="hybridMultilevel"/>
    <w:lvl w:ilvl="0">
      <w:lvlJc w:val="left"/>
      <w:lvlText w:val="%1."/>
      <w:numFmt w:val="decimal"/>
      <w:start w:val="4"/>
    </w:lvl>
    <w:lvl w:ilvl="1">
      <w:lvlJc w:val="left"/>
      <w:lvlText w:val="(%2)"/>
      <w:numFmt w:val="lowerLetter"/>
      <w:start w:val="1"/>
    </w:lvl>
  </w:abstractNum>
  <w:abstractNum w:abstractNumId="197">
    <w:nsid w:val="775BA7C1"/>
    <w:multiLevelType w:val="hybridMultilevel"/>
    <w:lvl w:ilvl="0">
      <w:lvlJc w:val="left"/>
      <w:lvlText w:val="(%1)"/>
      <w:numFmt w:val="lowerLetter"/>
      <w:start w:val="3"/>
    </w:lvl>
    <w:lvl w:ilvl="1">
      <w:lvlJc w:val="left"/>
      <w:lvlText w:val="(%2)"/>
      <w:numFmt w:val="decimal"/>
      <w:start w:val="1"/>
    </w:lvl>
  </w:abstractNum>
  <w:abstractNum w:abstractNumId="198">
    <w:nsid w:val="1DD6D6F4"/>
    <w:multiLevelType w:val="hybridMultilevel"/>
    <w:lvl w:ilvl="0">
      <w:lvlJc w:val="left"/>
      <w:lvlText w:val="(%1)"/>
      <w:numFmt w:val="lowerLetter"/>
      <w:start w:val="4"/>
    </w:lvl>
    <w:lvl w:ilvl="1">
      <w:lvlJc w:val="left"/>
      <w:lvlText w:val="(%2)"/>
      <w:numFmt w:val="decimal"/>
      <w:start w:val="1"/>
    </w:lvl>
  </w:abstractNum>
  <w:abstractNum w:abstractNumId="199">
    <w:nsid w:val="769A091F"/>
    <w:multiLevelType w:val="hybridMultilevel"/>
    <w:lvl w:ilvl="0">
      <w:lvlJc w:val="left"/>
      <w:lvlText w:val="(%1)"/>
      <w:numFmt w:val="lowerLetter"/>
      <w:start w:val="6"/>
    </w:lvl>
    <w:lvl w:ilvl="1">
      <w:lvlJc w:val="left"/>
      <w:lvlText w:val="(%2)"/>
      <w:numFmt w:val="decimal"/>
      <w:start w:val="1"/>
    </w:lvl>
  </w:abstractNum>
  <w:abstractNum w:abstractNumId="200">
    <w:nsid w:val="4695AE95"/>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01">
    <w:nsid w:val="777A4EAA"/>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02">
    <w:nsid w:val="3F48B982"/>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203">
    <w:nsid w:val="46BA8FCA"/>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204">
    <w:nsid w:val="7835626C"/>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lvl w:ilvl="3">
      <w:lvlJc w:val="left"/>
      <w:lvlText w:val="(%4)"/>
      <w:numFmt w:val="lowerLetter"/>
      <w:start w:val="9"/>
    </w:lvl>
  </w:abstractNum>
  <w:abstractNum w:abstractNumId="205">
    <w:nsid w:val="665ACA49"/>
    <w:multiLevelType w:val="hybridMultilevel"/>
    <w:lvl w:ilvl="0">
      <w:lvlJc w:val="left"/>
      <w:lvlText w:val="%1"/>
      <w:numFmt w:val="lowerRoman"/>
      <w:start w:val="1"/>
    </w:lvl>
    <w:lvl w:ilvl="1">
      <w:lvlJc w:val="left"/>
      <w:lvlText w:val="(%2)"/>
      <w:numFmt w:val="lowerRoman"/>
      <w:start w:val="2"/>
    </w:lvl>
  </w:abstractNum>
  <w:abstractNum w:abstractNumId="206">
    <w:nsid w:val="6835B2AE"/>
    <w:multiLevelType w:val="hybridMultilevel"/>
    <w:lvl w:ilvl="0">
      <w:lvlJc w:val="left"/>
      <w:lvlText w:val="(%1)"/>
      <w:numFmt w:val="lowerRoman"/>
      <w:start w:val="4"/>
    </w:lvl>
    <w:lvl w:ilvl="1">
      <w:lvlJc w:val="left"/>
      <w:lvlText w:val="(%2)"/>
      <w:numFmt w:val="lowerRoman"/>
      <w:start w:val="3"/>
    </w:lvl>
  </w:abstractNum>
  <w:abstractNum w:abstractNumId="207">
    <w:nsid w:val="4C187C90"/>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208">
    <w:nsid w:val="541F28CD"/>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209">
    <w:nsid w:val="7F65FD16"/>
    <w:multiLevelType w:val="hybridMultilevel"/>
    <w:lvl w:ilvl="0">
      <w:lvlJc w:val="left"/>
      <w:lvlText w:val="(%1)"/>
      <w:numFmt w:val="lowerLetter"/>
      <w:start w:val="4"/>
    </w:lvl>
    <w:lvl w:ilvl="1">
      <w:lvlJc w:val="left"/>
      <w:lvlText w:val="(%2)"/>
      <w:numFmt w:val="decimal"/>
      <w:start w:val="1"/>
    </w:lvl>
  </w:abstractNum>
  <w:abstractNum w:abstractNumId="210">
    <w:nsid w:val="77C9FD68"/>
    <w:multiLevelType w:val="hybridMultilevel"/>
    <w:lvl w:ilvl="0">
      <w:lvlJc w:val="left"/>
      <w:lvlText w:val="%1"/>
      <w:numFmt w:val="decimal"/>
      <w:start w:val="1"/>
    </w:lvl>
    <w:lvl w:ilvl="1">
      <w:lvlJc w:val="left"/>
      <w:lvlText w:val="(%2)"/>
      <w:numFmt w:val="lowerLetter"/>
      <w:start w:val="8"/>
    </w:lvl>
  </w:abstractNum>
  <w:abstractNum w:abstractNumId="211">
    <w:nsid w:val="298A92BA"/>
    <w:multiLevelType w:val="hybridMultilevel"/>
    <w:lvl w:ilvl="0">
      <w:lvlJc w:val="left"/>
      <w:lvlText w:val="%1."/>
      <w:numFmt w:val="decimal"/>
      <w:start w:val="11"/>
    </w:lvl>
    <w:lvl w:ilvl="1">
      <w:lvlJc w:val="left"/>
      <w:lvlText w:val="(%2)"/>
      <w:numFmt w:val="lowerLetter"/>
      <w:start w:val="1"/>
    </w:lvl>
  </w:abstractNum>
  <w:abstractNum w:abstractNumId="212">
    <w:nsid w:val="6FE95EAC"/>
    <w:multiLevelType w:val="hybridMultilevel"/>
    <w:lvl w:ilvl="0">
      <w:lvlJc w:val="left"/>
      <w:lvlText w:val="(%1)"/>
      <w:numFmt w:val="lowerLetter"/>
      <w:start w:val="6"/>
    </w:lvl>
  </w:abstractNum>
  <w:abstractNum w:abstractNumId="213">
    <w:nsid w:val="4B697C7A"/>
    <w:multiLevelType w:val="hybridMultilevel"/>
    <w:lvl w:ilvl="0">
      <w:lvlJc w:val="left"/>
      <w:lvlText w:val="(%1)"/>
      <w:numFmt w:val="lowerLetter"/>
      <w:start w:val="7"/>
    </w:lvl>
    <w:lvl w:ilvl="1">
      <w:lvlJc w:val="left"/>
      <w:lvlText w:val="*"/>
      <w:numFmt w:val="bullet"/>
      <w:start w:val="1"/>
    </w:lvl>
  </w:abstractNum>
  <w:abstractNum w:abstractNumId="214">
    <w:nsid w:val="51A27AA6"/>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15">
    <w:nsid w:val="613183F2"/>
    <w:multiLevelType w:val="hybridMultilevel"/>
    <w:lvl w:ilvl="0">
      <w:lvlJc w:val="left"/>
      <w:lvlText w:val="%1."/>
      <w:numFmt w:val="decimal"/>
      <w:start w:val="1"/>
    </w:lvl>
  </w:abstractNum>
  <w:abstractNum w:abstractNumId="216">
    <w:nsid w:val="634102B4"/>
    <w:multiLevelType w:val="hybridMultilevel"/>
    <w:lvl w:ilvl="0">
      <w:lvlJc w:val="left"/>
      <w:lvlText w:val="%1."/>
      <w:numFmt w:val="decimal"/>
      <w:start w:val="2"/>
    </w:lvl>
  </w:abstractNum>
  <w:abstractNum w:abstractNumId="217">
    <w:nsid w:val="65BF9DA8"/>
    <w:multiLevelType w:val="hybridMultilevel"/>
    <w:lvl w:ilvl="0">
      <w:lvlJc w:val="left"/>
      <w:lvlText w:val="["/>
      <w:numFmt w:val="bullet"/>
      <w:start w:val="1"/>
    </w:lvl>
  </w:abstractNum>
  <w:abstractNum w:abstractNumId="218">
    <w:nsid w:val="21A2ECCA"/>
    <w:multiLevelType w:val="hybridMultilevel"/>
    <w:lvl w:ilvl="0">
      <w:lvlJc w:val="left"/>
      <w:lvlText w:val="%1."/>
      <w:numFmt w:val="decimal"/>
      <w:start w:val="3"/>
    </w:lvl>
    <w:lvl w:ilvl="1">
      <w:lvlJc w:val="left"/>
      <w:lvlText w:val="(%2)"/>
      <w:numFmt w:val="lowerLetter"/>
      <w:start w:val="1"/>
    </w:lvl>
  </w:abstractNum>
  <w:abstractNum w:abstractNumId="219">
    <w:nsid w:val="4D5C4899"/>
    <w:multiLevelType w:val="hybridMultilevel"/>
    <w:lvl w:ilvl="0">
      <w:lvlJc w:val="left"/>
      <w:lvlText w:val="(%1)"/>
      <w:numFmt w:val="lowerLetter"/>
      <w:start w:val="3"/>
    </w:lvl>
  </w:abstractNum>
  <w:abstractNum w:abstractNumId="220">
    <w:nsid w:val="3C3B72B2"/>
    <w:multiLevelType w:val="hybridMultilevel"/>
    <w:lvl w:ilvl="0">
      <w:lvlJc w:val="left"/>
      <w:lvlText w:val="%1."/>
      <w:numFmt w:val="decimal"/>
      <w:start w:val="4"/>
    </w:lvl>
    <w:lvl w:ilvl="1">
      <w:lvlJc w:val="left"/>
      <w:lvlText w:val="(%2)"/>
      <w:numFmt w:val="lowerLetter"/>
      <w:start w:val="1"/>
    </w:lvl>
  </w:abstractNum>
  <w:abstractNum w:abstractNumId="221">
    <w:nsid w:val="155EC4C2"/>
    <w:multiLevelType w:val="hybridMultilevel"/>
    <w:lvl w:ilvl="0">
      <w:lvlJc w:val="left"/>
      <w:lvlText w:val="(%1)"/>
      <w:numFmt w:val="decimal"/>
      <w:start w:val="1"/>
    </w:lvl>
  </w:abstractNum>
  <w:abstractNum w:abstractNumId="222">
    <w:nsid w:val="65D2A137"/>
    <w:multiLevelType w:val="hybridMultilevel"/>
    <w:lvl w:ilvl="0">
      <w:lvlJc w:val="left"/>
      <w:lvlText w:val="(%1)"/>
      <w:numFmt w:val="lowerLetter"/>
      <w:start w:val="6"/>
    </w:lvl>
    <w:lvl w:ilvl="1">
      <w:lvlJc w:val="left"/>
      <w:lvlText w:val="(%2)"/>
      <w:numFmt w:val="decimal"/>
      <w:start w:val="1"/>
    </w:lvl>
  </w:abstractNum>
  <w:abstractNum w:abstractNumId="223">
    <w:nsid w:val="6EBB1F2A"/>
    <w:multiLevelType w:val="hybridMultilevel"/>
    <w:lvl w:ilvl="0">
      <w:lvlJc w:val="left"/>
      <w:lvlText w:val="%1."/>
      <w:numFmt w:val="decimal"/>
      <w:start w:val="5"/>
    </w:lvl>
  </w:abstractNum>
  <w:abstractNum w:abstractNumId="224">
    <w:nsid w:val="6FBF29CB"/>
    <w:multiLevelType w:val="hybridMultilevel"/>
    <w:lvl w:ilvl="0">
      <w:lvlJc w:val="left"/>
      <w:lvlText w:val="%1."/>
      <w:numFmt w:val="decimal"/>
      <w:start w:val="6"/>
    </w:lvl>
    <w:lvl w:ilvl="1">
      <w:lvlJc w:val="left"/>
      <w:lvlText w:val="(%2)"/>
      <w:numFmt w:val="lowerLetter"/>
      <w:start w:val="1"/>
    </w:lvl>
  </w:abstractNum>
  <w:abstractNum w:abstractNumId="225">
    <w:nsid w:val="550B8808"/>
    <w:multiLevelType w:val="hybridMultilevel"/>
    <w:lvl w:ilvl="0">
      <w:lvlJc w:val="left"/>
      <w:lvlText w:val="%1."/>
      <w:numFmt w:val="decimal"/>
      <w:start w:val="8"/>
    </w:lvl>
  </w:abstractNum>
  <w:abstractNum w:abstractNumId="226">
    <w:nsid w:val="34CC3ACF"/>
    <w:multiLevelType w:val="hybridMultilevel"/>
    <w:lvl w:ilvl="0">
      <w:lvlJc w:val="left"/>
      <w:lvlText w:val="["/>
      <w:numFmt w:val="bullet"/>
      <w:start w:val="1"/>
    </w:lvl>
  </w:abstractNum>
  <w:abstractNum w:abstractNumId="227">
    <w:nsid w:val="4E556261"/>
    <w:multiLevelType w:val="hybridMultilevel"/>
    <w:lvl w:ilvl="0">
      <w:lvlJc w:val="left"/>
      <w:lvlText w:val="%1."/>
      <w:numFmt w:val="decimal"/>
      <w:start w:val="1"/>
    </w:lvl>
  </w:abstractNum>
  <w:abstractNum w:abstractNumId="228">
    <w:nsid w:val="4C672FC9"/>
    <w:multiLevelType w:val="hybridMultilevel"/>
    <w:lvl w:ilvl="0">
      <w:lvlJc w:val="left"/>
      <w:lvlText w:val="%1."/>
      <w:numFmt w:val="decimal"/>
      <w:start w:val="5"/>
    </w:lvl>
  </w:abstractNum>
  <w:abstractNum w:abstractNumId="229">
    <w:nsid w:val="52A311C3"/>
    <w:multiLevelType w:val="hybridMultilevel"/>
    <w:lvl w:ilvl="0">
      <w:lvlJc w:val="left"/>
      <w:lvlText w:val="%1."/>
      <w:numFmt w:val="decimal"/>
      <w:start w:val="1"/>
    </w:lvl>
  </w:abstractNum>
  <w:abstractNum w:abstractNumId="230">
    <w:nsid w:val="44EF6B80"/>
    <w:multiLevelType w:val="hybridMultilevel"/>
    <w:lvl w:ilvl="0">
      <w:lvlJc w:val="left"/>
      <w:lvlText w:val="%1."/>
      <w:numFmt w:val="decimal"/>
      <w:start w:val="2"/>
    </w:lvl>
  </w:abstractNum>
  <w:abstractNum w:abstractNumId="231">
    <w:nsid w:val="12FCDE5E"/>
    <w:multiLevelType w:val="hybridMultilevel"/>
    <w:lvl w:ilvl="0">
      <w:lvlJc w:val="left"/>
      <w:lvlText w:val="["/>
      <w:numFmt w:val="bullet"/>
      <w:start w:val="1"/>
    </w:lvl>
  </w:abstractNum>
  <w:abstractNum w:abstractNumId="232">
    <w:nsid w:val="4A1D606E"/>
    <w:multiLevelType w:val="hybridMultilevel"/>
    <w:lvl w:ilvl="0">
      <w:lvlJc w:val="left"/>
      <w:lvlText w:val="%1."/>
      <w:numFmt w:val="decimal"/>
      <w:start w:val="3"/>
    </w:lvl>
    <w:lvl w:ilvl="1">
      <w:lvlJc w:val="left"/>
      <w:lvlText w:val="(%2)"/>
      <w:numFmt w:val="lowerLetter"/>
      <w:start w:val="1"/>
    </w:lvl>
  </w:abstractNum>
  <w:abstractNum w:abstractNumId="233">
    <w:nsid w:val="4382503"/>
    <w:multiLevelType w:val="hybridMultilevel"/>
    <w:lvl w:ilvl="0">
      <w:lvlJc w:val="left"/>
      <w:lvlText w:val="%1"/>
      <w:numFmt w:val="lowerLetter"/>
      <w:start w:val="1"/>
    </w:lvl>
    <w:lvl w:ilvl="1">
      <w:lvlJc w:val="left"/>
      <w:lvlText w:val="(%2)"/>
      <w:numFmt w:val="lowerLetter"/>
      <w:start w:val="3"/>
    </w:lvl>
  </w:abstractNum>
  <w:abstractNum w:abstractNumId="234">
    <w:nsid w:val="59B76E28"/>
    <w:multiLevelType w:val="hybridMultilevel"/>
    <w:lvl w:ilvl="0">
      <w:lvlJc w:val="left"/>
      <w:lvlText w:val="(%1)"/>
      <w:numFmt w:val="lowerLetter"/>
      <w:start w:val="35"/>
    </w:lvl>
    <w:lvl w:ilvl="1">
      <w:lvlJc w:val="left"/>
      <w:lvlText w:val="%2"/>
      <w:numFmt w:val="lowerLetter"/>
      <w:start w:val="1"/>
    </w:lvl>
  </w:abstractNum>
  <w:abstractNum w:abstractNumId="235">
    <w:nsid w:val="4252C2DA"/>
    <w:multiLevelType w:val="hybridMultilevel"/>
    <w:lvl w:ilvl="0">
      <w:lvlJc w:val="left"/>
      <w:lvlText w:val="%1."/>
      <w:numFmt w:val="decimal"/>
      <w:start w:val="4"/>
    </w:lvl>
    <w:lvl w:ilvl="1">
      <w:lvlJc w:val="left"/>
      <w:lvlText w:val="(%2)"/>
      <w:numFmt w:val="lowerLetter"/>
      <w:start w:val="1"/>
    </w:lvl>
  </w:abstractNum>
  <w:abstractNum w:abstractNumId="236">
    <w:nsid w:val="6A92EF4C"/>
    <w:multiLevelType w:val="hybridMultilevel"/>
    <w:lvl w:ilvl="0">
      <w:lvlJc w:val="left"/>
      <w:lvlText w:val="(%1)"/>
      <w:numFmt w:val="decimal"/>
      <w:start w:val="1"/>
    </w:lvl>
  </w:abstractNum>
  <w:abstractNum w:abstractNumId="237">
    <w:nsid w:val="41ED20D7"/>
    <w:multiLevelType w:val="hybridMultilevel"/>
    <w:lvl w:ilvl="0">
      <w:lvlJc w:val="left"/>
      <w:lvlText w:val="(%1)"/>
      <w:numFmt w:val="lowerLetter"/>
      <w:start w:val="6"/>
    </w:lvl>
    <w:lvl w:ilvl="1">
      <w:lvlJc w:val="left"/>
      <w:lvlText w:val="(%2)"/>
      <w:numFmt w:val="decimal"/>
      <w:start w:val="1"/>
    </w:lvl>
  </w:abstractNum>
  <w:abstractNum w:abstractNumId="238">
    <w:nsid w:val="E6B3F6A"/>
    <w:multiLevelType w:val="hybridMultilevel"/>
    <w:lvl w:ilvl="0">
      <w:lvlJc w:val="left"/>
      <w:lvlText w:val="%1."/>
      <w:numFmt w:val="decimal"/>
      <w:start w:val="5"/>
    </w:lvl>
  </w:abstractNum>
  <w:abstractNum w:abstractNumId="239">
    <w:nsid w:val="3EB21819"/>
    <w:multiLevelType w:val="hybridMultilevel"/>
    <w:lvl w:ilvl="0">
      <w:lvlJc w:val="left"/>
      <w:lvlText w:val="%1."/>
      <w:numFmt w:val="decimal"/>
      <w:start w:val="6"/>
    </w:lvl>
  </w:abstractNum>
  <w:abstractNum w:abstractNumId="240">
    <w:nsid w:val="41531DED"/>
    <w:multiLevelType w:val="hybridMultilevel"/>
    <w:lvl w:ilvl="0">
      <w:lvlJc w:val="left"/>
      <w:lvlText w:val="%1."/>
      <w:numFmt w:val="decimal"/>
      <w:start w:val="7"/>
    </w:lvl>
    <w:lvl w:ilvl="1">
      <w:lvlJc w:val="left"/>
      <w:lvlText w:val="(%2)"/>
      <w:numFmt w:val="lowerLetter"/>
      <w:start w:val="1"/>
    </w:lvl>
  </w:abstractNum>
  <w:abstractNum w:abstractNumId="241">
    <w:nsid w:val="6353CD2"/>
    <w:multiLevelType w:val="hybridMultilevel"/>
    <w:lvl w:ilvl="0">
      <w:lvlJc w:val="left"/>
      <w:lvlText w:val="%1."/>
      <w:numFmt w:val="decimal"/>
      <w:start w:val="8"/>
    </w:lvl>
  </w:abstractNum>
  <w:abstractNum w:abstractNumId="242">
    <w:nsid w:val="683CAAD3"/>
    <w:multiLevelType w:val="hybridMultilevel"/>
    <w:lvl w:ilvl="0">
      <w:lvlJc w:val="left"/>
      <w:lvlText w:val="(%1)"/>
      <w:numFmt w:val="decimal"/>
      <w:start w:val="1"/>
    </w:lvl>
  </w:abstractNum>
  <w:abstractNum w:abstractNumId="243">
    <w:nsid w:val="313C7C99"/>
    <w:multiLevelType w:val="hybridMultilevel"/>
    <w:lvl w:ilvl="0">
      <w:lvlJc w:val="left"/>
      <w:lvlText w:val="["/>
      <w:numFmt w:val="bullet"/>
      <w:start w:val="1"/>
    </w:lvl>
  </w:abstractNum>
  <w:abstractNum w:abstractNumId="244">
    <w:nsid w:val="519EB94C"/>
    <w:multiLevelType w:val="hybridMultilevel"/>
    <w:lvl w:ilvl="0">
      <w:lvlJc w:val="left"/>
      <w:lvlText w:val="(%1)"/>
      <w:numFmt w:val="decimal"/>
      <w:start w:val="1"/>
    </w:lvl>
  </w:abstractNum>
  <w:abstractNum w:abstractNumId="245">
    <w:nsid w:val="39DF2579"/>
    <w:multiLevelType w:val="hybridMultilevel"/>
    <w:lvl w:ilvl="0">
      <w:lvlJc w:val="left"/>
      <w:lvlText w:val="%1."/>
      <w:numFmt w:val="decimal"/>
      <w:start w:val="1"/>
    </w:lvl>
  </w:abstractNum>
  <w:abstractNum w:abstractNumId="246">
    <w:nsid w:val="126E008B"/>
    <w:multiLevelType w:val="hybridMultilevel"/>
    <w:lvl w:ilvl="0">
      <w:lvlJc w:val="left"/>
      <w:lvlText w:val="%1."/>
      <w:numFmt w:val="decimal"/>
      <w:start w:val="1"/>
    </w:lvl>
  </w:abstractNum>
  <w:abstractNum w:abstractNumId="247">
    <w:nsid w:val="34DFBC00"/>
    <w:multiLevelType w:val="hybridMultilevel"/>
    <w:lvl w:ilvl="0">
      <w:lvlJc w:val="left"/>
      <w:lvlText w:val="%1."/>
      <w:numFmt w:val="decimal"/>
      <w:start w:val="2"/>
    </w:lvl>
    <w:lvl w:ilvl="1">
      <w:lvlJc w:val="left"/>
      <w:lvlText w:val="(%2)"/>
      <w:numFmt w:val="lowerLetter"/>
      <w:start w:val="1"/>
    </w:lvl>
  </w:abstractNum>
  <w:abstractNum w:abstractNumId="248">
    <w:nsid w:val="1F9EC322"/>
    <w:multiLevelType w:val="hybridMultilevel"/>
    <w:lvl w:ilvl="0">
      <w:lvlJc w:val="left"/>
      <w:lvlText w:val="%1."/>
      <w:numFmt w:val="decimal"/>
      <w:start w:val="3"/>
    </w:lvl>
  </w:abstractNum>
  <w:abstractNum w:abstractNumId="249">
    <w:nsid w:val="3410ED56"/>
    <w:multiLevelType w:val="hybridMultilevel"/>
    <w:lvl w:ilvl="0">
      <w:lvlJc w:val="left"/>
      <w:lvlText w:val="(%1)"/>
      <w:numFmt w:val="lowerLetter"/>
      <w:start w:val="2"/>
    </w:lvl>
  </w:abstractNum>
  <w:abstractNum w:abstractNumId="250">
    <w:nsid w:val="23C049A"/>
    <w:multiLevelType w:val="hybridMultilevel"/>
    <w:lvl w:ilvl="0">
      <w:lvlJc w:val="left"/>
      <w:lvlText w:val="%1."/>
      <w:numFmt w:val="decimal"/>
      <w:start w:val="4"/>
    </w:lvl>
    <w:lvl w:ilvl="1">
      <w:lvlJc w:val="left"/>
      <w:lvlText w:val="(%2)"/>
      <w:numFmt w:val="lowerLetter"/>
      <w:start w:val="1"/>
    </w:lvl>
  </w:abstractNum>
  <w:abstractNum w:abstractNumId="251">
    <w:nsid w:val="5BDA35D4"/>
    <w:multiLevelType w:val="hybridMultilevel"/>
    <w:lvl w:ilvl="0">
      <w:lvlJc w:val="left"/>
      <w:lvlText w:val="%1."/>
      <w:numFmt w:val="decimal"/>
      <w:start w:val="5"/>
    </w:lvl>
    <w:lvl w:ilvl="1">
      <w:lvlJc w:val="left"/>
      <w:lvlText w:val="(%2)"/>
      <w:numFmt w:val="lowerLetter"/>
      <w:start w:val="1"/>
    </w:lvl>
  </w:abstractNum>
  <w:abstractNum w:abstractNumId="252">
    <w:nsid w:val="496FB218"/>
    <w:multiLevelType w:val="hybridMultilevel"/>
    <w:lvl w:ilvl="0">
      <w:lvlJc w:val="left"/>
      <w:lvlText w:val="(%1)"/>
      <w:numFmt w:val="lowerLetter"/>
      <w:start w:val="3"/>
    </w:lvl>
    <w:lvl w:ilvl="1">
      <w:lvlJc w:val="left"/>
      <w:lvlText w:val="(%2)"/>
      <w:numFmt w:val="decimal"/>
      <w:start w:val="1"/>
    </w:lvl>
  </w:abstractNum>
  <w:abstractNum w:abstractNumId="253">
    <w:nsid w:val="680EA5D1"/>
    <w:multiLevelType w:val="hybridMultilevel"/>
    <w:lvl w:ilvl="0">
      <w:lvlJc w:val="left"/>
      <w:lvlText w:val="(%1)"/>
      <w:numFmt w:val="lowerLetter"/>
      <w:start w:val="6"/>
    </w:lvl>
    <w:lvl w:ilvl="1">
      <w:lvlJc w:val="left"/>
      <w:lvlText w:val="(%2)"/>
      <w:numFmt w:val="decimal"/>
      <w:start w:val="1"/>
    </w:lvl>
  </w:abstractNum>
  <w:abstractNum w:abstractNumId="254">
    <w:nsid w:val="4A9554FE"/>
    <w:multiLevelType w:val="hybridMultilevel"/>
    <w:lvl w:ilvl="0">
      <w:lvlJc w:val="left"/>
      <w:lvlText w:val="%1"/>
      <w:numFmt w:val="decimal"/>
      <w:start w:val="1"/>
    </w:lvl>
    <w:lvl w:ilvl="1">
      <w:lvlJc w:val="left"/>
      <w:lvlText w:val="(%2)"/>
      <w:numFmt w:val="lowerLetter"/>
      <w:start w:val="8"/>
    </w:lvl>
  </w:abstractNum>
  <w:abstractNum w:abstractNumId="255">
    <w:nsid w:val="392EDBE4"/>
    <w:multiLevelType w:val="hybridMultilevel"/>
    <w:lvl w:ilvl="0">
      <w:lvlJc w:val="left"/>
      <w:lvlText w:val="%1."/>
      <w:numFmt w:val="decimal"/>
      <w:start w:val="7"/>
    </w:lvl>
    <w:lvl w:ilvl="1">
      <w:lvlJc w:val="left"/>
      <w:lvlText w:val="%2"/>
      <w:numFmt w:val="lowerLetter"/>
      <w:start w:val="1"/>
    </w:lvl>
  </w:abstractNum>
  <w:abstractNum w:abstractNumId="256">
    <w:nsid w:val="3D1A2DD9"/>
    <w:multiLevelType w:val="hybridMultilevel"/>
    <w:lvl w:ilvl="0">
      <w:lvlJc w:val="left"/>
      <w:lvlText w:val="%1."/>
      <w:numFmt w:val="decimal"/>
      <w:start w:val="8"/>
    </w:lvl>
  </w:abstractNum>
  <w:abstractNum w:abstractNumId="257">
    <w:nsid w:val="7F618FCD"/>
    <w:multiLevelType w:val="hybridMultilevel"/>
    <w:lvl w:ilvl="0">
      <w:lvlJc w:val="left"/>
      <w:lvlText w:val="%1."/>
      <w:numFmt w:val="decimal"/>
      <w:start w:val="9"/>
    </w:lvl>
  </w:abstractNum>
  <w:abstractNum w:abstractNumId="258">
    <w:nsid w:val="7843E45"/>
    <w:multiLevelType w:val="hybridMultilevel"/>
    <w:lvl w:ilvl="0">
      <w:lvlJc w:val="left"/>
      <w:lvlText w:val="%1."/>
      <w:numFmt w:val="decimal"/>
      <w:start w:val="10"/>
    </w:lvl>
  </w:abstractNum>
  <w:abstractNum w:abstractNumId="259">
    <w:nsid w:val="9815DA3"/>
    <w:multiLevelType w:val="hybridMultilevel"/>
    <w:lvl w:ilvl="0">
      <w:lvlJc w:val="left"/>
      <w:lvlText w:val="%1."/>
      <w:numFmt w:val="decimal"/>
      <w:start w:val="11"/>
    </w:lvl>
  </w:abstractNum>
  <w:abstractNum w:abstractNumId="260">
    <w:nsid w:val="5204A191"/>
    <w:multiLevelType w:val="hybridMultilevel"/>
    <w:lvl w:ilvl="0">
      <w:lvlJc w:val="left"/>
      <w:lvlText w:val="(%1)"/>
      <w:numFmt w:val="lowerLetter"/>
      <w:start w:val="1"/>
    </w:lvl>
  </w:abstractNum>
  <w:abstractNum w:abstractNumId="261">
    <w:nsid w:val="4C73A9C6"/>
    <w:multiLevelType w:val="hybridMultilevel"/>
    <w:lvl w:ilvl="0">
      <w:lvlJc w:val="left"/>
      <w:lvlText w:val="%1."/>
      <w:numFmt w:val="decimal"/>
      <w:start w:val="12"/>
    </w:lvl>
    <w:lvl w:ilvl="1">
      <w:lvlJc w:val="left"/>
      <w:lvlText w:val="(%2)"/>
      <w:numFmt w:val="lowerLetter"/>
      <w:start w:val="1"/>
    </w:lvl>
  </w:abstractNum>
  <w:abstractNum w:abstractNumId="262">
    <w:nsid w:val="1C7E3C01"/>
    <w:multiLevelType w:val="hybridMultilevel"/>
    <w:lvl w:ilvl="0">
      <w:lvlJc w:val="left"/>
      <w:lvlText w:val="%1."/>
      <w:numFmt w:val="decimal"/>
      <w:start w:val="13"/>
    </w:lvl>
    <w:lvl w:ilvl="1">
      <w:lvlJc w:val="left"/>
      <w:lvlText w:val="(%2)"/>
      <w:numFmt w:val="lowerLetter"/>
      <w:start w:val="1"/>
    </w:lvl>
  </w:abstractNum>
  <w:abstractNum w:abstractNumId="263">
    <w:nsid w:val="1C2201FF"/>
    <w:multiLevelType w:val="hybridMultilevel"/>
    <w:lvl w:ilvl="0">
      <w:lvlJc w:val="left"/>
      <w:lvlText w:val="%1"/>
      <w:numFmt w:val="lowerLetter"/>
      <w:start w:val="1"/>
    </w:lvl>
    <w:lvl w:ilvl="1">
      <w:lvlJc w:val="left"/>
      <w:lvlText w:val="(%2)"/>
      <w:numFmt w:val="lowerLetter"/>
      <w:start w:val="5"/>
    </w:lvl>
  </w:abstractNum>
  <w:abstractNum w:abstractNumId="264">
    <w:nsid w:val="50ABCEC9"/>
    <w:multiLevelType w:val="hybridMultilevel"/>
    <w:lvl w:ilvl="0">
      <w:lvlJc w:val="left"/>
      <w:lvlText w:val="(%1)"/>
      <w:numFmt w:val="lowerLetter"/>
      <w:start w:val="22"/>
    </w:lvl>
    <w:lvl w:ilvl="1">
      <w:lvlJc w:val="left"/>
      <w:lvlText w:val="%2"/>
      <w:numFmt w:val="lowerLetter"/>
      <w:start w:val="1"/>
    </w:lvl>
  </w:abstractNum>
  <w:abstractNum w:abstractNumId="265">
    <w:nsid w:val="7635AA2A"/>
    <w:multiLevelType w:val="hybridMultilevel"/>
    <w:lvl w:ilvl="0">
      <w:lvlJc w:val="left"/>
      <w:lvlText w:val="%1."/>
      <w:numFmt w:val="decimal"/>
      <w:start w:val="1"/>
    </w:lvl>
    <w:lvl w:ilvl="1">
      <w:lvlJc w:val="left"/>
      <w:lvlText w:val="(%2)"/>
      <w:numFmt w:val="lowerLetter"/>
      <w:start w:val="1"/>
    </w:lvl>
  </w:abstractNum>
  <w:abstractNum w:abstractNumId="266">
    <w:nsid w:val="5E74C4D9"/>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67">
    <w:nsid w:val="3B3EBE1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7"/>
    </w:lvl>
  </w:abstractNum>
  <w:abstractNum w:abstractNumId="268">
    <w:nsid w:val="3822CB01"/>
    <w:multiLevelType w:val="hybridMultilevel"/>
    <w:lvl w:ilvl="0">
      <w:lvlJc w:val="left"/>
      <w:lvlText w:val="%1"/>
      <w:numFmt w:val="decimal"/>
      <w:start w:val="1"/>
    </w:lvl>
    <w:lvl w:ilvl="1">
      <w:lvlJc w:val="left"/>
      <w:lvlText w:val="(%2)"/>
      <w:numFmt w:val="lowerLetter"/>
      <w:start w:val="9"/>
    </w:lvl>
  </w:abstractNum>
  <w:abstractNum w:abstractNumId="269">
    <w:nsid w:val="6CE00443"/>
    <w:multiLevelType w:val="hybridMultilevel"/>
    <w:lvl w:ilvl="0">
      <w:lvlJc w:val="left"/>
      <w:lvlText w:val="%1."/>
      <w:numFmt w:val="decimal"/>
      <w:start w:val="5"/>
    </w:lvl>
    <w:lvl w:ilvl="1">
      <w:lvlJc w:val="left"/>
      <w:lvlText w:val="%2"/>
      <w:numFmt w:val="lowerLetter"/>
      <w:start w:val="1"/>
    </w:lvl>
  </w:abstractNum>
  <w:abstractNum w:abstractNumId="270">
    <w:nsid w:val="79F0D62F"/>
    <w:multiLevelType w:val="hybridMultilevel"/>
    <w:lvl w:ilvl="0">
      <w:lvlJc w:val="left"/>
      <w:lvlText w:val="%1."/>
      <w:numFmt w:val="decimal"/>
      <w:start w:val="6"/>
    </w:lvl>
    <w:lvl w:ilvl="1">
      <w:lvlJc w:val="left"/>
      <w:lvlText w:val="(%2)"/>
      <w:numFmt w:val="lowerLetter"/>
      <w:start w:val="1"/>
    </w:lvl>
  </w:abstractNum>
  <w:abstractNum w:abstractNumId="271">
    <w:nsid w:val="7975E8EE"/>
    <w:multiLevelType w:val="hybridMultilevel"/>
    <w:lvl w:ilvl="0">
      <w:lvlJc w:val="left"/>
      <w:lvlText w:val="(%1)"/>
      <w:numFmt w:val="lowerLetter"/>
      <w:start w:val="1"/>
    </w:lvl>
  </w:abstractNum>
  <w:abstractNum w:abstractNumId="272">
    <w:nsid w:val="73154115"/>
    <w:multiLevelType w:val="hybridMultilevel"/>
    <w:lvl w:ilvl="0">
      <w:lvlJc w:val="left"/>
      <w:lvlText w:val="(%1)"/>
      <w:numFmt w:val="lowerLetter"/>
      <w:start w:val="6"/>
    </w:lvl>
  </w:abstractNum>
  <w:abstractNum w:abstractNumId="273">
    <w:nsid w:val="622D8102"/>
    <w:multiLevelType w:val="hybridMultilevel"/>
    <w:lvl w:ilvl="0">
      <w:lvlJc w:val="left"/>
      <w:lvlText w:val="(%1)"/>
      <w:numFmt w:val="lowerLetter"/>
      <w:start w:val="1"/>
    </w:lvl>
  </w:abstractNum>
  <w:abstractNum w:abstractNumId="274">
    <w:nsid w:val="2AB26587"/>
    <w:multiLevelType w:val="hybridMultilevel"/>
    <w:lvl w:ilvl="0">
      <w:lvlJc w:val="left"/>
      <w:lvlText w:val="(%1)"/>
      <w:numFmt w:val="lowerLetter"/>
      <w:start w:val="1"/>
    </w:lvl>
  </w:abstractNum>
  <w:abstractNum w:abstractNumId="275">
    <w:nsid w:val="44B3FA61"/>
    <w:multiLevelType w:val="hybridMultilevel"/>
    <w:lvl w:ilvl="0">
      <w:lvlJc w:val="left"/>
      <w:lvlText w:val="(%1)"/>
      <w:numFmt w:val="lowerLetter"/>
      <w:start w:val="1"/>
    </w:lvl>
  </w:abstractNum>
  <w:abstractNum w:abstractNumId="276">
    <w:nsid w:val="1C0CA67C"/>
    <w:multiLevelType w:val="hybridMultilevel"/>
    <w:lvl w:ilvl="0">
      <w:lvlJc w:val="left"/>
      <w:lvlText w:val="(%1)"/>
      <w:numFmt w:val="lowerLetter"/>
      <w:start w:val="3"/>
    </w:lvl>
  </w:abstractNum>
  <w:abstractNum w:abstractNumId="277">
    <w:nsid w:val="3D206613"/>
    <w:multiLevelType w:val="hybridMultilevel"/>
    <w:lvl w:ilvl="0">
      <w:lvlJc w:val="left"/>
      <w:lvlText w:val="(%1)"/>
      <w:numFmt w:val="lowerLetter"/>
      <w:start w:val="1"/>
    </w:lvl>
  </w:abstractNum>
  <w:abstractNum w:abstractNumId="278">
    <w:nsid w:val="7993B662"/>
    <w:multiLevelType w:val="hybridMultilevel"/>
    <w:lvl w:ilvl="0">
      <w:lvlJc w:val="left"/>
      <w:lvlText w:val="(%1)"/>
      <w:numFmt w:val="lowerLetter"/>
      <w:start w:val="2"/>
    </w:lvl>
    <w:lvl w:ilvl="1">
      <w:lvlJc w:val="left"/>
      <w:lvlText w:val="(%2)"/>
      <w:numFmt w:val="lowerRoman"/>
      <w:start w:val="1"/>
    </w:lvl>
  </w:abstractNum>
  <w:abstractNum w:abstractNumId="279">
    <w:nsid w:val="3BAB699E"/>
    <w:multiLevelType w:val="hybridMultilevel"/>
    <w:lvl w:ilvl="0">
      <w:lvlJc w:val="left"/>
      <w:lvlText w:val="(%1)"/>
      <w:numFmt w:val="lowerLetter"/>
      <w:start w:val="1"/>
    </w:lvl>
  </w:abstractNum>
  <w:abstractNum w:abstractNumId="280">
    <w:nsid w:val="71315369"/>
    <w:multiLevelType w:val="hybridMultilevel"/>
    <w:lvl w:ilvl="0">
      <w:lvlJc w:val="left"/>
      <w:lvlText w:val="(%1)"/>
      <w:numFmt w:val="lowerLetter"/>
      <w:start w:val="1"/>
    </w:lvl>
  </w:abstractNum>
  <w:abstractNum w:abstractNumId="281">
    <w:nsid w:val="7BCFBAFC"/>
    <w:multiLevelType w:val="hybridMultilevel"/>
    <w:lvl w:ilvl="0">
      <w:lvlJc w:val="left"/>
      <w:lvlText w:val="(%1)"/>
      <w:numFmt w:val="lowerLetter"/>
      <w:start w:val="1"/>
    </w:lvl>
  </w:abstractNum>
  <w:abstractNum w:abstractNumId="282">
    <w:nsid w:val="17859F72"/>
    <w:multiLevelType w:val="hybridMultilevel"/>
    <w:lvl w:ilvl="0">
      <w:lvlJc w:val="left"/>
      <w:lvlText w:val="(%1)"/>
      <w:numFmt w:val="lowerLetter"/>
      <w:start w:val="3"/>
    </w:lvl>
  </w:abstractNum>
  <w:abstractNum w:abstractNumId="283">
    <w:nsid w:val="3AA10581"/>
    <w:multiLevelType w:val="hybridMultilevel"/>
    <w:lvl w:ilvl="0">
      <w:lvlJc w:val="left"/>
      <w:lvlText w:val="(%1)"/>
      <w:numFmt w:val="lowerLetter"/>
      <w:start w:val="1"/>
    </w:lvl>
  </w:abstractNum>
  <w:abstractNum w:abstractNumId="284">
    <w:nsid w:val="63DE60CD"/>
    <w:multiLevelType w:val="hybridMultilevel"/>
    <w:lvl w:ilvl="0">
      <w:lvlJc w:val="left"/>
      <w:lvlText w:val="(%1)"/>
      <w:numFmt w:val="lowerLetter"/>
      <w:start w:val="5"/>
    </w:lvl>
  </w:abstractNum>
  <w:abstractNum w:abstractNumId="285">
    <w:nsid w:val="621AF471"/>
    <w:multiLevelType w:val="hybridMultilevel"/>
    <w:lvl w:ilvl="0">
      <w:lvlJc w:val="left"/>
      <w:lvlText w:val="(%1)"/>
      <w:numFmt w:val="lowerLetter"/>
      <w:start w:val="1"/>
    </w:lvl>
  </w:abstractNum>
  <w:abstractNum w:abstractNumId="286">
    <w:nsid w:val="73CFE165"/>
    <w:multiLevelType w:val="hybridMultilevel"/>
    <w:lvl w:ilvl="0">
      <w:lvlJc w:val="left"/>
      <w:lvlText w:val="(%1)"/>
      <w:numFmt w:val="lowerLetter"/>
      <w:start w:val="1"/>
    </w:lvl>
  </w:abstractNum>
  <w:abstractNum w:abstractNumId="287">
    <w:nsid w:val="20F88EA6"/>
    <w:multiLevelType w:val="hybridMultilevel"/>
    <w:lvl w:ilvl="0">
      <w:lvlJc w:val="left"/>
      <w:lvlText w:val="(%1)"/>
      <w:numFmt w:val="lowerLetter"/>
      <w:start w:val="1"/>
    </w:lvl>
  </w:abstractNum>
  <w:abstractNum w:abstractNumId="288">
    <w:nsid w:val="617C843E"/>
    <w:multiLevelType w:val="hybridMultilevel"/>
    <w:lvl w:ilvl="0">
      <w:lvlJc w:val="left"/>
      <w:lvlText w:val="(%1)"/>
      <w:numFmt w:val="lowerLetter"/>
      <w:start w:val="5"/>
    </w:lvl>
  </w:abstractNum>
  <w:abstractNum w:abstractNumId="289">
    <w:nsid w:val="7B541FAB"/>
    <w:multiLevelType w:val="hybridMultilevel"/>
    <w:lvl w:ilvl="0">
      <w:lvlJc w:val="left"/>
      <w:lvlText w:val="(%1)"/>
      <w:numFmt w:val="lowerLetter"/>
      <w:start w:val="1"/>
    </w:lvl>
  </w:abstractNum>
  <w:abstractNum w:abstractNumId="290">
    <w:nsid w:val="2A79EC49"/>
    <w:multiLevelType w:val="hybridMultilevel"/>
    <w:lvl w:ilvl="0">
      <w:lvlJc w:val="left"/>
      <w:lvlText w:val="(%1)"/>
      <w:numFmt w:val="lowerLetter"/>
      <w:start w:val="2"/>
    </w:lvl>
    <w:lvl w:ilvl="1">
      <w:lvlJc w:val="left"/>
      <w:lvlText w:val="(%2)"/>
      <w:numFmt w:val="lowerRoman"/>
      <w:start w:val="1"/>
    </w:lvl>
  </w:abstractNum>
  <w:abstractNum w:abstractNumId="291">
    <w:nsid w:val="338125CF"/>
    <w:multiLevelType w:val="hybridMultilevel"/>
    <w:lvl w:ilvl="0">
      <w:lvlJc w:val="left"/>
      <w:lvlText w:val="(%1)"/>
      <w:numFmt w:val="lowerLetter"/>
      <w:start w:val="3"/>
    </w:lvl>
  </w:abstractNum>
  <w:abstractNum w:abstractNumId="292">
    <w:nsid w:val="47C7C971"/>
    <w:multiLevelType w:val="hybridMultilevel"/>
    <w:lvl w:ilvl="0">
      <w:lvlJc w:val="left"/>
      <w:lvlText w:val="(%1)"/>
      <w:numFmt w:val="lowerLetter"/>
      <w:start w:val="4"/>
    </w:lvl>
  </w:abstractNum>
  <w:abstractNum w:abstractNumId="293">
    <w:nsid w:val="46F8284B"/>
    <w:multiLevelType w:val="hybridMultilevel"/>
    <w:lvl w:ilvl="0">
      <w:lvlJc w:val="left"/>
      <w:lvlText w:val="(%1)"/>
      <w:numFmt w:val="lowerLetter"/>
      <w:start w:val="1"/>
    </w:lvl>
  </w:abstractNum>
  <w:abstractNum w:abstractNumId="294">
    <w:nsid w:val="4FA327CE"/>
    <w:multiLevelType w:val="hybridMultilevel"/>
    <w:lvl w:ilvl="0">
      <w:lvlJc w:val="left"/>
      <w:lvlText w:val="(%1)"/>
      <w:numFmt w:val="lowerLetter"/>
      <w:start w:val="1"/>
    </w:lvl>
  </w:abstractNum>
  <w:abstractNum w:abstractNumId="295">
    <w:nsid w:val="1873983A"/>
    <w:multiLevelType w:val="hybridMultilevel"/>
    <w:lvl w:ilvl="0">
      <w:lvlJc w:val="left"/>
      <w:lvlText w:val="(%1)"/>
      <w:numFmt w:val="lowerLetter"/>
      <w:start w:val="1"/>
    </w:lvl>
  </w:abstractNum>
  <w:abstractNum w:abstractNumId="296">
    <w:nsid w:val="3D2DD275"/>
    <w:multiLevelType w:val="hybridMultilevel"/>
    <w:lvl w:ilvl="0">
      <w:lvlJc w:val="left"/>
      <w:lvlText w:val="(%1)"/>
      <w:numFmt w:val="lowerLetter"/>
      <w:start w:val="3"/>
    </w:lvl>
  </w:abstractNum>
  <w:abstractNum w:abstractNumId="297">
    <w:nsid w:val="2E17ECA7"/>
    <w:multiLevelType w:val="hybridMultilevel"/>
    <w:lvl w:ilvl="0">
      <w:lvlJc w:val="left"/>
      <w:lvlText w:val="(%1)"/>
      <w:numFmt w:val="lowerLetter"/>
      <w:start w:val="1"/>
    </w:lvl>
  </w:abstractNum>
  <w:abstractNum w:abstractNumId="298">
    <w:nsid w:val="53B2564F"/>
    <w:multiLevelType w:val="hybridMultilevel"/>
    <w:lvl w:ilvl="0">
      <w:lvlJc w:val="left"/>
      <w:lvlText w:val="[**]"/>
      <w:numFmt w:val="bullet"/>
      <w:start w:val="1"/>
    </w:lvl>
    <w:lvl w:ilvl="1">
      <w:lvlJc w:val="left"/>
      <w:lvlText w:val="(%2)"/>
      <w:numFmt w:val="lowerLetter"/>
      <w:start w:val="2"/>
    </w:lvl>
  </w:abstractNum>
  <w:abstractNum w:abstractNumId="299">
    <w:nsid w:val="75509D76"/>
    <w:multiLevelType w:val="hybridMultilevel"/>
    <w:lvl w:ilvl="0">
      <w:lvlJc w:val="left"/>
      <w:lvlText w:val="[**]"/>
      <w:numFmt w:val="bullet"/>
      <w:start w:val="1"/>
    </w:lvl>
    <w:lvl w:ilvl="1">
      <w:lvlJc w:val="left"/>
      <w:lvlText w:val="(%2)"/>
      <w:numFmt w:val="lowerLetter"/>
      <w:start w:val="3"/>
    </w:lvl>
  </w:abstractNum>
  <w:abstractNum w:abstractNumId="300">
    <w:nsid w:val="1AF7F0EA"/>
    <w:multiLevelType w:val="hybridMultilevel"/>
    <w:lvl w:ilvl="0">
      <w:lvlJc w:val="left"/>
      <w:lvlText w:val="(%1)"/>
      <w:numFmt w:val="lowerLetter"/>
      <w:start w:val="6"/>
    </w:lvl>
  </w:abstractNum>
  <w:abstractNum w:abstractNumId="301">
    <w:nsid w:val="4DA32C7E"/>
    <w:multiLevelType w:val="hybridMultilevel"/>
    <w:lvl w:ilvl="0">
      <w:lvlJc w:val="left"/>
      <w:lvlText w:val="·"/>
      <w:numFmt w:val="bullet"/>
      <w:start w:val="1"/>
    </w:lvl>
  </w:abstractNum>
  <w:abstractNum w:abstractNumId="302">
    <w:nsid w:val="6EC68664"/>
    <w:multiLevelType w:val="hybridMultilevel"/>
    <w:lvl w:ilvl="0">
      <w:lvlJc w:val="left"/>
      <w:lvlText w:val="·"/>
      <w:numFmt w:val="bullet"/>
      <w:start w:val="1"/>
    </w:lvl>
  </w:abstractNum>
  <w:abstractNum w:abstractNumId="303">
    <w:nsid w:val="E0D31FF"/>
    <w:multiLevelType w:val="hybridMultilevel"/>
    <w:lvl w:ilvl="0">
      <w:lvlJc w:val="left"/>
      <w:lvlText w:val="(%1)"/>
      <w:numFmt w:val="lowerLetter"/>
      <w:start w:val="1"/>
    </w:lvl>
  </w:abstractNum>
  <w:abstractNum w:abstractNumId="304">
    <w:nsid w:val="2FD0AD81"/>
    <w:multiLevelType w:val="hybridMultilevel"/>
    <w:lvl w:ilvl="0">
      <w:lvlJc w:val="left"/>
      <w:lvlText w:val="(%1)"/>
      <w:numFmt w:val="lowerLetter"/>
      <w:start w:val="2"/>
    </w:lvl>
  </w:abstractNum>
  <w:abstractNum w:abstractNumId="305">
    <w:nsid w:val="1978EBEB"/>
    <w:multiLevelType w:val="hybridMultilevel"/>
    <w:lvl w:ilvl="0">
      <w:lvlJc w:val="left"/>
      <w:lvlText w:val="(%1)"/>
      <w:numFmt w:val="lowerLetter"/>
      <w:start w:val="9"/>
    </w:lvl>
  </w:abstractNum>
  <w:abstractNum w:abstractNumId="306">
    <w:nsid w:val="52C12C61"/>
    <w:multiLevelType w:val="hybridMultilevel"/>
    <w:lvl w:ilvl="0">
      <w:lvlJc w:val="left"/>
      <w:lvlText w:val="(%1)"/>
      <w:numFmt w:val="lowerLetter"/>
      <w:start w:val="4"/>
    </w:lvl>
  </w:abstractNum>
  <w:abstractNum w:abstractNumId="307">
    <w:nsid w:val="4BDD53FD"/>
    <w:multiLevelType w:val="hybridMultilevel"/>
    <w:lvl w:ilvl="0">
      <w:lvlJc w:val="left"/>
      <w:lvlText w:val="(%1)"/>
      <w:numFmt w:val="lowerLetter"/>
      <w:start w:val="5"/>
    </w:lvl>
  </w:abstractNum>
  <w:abstractNum w:abstractNumId="308">
    <w:nsid w:val="569951FE"/>
    <w:multiLevelType w:val="hybridMultilevel"/>
    <w:lvl w:ilvl="0">
      <w:lvlJc w:val="left"/>
      <w:lvlText w:val="(%1)"/>
      <w:numFmt w:val="decimal"/>
      <w:start w:val="6"/>
    </w:lvl>
  </w:abstractNum>
  <w:abstractNum w:abstractNumId="309">
    <w:nsid w:val="4C54E2C3"/>
    <w:multiLevelType w:val="hybridMultilevel"/>
    <w:lvl w:ilvl="0">
      <w:lvlJc w:val="left"/>
      <w:lvlText w:val="·"/>
      <w:numFmt w:val="bullet"/>
      <w:start w:val="1"/>
    </w:lvl>
  </w:abstractNum>
  <w:abstractNum w:abstractNumId="310">
    <w:nsid w:val="788BD9B"/>
    <w:multiLevelType w:val="hybridMultilevel"/>
    <w:lvl w:ilvl="0">
      <w:lvlJc w:val="left"/>
      <w:lvlText w:val="(%1)"/>
      <w:numFmt w:val="lowerRoman"/>
      <w:start w:val="1"/>
    </w:lvl>
  </w:abstractNum>
  <w:abstractNum w:abstractNumId="311">
    <w:nsid w:val="47CAA567"/>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jpeg"/><Relationship Id="rId545" Type="http://schemas.openxmlformats.org/officeDocument/2006/relationships/image" Target="media/image538.png"/><Relationship Id="rId546" Type="http://schemas.openxmlformats.org/officeDocument/2006/relationships/image" Target="media/image539.jpe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2019-12-20T00:54:21Z</dcterms:created>
  <dcterms:modified xsi:type="dcterms:W3CDTF">2019-12-20T00:54:21Z</dcterms:modified>
</cp:coreProperties>
</file>