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FULCRUM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26 Landsdowne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Cambridge, MA 02139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24, 2024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Fulcrum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 for 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February 27, 2024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333-277419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Fulcrum Therapeutics, Inc. hereby requests that the effective date and time of the above-referenced registration statement be accelerated to April 25, 2024, at 4:30 p.m., Eastern Time, or as soon thereafter as practicable.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 regarding this request, please contact Marianne Sarrazin of Goodwin Procter LLP at (415) 733-6134.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Fulcrum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Alan Musso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Alan Musso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4" w:right="7560" w:hanging="4"/>
        <w:spacing w:after="0" w:line="261" w:lineRule="auto"/>
        <w:tabs>
          <w:tab w:leader="none" w:pos="25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Alan Musso,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Fulcrum Therapeutics, Inc.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Curt Oltmans,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Fulcrum Therapeutics, Inc.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Mitchell Bloom,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Goodwin Procter LLP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Marianne Sarrazin,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Goodwin Procter LLP</w:t>
      </w:r>
    </w:p>
    <w:sectPr>
      <w:pgSz w:w="11900" w:h="16838" w:orient="portrait"/>
      <w:cols w:equalWidth="0" w:num="1">
        <w:col w:w="10744"/>
      </w:cols>
      <w:pgMar w:left="436" w:top="225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2024-05-23T23:09:20Z</dcterms:created>
  <dcterms:modified xsi:type="dcterms:W3CDTF">2024-05-23T23:09:20Z</dcterms:modified>
</cp:coreProperties>
</file>