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Ezekowitz Alan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84"/>
              <w:spacing w:after="0"/>
              <w:rPr>
                <w:sz w:val="20"/>
                <w:szCs w:val="20"/>
                <w:color w:val="auto"/>
              </w:rPr>
            </w:pPr>
            <w:r>
              <w:rPr>
                <w:rFonts w:ascii="Arial" w:cs="Arial" w:eastAsia="Arial" w:hAnsi="Arial"/>
                <w:sz w:val="18"/>
                <w:szCs w:val="18"/>
                <w:color w:val="0000FF"/>
              </w:rPr>
              <w:t>28,927</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01/21/2029</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2"/>
              </w:rPr>
              <w:t>1,786</w:t>
            </w:r>
            <w:r>
              <w:rPr>
                <w:rFonts w:ascii="Arial" w:cs="Arial" w:eastAsia="Arial" w:hAnsi="Arial"/>
                <w:sz w:val="22"/>
                <w:szCs w:val="22"/>
                <w:color w:val="008000"/>
                <w:w w:val="92"/>
                <w:vertAlign w:val="superscript"/>
              </w:rPr>
              <w:t>(1)</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7.84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recevied an option to purchase a total of 3,571 shares on January 22, 2019. The shares underlying the option are scheduled to vest in equal quarterly installments from December 15, 2018 through December 14,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Index: 24.1 Power of Attorney</w:t>
      </w:r>
    </w:p>
    <w:p>
      <w:pPr>
        <w:ind w:left="6860"/>
        <w:spacing w:after="0" w:line="184"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4"/>
          <w:szCs w:val="34"/>
          <w:color w:val="0000FF"/>
          <w:vertAlign w:val="subscript"/>
        </w:rPr>
        <w:t>07/17/2019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Alan Ezekowitz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91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Gould, Bryan Stuart and Peter Thomson, signing singly and each acting individually, as the undersigned’s true and lawful attorney-in-fact with full power and authority as hereinafter described to:</w:t>
      </w:r>
    </w:p>
    <w:p>
      <w:pPr>
        <w:spacing w:after="0" w:line="181" w:lineRule="exact"/>
        <w:rPr>
          <w:sz w:val="20"/>
          <w:szCs w:val="20"/>
          <w:color w:val="auto"/>
        </w:rPr>
      </w:pPr>
    </w:p>
    <w:p>
      <w:pPr>
        <w:ind w:right="260" w:firstLine="656"/>
        <w:spacing w:after="0" w:line="264"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 Fulcrum Therapeutics, Inc. (the “Company”), Forms 3, 4, and 5 (including any amendments thereto) in accordance with Section 16(a) of the Securities Exchange Act of 1934, as amended, and the rules thereunder (the “Exchange Act”);</w:t>
      </w:r>
    </w:p>
    <w:p>
      <w:pPr>
        <w:spacing w:after="0" w:line="181" w:lineRule="exact"/>
        <w:rPr>
          <w:rFonts w:ascii="Arial" w:cs="Arial" w:eastAsia="Arial" w:hAnsi="Arial"/>
          <w:sz w:val="18"/>
          <w:szCs w:val="18"/>
          <w:color w:val="auto"/>
        </w:rPr>
      </w:pPr>
    </w:p>
    <w:p>
      <w:pPr>
        <w:jc w:val="both"/>
        <w:ind w:right="60" w:firstLine="656"/>
        <w:spacing w:after="0" w:line="257"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Arial" w:cs="Arial" w:eastAsia="Arial" w:hAnsi="Arial"/>
          <w:sz w:val="18"/>
          <w:szCs w:val="18"/>
          <w:color w:val="auto"/>
        </w:rPr>
      </w:pPr>
    </w:p>
    <w:p>
      <w:pPr>
        <w:ind w:right="160" w:firstLine="656"/>
        <w:spacing w:after="0" w:line="286" w:lineRule="auto"/>
        <w:tabs>
          <w:tab w:leader="none" w:pos="1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65" w:lineRule="exact"/>
        <w:rPr>
          <w:rFonts w:ascii="Arial" w:cs="Arial" w:eastAsia="Arial" w:hAnsi="Arial"/>
          <w:sz w:val="17"/>
          <w:szCs w:val="17"/>
          <w:color w:val="auto"/>
        </w:rPr>
      </w:pPr>
    </w:p>
    <w:p>
      <w:pPr>
        <w:ind w:right="20" w:firstLine="656"/>
        <w:spacing w:after="0" w:line="259"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2019.</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Alan Ezekowitz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Alan 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780209" TargetMode="External"/><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2019-12-23T20:35:19Z</dcterms:created>
  <dcterms:modified xsi:type="dcterms:W3CDTF">2019-12-23T20:35:19Z</dcterms:modified>
</cp:coreProperties>
</file>