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March 3, 2022</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333-260754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POST-EFFECTIVE AMENDMENT NO. 2</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S-3</w:t>
      </w:r>
    </w:p>
    <w:p>
      <w:pPr>
        <w:jc w:val="center"/>
        <w:ind w:right="-119"/>
        <w:spacing w:after="0" w:line="231" w:lineRule="auto"/>
        <w:rPr>
          <w:sz w:val="20"/>
          <w:szCs w:val="20"/>
          <w:color w:val="auto"/>
        </w:rPr>
      </w:pPr>
      <w:r>
        <w:rPr>
          <w:rFonts w:ascii="Arial" w:cs="Arial" w:eastAsia="Arial" w:hAnsi="Arial"/>
          <w:sz w:val="22"/>
          <w:szCs w:val="2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FULCRUM THERAPEUTICS, INC.</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5"/>
              <w:spacing w:after="0"/>
              <w:rPr>
                <w:sz w:val="20"/>
                <w:szCs w:val="20"/>
                <w:color w:val="auto"/>
              </w:rPr>
            </w:pPr>
            <w:r>
              <w:rPr>
                <w:rFonts w:ascii="Arial" w:cs="Arial" w:eastAsia="Arial" w:hAnsi="Arial"/>
                <w:sz w:val="16"/>
                <w:szCs w:val="16"/>
                <w:b w:val="1"/>
                <w:bCs w:val="1"/>
                <w:color w:val="auto"/>
                <w:w w:val="93"/>
              </w:rPr>
              <w:t>47-4839948</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26 Landsdowne Street</w:t>
      </w:r>
    </w:p>
    <w:p>
      <w:pPr>
        <w:jc w:val="center"/>
        <w:ind w:right="-119"/>
        <w:spacing w:after="0" w:line="226"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5" w:lineRule="auto"/>
        <w:rPr>
          <w:sz w:val="20"/>
          <w:szCs w:val="20"/>
          <w:color w:val="auto"/>
        </w:rPr>
      </w:pPr>
      <w:r>
        <w:rPr>
          <w:rFonts w:ascii="Arial" w:cs="Arial" w:eastAsia="Arial" w:hAnsi="Arial"/>
          <w:sz w:val="14"/>
          <w:szCs w:val="14"/>
          <w:b w:val="1"/>
          <w:bCs w:val="1"/>
          <w:color w:val="auto"/>
        </w:rPr>
        <w:t>(617) 651-8851</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Bryan E. Stuart</w:t>
      </w:r>
    </w:p>
    <w:p>
      <w:pPr>
        <w:jc w:val="center"/>
        <w:ind w:right="-119"/>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Fulcrum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26 Landsdowne Street</w:t>
      </w:r>
    </w:p>
    <w:p>
      <w:pPr>
        <w:jc w:val="center"/>
        <w:ind w:right="-119"/>
        <w:spacing w:after="0" w:line="221" w:lineRule="auto"/>
        <w:rPr>
          <w:sz w:val="20"/>
          <w:szCs w:val="20"/>
          <w:color w:val="auto"/>
        </w:rPr>
      </w:pPr>
      <w:r>
        <w:rPr>
          <w:rFonts w:ascii="Arial" w:cs="Arial" w:eastAsia="Arial" w:hAnsi="Arial"/>
          <w:sz w:val="14"/>
          <w:szCs w:val="14"/>
          <w:b w:val="1"/>
          <w:bCs w:val="1"/>
          <w:color w:val="auto"/>
        </w:rPr>
        <w:t>Cambridge, Massachusetts 02139</w:t>
      </w:r>
    </w:p>
    <w:p>
      <w:pPr>
        <w:jc w:val="center"/>
        <w:ind w:right="-119"/>
        <w:spacing w:after="0" w:line="225" w:lineRule="auto"/>
        <w:rPr>
          <w:sz w:val="20"/>
          <w:szCs w:val="20"/>
          <w:color w:val="auto"/>
        </w:rPr>
      </w:pPr>
      <w:r>
        <w:rPr>
          <w:rFonts w:ascii="Arial" w:cs="Arial" w:eastAsia="Arial" w:hAnsi="Arial"/>
          <w:sz w:val="14"/>
          <w:szCs w:val="14"/>
          <w:b w:val="1"/>
          <w:bCs w:val="1"/>
          <w:color w:val="auto"/>
        </w:rPr>
        <w:t>(617) 651-8851</w:t>
      </w: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4"/>
          <w:szCs w:val="24"/>
          <w:color w:val="auto"/>
        </w:rPr>
      </w:pPr>
    </w:p>
    <w:tbl>
      <w:tblPr>
        <w:tblLayout w:type="fixed"/>
        <w:tblInd w:w="200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492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560" w:type="dxa"/>
            <w:vAlign w:val="bottom"/>
          </w:tcPr>
          <w:p>
            <w:pPr>
              <w:jc w:val="center"/>
              <w:ind w:right="688"/>
              <w:spacing w:after="0"/>
              <w:rPr>
                <w:sz w:val="20"/>
                <w:szCs w:val="20"/>
                <w:color w:val="auto"/>
              </w:rPr>
            </w:pPr>
            <w:r>
              <w:rPr>
                <w:rFonts w:ascii="Arial" w:cs="Arial" w:eastAsia="Arial" w:hAnsi="Arial"/>
                <w:sz w:val="14"/>
                <w:szCs w:val="14"/>
                <w:b w:val="1"/>
                <w:bCs w:val="1"/>
                <w:color w:val="auto"/>
                <w:w w:val="93"/>
              </w:rPr>
              <w:t>Mitchell Bloom, Esq.</w:t>
            </w:r>
          </w:p>
        </w:tc>
        <w:tc>
          <w:tcPr>
            <w:tcW w:w="4920" w:type="dxa"/>
            <w:vAlign w:val="bottom"/>
          </w:tcPr>
          <w:p>
            <w:pPr>
              <w:jc w:val="center"/>
              <w:ind w:left="2808"/>
              <w:spacing w:after="0"/>
              <w:rPr>
                <w:sz w:val="20"/>
                <w:szCs w:val="20"/>
                <w:color w:val="auto"/>
              </w:rPr>
            </w:pPr>
            <w:r>
              <w:rPr>
                <w:rFonts w:ascii="Arial" w:cs="Arial" w:eastAsia="Arial" w:hAnsi="Arial"/>
                <w:sz w:val="14"/>
                <w:szCs w:val="14"/>
                <w:b w:val="1"/>
                <w:bCs w:val="1"/>
                <w:color w:val="auto"/>
                <w:w w:val="92"/>
              </w:rPr>
              <w:t>Curtis Oltmans, Esq.</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6"/>
              </w:rPr>
              <w:t>Marianne Sarrazin, Esq.</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3"/>
              </w:rPr>
              <w:t>General Counsel</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Goodwin Procter LLP</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4"/>
              </w:rPr>
              <w:t>Fulcrum Therapeutics, Inc.</w:t>
            </w:r>
          </w:p>
        </w:tc>
      </w:tr>
      <w:tr>
        <w:trPr>
          <w:trHeight w:val="149"/>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1"/>
              </w:rPr>
              <w:t>26 Landsdowne Street</w:t>
            </w:r>
          </w:p>
        </w:tc>
      </w:tr>
      <w:tr>
        <w:trPr>
          <w:trHeight w:val="148"/>
        </w:trPr>
        <w:tc>
          <w:tcPr>
            <w:tcW w:w="25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4920" w:type="dxa"/>
            <w:vAlign w:val="bottom"/>
          </w:tcPr>
          <w:p>
            <w:pPr>
              <w:jc w:val="center"/>
              <w:ind w:left="2808"/>
              <w:spacing w:after="0" w:line="149" w:lineRule="exact"/>
              <w:rPr>
                <w:sz w:val="20"/>
                <w:szCs w:val="20"/>
                <w:color w:val="auto"/>
              </w:rPr>
            </w:pPr>
            <w:r>
              <w:rPr>
                <w:rFonts w:ascii="Arial" w:cs="Arial" w:eastAsia="Arial" w:hAnsi="Arial"/>
                <w:sz w:val="14"/>
                <w:szCs w:val="14"/>
                <w:b w:val="1"/>
                <w:bCs w:val="1"/>
                <w:color w:val="auto"/>
                <w:w w:val="91"/>
              </w:rPr>
              <w:t>Cambridge, Massachusetts 02139</w:t>
            </w:r>
          </w:p>
        </w:tc>
      </w:tr>
      <w:tr>
        <w:trPr>
          <w:trHeight w:val="186"/>
        </w:trPr>
        <w:tc>
          <w:tcPr>
            <w:tcW w:w="25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(617) 570-1000</w:t>
            </w:r>
          </w:p>
        </w:tc>
        <w:tc>
          <w:tcPr>
            <w:tcW w:w="4920" w:type="dxa"/>
            <w:vAlign w:val="bottom"/>
          </w:tcPr>
          <w:p>
            <w:pPr>
              <w:jc w:val="center"/>
              <w:ind w:left="2788"/>
              <w:spacing w:after="0"/>
              <w:rPr>
                <w:sz w:val="20"/>
                <w:szCs w:val="20"/>
                <w:color w:val="auto"/>
              </w:rPr>
            </w:pPr>
            <w:r>
              <w:rPr>
                <w:rFonts w:ascii="Arial" w:cs="Arial" w:eastAsia="Arial" w:hAnsi="Arial"/>
                <w:sz w:val="14"/>
                <w:szCs w:val="14"/>
                <w:b w:val="1"/>
                <w:bCs w:val="1"/>
                <w:color w:val="auto"/>
                <w:w w:val="93"/>
              </w:rPr>
              <w:t>(617) 651-8851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this registration statement becomes effective.</w:t>
      </w:r>
    </w:p>
    <w:p>
      <w:pPr>
        <w:spacing w:after="0" w:line="3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right="30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3380105</wp:posOffset>
            </wp:positionH>
            <wp:positionV relativeFrom="paragraph">
              <wp:posOffset>-27305</wp:posOffset>
            </wp:positionV>
            <wp:extent cx="4565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ind w:left="120" w:right="360"/>
        <w:spacing w:after="0" w:line="17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11"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940"/>
        <w:spacing w:after="0"/>
        <w:rPr>
          <w:sz w:val="20"/>
          <w:szCs w:val="20"/>
          <w:color w:val="auto"/>
        </w:rPr>
      </w:pPr>
      <w:r>
        <w:rPr>
          <w:rFonts w:ascii="Arial" w:cs="Arial" w:eastAsia="Arial" w:hAnsi="Arial"/>
          <w:sz w:val="14"/>
          <w:szCs w:val="14"/>
          <w:color w:val="auto"/>
        </w:rPr>
        <w:t>Emerging growth company</w:t>
      </w:r>
    </w:p>
    <w:p>
      <w:pPr>
        <w:spacing w:after="0" w:line="4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96" w:lineRule="exact"/>
        <w:rPr>
          <w:sz w:val="24"/>
          <w:szCs w:val="24"/>
          <w:color w:val="auto"/>
        </w:rPr>
      </w:pPr>
    </w:p>
    <w:p>
      <w:pPr>
        <w:sectPr>
          <w:pgSz w:w="11900" w:h="16838" w:orient="portrait"/>
          <w:cols w:equalWidth="0" w:num="2">
            <w:col w:w="10780" w:space="140"/>
            <w:col w:w="220"/>
          </w:cols>
          <w:pgMar w:left="320" w:top="230" w:right="439" w:bottom="1440" w:gutter="0" w:footer="0" w:header="0"/>
          <w:type w:val="continuous"/>
        </w:sectPr>
      </w:pPr>
    </w:p>
    <w:p>
      <w:pPr>
        <w:jc w:val="center"/>
        <w:ind w:left="160" w:right="40"/>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Fulcrum Therapeutics, Inc., the registrant, has filed a Post-Effective Amendment No. 1 (“Amendment No. 1”) to the registration statement on Form S-3 ASR (Commission File No. 333-260754) (the “Automatic Shelf Registration Statement”) because it was no longer a well-known seasoned issuer (as such term is defined in Rule 405 of the Securities Act of 1933, as amended, or the “Securities Act”) upon the filing of its annual report on Form 10-K for the fiscal year ended December 31, 2021. Amendment No. 1 was filed using EDGAR submission type POSASR and added disclosure to the Automatic Shelf Registration Statement required for a registrant other than a well-known seasoned issuer and made certain other amendments as set forth therein. This Post-Effective Amendment No. 2 is being filed using EDGAR Submission type POS AM in order to convert the Automatic Shelf Registration Statement, as amended, to the proper EDGAR submission type for a non-automatic shelf registration statement.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registration statement contains:</w:t>
      </w:r>
    </w:p>
    <w:p>
      <w:pPr>
        <w:spacing w:after="0" w:line="131" w:lineRule="exact"/>
        <w:rPr>
          <w:sz w:val="20"/>
          <w:szCs w:val="20"/>
          <w:color w:val="auto"/>
        </w:rPr>
      </w:pPr>
    </w:p>
    <w:p>
      <w:pPr>
        <w:ind w:left="1080" w:right="38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base prospectus covering the offering, issuance and sale by the registrant of the registrant’s debt securities, common stock, preferred stock, depositary shares, units and/or warrants from time to time in one or more offerings with a total value up to $250,000,000.</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base prospectus immediately follows this explanatory note. The specific terms of any securities to be offered pursuant to the base prospectus will be specified in a prospectus supplement to the base prospectus. As of March 3, 2022, the registrant has not sold any securities pursuant to the Automatic Shelf Registration Statement.</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3, 2022</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171450</wp:posOffset>
            </wp:positionV>
            <wp:extent cx="289750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securities involves significant risks. See “</w:t>
      </w:r>
      <w:hyperlink w:anchor="page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30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30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0"/>
        </w:trPr>
        <w:tc>
          <w:tcPr>
            <w:tcW w:w="7660" w:type="dxa"/>
            <w:vAlign w:val="bottom"/>
            <w:gridSpan w:val="16"/>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line="20" w:lineRule="exact"/>
              <w:rPr>
                <w:sz w:val="1"/>
                <w:szCs w:val="1"/>
                <w:color w:val="auto"/>
              </w:rPr>
            </w:pPr>
          </w:p>
        </w:tc>
      </w:tr>
      <w:tr>
        <w:trPr>
          <w:trHeight w:val="210"/>
        </w:trPr>
        <w:tc>
          <w:tcPr>
            <w:tcW w:w="50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INCORPORATION OF CERTAIN DOCUMENTS BY REFERENCE</w:t>
              </w:r>
            </w:hyperlink>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CAUTIONARY NOTE REGARDING FORWARD-LOOKING STATEMENTS AND INDUSTRY DATA</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ABOUT FULCRUM THERAPEUTICS, INC.</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10"/>
        </w:trPr>
        <w:tc>
          <w:tcPr>
            <w:tcW w:w="15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USE OF PROCEEDS</w:t>
              </w:r>
            </w:hyperlink>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DESCRIPTION OF DEBT SECURITIES</w:t>
              </w:r>
            </w:hyperlink>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DESCRIPTION OF CAPITAL STOCK</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DESCRIPTION OF DEPOSITARY SHARES</w:t>
              </w:r>
            </w:hyperlink>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DESCRIPTION OF UNITS</w:t>
              </w:r>
            </w:hyperlink>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DESCRIPTION OF WARRANTS</w:t>
              </w:r>
            </w:hyperlink>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FORMS OF SECURITIES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PLAN OF DISTRIBUTION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86"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2021 filed on March 3,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30">
        <w:r>
          <w:rPr>
            <w:rFonts w:ascii="Arial" w:cs="Arial" w:eastAsia="Arial" w:hAnsi="Arial"/>
            <w:sz w:val="18"/>
            <w:szCs w:val="18"/>
            <w:u w:val="single" w:color="auto"/>
            <w:color w:val="0000EE"/>
          </w:rPr>
          <w:t>January 4</w:t>
        </w:r>
      </w:hyperlink>
      <w:r>
        <w:rPr>
          <w:rFonts w:ascii="Arial" w:cs="Arial" w:eastAsia="Arial" w:hAnsi="Arial"/>
          <w:sz w:val="18"/>
          <w:szCs w:val="18"/>
          <w:color w:val="auto"/>
        </w:rPr>
        <w:t xml:space="preserve">, 2022 and </w:t>
      </w:r>
      <w:hyperlink r:id="rId31">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Item 2.02); and</w:t>
      </w:r>
    </w:p>
    <w:p>
      <w:pPr>
        <w:spacing w:after="0" w:line="130"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3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the description therein has been updated and superseded by the description of our capital stock contained in </w:t>
      </w:r>
      <w:hyperlink r:id="rId33">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87"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651-8851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6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we will assert, to the fullest extent under applicable law, our rights to our trademarks, service marks and trade names.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6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 senior</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 following are</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0"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 defeasance will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any series of debt securities issued under the indentures.</w:t>
      </w:r>
    </w:p>
    <w:p>
      <w:pPr>
        <w:spacing w:after="0" w:line="170"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right="2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92"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other securities or property in accordance with the terms of the senior debt securities;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Notice of Redemption. </w:t>
      </w:r>
      <w:r>
        <w:rPr>
          <w:rFonts w:ascii="Arial" w:cs="Arial" w:eastAsia="Arial" w:hAnsi="Arial"/>
          <w:sz w:val="18"/>
          <w:szCs w:val="18"/>
          <w:color w:val="auto"/>
        </w:rPr>
        <w:t>Notice of any redemption of senior debt securities will be mailed at least 10 days but not more than 60 days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95"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We will describe the terms upon which senior debt securities may be convertible into our common stock or other securities in a</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 xml:space="preserve">No Personal Liability of Incorporators, Stockholders, Officers or Directors. </w:t>
      </w:r>
      <w:r>
        <w:rPr>
          <w:rFonts w:ascii="Arial" w:cs="Arial" w:eastAsia="Arial" w:hAnsi="Arial"/>
          <w:sz w:val="18"/>
          <w:szCs w:val="18"/>
          <w:color w:val="auto"/>
        </w:rPr>
        <w:t>The senior indenture provides that no recourse shall be had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covenant or agreement of ours in the senior indenture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Concerning the Trustee. </w:t>
      </w:r>
      <w:r>
        <w:rPr>
          <w:rFonts w:ascii="Arial" w:cs="Arial" w:eastAsia="Arial" w:hAnsi="Arial"/>
          <w:sz w:val="18"/>
          <w:szCs w:val="18"/>
          <w:color w:val="auto"/>
        </w:rPr>
        <w:t>The senior indenture provides that, except during the continuance of an event of default, the trustee will not be liable except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 in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 State</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2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or winding up of our affairs, rank:</w:t>
      </w:r>
    </w:p>
    <w:p>
      <w:pPr>
        <w:spacing w:after="0" w:line="76" w:lineRule="exact"/>
        <w:rPr>
          <w:sz w:val="20"/>
          <w:szCs w:val="20"/>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 dividends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rates and on such dates described in the prospectus supplement.</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record as they appear on our stock books on record dates fixed by our board of directors, as specified in the applicable prospectus supplement.</w:t>
      </w:r>
    </w:p>
    <w:p>
      <w:pPr>
        <w:spacing w:after="0" w:line="237"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jc w:val="both"/>
        <w:ind w:left="120" w:right="120"/>
        <w:spacing w:after="0" w:line="34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 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6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8" w:lineRule="exact"/>
        <w:rPr>
          <w:sz w:val="20"/>
          <w:szCs w:val="20"/>
          <w:color w:val="auto"/>
        </w:rPr>
      </w:pPr>
    </w:p>
    <w:p>
      <w:pPr>
        <w:ind w:left="1080" w:right="14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shares of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Transfer Agent and Registrar</w:t>
      </w:r>
      <w:r>
        <w:rPr>
          <w:rFonts w:ascii="Arial" w:cs="Arial" w:eastAsia="Arial" w:hAnsi="Arial"/>
          <w:sz w:val="17"/>
          <w:szCs w:val="17"/>
          <w:color w:val="auto"/>
        </w:rPr>
        <w:t>. The transfer agent and registrar for the preferred stock will be set forth in the applicable prospectus supplement.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5"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320" w:top="459" w:right="5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7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comprising the units may be traded separately;</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any unit agent for the units, if applicable,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additional provisions for the issuance, payment, settlement, transfer or exchange of the units or of the securities comprising the units;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or exercise of the warrants.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70"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80"/>
          </w:cols>
          <w:pgMar w:left="320" w:top="459" w:right="6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648970</wp:posOffset>
            </wp:positionV>
            <wp:extent cx="2897505" cy="720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$250,000,000</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Common Stock</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Depositary Shares</w:t>
      </w:r>
    </w:p>
    <w:p>
      <w:pPr>
        <w:spacing w:after="0" w:line="5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Units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sets forth the fees and expenses payable by us in connection with the sale of the offered securities being registered hereby, other than underwriting discounts and commissions.</w:t>
      </w:r>
    </w:p>
    <w:p>
      <w:pPr>
        <w:spacing w:after="0" w:line="21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23,175(1)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FINRA filing fee</w:t>
            </w:r>
          </w:p>
        </w:tc>
        <w:tc>
          <w:tcPr>
            <w:tcW w:w="204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w w:val="89"/>
              </w:rPr>
              <w:t>225,500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Accounting services</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Legal fees of registrant’s counsel</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Transfer agent’s, trustee’s and depositary’s fees and expenses</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6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 previously paid (i) $7,500.64 of fees at the initial filing of this registration statement to register $80,913,050 of shares and (ii) carried forward $8,967.49 of fees for $69,086,950 of unsold securities, all of which $150,000,000 remains unsold as of the date of filing of this Amendment No. 2 to this registration statement.</w:t>
      </w:r>
    </w:p>
    <w:p>
      <w:pPr>
        <w:spacing w:after="0" w:line="2" w:lineRule="exact"/>
        <w:rPr>
          <w:rFonts w:ascii="Arial" w:cs="Arial" w:eastAsia="Arial" w:hAnsi="Arial"/>
          <w:sz w:val="18"/>
          <w:szCs w:val="18"/>
          <w:color w:val="auto"/>
        </w:rPr>
      </w:pPr>
    </w:p>
    <w:p>
      <w:pPr>
        <w:ind w:left="540" w:right="140" w:hanging="424"/>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securities offered and the number of issuances and accordingly are not estimated at this time and will be reflected in the applicable prospectus supplement.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summary is qualified in its entirety by reference to the complete Delaware General Corporation Law, or DGCL, and the registrant’s certificate of incorporation.</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Section 102 of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8"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spacing w:after="0" w:line="16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certificate of incorporation provides that we will indemnify each person who was or is a party or threatened to be made a party to any threatened, pending or completed action, suit or proceeding, whether civil, criminal,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administrative or investigative (other than an action by or in the right of us), by reason of the fact that he or she is or 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herein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w:t>
      </w:r>
    </w:p>
    <w:p>
      <w:pPr>
        <w:spacing w:after="0" w:line="17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Our certificate of incorporation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7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addition, we have entered into indemnification agreements with all of our executive officers and directors. In general, these agreements provide that we will indemnify the executive officer or director to the fullest extent permitted by law for claims arising in his or her capacity as an executive officer or director of our company or in connection with his or her service at our request for another corporation or entity. The indemnification agreements also provide for procedures that will apply in the event that an executive officer or director makes a claim for indemnification and establish certain presumptions that are favorable to the executive officer or director.</w:t>
      </w:r>
    </w:p>
    <w:p>
      <w:pPr>
        <w:spacing w:after="0" w:line="18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14"/>
                <w:szCs w:val="14"/>
                <w:color w:val="auto"/>
              </w:rPr>
            </w:pPr>
          </w:p>
        </w:tc>
        <w:tc>
          <w:tcPr>
            <w:tcW w:w="4380" w:type="dxa"/>
            <w:vAlign w:val="bottom"/>
            <w:gridSpan w:val="8"/>
            <w:vMerge w:val="restart"/>
          </w:tcPr>
          <w:p>
            <w:pPr>
              <w:spacing w:after="0"/>
              <w:rPr>
                <w:sz w:val="20"/>
                <w:szCs w:val="20"/>
                <w:color w:val="auto"/>
              </w:rPr>
            </w:pPr>
            <w:r>
              <w:rPr>
                <w:rFonts w:ascii="Arial" w:cs="Arial" w:eastAsia="Arial" w:hAnsi="Arial"/>
                <w:sz w:val="18"/>
                <w:szCs w:val="18"/>
                <w:color w:val="auto"/>
              </w:rPr>
              <w:t>Form of Underwriting Agreement</w:t>
            </w:r>
          </w:p>
        </w:tc>
        <w:tc>
          <w:tcPr>
            <w:tcW w:w="50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24"/>
        </w:trPr>
        <w:tc>
          <w:tcPr>
            <w:tcW w:w="7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9"/>
                <w:szCs w:val="19"/>
                <w:color w:val="auto"/>
              </w:rPr>
            </w:pPr>
          </w:p>
        </w:tc>
        <w:tc>
          <w:tcPr>
            <w:tcW w:w="4380" w:type="dxa"/>
            <w:vAlign w:val="bottom"/>
            <w:gridSpan w:val="8"/>
            <w:vMerge w:val="continue"/>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20" w:type="dxa"/>
            <w:vAlign w:val="bottom"/>
          </w:tcPr>
          <w:p>
            <w:pPr>
              <w:ind w:left="80"/>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3"/>
                <w:szCs w:val="23"/>
                <w:color w:val="auto"/>
              </w:rPr>
            </w:pPr>
          </w:p>
        </w:tc>
        <w:tc>
          <w:tcPr>
            <w:tcW w:w="9400" w:type="dxa"/>
            <w:vAlign w:val="bottom"/>
            <w:gridSpan w:val="18"/>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Restated Certificate of Incorporation of the Registrant (incorporated by reference to Exhibit 3.1 to the Registrant’s Current Report</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on Form 8-K filed with the Securities and Exchange Commission on July 22, 2019)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4.2</w:t>
            </w:r>
          </w:p>
        </w:tc>
        <w:tc>
          <w:tcPr>
            <w:tcW w:w="820" w:type="dxa"/>
            <w:vAlign w:val="bottom"/>
          </w:tcPr>
          <w:p>
            <w:pPr>
              <w:spacing w:after="0"/>
              <w:rPr>
                <w:sz w:val="24"/>
                <w:szCs w:val="24"/>
                <w:color w:val="auto"/>
              </w:rPr>
            </w:pPr>
          </w:p>
        </w:tc>
        <w:tc>
          <w:tcPr>
            <w:tcW w:w="9200" w:type="dxa"/>
            <w:vAlign w:val="bottom"/>
            <w:tcBorders>
              <w:bottom w:val="single" w:sz="8" w:color="0000EE"/>
            </w:tcBorders>
            <w:gridSpan w:val="15"/>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Bylaws of the Registrant (incorporated by reference to Exhibit 3.2 to the Registrant’s Current Report on</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0" w:type="dxa"/>
            <w:vAlign w:val="bottom"/>
            <w:gridSpan w:val="18"/>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Form 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24"/>
                <w:szCs w:val="24"/>
                <w:color w:val="auto"/>
              </w:rPr>
            </w:pPr>
          </w:p>
        </w:tc>
        <w:tc>
          <w:tcPr>
            <w:tcW w:w="8940" w:type="dxa"/>
            <w:vAlign w:val="bottom"/>
            <w:tcBorders>
              <w:bottom w:val="single" w:sz="8" w:color="0000EE"/>
            </w:tcBorders>
            <w:gridSpan w:val="14"/>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Specimen Stock Certificate evidencing shares of common stock (incorporated by reference to Exhibit 4.1 to the Registrant’s</w:t>
              </w:r>
            </w:hyperlink>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0" w:type="dxa"/>
            <w:vAlign w:val="bottom"/>
            <w:gridSpan w:val="18"/>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9380" w:type="dxa"/>
            <w:vAlign w:val="bottom"/>
            <w:tcBorders>
              <w:top w:val="single" w:sz="8" w:color="0000EE"/>
            </w:tcBorders>
            <w:gridSpan w:val="17"/>
          </w:tcPr>
          <w:p>
            <w:pPr>
              <w:spacing w:after="0"/>
              <w:rPr>
                <w:rFonts w:ascii="Arial" w:cs="Arial" w:eastAsia="Arial" w:hAnsi="Arial"/>
                <w:sz w:val="18"/>
                <w:szCs w:val="18"/>
                <w:color w:val="0000EE"/>
              </w:rPr>
            </w:pPr>
            <w:hyperlink r:id="rId81">
              <w:r>
                <w:rPr>
                  <w:rFonts w:ascii="Arial" w:cs="Arial" w:eastAsia="Arial" w:hAnsi="Arial"/>
                  <w:sz w:val="18"/>
                  <w:szCs w:val="18"/>
                  <w:color w:val="0000EE"/>
                </w:rPr>
                <w:t>Form of Senior Indenture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4.5</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2340" w:type="dxa"/>
            <w:vAlign w:val="bottom"/>
            <w:tcBorders>
              <w:bottom w:val="single" w:sz="8" w:color="0000EE"/>
            </w:tcBorders>
            <w:gridSpan w:val="5"/>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Form of Subordinated Indenture</w:t>
              </w:r>
            </w:hyperlink>
          </w:p>
        </w:tc>
        <w:tc>
          <w:tcPr>
            <w:tcW w:w="70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r:id="rId83">
              <w:r>
                <w:rPr>
                  <w:rFonts w:ascii="Arial" w:cs="Arial" w:eastAsia="Arial" w:hAnsi="Arial"/>
                  <w:sz w:val="18"/>
                  <w:szCs w:val="18"/>
                  <w:color w:val="0000EE"/>
                </w:rPr>
                <w:t>Form of Senior Note</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tcPr>
          <w:p>
            <w:pPr>
              <w:ind w:left="80"/>
              <w:spacing w:after="0"/>
              <w:rPr>
                <w:sz w:val="20"/>
                <w:szCs w:val="20"/>
                <w:color w:val="auto"/>
              </w:rPr>
            </w:pPr>
            <w:r>
              <w:rPr>
                <w:rFonts w:ascii="Arial" w:cs="Arial" w:eastAsia="Arial" w:hAnsi="Arial"/>
                <w:sz w:val="18"/>
                <w:szCs w:val="18"/>
                <w:color w:val="auto"/>
              </w:rPr>
              <w:t>4.7</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2000" w:type="dxa"/>
            <w:vAlign w:val="bottom"/>
            <w:tcBorders>
              <w:bottom w:val="single" w:sz="8" w:color="0000EE"/>
            </w:tcBorders>
            <w:gridSpan w:val="4"/>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Subordinated Note</w:t>
              </w:r>
            </w:hyperlink>
          </w:p>
        </w:tc>
        <w:tc>
          <w:tcPr>
            <w:tcW w:w="74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0" w:type="dxa"/>
            <w:vAlign w:val="bottom"/>
          </w:tcPr>
          <w:p>
            <w:pPr>
              <w:ind w:left="80"/>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324"/>
        </w:trPr>
        <w:tc>
          <w:tcPr>
            <w:tcW w:w="720" w:type="dxa"/>
            <w:vAlign w:val="bottom"/>
          </w:tcPr>
          <w:p>
            <w:pPr>
              <w:ind w:left="80"/>
              <w:spacing w:after="0"/>
              <w:rPr>
                <w:sz w:val="20"/>
                <w:szCs w:val="20"/>
                <w:color w:val="auto"/>
              </w:rPr>
            </w:pPr>
            <w:r>
              <w:rPr>
                <w:rFonts w:ascii="Arial" w:cs="Arial" w:eastAsia="Arial" w:hAnsi="Arial"/>
                <w:sz w:val="18"/>
                <w:szCs w:val="18"/>
                <w:color w:val="auto"/>
              </w:rPr>
              <w:t>4.9*</w:t>
            </w:r>
          </w:p>
        </w:tc>
        <w:tc>
          <w:tcPr>
            <w:tcW w:w="82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720" w:type="dxa"/>
            <w:vAlign w:val="bottom"/>
          </w:tcPr>
          <w:p>
            <w:pPr>
              <w:ind w:left="80"/>
              <w:spacing w:after="0"/>
              <w:rPr>
                <w:sz w:val="20"/>
                <w:szCs w:val="20"/>
                <w:color w:val="auto"/>
              </w:rPr>
            </w:pPr>
            <w:r>
              <w:rPr>
                <w:rFonts w:ascii="Arial" w:cs="Arial" w:eastAsia="Arial" w:hAnsi="Arial"/>
                <w:sz w:val="18"/>
                <w:szCs w:val="18"/>
                <w:color w:val="auto"/>
              </w:rPr>
              <w:t>4.10*</w:t>
            </w:r>
          </w:p>
        </w:tc>
        <w:tc>
          <w:tcPr>
            <w:tcW w:w="82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83"/>
        </w:trPr>
        <w:tc>
          <w:tcPr>
            <w:tcW w:w="720" w:type="dxa"/>
            <w:vAlign w:val="bottom"/>
          </w:tcPr>
          <w:p>
            <w:pPr>
              <w:ind w:left="80"/>
              <w:spacing w:after="0"/>
              <w:rPr>
                <w:sz w:val="20"/>
                <w:szCs w:val="20"/>
                <w:color w:val="auto"/>
              </w:rPr>
            </w:pPr>
            <w:r>
              <w:rPr>
                <w:rFonts w:ascii="Arial" w:cs="Arial" w:eastAsia="Arial" w:hAnsi="Arial"/>
                <w:sz w:val="18"/>
                <w:szCs w:val="18"/>
                <w:color w:val="auto"/>
              </w:rPr>
              <w:t>5.1</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2440" w:type="dxa"/>
            <w:vAlign w:val="bottom"/>
            <w:tcBorders>
              <w:bottom w:val="single" w:sz="8" w:color="0000EE"/>
            </w:tcBorders>
            <w:gridSpan w:val="6"/>
          </w:tcPr>
          <w:p>
            <w:pPr>
              <w:spacing w:after="0"/>
              <w:rPr>
                <w:rFonts w:ascii="Arial" w:cs="Arial" w:eastAsia="Arial" w:hAnsi="Arial"/>
                <w:sz w:val="18"/>
                <w:szCs w:val="18"/>
                <w:color w:val="0000EE"/>
                <w:w w:val="93"/>
              </w:rPr>
            </w:pPr>
            <w:hyperlink r:id="rId85">
              <w:r>
                <w:rPr>
                  <w:rFonts w:ascii="Arial" w:cs="Arial" w:eastAsia="Arial" w:hAnsi="Arial"/>
                  <w:sz w:val="18"/>
                  <w:szCs w:val="18"/>
                  <w:color w:val="0000EE"/>
                  <w:w w:val="93"/>
                </w:rPr>
                <w:t>Opinion of Goodwin Procter LLP</w:t>
              </w:r>
            </w:hyperlink>
          </w:p>
        </w:tc>
        <w:tc>
          <w:tcPr>
            <w:tcW w:w="6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20" w:type="dxa"/>
            <w:vAlign w:val="bottom"/>
          </w:tcPr>
          <w:p>
            <w:pPr>
              <w:spacing w:after="0"/>
              <w:rPr>
                <w:sz w:val="24"/>
                <w:szCs w:val="24"/>
                <w:color w:val="auto"/>
              </w:rPr>
            </w:pPr>
          </w:p>
        </w:tc>
        <w:tc>
          <w:tcPr>
            <w:tcW w:w="56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Consent of Ernst &amp; Young LLP, independent registered public accounting firm</w:t>
              </w:r>
            </w:hyperlink>
          </w:p>
        </w:tc>
        <w:tc>
          <w:tcPr>
            <w:tcW w:w="3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20" w:type="dxa"/>
            <w:vAlign w:val="bottom"/>
          </w:tcPr>
          <w:p>
            <w:pPr>
              <w:spacing w:after="0"/>
              <w:rPr>
                <w:sz w:val="24"/>
                <w:szCs w:val="24"/>
                <w:color w:val="auto"/>
              </w:rPr>
            </w:pPr>
          </w:p>
        </w:tc>
        <w:tc>
          <w:tcPr>
            <w:tcW w:w="4260" w:type="dxa"/>
            <w:vAlign w:val="bottom"/>
            <w:tcBorders>
              <w:bottom w:val="single" w:sz="8" w:color="0000EE"/>
            </w:tcBorders>
            <w:gridSpan w:val="7"/>
          </w:tcPr>
          <w:p>
            <w:pPr>
              <w:spacing w:after="0"/>
              <w:rPr>
                <w:rFonts w:ascii="Arial" w:cs="Arial" w:eastAsia="Arial" w:hAnsi="Arial"/>
                <w:sz w:val="18"/>
                <w:szCs w:val="18"/>
                <w:color w:val="0000EE"/>
                <w:w w:val="93"/>
              </w:rPr>
            </w:pPr>
            <w:hyperlink r:id="rId85">
              <w:r>
                <w:rPr>
                  <w:rFonts w:ascii="Arial" w:cs="Arial" w:eastAsia="Arial" w:hAnsi="Arial"/>
                  <w:sz w:val="18"/>
                  <w:szCs w:val="18"/>
                  <w:color w:val="0000EE"/>
                  <w:w w:val="93"/>
                </w:rPr>
                <w:t>Consent of Goodwin Procter LLP (included in Exhibit 5.1)</w:t>
              </w:r>
            </w:hyperlink>
          </w:p>
        </w:tc>
        <w:tc>
          <w:tcPr>
            <w:tcW w:w="51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820" w:type="dxa"/>
            <w:vAlign w:val="bottom"/>
          </w:tcPr>
          <w:p>
            <w:pPr>
              <w:spacing w:after="0"/>
              <w:rPr>
                <w:sz w:val="24"/>
                <w:szCs w:val="24"/>
                <w:color w:val="auto"/>
              </w:rPr>
            </w:pPr>
          </w:p>
        </w:tc>
        <w:tc>
          <w:tcPr>
            <w:tcW w:w="57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Power of Attorney (included in the signature page to the registration statement)</w:t>
              </w:r>
            </w:hyperlink>
          </w:p>
        </w:tc>
        <w:tc>
          <w:tcPr>
            <w:tcW w:w="3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82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w w:val="90"/>
              </w:rPr>
              <w:t>Statement of Eligibility on Form T-1 under the Trust Indenture Act of 1939, as amended, of the Trustee under the Senior Indenture</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82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w w:val="93"/>
              </w:rPr>
              <w:t>Statement of Eligibility on Form T-1 under the Trust Indenture Act of 1939, as amended, of the Trustee under the Subordinated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0" w:type="dxa"/>
            <w:vAlign w:val="bottom"/>
            <w:gridSpan w:val="18"/>
          </w:tcPr>
          <w:p>
            <w:pPr>
              <w:spacing w:after="0"/>
              <w:rPr>
                <w:sz w:val="20"/>
                <w:szCs w:val="20"/>
                <w:color w:val="auto"/>
              </w:rPr>
            </w:pPr>
            <w:r>
              <w:rPr>
                <w:rFonts w:ascii="Arial" w:cs="Arial" w:eastAsia="Arial" w:hAnsi="Arial"/>
                <w:sz w:val="18"/>
                <w:szCs w:val="18"/>
                <w:color w:val="auto"/>
              </w:rPr>
              <w:t>Indenture</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w:t>
            </w:r>
          </w:p>
        </w:tc>
        <w:tc>
          <w:tcPr>
            <w:tcW w:w="8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r:id="rId86">
              <w:r>
                <w:rPr>
                  <w:rFonts w:ascii="Arial" w:cs="Arial" w:eastAsia="Arial" w:hAnsi="Arial"/>
                  <w:sz w:val="18"/>
                  <w:szCs w:val="18"/>
                  <w:color w:val="0000EE"/>
                </w:rPr>
                <w:t>Filing Fee Table</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500" w:hanging="424"/>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pursuant to Section 305(b)(2) of the Trust Indenture Act of 1939.</w:t>
      </w:r>
    </w:p>
    <w:p>
      <w:pPr>
        <w:spacing w:after="0" w:line="8"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5"/>
          <w:szCs w:val="15"/>
          <w:color w:val="auto"/>
        </w:rPr>
      </w:pPr>
      <w:r>
        <w:rPr>
          <w:rFonts w:ascii="Arial" w:cs="Arial" w:eastAsia="Arial" w:hAnsi="Arial"/>
          <w:sz w:val="18"/>
          <w:szCs w:val="18"/>
          <w:color w:val="auto"/>
        </w:rPr>
        <w:t>Previously filed.</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sz w:val="20"/>
          <w:szCs w:val="20"/>
          <w:color w:val="auto"/>
        </w:rPr>
      </w:pPr>
    </w:p>
    <w:p>
      <w:pPr>
        <w:ind w:left="5480" w:right="680" w:hanging="4163"/>
        <w:spacing w:after="0" w:line="449"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“Securities Act”); II-3</w:t>
      </w:r>
    </w:p>
    <w:p>
      <w:pPr>
        <w:sectPr>
          <w:pgSz w:w="11900" w:h="16838" w:orient="portrait"/>
          <w:cols w:equalWidth="0" w:num="1">
            <w:col w:w="11060"/>
          </w:cols>
          <w:pgMar w:left="32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40" w:right="80" w:hanging="423"/>
        <w:spacing w:after="0" w:line="291" w:lineRule="auto"/>
        <w:tabs>
          <w:tab w:leader="none" w:pos="1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740" w:right="160" w:hanging="423"/>
        <w:spacing w:after="0" w:line="277" w:lineRule="auto"/>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1320" w:right="14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 amendment by those paragraphs is contained in reports filed with or furnished to the Commission by a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93" w:lineRule="exact"/>
        <w:rPr>
          <w:sz w:val="20"/>
          <w:szCs w:val="20"/>
          <w:color w:val="auto"/>
        </w:rPr>
      </w:pPr>
    </w:p>
    <w:p>
      <w:pPr>
        <w:ind w:left="1320" w:hanging="772"/>
        <w:spacing w:after="0" w:line="263"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purposes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20" w:right="140" w:hanging="772"/>
        <w:spacing w:after="0" w:line="277"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320" w:hanging="772"/>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740" w:right="120" w:hanging="423"/>
        <w:spacing w:after="0" w:line="277"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740" w:right="20" w:hanging="423"/>
        <w:spacing w:after="0" w:line="287" w:lineRule="auto"/>
        <w:tabs>
          <w:tab w:leader="none" w:pos="17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3" w:lineRule="exact"/>
        <w:rPr>
          <w:rFonts w:ascii="Arial" w:cs="Arial" w:eastAsia="Arial" w:hAnsi="Arial"/>
          <w:sz w:val="16"/>
          <w:szCs w:val="16"/>
          <w:color w:val="auto"/>
        </w:rPr>
      </w:pPr>
    </w:p>
    <w:p>
      <w:pPr>
        <w:ind w:left="1320" w:right="240" w:hanging="772"/>
        <w:spacing w:after="0" w:line="277"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a Registrant under the Securities Act to any purchaser in the initial distribution of the securities, the undersigned Registrant undertakes that in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320"/>
        <w:spacing w:after="0" w:line="259" w:lineRule="auto"/>
        <w:rPr>
          <w:sz w:val="20"/>
          <w:szCs w:val="20"/>
          <w:color w:val="auto"/>
        </w:rPr>
      </w:pPr>
      <w:r>
        <w:rPr>
          <w:rFonts w:ascii="Arial" w:cs="Arial" w:eastAsia="Arial" w:hAnsi="Arial"/>
          <w:sz w:val="18"/>
          <w:szCs w:val="18"/>
          <w:color w:val="auto"/>
        </w:rPr>
        <w:t>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92" w:lineRule="exact"/>
        <w:rPr>
          <w:sz w:val="20"/>
          <w:szCs w:val="20"/>
          <w:color w:val="auto"/>
        </w:rPr>
      </w:pPr>
    </w:p>
    <w:p>
      <w:pPr>
        <w:ind w:left="1740" w:right="160" w:hanging="423"/>
        <w:spacing w:after="0" w:line="277"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preliminary prospectus or prospectus of such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740" w:right="60" w:hanging="423"/>
        <w:spacing w:after="0" w:line="277"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75" w:lineRule="exact"/>
        <w:rPr>
          <w:rFonts w:ascii="Arial" w:cs="Arial" w:eastAsia="Arial" w:hAnsi="Arial"/>
          <w:sz w:val="18"/>
          <w:szCs w:val="18"/>
          <w:color w:val="auto"/>
        </w:rPr>
      </w:pPr>
    </w:p>
    <w:p>
      <w:pPr>
        <w:ind w:left="1740" w:right="320" w:hanging="423"/>
        <w:spacing w:after="0" w:line="277"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40" w:hanging="423"/>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130" w:lineRule="exact"/>
        <w:rPr>
          <w:rFonts w:ascii="Arial" w:cs="Arial" w:eastAsia="Arial" w:hAnsi="Arial"/>
          <w:sz w:val="18"/>
          <w:szCs w:val="18"/>
          <w:color w:val="auto"/>
        </w:rPr>
      </w:pPr>
    </w:p>
    <w:p>
      <w:pPr>
        <w:ind w:left="1320" w:right="20" w:hanging="772"/>
        <w:spacing w:after="0" w:line="257"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93" w:lineRule="exact"/>
        <w:rPr>
          <w:rFonts w:ascii="Arial" w:cs="Arial" w:eastAsia="Arial" w:hAnsi="Arial"/>
          <w:sz w:val="18"/>
          <w:szCs w:val="18"/>
          <w:color w:val="auto"/>
        </w:rPr>
      </w:pPr>
    </w:p>
    <w:p>
      <w:pPr>
        <w:ind w:left="1320" w:hanging="772"/>
        <w:spacing w:after="0" w:line="270" w:lineRule="auto"/>
        <w:tabs>
          <w:tab w:leader="none" w:pos="1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any Registrant pursuant to the indemnification provisions described herein, or otherwise, each Registrant has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6" w:lineRule="exact"/>
        <w:rPr>
          <w:rFonts w:ascii="Arial" w:cs="Arial" w:eastAsia="Arial" w:hAnsi="Arial"/>
          <w:sz w:val="17"/>
          <w:szCs w:val="17"/>
          <w:color w:val="auto"/>
        </w:rPr>
      </w:pPr>
    </w:p>
    <w:p>
      <w:pPr>
        <w:ind w:left="1320" w:hanging="772"/>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130" w:lineRule="exact"/>
        <w:rPr>
          <w:rFonts w:ascii="Arial" w:cs="Arial" w:eastAsia="Arial" w:hAnsi="Arial"/>
          <w:sz w:val="18"/>
          <w:szCs w:val="18"/>
          <w:color w:val="auto"/>
        </w:rPr>
      </w:pPr>
    </w:p>
    <w:p>
      <w:pPr>
        <w:jc w:val="both"/>
        <w:ind w:left="1740" w:right="240" w:hanging="423"/>
        <w:spacing w:after="0" w:line="286" w:lineRule="auto"/>
        <w:tabs>
          <w:tab w:leader="none" w:pos="17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92" w:lineRule="exact"/>
        <w:rPr>
          <w:rFonts w:ascii="Arial" w:cs="Arial" w:eastAsia="Arial" w:hAnsi="Arial"/>
          <w:sz w:val="17"/>
          <w:szCs w:val="17"/>
          <w:color w:val="auto"/>
        </w:rPr>
      </w:pPr>
    </w:p>
    <w:p>
      <w:pPr>
        <w:ind w:left="1740" w:right="160" w:hanging="423"/>
        <w:spacing w:after="0" w:line="263"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9" w:lineRule="exact"/>
        <w:rPr>
          <w:rFonts w:ascii="Arial" w:cs="Arial" w:eastAsia="Arial" w:hAnsi="Arial"/>
          <w:sz w:val="18"/>
          <w:szCs w:val="18"/>
          <w:color w:val="auto"/>
        </w:rPr>
      </w:pPr>
    </w:p>
    <w:p>
      <w:pPr>
        <w:ind w:left="1320" w:right="300" w:hanging="772"/>
        <w:spacing w:after="0" w:line="263"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Post-Effective Amendment No. 2 to Form S-3 ASR to be signed on its behalf by the undersigned, thereunto duly authorized, in the City of Cambridge, Commonwealth of Massachusetts, on March 3, 2022.</w:t>
      </w:r>
    </w:p>
    <w:p>
      <w:pPr>
        <w:spacing w:after="0" w:line="18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Bryan E.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Bryan E. Stuart</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Bryan E. Stuart</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President and Chief Executive Officer, 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Bryan E. Stuart</w:t>
            </w:r>
          </w:p>
        </w:tc>
        <w:tc>
          <w:tcPr>
            <w:tcW w:w="100" w:type="dxa"/>
            <w:vAlign w:val="bottom"/>
          </w:tcPr>
          <w:p>
            <w:pPr>
              <w:spacing w:after="0"/>
              <w:rPr>
                <w:sz w:val="19"/>
                <w:szCs w:val="19"/>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Esther Rajavelu</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Chief Financial Officer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Esther Rajavelu</w:t>
            </w:r>
          </w:p>
        </w:tc>
        <w:tc>
          <w:tcPr>
            <w:tcW w:w="100" w:type="dxa"/>
            <w:vAlign w:val="bottom"/>
          </w:tcPr>
          <w:p>
            <w:pPr>
              <w:spacing w:after="0"/>
              <w:rPr>
                <w:sz w:val="19"/>
                <w:szCs w:val="19"/>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(Principal Financial Officer)</w:t>
            </w: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Peter Thomson</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Vice President, Finance &amp; Accounting</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Peter Thomson</w:t>
            </w:r>
          </w:p>
        </w:tc>
        <w:tc>
          <w:tcPr>
            <w:tcW w:w="100" w:type="dxa"/>
            <w:vAlign w:val="bottom"/>
          </w:tcPr>
          <w:p>
            <w:pPr>
              <w:spacing w:after="0"/>
              <w:rPr>
                <w:sz w:val="19"/>
                <w:szCs w:val="19"/>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Kate Haviland</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Sonja Banks</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James J. Collins</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Alan Ezekowitz</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James Geraghty</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Robert J. Gould</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3"/>
        </w:trPr>
        <w:tc>
          <w:tcPr>
            <w:tcW w:w="46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March 3, 2022</w:t>
            </w:r>
          </w:p>
        </w:tc>
      </w:tr>
      <w:tr>
        <w:trPr>
          <w:trHeight w:val="224"/>
        </w:trPr>
        <w:tc>
          <w:tcPr>
            <w:tcW w:w="4620" w:type="dxa"/>
            <w:vAlign w:val="bottom"/>
            <w:gridSpan w:val="3"/>
          </w:tcPr>
          <w:p>
            <w:pPr>
              <w:spacing w:after="0"/>
              <w:rPr>
                <w:sz w:val="20"/>
                <w:szCs w:val="20"/>
                <w:color w:val="auto"/>
              </w:rPr>
            </w:pPr>
            <w:r>
              <w:rPr>
                <w:rFonts w:ascii="Arial" w:cs="Arial" w:eastAsia="Arial" w:hAnsi="Arial"/>
                <w:sz w:val="18"/>
                <w:szCs w:val="18"/>
                <w:color w:val="auto"/>
              </w:rPr>
              <w:t>Mark Levin</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83"/>
        </w:trPr>
        <w:tc>
          <w:tcPr>
            <w:tcW w:w="4620" w:type="dxa"/>
            <w:vAlign w:val="bottom"/>
            <w:gridSpan w:val="3"/>
          </w:tcPr>
          <w:p>
            <w:pPr>
              <w:spacing w:after="0"/>
              <w:rPr>
                <w:sz w:val="20"/>
                <w:szCs w:val="20"/>
                <w:color w:val="auto"/>
              </w:rPr>
            </w:pPr>
            <w:r>
              <w:rPr>
                <w:rFonts w:ascii="Arial" w:cs="Arial" w:eastAsia="Arial" w:hAnsi="Arial"/>
                <w:sz w:val="18"/>
                <w:szCs w:val="18"/>
                <w:color w:val="auto"/>
              </w:rPr>
              <w:t>* By:  /s/ Bryan E. Stuart</w:t>
            </w:r>
          </w:p>
        </w:tc>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4620" w:type="dxa"/>
            <w:vAlign w:val="bottom"/>
            <w:gridSpan w:val="3"/>
          </w:tcPr>
          <w:p>
            <w:pPr>
              <w:ind w:left="520"/>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ind w:left="640"/>
              <w:spacing w:after="0"/>
              <w:rPr>
                <w:sz w:val="20"/>
                <w:szCs w:val="20"/>
                <w:color w:val="auto"/>
              </w:rPr>
            </w:pPr>
            <w:r>
              <w:rPr>
                <w:rFonts w:ascii="Arial" w:cs="Arial" w:eastAsia="Arial" w:hAnsi="Arial"/>
                <w:sz w:val="18"/>
                <w:szCs w:val="18"/>
                <w:color w:val="auto"/>
              </w:rPr>
              <w:t>II-6</w:t>
            </w:r>
          </w:p>
        </w:tc>
        <w:tc>
          <w:tcPr>
            <w:tcW w:w="1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reference to our firm under the caption “Experts” in Post-Effective Amendment No. 2 to the Registration Statement (Form S-3 No. 333-260754) and related Prospectus of Fulcrum Therapeutics, Inc. for the registration of debt securities, common stock, preferred stock, depositary shares, units and/or warrants and to the incorporation by reference therein of our report dated March 3, 2022, with respect to the consolidated financial statements of Fulcrum Therapeutics, Inc. included in its Annual Report (Form 10-K) for the year ended December 31, 2021,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617"/>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lowerRoman"/>
      <w:start w:val="1"/>
    </w:lvl>
  </w:abstractNum>
  <w:abstractNum w:abstractNumId="33">
    <w:nsid w:val="440BADFC"/>
    <w:multiLevelType w:val="hybridMultilevel"/>
    <w:lvl w:ilvl="0">
      <w:lvlJc w:val="left"/>
      <w:lvlText w:val="(%1)"/>
      <w:numFmt w:val="lowerRoman"/>
      <w:start w:val="2"/>
    </w:lvl>
  </w:abstractNum>
  <w:abstractNum w:abstractNumId="34">
    <w:nsid w:val="5072367"/>
    <w:multiLevelType w:val="hybridMultilevel"/>
    <w:lvl w:ilvl="0">
      <w:lvlJc w:val="left"/>
      <w:lvlText w:val="(%1)"/>
      <w:numFmt w:val="decimal"/>
      <w:start w:val="2"/>
    </w:lvl>
    <w:lvl w:ilvl="1">
      <w:lvlJc w:val="left"/>
      <w:lvlText w:val="(%2)"/>
      <w:numFmt w:val="lowerRoman"/>
      <w:start w:val="1"/>
    </w:lvl>
  </w:abstractNum>
  <w:abstractNum w:abstractNumId="35">
    <w:nsid w:val="3804823E"/>
    <w:multiLevelType w:val="hybridMultilevel"/>
    <w:lvl w:ilvl="0">
      <w:lvlJc w:val="left"/>
      <w:lvlText w:val="%1"/>
      <w:numFmt w:val="lowerLetter"/>
      <w:start w:val="1"/>
    </w:lvl>
    <w:lvl w:ilvl="1">
      <w:lvlJc w:val="left"/>
      <w:lvlText w:val="(%2)"/>
      <w:numFmt w:val="lowerRoman"/>
      <w:start w:val="1"/>
    </w:lvl>
  </w:abstractNum>
  <w:abstractNum w:abstractNumId="36">
    <w:nsid w:val="77465F0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jpe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29" Type="http://schemas.openxmlformats.org/officeDocument/2006/relationships/hyperlink" Target="http://www.sec.gov/ix?doc=/Archives/edgar/data/1680581/000095017022002727/fulc-20211231.htm" TargetMode="External"/><Relationship Id="rId30" Type="http://schemas.openxmlformats.org/officeDocument/2006/relationships/hyperlink" Target="http://www.sec.gov/ix?doc=/Archives/edgar/data/0001680581/000119312522001760/d237013d8k.htm" TargetMode="External"/><Relationship Id="rId31" Type="http://schemas.openxmlformats.org/officeDocument/2006/relationships/hyperlink" Target="http://www.sec.gov/ix?doc=/Archives/edgar/data/0001680581/000119312522005038/d157429d8k.htm" TargetMode="External"/><Relationship Id="rId32" Type="http://schemas.openxmlformats.org/officeDocument/2006/relationships/hyperlink" Target="http://www.sec.gov/Archives/edgar/data/1680581/000110465919040208/a19-3408_78a12b.htm" TargetMode="External"/><Relationship Id="rId33" Type="http://schemas.openxmlformats.org/officeDocument/2006/relationships/hyperlink" Target="http://www.sec.gov/Archives/edgar/data/1680581/000156459020008951/fulc-ex42_198.htm" TargetMode="External"/><Relationship Id="rId78" Type="http://schemas.openxmlformats.org/officeDocument/2006/relationships/hyperlink" Target="http://www.sec.gov/Archives/edgar/data/1680581/000104746919004324/a2239321zex-3_1.htm" TargetMode="External"/><Relationship Id="rId79" Type="http://schemas.openxmlformats.org/officeDocument/2006/relationships/hyperlink" Target="http://www.sec.gov/Archives/edgar/data/1680581/000104746919004324/a2239321zex-3_2.htm" TargetMode="External"/><Relationship Id="rId80" Type="http://schemas.openxmlformats.org/officeDocument/2006/relationships/hyperlink" Target="http://www.sec.gov/Archives/edgar/data/1680581/000104746919003793/a2239080zex-4_1.htm" TargetMode="External"/><Relationship Id="rId81" Type="http://schemas.openxmlformats.org/officeDocument/2006/relationships/hyperlink" Target="http://www.sec.gov/Archives/edgar/data/1680581/000119312521319344/d245897dex44.htm" TargetMode="External"/><Relationship Id="rId82" Type="http://schemas.openxmlformats.org/officeDocument/2006/relationships/hyperlink" Target="http://www.sec.gov/Archives/edgar/data/1680581/000119312521319344/d245897dex45.htm" TargetMode="External"/><Relationship Id="rId83" Type="http://schemas.openxmlformats.org/officeDocument/2006/relationships/hyperlink" Target="http://www.sec.gov/Archives/edgar/data/1680581/000119312521319344/d245897dex46.htm" TargetMode="External"/><Relationship Id="rId84" Type="http://schemas.openxmlformats.org/officeDocument/2006/relationships/hyperlink" Target="http://www.sec.gov/Archives/edgar/data/1680581/000119312521319344/d245897dex47.htm" TargetMode="External"/><Relationship Id="rId85" Type="http://schemas.openxmlformats.org/officeDocument/2006/relationships/hyperlink" Target="http://www.sec.gov/Archives/edgar/data/0001680581/000119312521319344/d245897dex51.htm" TargetMode="External"/><Relationship Id="rId86" Type="http://schemas.openxmlformats.org/officeDocument/2006/relationships/hyperlink" Target="http://www.sec.gov/Archives/edgar/data/0001680581/000119312521319344/d245897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2022-03-03T06:57:05Z</dcterms:created>
  <dcterms:modified xsi:type="dcterms:W3CDTF">2022-03-03T06:57:05Z</dcterms:modified>
</cp:coreProperties>
</file>