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333-260754</w:t>
      </w:r>
    </w:p>
    <w:p>
      <w:pPr>
        <w:spacing w:after="0" w:line="127" w:lineRule="exact"/>
        <w:rPr>
          <w:sz w:val="24"/>
          <w:szCs w:val="24"/>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DE1A1E"/>
        </w:rPr>
        <w:t>The information in this preliminary prospectus supplement is not complete and may be changed. A registration statement has been filed with the Securities and Exchange Commission and is effective. This prospectus supplement is not an offer to sell these securities and it is not soliciting an offer to buy these securities in any jurisdiction where the offer or sale is not permitted.</w:t>
      </w:r>
    </w:p>
    <w:p>
      <w:pPr>
        <w:spacing w:after="0" w:line="108"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DE1A1E"/>
        </w:rPr>
        <w:t>Subject to Completion, dated January 17, 2023</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April 28, 2022)</w:t>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174625</wp:posOffset>
            </wp:positionV>
            <wp:extent cx="292290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277495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are offering $100.0 million of shares of our common stock.</w:t>
      </w:r>
    </w:p>
    <w:p>
      <w:pPr>
        <w:spacing w:after="0" w:line="212" w:lineRule="exact"/>
        <w:rPr>
          <w:sz w:val="24"/>
          <w:szCs w:val="24"/>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Our common stock is listed on The Nasdaq Global Market under the symbol “FULC”. The last reported sale price of our common stock on The Nasdaq Global Market on January 13, 2023 was $13.70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120" w:right="40" w:firstLine="551"/>
        <w:spacing w:after="0" w:line="252" w:lineRule="auto"/>
        <w:rPr>
          <w:sz w:val="20"/>
          <w:szCs w:val="20"/>
          <w:color w:val="auto"/>
        </w:rPr>
      </w:pPr>
      <w:r>
        <w:rPr>
          <w:rFonts w:ascii="Arial" w:cs="Arial" w:eastAsia="Arial" w:hAnsi="Arial"/>
          <w:sz w:val="18"/>
          <w:szCs w:val="18"/>
          <w:i w:val="1"/>
          <w:iCs w:val="1"/>
          <w:color w:val="auto"/>
        </w:rPr>
        <w:t>Investing in our common stock involves significant risks. See “</w:t>
      </w:r>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color w:val="auto"/>
        </w:rPr>
        <w:t>” beginning on page S-11 of this prospectus supplement, page 2 of the accompanying base prospectus and in the documents incorporated by reference in this prospectus supplement for a discussion of the factors you should carefully consider before deciding to purchase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205105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120" w:right="280" w:firstLine="551"/>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tbl>
      <w:tblPr>
        <w:tblLayout w:type="fixed"/>
        <w:tblInd w:w="120" w:type="dxa"/>
        <w:tblCellMar>
          <w:top w:w="0" w:type="dxa"/>
          <w:left w:w="0" w:type="dxa"/>
          <w:bottom w:w="0" w:type="dxa"/>
          <w:right w:w="0" w:type="dxa"/>
        </w:tblCellMar>
      </w:tblPr>
      <w:tr>
        <w:trPr>
          <w:trHeight w:val="221"/>
        </w:trPr>
        <w:tc>
          <w:tcPr>
            <w:tcW w:w="8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Per Share</w:t>
            </w:r>
          </w:p>
        </w:tc>
        <w:tc>
          <w:tcPr>
            <w:tcW w:w="260" w:type="dxa"/>
            <w:vAlign w:val="bottom"/>
          </w:tcPr>
          <w:p>
            <w:pPr>
              <w:spacing w:after="0"/>
              <w:rPr>
                <w:sz w:val="19"/>
                <w:szCs w:val="19"/>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8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960" w:type="dxa"/>
            <w:vAlign w:val="bottom"/>
            <w:tcBorders>
              <w:top w:val="single" w:sz="8" w:color="auto"/>
            </w:tcBorders>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 (1)</w:t>
            </w:r>
          </w:p>
        </w:tc>
        <w:tc>
          <w:tcPr>
            <w:tcW w:w="960" w:type="dxa"/>
            <w:vAlign w:val="bottom"/>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Fulcrum, before expenses</w:t>
            </w:r>
          </w:p>
        </w:tc>
        <w:tc>
          <w:tcPr>
            <w:tcW w:w="960" w:type="dxa"/>
            <w:vAlign w:val="bottom"/>
            <w:shd w:val="clear" w:color="auto" w:fill="CCEEFF"/>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4"/>
          <w:szCs w:val="24"/>
          <w:color w:val="auto"/>
        </w:rPr>
      </w:pPr>
    </w:p>
    <w:p>
      <w:pPr>
        <w:ind w:left="660" w:right="280" w:hanging="544"/>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FINRA-related expenses. See “Underwriting” for additional information regarding the compensation payable to the underwriters.</w:t>
      </w:r>
    </w:p>
    <w:p>
      <w:pPr>
        <w:spacing w:after="0" w:line="46" w:lineRule="exact"/>
        <w:rPr>
          <w:sz w:val="24"/>
          <w:szCs w:val="24"/>
          <w:color w:val="auto"/>
        </w:rPr>
      </w:pPr>
    </w:p>
    <w:p>
      <w:pPr>
        <w:ind w:left="660"/>
        <w:spacing w:after="0"/>
        <w:tabs>
          <w:tab w:leader="none" w:pos="9300" w:val="left"/>
        </w:tabs>
        <w:rPr>
          <w:sz w:val="20"/>
          <w:szCs w:val="20"/>
          <w:color w:val="auto"/>
        </w:rPr>
      </w:pPr>
      <w:r>
        <w:rPr>
          <w:rFonts w:ascii="Arial" w:cs="Arial" w:eastAsia="Arial" w:hAnsi="Arial"/>
          <w:sz w:val="18"/>
          <w:szCs w:val="18"/>
          <w:color w:val="auto"/>
        </w:rPr>
        <w:t>We have granted the underwriters an option for a period of 30 days to purchase up to an additional</w:t>
      </w:r>
      <w:r>
        <w:rPr>
          <w:sz w:val="20"/>
          <w:szCs w:val="20"/>
          <w:color w:val="auto"/>
        </w:rPr>
        <w:tab/>
      </w:r>
      <w:r>
        <w:rPr>
          <w:rFonts w:ascii="Arial" w:cs="Arial" w:eastAsia="Arial" w:hAnsi="Arial"/>
          <w:sz w:val="17"/>
          <w:szCs w:val="17"/>
          <w:color w:val="auto"/>
        </w:rPr>
        <w:t>shares of our common</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stock at the public offering price less the underwriting discount.</w:t>
      </w:r>
    </w:p>
    <w:p>
      <w:pPr>
        <w:spacing w:after="0" w:line="153" w:lineRule="exact"/>
        <w:rPr>
          <w:sz w:val="24"/>
          <w:szCs w:val="24"/>
          <w:color w:val="auto"/>
        </w:rPr>
      </w:pPr>
    </w:p>
    <w:p>
      <w:pPr>
        <w:ind w:left="660"/>
        <w:spacing w:after="0"/>
        <w:tabs>
          <w:tab w:leader="none" w:pos="7660" w:val="left"/>
        </w:tabs>
        <w:rPr>
          <w:sz w:val="20"/>
          <w:szCs w:val="20"/>
          <w:color w:val="auto"/>
        </w:rPr>
      </w:pPr>
      <w:r>
        <w:rPr>
          <w:rFonts w:ascii="Arial" w:cs="Arial" w:eastAsia="Arial" w:hAnsi="Arial"/>
          <w:sz w:val="18"/>
          <w:szCs w:val="18"/>
          <w:color w:val="auto"/>
        </w:rPr>
        <w:t>The underwriters expect to deliver the shares of common stock on or about</w:t>
      </w:r>
      <w:r>
        <w:rPr>
          <w:sz w:val="20"/>
          <w:szCs w:val="20"/>
          <w:color w:val="auto"/>
        </w:rPr>
        <w:tab/>
      </w:r>
      <w:r>
        <w:rPr>
          <w:rFonts w:ascii="Arial" w:cs="Arial" w:eastAsia="Arial" w:hAnsi="Arial"/>
          <w:sz w:val="18"/>
          <w:szCs w:val="18"/>
          <w:color w:val="auto"/>
        </w:rPr>
        <w:t>, 2023.</w:t>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pacing w:after="0" w:line="227" w:lineRule="exact"/>
        <w:rPr>
          <w:sz w:val="24"/>
          <w:szCs w:val="24"/>
          <w:color w:val="auto"/>
        </w:rPr>
      </w:pPr>
    </w:p>
    <w:p>
      <w:pPr>
        <w:ind w:left="120"/>
        <w:spacing w:after="0"/>
        <w:tabs>
          <w:tab w:leader="none" w:pos="5020" w:val="left"/>
          <w:tab w:leader="none" w:pos="972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SVB Securities</w:t>
      </w:r>
      <w:r>
        <w:rPr>
          <w:sz w:val="20"/>
          <w:szCs w:val="20"/>
          <w:color w:val="auto"/>
        </w:rPr>
        <w:tab/>
      </w:r>
      <w:r>
        <w:rPr>
          <w:rFonts w:ascii="Arial" w:cs="Arial" w:eastAsia="Arial" w:hAnsi="Arial"/>
          <w:sz w:val="21"/>
          <w:szCs w:val="21"/>
          <w:b w:val="1"/>
          <w:bCs w:val="1"/>
          <w:color w:val="auto"/>
        </w:rPr>
        <w:t>Piper Sandler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16"/>
          <w:szCs w:val="16"/>
          <w:i w:val="1"/>
          <w:iCs w:val="1"/>
          <w:color w:val="auto"/>
        </w:rPr>
        <w:t>Lead Manager</w:t>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H.C. Wainwright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349" w:lineRule="exact"/>
        <w:rPr>
          <w:sz w:val="24"/>
          <w:szCs w:val="24"/>
          <w:color w:val="auto"/>
        </w:rPr>
      </w:pPr>
    </w:p>
    <w:p>
      <w:pPr>
        <w:ind w:left="3680"/>
        <w:spacing w:after="0"/>
        <w:tabs>
          <w:tab w:leader="none" w:pos="7040" w:val="left"/>
        </w:tabs>
        <w:rPr>
          <w:sz w:val="20"/>
          <w:szCs w:val="20"/>
          <w:color w:val="auto"/>
        </w:rPr>
      </w:pPr>
      <w:r>
        <w:rPr>
          <w:rFonts w:ascii="Arial" w:cs="Arial" w:eastAsia="Arial" w:hAnsi="Arial"/>
          <w:sz w:val="18"/>
          <w:szCs w:val="18"/>
          <w:color w:val="auto"/>
        </w:rPr>
        <w:t>Prospectus supplement dated</w:t>
      </w:r>
      <w:r>
        <w:rPr>
          <w:sz w:val="20"/>
          <w:szCs w:val="20"/>
          <w:color w:val="auto"/>
        </w:rPr>
        <w:tab/>
      </w:r>
      <w:r>
        <w:rPr>
          <w:rFonts w:ascii="Arial" w:cs="Arial" w:eastAsia="Arial" w:hAnsi="Arial"/>
          <w:sz w:val="17"/>
          <w:szCs w:val="17"/>
          <w:color w:val="auto"/>
        </w:rPr>
        <w:t>, 2023</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5"/>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4"/>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9"/>
              </w:rPr>
              <w:t>Prospectus Supplement</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0000EE"/>
              </w:rPr>
              <w:t>ABOUT THIS PROSPECTUS SUPPLEMENT</w:t>
            </w:r>
          </w:p>
        </w:tc>
        <w:tc>
          <w:tcPr>
            <w:tcW w:w="6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64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PROSPECTUS SUPPLEMENT SUMMARY</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48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THE OFFERING</w:t>
            </w:r>
          </w:p>
        </w:tc>
        <w:tc>
          <w:tcPr>
            <w:tcW w:w="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RISK FACTORS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CAUTIONARY</w:t>
            </w:r>
          </w:p>
        </w:tc>
        <w:tc>
          <w:tcPr>
            <w:tcW w:w="8620" w:type="dxa"/>
            <w:vAlign w:val="bottom"/>
            <w:gridSpan w:val="20"/>
          </w:tcPr>
          <w:p>
            <w:pPr>
              <w:jc w:val="center"/>
              <w:ind w:right="2100"/>
              <w:spacing w:after="0" w:line="182" w:lineRule="exact"/>
              <w:rPr>
                <w:sz w:val="20"/>
                <w:szCs w:val="20"/>
                <w:color w:val="auto"/>
              </w:rPr>
            </w:pPr>
            <w:r>
              <w:rPr>
                <w:rFonts w:ascii="Arial" w:cs="Arial" w:eastAsia="Arial" w:hAnsi="Arial"/>
                <w:sz w:val="18"/>
                <w:szCs w:val="18"/>
                <w:color w:val="0000EE"/>
                <w:w w:val="97"/>
              </w:rPr>
              <w:t>NOTE REGARDING FORWARD-LOOKING STATEMENTS AND INDUSTRY DATA</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84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USE OF PROCEEDS</w:t>
            </w: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DILUTION</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404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3"/>
              </w:rPr>
              <w:t>MATERIAL</w:t>
            </w:r>
          </w:p>
        </w:tc>
        <w:tc>
          <w:tcPr>
            <w:tcW w:w="9080" w:type="dxa"/>
            <w:vAlign w:val="bottom"/>
            <w:gridSpan w:val="22"/>
          </w:tcPr>
          <w:p>
            <w:pPr>
              <w:ind w:left="80"/>
              <w:spacing w:after="0" w:line="182" w:lineRule="exact"/>
              <w:rPr>
                <w:sz w:val="20"/>
                <w:szCs w:val="20"/>
                <w:color w:val="auto"/>
              </w:rPr>
            </w:pPr>
            <w:r>
              <w:rPr>
                <w:rFonts w:ascii="Arial" w:cs="Arial" w:eastAsia="Arial" w:hAnsi="Arial"/>
                <w:sz w:val="18"/>
                <w:szCs w:val="18"/>
                <w:color w:val="0000EE"/>
              </w:rPr>
              <w:t>U.S. INCOME AND ESTATE TAX CONSIDERATIONS FOR NON-U.S. HOLDERS OF COMMON STOCK</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32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UNDERWRITING</w:t>
            </w: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42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3"/>
              </w:rPr>
              <w:t>LEGAL MATTERS</w:t>
            </w:r>
          </w:p>
        </w:tc>
        <w:tc>
          <w:tcPr>
            <w:tcW w:w="60" w:type="dxa"/>
            <w:vAlign w:val="bottom"/>
            <w:tcBorders>
              <w:bottom w:val="single" w:sz="8" w:color="0000EE"/>
            </w:tcBorders>
          </w:tcPr>
          <w:p>
            <w:pPr>
              <w:spacing w:after="0"/>
              <w:rPr>
                <w:sz w:val="15"/>
                <w:szCs w:val="15"/>
                <w:color w:val="auto"/>
              </w:rPr>
            </w:pPr>
          </w:p>
        </w:tc>
        <w:tc>
          <w:tcPr>
            <w:tcW w:w="2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4660" w:type="dxa"/>
            <w:vAlign w:val="bottom"/>
            <w:gridSpan w:val="3"/>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EXPERTS</w:t>
            </w:r>
          </w:p>
        </w:tc>
        <w:tc>
          <w:tcPr>
            <w:tcW w:w="640" w:type="dxa"/>
            <w:vAlign w:val="bottom"/>
            <w:gridSpan w:val="6"/>
          </w:tcPr>
          <w:p>
            <w:pPr>
              <w:spacing w:after="0"/>
              <w:rPr>
                <w:sz w:val="15"/>
                <w:szCs w:val="15"/>
                <w:color w:val="auto"/>
              </w:rPr>
            </w:pPr>
          </w:p>
        </w:tc>
        <w:tc>
          <w:tcPr>
            <w:tcW w:w="2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4660" w:type="dxa"/>
            <w:vAlign w:val="bottom"/>
            <w:gridSpan w:val="3"/>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940" w:type="dxa"/>
            <w:vAlign w:val="bottom"/>
            <w:gridSpan w:val="24"/>
          </w:tcPr>
          <w:p>
            <w:pPr>
              <w:spacing w:after="0" w:line="182" w:lineRule="exact"/>
              <w:rPr>
                <w:sz w:val="20"/>
                <w:szCs w:val="20"/>
                <w:color w:val="auto"/>
              </w:rPr>
            </w:pPr>
            <w:r>
              <w:rPr>
                <w:rFonts w:ascii="Arial" w:cs="Arial" w:eastAsia="Arial" w:hAnsi="Arial"/>
                <w:sz w:val="18"/>
                <w:szCs w:val="18"/>
                <w:color w:val="0000EE"/>
              </w:rPr>
              <w:t>WHERE YOU CAN FIND MORE INFORMATION</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9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INCORPORATION OF CERTAIN DOCUMENTS</w:t>
            </w:r>
          </w:p>
        </w:tc>
        <w:tc>
          <w:tcPr>
            <w:tcW w:w="6040" w:type="dxa"/>
            <w:vAlign w:val="bottom"/>
            <w:gridSpan w:val="4"/>
          </w:tcPr>
          <w:p>
            <w:pPr>
              <w:jc w:val="center"/>
              <w:ind w:right="4660"/>
              <w:spacing w:after="0" w:line="182" w:lineRule="exact"/>
              <w:rPr>
                <w:sz w:val="20"/>
                <w:szCs w:val="20"/>
                <w:color w:val="auto"/>
              </w:rPr>
            </w:pPr>
            <w:r>
              <w:rPr>
                <w:rFonts w:ascii="Arial" w:cs="Arial" w:eastAsia="Arial" w:hAnsi="Arial"/>
                <w:sz w:val="18"/>
                <w:szCs w:val="18"/>
                <w:color w:val="0000EE"/>
                <w:w w:val="98"/>
              </w:rPr>
              <w:t>BY REFERENCE</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9"/>
              </w:rPr>
              <w:t>Prospectus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9940" w:type="dxa"/>
            <w:vAlign w:val="bottom"/>
            <w:gridSpan w:val="24"/>
            <w:vMerge w:val="restart"/>
          </w:tcPr>
          <w:p>
            <w:pPr>
              <w:spacing w:after="0"/>
              <w:rPr>
                <w:sz w:val="20"/>
                <w:szCs w:val="20"/>
                <w:color w:val="auto"/>
              </w:rPr>
            </w:pPr>
            <w:r>
              <w:rPr>
                <w:rFonts w:ascii="Arial" w:cs="Arial" w:eastAsia="Arial" w:hAnsi="Arial"/>
                <w:sz w:val="18"/>
                <w:szCs w:val="18"/>
                <w:color w:val="0000EE"/>
              </w:rPr>
              <w:t>ABOUT THIS PROSPECTUS</w:t>
            </w:r>
          </w:p>
        </w:tc>
        <w:tc>
          <w:tcPr>
            <w:tcW w:w="6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9940" w:type="dxa"/>
            <w:vAlign w:val="bottom"/>
            <w:gridSpan w:val="24"/>
            <w:vMerge w:val="continue"/>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RISK FACTORS</w:t>
            </w:r>
          </w:p>
        </w:tc>
        <w:tc>
          <w:tcPr>
            <w:tcW w:w="1040" w:type="dxa"/>
            <w:vAlign w:val="bottom"/>
            <w:tcBorders>
              <w:top w:val="single" w:sz="8" w:color="0000EE"/>
            </w:tcBorders>
            <w:gridSpan w:val="8"/>
          </w:tcPr>
          <w:p>
            <w:pPr>
              <w:spacing w:after="0"/>
              <w:rPr>
                <w:sz w:val="17"/>
                <w:szCs w:val="17"/>
                <w:color w:val="auto"/>
              </w:rPr>
            </w:pPr>
          </w:p>
        </w:tc>
        <w:tc>
          <w:tcPr>
            <w:tcW w:w="7580" w:type="dxa"/>
            <w:vAlign w:val="bottom"/>
            <w:gridSpan w:val="12"/>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9"/>
              </w:rPr>
              <w:t>WHERE YOU CAN FIND MORE INFORMATION</w:t>
            </w:r>
          </w:p>
        </w:tc>
        <w:tc>
          <w:tcPr>
            <w:tcW w:w="6040" w:type="dxa"/>
            <w:vAlign w:val="bottom"/>
            <w:gridSpan w:val="4"/>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Arial" w:cs="Arial" w:eastAsia="Arial" w:hAnsi="Arial"/>
                <w:sz w:val="18"/>
                <w:szCs w:val="18"/>
                <w:color w:val="0000EE"/>
              </w:rPr>
              <w:t>INCORPORATION OF CERTAIN DOCUMENTS BY REFERENCE</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740" w:type="dxa"/>
            <w:vAlign w:val="bottom"/>
            <w:gridSpan w:val="9"/>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020" w:type="dxa"/>
            <w:vAlign w:val="bottom"/>
            <w:gridSpan w:val="3"/>
            <w:vMerge w:val="restart"/>
          </w:tcPr>
          <w:p>
            <w:pPr>
              <w:jc w:val="right"/>
              <w:ind w:right="20"/>
              <w:spacing w:after="0" w:line="216" w:lineRule="exact"/>
              <w:rPr>
                <w:sz w:val="20"/>
                <w:szCs w:val="20"/>
                <w:color w:val="auto"/>
              </w:rPr>
            </w:pPr>
            <w:r>
              <w:rPr>
                <w:rFonts w:ascii="Arial" w:cs="Arial" w:eastAsia="Arial" w:hAnsi="Arial"/>
                <w:sz w:val="20"/>
                <w:szCs w:val="20"/>
                <w:color w:val="auto"/>
              </w:rPr>
              <w:t>4</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Arial" w:cs="Arial" w:eastAsia="Arial" w:hAnsi="Arial"/>
                <w:sz w:val="18"/>
                <w:szCs w:val="18"/>
                <w:color w:val="0000EE"/>
              </w:rPr>
              <w:t>CAUTIONARY NOTE REGARDING FORWARD-LOOKING STATEMENTS AND INDUSTRY DATA</w:t>
            </w: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84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ABOUT FULCRUM THERAPEUTICS, INC.</w:t>
            </w:r>
          </w:p>
        </w:tc>
        <w:tc>
          <w:tcPr>
            <w:tcW w:w="2100" w:type="dxa"/>
            <w:vAlign w:val="bottom"/>
            <w:gridSpan w:val="2"/>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USE OF PROCEEDS</w:t>
            </w:r>
          </w:p>
        </w:tc>
        <w:tc>
          <w:tcPr>
            <w:tcW w:w="1700" w:type="dxa"/>
            <w:vAlign w:val="bottom"/>
            <w:tcBorders>
              <w:top w:val="single" w:sz="8" w:color="0000EE"/>
            </w:tcBorders>
            <w:gridSpan w:val="7"/>
          </w:tcPr>
          <w:p>
            <w:pPr>
              <w:spacing w:after="0"/>
              <w:rPr>
                <w:sz w:val="17"/>
                <w:szCs w:val="17"/>
                <w:color w:val="auto"/>
              </w:rPr>
            </w:pPr>
          </w:p>
        </w:tc>
        <w:tc>
          <w:tcPr>
            <w:tcW w:w="6500" w:type="dxa"/>
            <w:vAlign w:val="bottom"/>
            <w:gridSpan w:val="8"/>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Arial" w:cs="Arial" w:eastAsia="Arial" w:hAnsi="Arial"/>
                <w:sz w:val="18"/>
                <w:szCs w:val="18"/>
                <w:color w:val="0000EE"/>
              </w:rPr>
              <w:t>DESCRIPTION OF DEBT SECURITIES</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8"/>
              </w:rPr>
              <w:t>DESCRIPTION OF CAPITAL STOCK</w:t>
            </w:r>
          </w:p>
        </w:tc>
        <w:tc>
          <w:tcPr>
            <w:tcW w:w="200" w:type="dxa"/>
            <w:vAlign w:val="bottom"/>
            <w:tcBorders>
              <w:top w:val="single" w:sz="8" w:color="0000EE"/>
            </w:tcBorders>
          </w:tcPr>
          <w:p>
            <w:pPr>
              <w:spacing w:after="0"/>
              <w:rPr>
                <w:sz w:val="17"/>
                <w:szCs w:val="17"/>
                <w:color w:val="auto"/>
              </w:rPr>
            </w:pPr>
          </w:p>
        </w:tc>
        <w:tc>
          <w:tcPr>
            <w:tcW w:w="6760" w:type="dxa"/>
            <w:vAlign w:val="bottom"/>
            <w:gridSpan w:val="9"/>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9"/>
              </w:rPr>
              <w:t>DESCRIPTION OF UNITS</w:t>
            </w:r>
          </w:p>
        </w:tc>
        <w:tc>
          <w:tcPr>
            <w:tcW w:w="1380" w:type="dxa"/>
            <w:vAlign w:val="bottom"/>
            <w:tcBorders>
              <w:top w:val="single" w:sz="8" w:color="0000EE"/>
            </w:tcBorders>
            <w:gridSpan w:val="7"/>
          </w:tcPr>
          <w:p>
            <w:pPr>
              <w:spacing w:after="0"/>
              <w:rPr>
                <w:sz w:val="17"/>
                <w:szCs w:val="17"/>
                <w:color w:val="auto"/>
              </w:rPr>
            </w:pPr>
          </w:p>
        </w:tc>
        <w:tc>
          <w:tcPr>
            <w:tcW w:w="6440" w:type="dxa"/>
            <w:vAlign w:val="bottom"/>
            <w:gridSpan w:val="6"/>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8"/>
              </w:rPr>
              <w:t>DESCRIPTION OF WARRANTS</w:t>
            </w:r>
          </w:p>
        </w:tc>
        <w:tc>
          <w:tcPr>
            <w:tcW w:w="7340" w:type="dxa"/>
            <w:vAlign w:val="bottom"/>
            <w:gridSpan w:val="11"/>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9"/>
              </w:rPr>
              <w:t>FORMS OF SECURITIES</w:t>
            </w:r>
          </w:p>
        </w:tc>
        <w:tc>
          <w:tcPr>
            <w:tcW w:w="7860" w:type="dxa"/>
            <w:vAlign w:val="bottom"/>
            <w:gridSpan w:val="14"/>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Arial" w:cs="Arial" w:eastAsia="Arial" w:hAnsi="Arial"/>
                <w:sz w:val="18"/>
                <w:szCs w:val="18"/>
                <w:color w:val="0000EE"/>
              </w:rPr>
              <w:t>PLAN OF DISTRIBUTION</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3"/>
          </w:tcPr>
          <w:p>
            <w:pPr>
              <w:spacing w:after="0"/>
              <w:rPr>
                <w:sz w:val="17"/>
                <w:szCs w:val="17"/>
                <w:color w:val="auto"/>
              </w:rPr>
            </w:pPr>
          </w:p>
        </w:tc>
        <w:tc>
          <w:tcPr>
            <w:tcW w:w="7860" w:type="dxa"/>
            <w:vAlign w:val="bottom"/>
            <w:gridSpan w:val="14"/>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7"/>
              </w:rPr>
              <w:t>EXPERTS</w:t>
            </w:r>
          </w:p>
        </w:tc>
        <w:tc>
          <w:tcPr>
            <w:tcW w:w="9100" w:type="dxa"/>
            <w:vAlign w:val="bottom"/>
            <w:gridSpan w:val="23"/>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60"/>
          </w:cols>
          <w:pgMar w:left="320" w:top="446"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document is part of a registration statement that we filed with the Securities and Exchange Commission, or the SEC, utilizing a “shelf” registration process and consists of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80" w:lineRule="exact"/>
        <w:rPr>
          <w:sz w:val="20"/>
          <w:szCs w:val="20"/>
          <w:color w:val="auto"/>
        </w:rPr>
      </w:pPr>
    </w:p>
    <w:p>
      <w:pPr>
        <w:ind w:left="120" w:right="180" w:firstLine="551"/>
        <w:spacing w:after="0" w:line="242"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9"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0"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Unless the context otherwise indicates, references in this prospectus supplement to “Fulcrum” “we,” “our,” “us” and “the Company” refer, collectively, to Fulcrum Therapeutics, Inc., a Delaware corporation and its consolidated subsidiary.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14"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this prospectus supplement, the accompanying base prospectus and in the documents we incorporate by reference. This summary is not complete and does not contain all of the information that you should consider before making an investment decision. You should read this entire prospectus carefully, especially the risks of investing in our common stock discussed under “Risk Factors” beginning on page S-11 of this prospectus supplement and page 2 of the accompanying base prospectus, along with our consolidated financial statements and notes to those consolidated financial statements and the other documents incorporated by reference in this prospectus supplement, along with any free writing prospectus that we have authorized for use in connection with this offering.</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ind w:left="300" w:firstLine="532"/>
        <w:spacing w:after="0" w:line="244" w:lineRule="auto"/>
        <w:rPr>
          <w:sz w:val="20"/>
          <w:szCs w:val="20"/>
          <w:color w:val="auto"/>
        </w:rPr>
      </w:pPr>
      <w:r>
        <w:rPr>
          <w:rFonts w:ascii="Arial" w:cs="Arial" w:eastAsia="Arial" w:hAnsi="Arial"/>
          <w:sz w:val="18"/>
          <w:szCs w:val="18"/>
          <w:color w:val="auto"/>
        </w:rPr>
        <w:t>We are a clinical-stage biopharmaceutical company focused on improving the lives of patients with genetically defined rare diseases in areas of high unmet medical need. Our most advanced product candidate, losmapimod, is in development to treat the root cause of facioscapulohumeral muscular dystrophy, or FSHD. We initiated REACH, a randomized, double-blind, placebo-controlled, multi-national Phase 3 clinical trial of losmapimod, our product candidate for FSHD, in the second quarter of 2022 and plan to complete enrollment in the second half of 2023.</w:t>
      </w:r>
    </w:p>
    <w:p>
      <w:pPr>
        <w:spacing w:after="0" w:line="176" w:lineRule="exact"/>
        <w:rPr>
          <w:sz w:val="20"/>
          <w:szCs w:val="20"/>
          <w:color w:val="auto"/>
        </w:rPr>
      </w:pPr>
    </w:p>
    <w:p>
      <w:pPr>
        <w:ind w:left="300" w:right="80" w:firstLine="532"/>
        <w:spacing w:after="0"/>
        <w:rPr>
          <w:sz w:val="20"/>
          <w:szCs w:val="20"/>
          <w:color w:val="auto"/>
        </w:rPr>
      </w:pPr>
      <w:r>
        <w:rPr>
          <w:rFonts w:ascii="Arial" w:cs="Arial" w:eastAsia="Arial" w:hAnsi="Arial"/>
          <w:sz w:val="18"/>
          <w:szCs w:val="18"/>
          <w:color w:val="auto"/>
        </w:rPr>
        <w:t>In October 2022, we presented data through 96 weeks from the open label extension portion of our randomized, double-blind, placebo-controlled, multicenter, international Phase 2b clinical trial of losmapimod, referred to as ReDUX4. Data presented indicated that patients in the initial treatment-arm who continued to receive losmapimod demonstrated maintenance of effect through 96-weeks as measured by reachable workspace, or RWS, mean change from baseline. RWS is a measure of function that assesses upper extremity range of motion and has been shown to be an important measure of independence. Additionally, patients who crossed over from placebo to losmapimod after the initial 48-week trial period showed improvement and slowing of disease progression as measured by RWS mean change from baseline. Losmapimod continued to demonstrate an encouraging safety profile and was generally well tolerated.</w:t>
      </w:r>
    </w:p>
    <w:p>
      <w:pPr>
        <w:spacing w:after="0" w:line="180" w:lineRule="exact"/>
        <w:rPr>
          <w:sz w:val="20"/>
          <w:szCs w:val="20"/>
          <w:color w:val="auto"/>
        </w:rPr>
      </w:pPr>
    </w:p>
    <w:p>
      <w:pPr>
        <w:jc w:val="both"/>
        <w:ind w:left="300" w:right="240" w:firstLine="532"/>
        <w:spacing w:after="0" w:line="244" w:lineRule="auto"/>
        <w:rPr>
          <w:sz w:val="20"/>
          <w:szCs w:val="20"/>
          <w:color w:val="auto"/>
        </w:rPr>
      </w:pPr>
      <w:r>
        <w:rPr>
          <w:rFonts w:ascii="Arial" w:cs="Arial" w:eastAsia="Arial" w:hAnsi="Arial"/>
          <w:sz w:val="18"/>
          <w:szCs w:val="18"/>
          <w:color w:val="auto"/>
        </w:rPr>
        <w:t>Our other clinical product candidate is FTX-6058, which is being developed for the treatment of certain hemoglobinopathies, including sickle cell disease, or SCD. In June 2022, we announced clinical proof-of-concept data from the ongoing Phase 1b trial of FTX-6058 for the treatment of SCD and in January 2023 announced additional Phase 1b data from subjects in the 6 mg and 2 mg dose cohorts, each of which completed enrollment. Additionally, we have commenced enrollment in the 12 mg dose cohort and we plan to complete the study and select a dose for our planned registrational study during the fourth quarter of 2023.</w:t>
      </w:r>
    </w:p>
    <w:p>
      <w:pPr>
        <w:spacing w:after="0" w:line="176" w:lineRule="exact"/>
        <w:rPr>
          <w:sz w:val="20"/>
          <w:szCs w:val="20"/>
          <w:color w:val="auto"/>
        </w:rPr>
      </w:pPr>
    </w:p>
    <w:p>
      <w:pPr>
        <w:ind w:left="300" w:right="20" w:firstLine="532"/>
        <w:spacing w:after="0"/>
        <w:rPr>
          <w:sz w:val="20"/>
          <w:szCs w:val="20"/>
          <w:color w:val="auto"/>
        </w:rPr>
      </w:pPr>
      <w:r>
        <w:rPr>
          <w:rFonts w:ascii="Arial" w:cs="Arial" w:eastAsia="Arial" w:hAnsi="Arial"/>
          <w:sz w:val="18"/>
          <w:szCs w:val="18"/>
          <w:color w:val="auto"/>
        </w:rPr>
        <w:t>We have developed a proprietary product engine, FulcrumSeek, that we employ to systematically identify and validate cellular drug targets that can potentially modulate gene expression to treat the known root cause of genetically defined diseases. Our product engine integrates patient-derived tissue- and disease-relevant cell models that we interrogate using our pharmacologically diverse and highly annotated small-molecule compound library and our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 We expect to submit our next investigational new drug, or IND, application in 2023.</w:t>
      </w:r>
    </w:p>
    <w:p>
      <w:pPr>
        <w:spacing w:after="0" w:line="180" w:lineRule="exact"/>
        <w:rPr>
          <w:sz w:val="20"/>
          <w:szCs w:val="20"/>
          <w:color w:val="auto"/>
        </w:rPr>
      </w:pPr>
    </w:p>
    <w:p>
      <w:pPr>
        <w:ind w:left="300" w:right="140" w:firstLine="532"/>
        <w:spacing w:after="0" w:line="253" w:lineRule="auto"/>
        <w:rPr>
          <w:sz w:val="20"/>
          <w:szCs w:val="20"/>
          <w:color w:val="auto"/>
        </w:rPr>
      </w:pPr>
      <w:r>
        <w:rPr>
          <w:rFonts w:ascii="Arial" w:cs="Arial" w:eastAsia="Arial" w:hAnsi="Arial"/>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spacing w:after="0" w:line="266" w:lineRule="auto"/>
        <w:rPr>
          <w:sz w:val="20"/>
          <w:szCs w:val="20"/>
          <w:color w:val="auto"/>
        </w:rPr>
      </w:pPr>
      <w:r>
        <w:rPr>
          <w:rFonts w:ascii="Arial" w:cs="Arial" w:eastAsia="Arial" w:hAnsi="Arial"/>
          <w:sz w:val="17"/>
          <w:szCs w:val="17"/>
          <w:color w:val="auto"/>
        </w:rPr>
        <w:t>commercialization of one or more of our product candidates. Our net losses were $ 23.7 million and $83.7 million for the three and nine months ended September 30, 2022, respectively, and $20.7 million and $57.4 million for the three and nine months ended September 30, 2021, respectively. As of September 30, 2022, we had an accumulated deficit of $386.2 million. We expect our expenses and operating losses will increase substantially over the next several years in connection with our ongoing activities.</w:t>
      </w: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Product Candidates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Losmapimod</w:t>
      </w:r>
    </w:p>
    <w:p>
      <w:pPr>
        <w:spacing w:after="0" w:line="102" w:lineRule="exact"/>
        <w:rPr>
          <w:sz w:val="20"/>
          <w:szCs w:val="20"/>
          <w:color w:val="auto"/>
        </w:rPr>
      </w:pPr>
    </w:p>
    <w:p>
      <w:pPr>
        <w:ind w:left="300" w:right="100" w:firstLine="532"/>
        <w:spacing w:after="0" w:line="242" w:lineRule="auto"/>
        <w:rPr>
          <w:sz w:val="20"/>
          <w:szCs w:val="20"/>
          <w:color w:val="auto"/>
        </w:rPr>
      </w:pPr>
      <w:r>
        <w:rPr>
          <w:rFonts w:ascii="Arial" w:cs="Arial" w:eastAsia="Arial" w:hAnsi="Arial"/>
          <w:sz w:val="18"/>
          <w:szCs w:val="18"/>
          <w:color w:val="auto"/>
        </w:rPr>
        <w:t>Our most advanced product candidate, losmapimod, is a small molecule that we are developing for the treatment of FSHD, a rare, progressive and disabling disorder characterized by muscle degeneration and fat infiltration. Disease progression results in the accumulation of disability with many patients ultimately becoming dependent on wheelchairs and losing independence as their ability to perform activities of daily living decreases. The aberrant expression of the DUX4 gene is the known root cause of FSHD. We utilized our product engine to discover that inhibition of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reduced expression of the DUX4 gene in muscle cells derived from patients with FSHD. Our losmapimod selectively targets and inhibits activity of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mitogen activated protein kinase, or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There are no approved therapies for FSHD, one of the most common forms of muscular dystrophy, with an estimated patient population of 16,000 to 38,000 in the United States and 300,000 to 780,000 globally. Losmapimod has received orphan drug designation from both the U.S. Food and Drug Administration, or FDA, and the European Medicines Agency, or EMA, for the treatment of FSHD, and in April 2021, received fast track designation from the FDA.</w:t>
      </w:r>
    </w:p>
    <w:p>
      <w:pPr>
        <w:spacing w:after="0" w:line="179" w:lineRule="exact"/>
        <w:rPr>
          <w:sz w:val="20"/>
          <w:szCs w:val="20"/>
          <w:color w:val="auto"/>
        </w:rPr>
      </w:pPr>
    </w:p>
    <w:p>
      <w:pPr>
        <w:ind w:left="300" w:right="100" w:firstLine="532"/>
        <w:spacing w:after="0" w:line="241" w:lineRule="auto"/>
        <w:rPr>
          <w:sz w:val="20"/>
          <w:szCs w:val="20"/>
          <w:color w:val="auto"/>
        </w:rPr>
      </w:pPr>
      <w:r>
        <w:rPr>
          <w:rFonts w:ascii="Arial" w:cs="Arial" w:eastAsia="Arial" w:hAnsi="Arial"/>
          <w:sz w:val="18"/>
          <w:szCs w:val="18"/>
          <w:color w:val="auto"/>
        </w:rPr>
        <w:t>Following our discovery of the role of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inhibitors in the reduction of DUX4 expression in preclinical models of FSHD, we performed an extensive review of known compounds. As a result of our evaluation, we identified losmapimod as the preferred developmental candidate based on the substantial and attractive preclinical and clinical data. We in-licensed losmapimod from affiliates of GlaxoSmithKline plc, or GSK, in February 2019. GSK had previously administered losmapimod to nearly 3,500 subjects across multiple clinical trials, including one Phase 3 clinical trial, and losmapimod was generally well-tolerated across these studies. GSK did not conduct a clinical trial of losmapimod in patients with FSHD or any other muscle disorder. We conducted extensive preclinical testing of losmapimod in patient-derived, tissue-relevant cell models and observed that losmapimod selectively reduced DUX4-driven gene expression and restored a healthy gene expression signature with minimal impact on healthy human muscle cells or other cell types.</w:t>
      </w:r>
    </w:p>
    <w:p>
      <w:pPr>
        <w:spacing w:after="0" w:line="181" w:lineRule="exact"/>
        <w:rPr>
          <w:sz w:val="20"/>
          <w:szCs w:val="20"/>
          <w:color w:val="auto"/>
        </w:rPr>
      </w:pPr>
    </w:p>
    <w:p>
      <w:pPr>
        <w:ind w:left="300" w:right="60" w:firstLine="532"/>
        <w:spacing w:after="0" w:line="257" w:lineRule="auto"/>
        <w:rPr>
          <w:sz w:val="20"/>
          <w:szCs w:val="20"/>
          <w:color w:val="auto"/>
        </w:rPr>
      </w:pPr>
      <w:r>
        <w:rPr>
          <w:rFonts w:ascii="Arial" w:cs="Arial" w:eastAsia="Arial" w:hAnsi="Arial"/>
          <w:sz w:val="17"/>
          <w:szCs w:val="17"/>
          <w:color w:val="auto"/>
        </w:rPr>
        <w:t>We conducted a randomized, double-blind, placebo-controlled, multicenter, international Phase 2b clinical trial, referred to as ReDUX4, to evaluate losmapimod in 80 patients with FSHD. In this Phase 2b clinical trial, the primary endpoint was change in DUX4-driven gene expression, an experimental molecular biomarker. Secondary endpoints included evaluation of safety and tolerability, pharmacokinetics in blood, as well as measures of muscle health, structure and function, including muscle fat infiltration, or MFI, reachable workspace, or RWS, and patient-reported outcomes. Concurrently, we initiated a single-center open label Phase 2 clinical trial to investigate the safety and tolerability of chronic treatment with losmapimod in patients with FSHD. In the ongoing extension of the open label trial, we are also evaluating measures of muscle function, muscle strength, and patient reported quality of life.</w:t>
      </w:r>
    </w:p>
    <w:p>
      <w:pPr>
        <w:spacing w:after="0" w:line="168" w:lineRule="exact"/>
        <w:rPr>
          <w:sz w:val="20"/>
          <w:szCs w:val="20"/>
          <w:color w:val="auto"/>
        </w:rPr>
      </w:pPr>
    </w:p>
    <w:p>
      <w:pPr>
        <w:jc w:val="both"/>
        <w:ind w:left="300" w:firstLine="532"/>
        <w:spacing w:after="0" w:line="253" w:lineRule="auto"/>
        <w:rPr>
          <w:sz w:val="20"/>
          <w:szCs w:val="20"/>
          <w:color w:val="auto"/>
        </w:rPr>
      </w:pPr>
      <w:r>
        <w:rPr>
          <w:rFonts w:ascii="Arial" w:cs="Arial" w:eastAsia="Arial" w:hAnsi="Arial"/>
          <w:sz w:val="18"/>
          <w:szCs w:val="18"/>
          <w:color w:val="auto"/>
        </w:rPr>
        <w:t>We presented the full data from the ReDUX4 trial in June 2021. While the primary endpoint was not met, results demonstrated clinically relevant benefits versus placebo on multiple measures of muscle health and function as well as patient reported outcomes at 48 weeks. Losmapimod-treated participants showed decreased progression of MFI as measured in intermediate muscles, which are</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67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7"/>
          <w:szCs w:val="17"/>
          <w:color w:val="auto"/>
        </w:rPr>
        <w:t>muscles already affected by disease and most likely to show signs of disease progression. Normal appearing muscles appeared to be preserved in the losmapimod group versus placebo. Treatment with losmapimod was shown to slow the rate of decline and improve accessible surface area in RWS, which is a measure of function that assesses upper extremity range of motion and has been shown to be an important measure of independence. Additionally, patients reported feeling better when treated with losmapimod compared to placebo through the Patient Global Impression of Change, or PGIC, assessment. PGIC is a measure of self-reported change in how a patient feels and functions. Losmapimod was generally well-tolerated, with no drug-related serious adverse events reported.</w:t>
      </w:r>
    </w:p>
    <w:p>
      <w:pPr>
        <w:spacing w:after="0" w:line="165" w:lineRule="exact"/>
        <w:rPr>
          <w:sz w:val="20"/>
          <w:szCs w:val="20"/>
          <w:color w:val="auto"/>
        </w:rPr>
      </w:pPr>
    </w:p>
    <w:p>
      <w:pPr>
        <w:ind w:left="300" w:right="20" w:firstLine="532"/>
        <w:spacing w:after="0" w:line="238" w:lineRule="auto"/>
        <w:rPr>
          <w:sz w:val="20"/>
          <w:szCs w:val="20"/>
          <w:color w:val="auto"/>
        </w:rPr>
      </w:pPr>
      <w:r>
        <w:rPr>
          <w:rFonts w:ascii="Arial" w:cs="Arial" w:eastAsia="Arial" w:hAnsi="Arial"/>
          <w:sz w:val="18"/>
          <w:szCs w:val="18"/>
          <w:color w:val="auto"/>
        </w:rPr>
        <w:t>Based on the ReDUX4 data, we engaged with external experts, U.S. and EU regulatory agencies, including FDA, to address key aspects of the design of a Phase 3 trial. We initiated our Phase 3 trial, REACH, in the second quarter of 2022. REACH is a randomized, double-blind, placebo-controlled, multi-national trial to evaluate the efficacy and safety of losmapimod for the treatment of FSHD. The trial is expected to enroll approximately 230 adults with FSHD and enrolled its first patient in June 2022. Patients will be randomized 1:1 to receive either losmapimod, administered orally as a 15 mg tablet twice a day, or placebo, and evaluated over a</w:t>
      </w:r>
    </w:p>
    <w:p>
      <w:pPr>
        <w:spacing w:after="0" w:line="4" w:lineRule="exact"/>
        <w:rPr>
          <w:sz w:val="20"/>
          <w:szCs w:val="20"/>
          <w:color w:val="auto"/>
        </w:rPr>
      </w:pPr>
    </w:p>
    <w:p>
      <w:pPr>
        <w:ind w:left="300" w:right="40"/>
        <w:spacing w:after="0" w:line="239" w:lineRule="auto"/>
        <w:rPr>
          <w:sz w:val="20"/>
          <w:szCs w:val="20"/>
          <w:color w:val="auto"/>
        </w:rPr>
      </w:pPr>
      <w:r>
        <w:rPr>
          <w:rFonts w:ascii="Arial" w:cs="Arial" w:eastAsia="Arial" w:hAnsi="Arial"/>
          <w:sz w:val="18"/>
          <w:szCs w:val="18"/>
          <w:color w:val="auto"/>
        </w:rPr>
        <w:t>48-week treatment period. The primary endpoint is RWS, which is the absolute change from baseline in total RSA Q1-Q5 with 500 g wrist weight in the dominant arm at Week 48. Secondary endpoints include MFI, PGIC, Quality of Life in Neurological Disorders of the upper extremity, or Neuro QoL UE and safety and tolerability, based on assessment of adverse events, serious adverse events, clinically significant laboratory test abnormalities, electrocardiograms and vital signs. The trial will also include patient-reported assessments of healthcare utilization.</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FTX-6058</w:t>
      </w:r>
    </w:p>
    <w:p>
      <w:pPr>
        <w:spacing w:after="0" w:line="102" w:lineRule="exact"/>
        <w:rPr>
          <w:sz w:val="20"/>
          <w:szCs w:val="20"/>
          <w:color w:val="auto"/>
        </w:rPr>
      </w:pPr>
    </w:p>
    <w:p>
      <w:pPr>
        <w:ind w:left="300" w:right="40" w:firstLine="532"/>
        <w:spacing w:after="0" w:line="247" w:lineRule="auto"/>
        <w:rPr>
          <w:sz w:val="20"/>
          <w:szCs w:val="20"/>
          <w:color w:val="auto"/>
        </w:rPr>
      </w:pPr>
      <w:r>
        <w:rPr>
          <w:rFonts w:ascii="Arial" w:cs="Arial" w:eastAsia="Arial" w:hAnsi="Arial"/>
          <w:sz w:val="18"/>
          <w:szCs w:val="18"/>
          <w:color w:val="auto"/>
        </w:rPr>
        <w:t>Our product candidate, FTX-6058, is an investigational oral fetal hemoglobin, or HbF, inducer that is in development for SCD and select other hemoglobinopathies, including ß-thalassemia. FTX-6058 is designed to bind to embryonic ectoderm development, or EED, and inhibit the transcriptional silencing activity of the polycomb repressive complex 2, or PRC2. By doing so, preclinical studies have shown that FTX-6058 downregulates key HbF repressors, including BCL11A and MYB, and upregulates HbF.</w:t>
      </w:r>
    </w:p>
    <w:p>
      <w:pPr>
        <w:spacing w:after="0" w:line="174" w:lineRule="exact"/>
        <w:rPr>
          <w:sz w:val="20"/>
          <w:szCs w:val="20"/>
          <w:color w:val="auto"/>
        </w:rPr>
      </w:pPr>
    </w:p>
    <w:p>
      <w:pPr>
        <w:ind w:left="300" w:right="20" w:firstLine="532"/>
        <w:spacing w:after="0"/>
        <w:rPr>
          <w:sz w:val="20"/>
          <w:szCs w:val="20"/>
          <w:color w:val="auto"/>
        </w:rPr>
      </w:pPr>
      <w:r>
        <w:rPr>
          <w:rFonts w:ascii="Arial" w:cs="Arial" w:eastAsia="Arial" w:hAnsi="Arial"/>
          <w:sz w:val="18"/>
          <w:szCs w:val="18"/>
          <w:color w:val="auto"/>
        </w:rPr>
        <w:t xml:space="preserve">SCD is a genetic blood disorder caused by a mutation in the ß-subunit gene, or HBB gene. This mutation results in the formation of abnormal hemoglobin, or HbS, which causes red blood cells, or RBCs, to change from a round shape into a sickle shape that significantly impairs their function. ß-thalassemia is a rare blood disorder caused by various genetic mutations in the HBB gene that can significantly impair the production of hemoglobin and RBCs. We designed FTX-6058 to compensate for the root cause of these hemoglobinopathies by inducing the expression of the two </w:t>
      </w:r>
      <w:r>
        <w:rPr>
          <w:rFonts w:ascii="Times New Roman" w:cs="Times New Roman" w:eastAsia="Times New Roman" w:hAnsi="Times New Roman"/>
          <w:sz w:val="18"/>
          <w:szCs w:val="18"/>
          <w:color w:val="auto"/>
        </w:rPr>
        <w:t>g</w:t>
      </w:r>
      <w:r>
        <w:rPr>
          <w:rFonts w:ascii="Arial" w:cs="Arial" w:eastAsia="Arial" w:hAnsi="Arial"/>
          <w:sz w:val="18"/>
          <w:szCs w:val="18"/>
          <w:color w:val="auto"/>
        </w:rPr>
        <w:t xml:space="preserve">-globin genes, HBG1/2, whose expression is normally silenced shortly after birth. The HBG1/2 genes encode for </w:t>
      </w:r>
      <w:r>
        <w:rPr>
          <w:rFonts w:ascii="Times New Roman" w:cs="Times New Roman" w:eastAsia="Times New Roman" w:hAnsi="Times New Roman"/>
          <w:sz w:val="18"/>
          <w:szCs w:val="18"/>
          <w:color w:val="auto"/>
        </w:rPr>
        <w:t>g</w:t>
      </w:r>
      <w:r>
        <w:rPr>
          <w:rFonts w:ascii="Arial" w:cs="Arial" w:eastAsia="Arial" w:hAnsi="Arial"/>
          <w:sz w:val="18"/>
          <w:szCs w:val="18"/>
          <w:color w:val="auto"/>
        </w:rPr>
        <w:t xml:space="preserve">-globin, a component of HbF, which is known to repair the abnormal RBC shape in SCD and to compensate for the presence of HbS in SCD and ß-thalassemia. We have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activation of the HBG1/2 genes in preclinical studies with FTX-6058. We have also observed that FTX-6058 demonstrated robust levels of HbF elevation with no adverse effects on important cellular health markers. We conducted additional pre-clinical profiling in CD34+ derived cells and observed that treatment with FTX-6058 increased HbF levels to approximately 30% of total hemoglobin, as measured by mass spectrometry, high performance liquid chromatography, or HPLC, and fast protein liquid chromatography techniques. The elevation of HbF was significantly greater than we observed with hydroxyurea in the cell models.</w:t>
      </w:r>
    </w:p>
    <w:p>
      <w:pPr>
        <w:spacing w:after="0" w:line="188" w:lineRule="exact"/>
        <w:rPr>
          <w:sz w:val="20"/>
          <w:szCs w:val="20"/>
          <w:color w:val="auto"/>
        </w:rPr>
      </w:pPr>
    </w:p>
    <w:p>
      <w:pPr>
        <w:ind w:left="300" w:right="120" w:firstLine="532"/>
        <w:spacing w:after="0" w:line="253" w:lineRule="auto"/>
        <w:rPr>
          <w:sz w:val="20"/>
          <w:szCs w:val="20"/>
          <w:color w:val="auto"/>
        </w:rPr>
      </w:pPr>
      <w:r>
        <w:rPr>
          <w:rFonts w:ascii="Arial" w:cs="Arial" w:eastAsia="Arial" w:hAnsi="Arial"/>
          <w:sz w:val="18"/>
          <w:szCs w:val="18"/>
          <w:color w:val="auto"/>
        </w:rPr>
        <w:t>We initiated a Phase 1b clinical trial of FTX-6058 in people with SCD in the fourth quarter of 2021, with the aim of establishing early proof of concept in SCD. The open label trial is designed to assess safety, tolerability and pharmacokinetics and pharmacodynamic effects, including HbF protein</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24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1" w:lineRule="auto"/>
        <w:rPr>
          <w:sz w:val="20"/>
          <w:szCs w:val="20"/>
          <w:color w:val="auto"/>
        </w:rPr>
      </w:pPr>
      <w:r>
        <w:rPr>
          <w:rFonts w:ascii="Arial" w:cs="Arial" w:eastAsia="Arial" w:hAnsi="Arial"/>
          <w:sz w:val="18"/>
          <w:szCs w:val="18"/>
          <w:color w:val="auto"/>
        </w:rPr>
        <w:t>induction of up to three doses, starting with 6 mg once daily dose, to inform dose selection for future development. Each dose cohort will have up to 10 patients who will be treated for up to three months.</w:t>
      </w:r>
    </w:p>
    <w:p>
      <w:pPr>
        <w:spacing w:after="0" w:line="154" w:lineRule="exact"/>
        <w:rPr>
          <w:sz w:val="20"/>
          <w:szCs w:val="20"/>
          <w:color w:val="auto"/>
        </w:rPr>
      </w:pPr>
    </w:p>
    <w:p>
      <w:pPr>
        <w:ind w:left="300" w:firstLine="532"/>
        <w:spacing w:after="0" w:line="257" w:lineRule="auto"/>
        <w:rPr>
          <w:sz w:val="20"/>
          <w:szCs w:val="20"/>
          <w:color w:val="auto"/>
        </w:rPr>
      </w:pPr>
      <w:r>
        <w:rPr>
          <w:rFonts w:ascii="Arial" w:cs="Arial" w:eastAsia="Arial" w:hAnsi="Arial"/>
          <w:sz w:val="17"/>
          <w:szCs w:val="17"/>
          <w:color w:val="auto"/>
        </w:rPr>
        <w:t>In June 2022, we announced clinical proof-of-concept data from the ongoing Phase 1b trial of FTX-6058 for the treatment of SCD. The first cohort of the Phase 1b study enrolled six of up to ten subjects. These six subjects (none on background hydroxyurea) received at least one 6 mg dose of FTX-6058 and all were included in the safety analyses. As of the data cut-off on May 25, 2022, three subjects were evaluable at day 28 and beyond for increases in HbF. Three subjects were not evaluated due to non-adherence or protocol deviation, as specified in the statistical analysis plan. In January 2023, we announced additional Phase 1b data from subjects in the 6 mg dose cohort, as well as completion of enrollment in the 6 mg and 2 mg dose cohorts and commencement of enrollment in the 12 mg dose cohort. We are evaluating patients both on and off hydroxyurea in the Phase 1b study.</w:t>
      </w:r>
    </w:p>
    <w:p>
      <w:pPr>
        <w:spacing w:after="0" w:line="168" w:lineRule="exact"/>
        <w:rPr>
          <w:sz w:val="20"/>
          <w:szCs w:val="20"/>
          <w:color w:val="auto"/>
        </w:rPr>
      </w:pPr>
    </w:p>
    <w:p>
      <w:pPr>
        <w:ind w:left="300" w:right="100" w:firstLine="532"/>
        <w:spacing w:after="0" w:line="247" w:lineRule="auto"/>
        <w:rPr>
          <w:sz w:val="20"/>
          <w:szCs w:val="20"/>
          <w:color w:val="auto"/>
        </w:rPr>
      </w:pPr>
      <w:r>
        <w:rPr>
          <w:rFonts w:ascii="Arial" w:cs="Arial" w:eastAsia="Arial" w:hAnsi="Arial"/>
          <w:sz w:val="18"/>
          <w:szCs w:val="18"/>
          <w:color w:val="auto"/>
        </w:rPr>
        <w:t>Phase 1b data from subjects in the 6 mg dose cohort (n=10) showed up to 9.5% absolute HbF increases from baseline; data suggest no difference in response in subjects on (n=3) and off (n=7) background hydroxyurea. We also observed improved biomarkers of hemolysis in evaluable patients dosed at 6 mg. The figures below illustrate percentage HbF increase by HPLC and absolute percentage HbF change from baseline for evaluable subjects in the 6 mg dose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represents last dose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subjects also on hydroxyurea</w:t>
      </w:r>
    </w:p>
    <w:p>
      <w:pPr>
        <w:spacing w:after="0" w:line="3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820"/>
          </w:cols>
          <w:pgMar w:left="320" w:top="455" w:right="7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firstLine="532"/>
        <w:spacing w:after="0" w:line="261" w:lineRule="auto"/>
        <w:rPr>
          <w:sz w:val="20"/>
          <w:szCs w:val="20"/>
          <w:color w:val="auto"/>
        </w:rPr>
      </w:pPr>
      <w:r>
        <w:rPr>
          <w:rFonts w:ascii="Arial" w:cs="Arial" w:eastAsia="Arial" w:hAnsi="Arial"/>
          <w:sz w:val="17"/>
          <w:szCs w:val="17"/>
          <w:color w:val="auto"/>
        </w:rPr>
        <w:t>Increases in HbF have been shown to reduce the frequency or severity of a broad range of SCD symptoms, including vaso-occlusive crises, or VOC, anemia, pain, infection, stroke and others. Based on a large body of genetic, clinical, and observational evidence showing the effects of higher levels of HbF in people with SCD, the induction of HbF by 5-10% over baseline could be associated with reduced disease burden and improved clinical outcomes. We believe these initial data showing that FTX-6058 increases HbF levels by up to 6.3% support its potential to become a transformative therapy for people living with SCD.</w:t>
      </w:r>
    </w:p>
    <w:p>
      <w:pPr>
        <w:spacing w:after="0" w:line="166" w:lineRule="exact"/>
        <w:rPr>
          <w:sz w:val="20"/>
          <w:szCs w:val="20"/>
          <w:color w:val="auto"/>
        </w:rPr>
      </w:pPr>
    </w:p>
    <w:p>
      <w:pPr>
        <w:ind w:left="300" w:right="60" w:firstLine="532"/>
        <w:spacing w:after="0" w:line="244" w:lineRule="auto"/>
        <w:rPr>
          <w:sz w:val="20"/>
          <w:szCs w:val="20"/>
          <w:color w:val="auto"/>
        </w:rPr>
      </w:pPr>
      <w:r>
        <w:rPr>
          <w:rFonts w:ascii="Arial" w:cs="Arial" w:eastAsia="Arial" w:hAnsi="Arial"/>
          <w:sz w:val="18"/>
          <w:szCs w:val="18"/>
          <w:color w:val="auto"/>
        </w:rPr>
        <w:t>FTX-6058 was generally well-tolerated in the cohorts. There have been 14 treatment emergent adverse effects, or TEAEs, reported to date, two of which were reported as possibly related to study drug (headache, lip numbness), neither of which were severe and were deemed non-serious. There have been no discontinuations due to TEAEs. Two of the 14 TEAEs were characterized as VOCs, and were deemed unrelated to FTX-6058, one of which was reported as a serious adverse event, or SAE, with acute chest syndrome in a non-adherent subject.</w:t>
      </w:r>
    </w:p>
    <w:p>
      <w:pPr>
        <w:spacing w:after="0" w:line="176" w:lineRule="exact"/>
        <w:rPr>
          <w:sz w:val="20"/>
          <w:szCs w:val="20"/>
          <w:color w:val="auto"/>
        </w:rPr>
      </w:pPr>
    </w:p>
    <w:p>
      <w:pPr>
        <w:ind w:left="300" w:right="60" w:firstLine="532"/>
        <w:spacing w:after="0" w:line="271" w:lineRule="auto"/>
        <w:rPr>
          <w:sz w:val="20"/>
          <w:szCs w:val="20"/>
          <w:color w:val="auto"/>
        </w:rPr>
      </w:pPr>
      <w:r>
        <w:rPr>
          <w:rFonts w:ascii="Arial" w:cs="Arial" w:eastAsia="Arial" w:hAnsi="Arial"/>
          <w:sz w:val="18"/>
          <w:szCs w:val="18"/>
          <w:color w:val="auto"/>
        </w:rPr>
        <w:t>We are currently enrolling additional patients at the 12 mg dose cohort, including patients both on and off hydroxyurea, and we plan to complete the study and select a dose for our planned registrational study during the fourth quarter of 2023.</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December 2022, we received Fast Track Designation from the FDA for the treatment of SCD.</w:t>
      </w:r>
    </w:p>
    <w:p>
      <w:pPr>
        <w:spacing w:after="0" w:line="32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Discovery and Collaborations</w:t>
      </w:r>
    </w:p>
    <w:p>
      <w:pPr>
        <w:spacing w:after="0" w:line="212"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According to the National Institutes of Health, there are approximately 7,000 rare, genetically defined human diseases, many of which have inadequate or no approved treatments. Our current drug target identification and development efforts are focused on rare muscular, hematologic and neurologic, disorders. We also anticipate utilizing FulcrumSeek to discover drug targets for genetically defined diseases in other therapeutic areas and for other disorders. In addition to drug targets that we prioritize for internal development, we may identify other drug targets that we would consider for development through partnerships. For example, we are currently utilizing FulcrumSeek to discover drug targets for the potential treatment of certain genetically defined cardiomyopathies under our collaboration and license agreement with a wholly-owned subsidiary of Bristol-Myers Squibb Company, or BMS, and have entered into other collaboration and license agreements in the past and may do so in the future.</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300" w:right="380" w:firstLine="532"/>
        <w:spacing w:after="0" w:line="271" w:lineRule="auto"/>
        <w:rPr>
          <w:sz w:val="20"/>
          <w:szCs w:val="20"/>
          <w:color w:val="auto"/>
        </w:rPr>
      </w:pPr>
      <w:r>
        <w:rPr>
          <w:rFonts w:ascii="Arial" w:cs="Arial" w:eastAsia="Arial" w:hAnsi="Arial"/>
          <w:sz w:val="18"/>
          <w:szCs w:val="18"/>
          <w:color w:val="auto"/>
        </w:rPr>
        <w:t>Although we have not finalized our full financial results for the fourth quarter and fiscal year ended December 31, 2022, we expect to report that we had cash, cash equivalents and marketable securities of $202.9 million as of December 31, 2022.</w:t>
      </w:r>
    </w:p>
    <w:p>
      <w:pPr>
        <w:spacing w:after="0" w:line="154"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The estimated cash figure is preliminary and unaudited, represents a management estimate as of the date of this prospectus supplement and is subject to completion of our financial closing procedures. Additional information and disclosures would be required for a more complete understanding of our financial position and results of operations as of December 31, 2022. It is possible that we or our independent registered public accounting firm may identify items that require us to make adjustments to the preliminary estimated cash, cash equivalents and marketable securities balance set forth above and those changes could be material. Our independent registered public accounting firm has not conducted an audit or review of, and does not express an opinion or any other form of assurance with respect to, the estimated cash figure.</w:t>
      </w: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10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Corporate Information</w:t>
      </w:r>
    </w:p>
    <w:p>
      <w:pPr>
        <w:spacing w:after="0" w:line="212" w:lineRule="exact"/>
        <w:rPr>
          <w:sz w:val="20"/>
          <w:szCs w:val="20"/>
          <w:color w:val="auto"/>
        </w:rPr>
      </w:pPr>
    </w:p>
    <w:p>
      <w:pPr>
        <w:ind w:left="300" w:firstLine="532"/>
        <w:spacing w:after="0" w:line="259" w:lineRule="auto"/>
        <w:rPr>
          <w:sz w:val="20"/>
          <w:szCs w:val="20"/>
          <w:color w:val="auto"/>
        </w:rPr>
      </w:pPr>
      <w:r>
        <w:rPr>
          <w:rFonts w:ascii="Arial" w:cs="Arial" w:eastAsia="Arial" w:hAnsi="Arial"/>
          <w:sz w:val="17"/>
          <w:szCs w:val="17"/>
          <w:color w:val="auto"/>
        </w:rPr>
        <w:t>We were incorporated under the laws of the State of Delaware on August 18, 2015 under the name Fulcrum Therapeutics, Inc. Our principal executive offices are located at 26 Landsdowne Street, Cambridge, Massachusetts 02139, and our telephone number is</w:t>
      </w:r>
    </w:p>
    <w:p>
      <w:pPr>
        <w:spacing w:after="0" w:line="1" w:lineRule="exact"/>
        <w:rPr>
          <w:sz w:val="20"/>
          <w:szCs w:val="20"/>
          <w:color w:val="auto"/>
        </w:rPr>
      </w:pPr>
    </w:p>
    <w:p>
      <w:pPr>
        <w:ind w:left="300" w:right="120" w:hanging="2"/>
        <w:spacing w:after="0" w:line="242" w:lineRule="auto"/>
        <w:tabs>
          <w:tab w:leader="none" w:pos="770" w:val="left"/>
        </w:tabs>
        <w:numPr>
          <w:ilvl w:val="0"/>
          <w:numId w:val="2"/>
        </w:numPr>
        <w:rPr>
          <w:rFonts w:ascii="Arial" w:cs="Arial" w:eastAsia="Arial" w:hAnsi="Arial"/>
          <w:sz w:val="18"/>
          <w:szCs w:val="18"/>
          <w:color w:val="auto"/>
        </w:rPr>
      </w:pPr>
      <w:r>
        <w:rPr>
          <w:rFonts w:ascii="Arial" w:cs="Arial" w:eastAsia="Arial" w:hAnsi="Arial"/>
          <w:sz w:val="18"/>
          <w:szCs w:val="18"/>
          <w:color w:val="auto"/>
        </w:rPr>
        <w:t>651-8851. Our website address is http://www.fulcrumtx.com. The information contained on, or that can be accessed through, our website is not a part of this prospectus supplement. We have included our website address in this prospectus supplement solely as an inactive textual reference.</w:t>
      </w:r>
    </w:p>
    <w:p>
      <w:pPr>
        <w:spacing w:after="0" w:line="179" w:lineRule="exact"/>
        <w:rPr>
          <w:sz w:val="20"/>
          <w:szCs w:val="20"/>
          <w:color w:val="auto"/>
        </w:rPr>
      </w:pPr>
    </w:p>
    <w:p>
      <w:pPr>
        <w:ind w:left="300" w:right="80" w:firstLine="532"/>
        <w:spacing w:after="0" w:line="225" w:lineRule="auto"/>
        <w:rPr>
          <w:sz w:val="20"/>
          <w:szCs w:val="20"/>
          <w:color w:val="auto"/>
        </w:rPr>
      </w:pPr>
      <w:r>
        <w:rPr>
          <w:rFonts w:ascii="Arial" w:cs="Arial" w:eastAsia="Arial" w:hAnsi="Arial"/>
          <w:sz w:val="18"/>
          <w:szCs w:val="18"/>
          <w:color w:val="auto"/>
        </w:rPr>
        <w:t xml:space="preserve">We own or have rights to, or have applied for, trademarks, service marks and trade names that we use in connection with the operation of our business, including our corporate name, logos and website names. Other trademarks, service marks and trade names appearing in this prospectus supplement and the accompanying base prospectus are the property of their respective owners. Solely for convenience, some of the trademarks, service marks and trade names referred to in this prospectus supplement and the accompanying base prospectus are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Associated with Our Business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risks are more fully described in the section titled “Risk Factors” immediately following this prospectus supplement summary.</w:t>
      </w:r>
    </w:p>
    <w:p>
      <w:pPr>
        <w:ind w:left="300"/>
        <w:spacing w:after="0"/>
        <w:rPr>
          <w:sz w:val="20"/>
          <w:szCs w:val="20"/>
          <w:color w:val="auto"/>
        </w:rPr>
      </w:pPr>
      <w:r>
        <w:rPr>
          <w:rFonts w:ascii="Arial" w:cs="Arial" w:eastAsia="Arial" w:hAnsi="Arial"/>
          <w:sz w:val="18"/>
          <w:szCs w:val="18"/>
          <w:color w:val="auto"/>
        </w:rPr>
        <w:t>These risks include, among others, the following:</w:t>
      </w:r>
    </w:p>
    <w:p>
      <w:pPr>
        <w:spacing w:after="0" w:line="99" w:lineRule="exact"/>
        <w:rPr>
          <w:sz w:val="20"/>
          <w:szCs w:val="20"/>
          <w:color w:val="auto"/>
        </w:rPr>
      </w:pPr>
    </w:p>
    <w:p>
      <w:pPr>
        <w:ind w:left="1020" w:right="320" w:hanging="195"/>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$80.8 million for the year ended December 31, 2021 and $83.7 million for the nine months ended September 30, 2022. We expect to incur losses over the next several years and may never achieve or maintain profitability. As of September 30, 2022, we had an accumulated deficit of $386.2 million.</w:t>
      </w:r>
    </w:p>
    <w:p>
      <w:pPr>
        <w:spacing w:after="0" w:line="79" w:lineRule="exact"/>
        <w:rPr>
          <w:rFonts w:ascii="Arial" w:cs="Arial" w:eastAsia="Arial" w:hAnsi="Arial"/>
          <w:sz w:val="18"/>
          <w:szCs w:val="18"/>
          <w:color w:val="auto"/>
        </w:rPr>
      </w:pPr>
    </w:p>
    <w:p>
      <w:pPr>
        <w:ind w:left="1020" w:right="140" w:hanging="195"/>
        <w:spacing w:after="0" w:line="24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FTX-6058 and continue research and development and initiate additional clinical trials of, and seek regulatory approval for, these and other product candidates.</w:t>
      </w:r>
    </w:p>
    <w:p>
      <w:pPr>
        <w:spacing w:after="0" w:line="81" w:lineRule="exact"/>
        <w:rPr>
          <w:rFonts w:ascii="Arial" w:cs="Arial" w:eastAsia="Arial" w:hAnsi="Arial"/>
          <w:sz w:val="18"/>
          <w:szCs w:val="18"/>
          <w:color w:val="auto"/>
        </w:rPr>
      </w:pPr>
    </w:p>
    <w:p>
      <w:pPr>
        <w:ind w:left="1020" w:right="180" w:hanging="195"/>
        <w:spacing w:after="0" w:line="30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36" w:lineRule="exact"/>
        <w:rPr>
          <w:rFonts w:ascii="Arial" w:cs="Arial" w:eastAsia="Arial" w:hAnsi="Arial"/>
          <w:sz w:val="17"/>
          <w:szCs w:val="17"/>
          <w:color w:val="auto"/>
        </w:rPr>
      </w:pPr>
    </w:p>
    <w:p>
      <w:pPr>
        <w:ind w:left="1020" w:right="100" w:hanging="195"/>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79" w:lineRule="exact"/>
        <w:rPr>
          <w:rFonts w:ascii="Arial" w:cs="Arial" w:eastAsia="Arial" w:hAnsi="Arial"/>
          <w:sz w:val="18"/>
          <w:szCs w:val="18"/>
          <w:color w:val="auto"/>
        </w:rPr>
      </w:pPr>
    </w:p>
    <w:p>
      <w:pPr>
        <w:ind w:left="1020" w:right="6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38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020" w:right="300" w:hanging="195"/>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74" w:lineRule="exact"/>
        <w:rPr>
          <w:rFonts w:ascii="Arial" w:cs="Arial" w:eastAsia="Arial" w:hAnsi="Arial"/>
          <w:sz w:val="18"/>
          <w:szCs w:val="18"/>
          <w:color w:val="auto"/>
        </w:rPr>
      </w:pPr>
    </w:p>
    <w:p>
      <w:pPr>
        <w:ind w:left="1020" w:right="20" w:hanging="195"/>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79" w:lineRule="exact"/>
        <w:rPr>
          <w:rFonts w:ascii="Arial" w:cs="Arial" w:eastAsia="Arial" w:hAnsi="Arial"/>
          <w:sz w:val="18"/>
          <w:szCs w:val="18"/>
          <w:color w:val="auto"/>
        </w:rPr>
      </w:pPr>
    </w:p>
    <w:p>
      <w:pPr>
        <w:ind w:left="1020" w:right="200" w:hanging="195"/>
        <w:spacing w:after="0" w:line="27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59" w:lineRule="exact"/>
        <w:rPr>
          <w:rFonts w:ascii="Arial" w:cs="Arial" w:eastAsia="Arial" w:hAnsi="Arial"/>
          <w:sz w:val="18"/>
          <w:szCs w:val="18"/>
          <w:color w:val="auto"/>
        </w:rPr>
      </w:pPr>
    </w:p>
    <w:p>
      <w:pPr>
        <w:ind w:left="1020" w:right="200" w:hanging="195"/>
        <w:spacing w:after="0" w:line="27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59" w:lineRule="exact"/>
        <w:rPr>
          <w:rFonts w:ascii="Arial" w:cs="Arial" w:eastAsia="Arial" w:hAnsi="Arial"/>
          <w:sz w:val="18"/>
          <w:szCs w:val="18"/>
          <w:color w:val="auto"/>
        </w:rPr>
      </w:pPr>
    </w:p>
    <w:p>
      <w:pPr>
        <w:jc w:val="both"/>
        <w:ind w:left="1020" w:right="240" w:hanging="195"/>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74" w:lineRule="exact"/>
        <w:rPr>
          <w:rFonts w:ascii="Arial" w:cs="Arial" w:eastAsia="Arial" w:hAnsi="Arial"/>
          <w:sz w:val="18"/>
          <w:szCs w:val="18"/>
          <w:color w:val="auto"/>
        </w:rPr>
      </w:pPr>
    </w:p>
    <w:p>
      <w:pPr>
        <w:ind w:left="1020" w:right="140" w:hanging="195"/>
        <w:spacing w:after="0" w:line="27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9" w:lineRule="exact"/>
        <w:rPr>
          <w:rFonts w:ascii="Arial" w:cs="Arial" w:eastAsia="Arial" w:hAnsi="Arial"/>
          <w:sz w:val="18"/>
          <w:szCs w:val="18"/>
          <w:color w:val="auto"/>
        </w:rPr>
      </w:pPr>
    </w:p>
    <w:p>
      <w:pPr>
        <w:ind w:left="1020" w:right="20" w:hanging="195"/>
        <w:spacing w:after="0" w:line="27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entered into, and may in the future enter into, collaborations with third parties for the discovery, development or commercialization of product candidates, including our collaboration with BMS. If our collaboration is not successful, we may not be able to capitalize on the market potential of these product candidates and our business could be adversely affected.</w:t>
      </w:r>
    </w:p>
    <w:p>
      <w:pPr>
        <w:spacing w:after="0" w:line="57" w:lineRule="exact"/>
        <w:rPr>
          <w:rFonts w:ascii="Arial" w:cs="Arial" w:eastAsia="Arial" w:hAnsi="Arial"/>
          <w:sz w:val="17"/>
          <w:szCs w:val="17"/>
          <w:color w:val="auto"/>
        </w:rPr>
      </w:pPr>
    </w:p>
    <w:p>
      <w:pPr>
        <w:ind w:left="1020" w:hanging="195"/>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79" w:lineRule="exact"/>
        <w:rPr>
          <w:rFonts w:ascii="Arial" w:cs="Arial" w:eastAsia="Arial" w:hAnsi="Arial"/>
          <w:sz w:val="18"/>
          <w:szCs w:val="18"/>
          <w:color w:val="auto"/>
        </w:rPr>
      </w:pPr>
    </w:p>
    <w:p>
      <w:pPr>
        <w:jc w:val="both"/>
        <w:ind w:left="1020" w:right="220" w:hanging="195"/>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7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212" w:lineRule="exact"/>
        <w:rPr>
          <w:sz w:val="20"/>
          <w:szCs w:val="20"/>
          <w:color w:val="auto"/>
        </w:rPr>
      </w:pPr>
    </w:p>
    <w:p>
      <w:pPr>
        <w:ind w:left="300" w:firstLine="532"/>
        <w:spacing w:after="0" w:line="242"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and we may remain an emerging growth company until December 31, 2024 or until such earlier time as we have more than $1.235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264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1264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$700 million as of our most recently completed second fiscal quarter and our annual revenue was less than $100 million during our</w:t>
      </w:r>
    </w:p>
    <w:p>
      <w:pPr>
        <w:ind w:left="300"/>
        <w:spacing w:after="0" w:line="234" w:lineRule="auto"/>
        <w:rPr>
          <w:sz w:val="20"/>
          <w:szCs w:val="20"/>
          <w:color w:val="auto"/>
        </w:rPr>
      </w:pPr>
      <w:r>
        <w:rPr>
          <w:rFonts w:ascii="Arial" w:cs="Arial" w:eastAsia="Arial" w:hAnsi="Arial"/>
          <w:sz w:val="18"/>
          <w:szCs w:val="18"/>
          <w:color w:val="auto"/>
        </w:rPr>
        <w:t>most recently completed fiscal year. We may continue to be a smaller reporting company if either (i) the market value of our stock</w:t>
      </w:r>
    </w:p>
    <w:p>
      <w:pPr>
        <w:ind w:left="300"/>
        <w:spacing w:after="0" w:line="235" w:lineRule="auto"/>
        <w:rPr>
          <w:sz w:val="20"/>
          <w:szCs w:val="20"/>
          <w:color w:val="auto"/>
        </w:rPr>
      </w:pPr>
      <w:r>
        <w:rPr>
          <w:rFonts w:ascii="Arial" w:cs="Arial" w:eastAsia="Arial" w:hAnsi="Arial"/>
          <w:sz w:val="18"/>
          <w:szCs w:val="18"/>
          <w:color w:val="auto"/>
        </w:rPr>
        <w:t>held by non-affiliates is less than $250 million as of our most recently completed second fiscal quarter or (ii) our annual revenue was</w:t>
      </w:r>
    </w:p>
    <w:p>
      <w:pPr>
        <w:ind w:left="300"/>
        <w:spacing w:after="0" w:line="235" w:lineRule="auto"/>
        <w:rPr>
          <w:sz w:val="20"/>
          <w:szCs w:val="20"/>
          <w:color w:val="auto"/>
        </w:rPr>
      </w:pPr>
      <w:r>
        <w:rPr>
          <w:rFonts w:ascii="Arial" w:cs="Arial" w:eastAsia="Arial" w:hAnsi="Arial"/>
          <w:sz w:val="18"/>
          <w:szCs w:val="18"/>
          <w:color w:val="auto"/>
        </w:rPr>
        <w:t>less than $100 million during the most recently completed fiscal year and the market value of our stock held by non-affiliates is less</w:t>
      </w:r>
    </w:p>
    <w:p>
      <w:pPr>
        <w:ind w:left="300"/>
        <w:spacing w:after="0"/>
        <w:rPr>
          <w:sz w:val="20"/>
          <w:szCs w:val="20"/>
          <w:color w:val="auto"/>
        </w:rPr>
      </w:pPr>
      <w:r>
        <w:rPr>
          <w:rFonts w:ascii="Arial" w:cs="Arial" w:eastAsia="Arial" w:hAnsi="Arial"/>
          <w:sz w:val="17"/>
          <w:szCs w:val="17"/>
          <w:color w:val="auto"/>
        </w:rPr>
        <w:t>than $700 million as of our most recently completed second fiscal quarter. If we are a smaller reporting company at the time we cease</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be an emerging growth company, we may continue to rely on exemptions from certain disclosure requirements that are available to</w:t>
      </w:r>
    </w:p>
    <w:p>
      <w:pPr>
        <w:ind w:left="300"/>
        <w:spacing w:after="0"/>
        <w:rPr>
          <w:sz w:val="20"/>
          <w:szCs w:val="20"/>
          <w:color w:val="auto"/>
        </w:rPr>
      </w:pPr>
      <w:r>
        <w:rPr>
          <w:rFonts w:ascii="Arial" w:cs="Arial" w:eastAsia="Arial" w:hAnsi="Arial"/>
          <w:sz w:val="18"/>
          <w:szCs w:val="18"/>
          <w:color w:val="auto"/>
        </w:rPr>
        <w:t>smaller reporting companies.</w:t>
      </w: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16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4300" w:type="dxa"/>
            <w:vAlign w:val="bottom"/>
          </w:tcPr>
          <w:p>
            <w:pPr>
              <w:spacing w:after="0"/>
              <w:rPr>
                <w:sz w:val="21"/>
                <w:szCs w:val="21"/>
                <w:color w:val="auto"/>
              </w:rPr>
            </w:pPr>
          </w:p>
        </w:tc>
        <w:tc>
          <w:tcPr>
            <w:tcW w:w="1860" w:type="dxa"/>
            <w:vAlign w:val="bottom"/>
          </w:tcPr>
          <w:p>
            <w:pPr>
              <w:ind w:left="360"/>
              <w:spacing w:after="0"/>
              <w:rPr>
                <w:sz w:val="20"/>
                <w:szCs w:val="20"/>
                <w:color w:val="auto"/>
              </w:rPr>
            </w:pPr>
            <w:r>
              <w:rPr>
                <w:rFonts w:ascii="Arial" w:cs="Arial" w:eastAsia="Arial" w:hAnsi="Arial"/>
                <w:sz w:val="18"/>
                <w:szCs w:val="18"/>
                <w:b w:val="1"/>
                <w:bCs w:val="1"/>
                <w:color w:val="auto"/>
              </w:rPr>
              <w:t>THE OFFERING</w:t>
            </w:r>
          </w:p>
        </w:tc>
        <w:tc>
          <w:tcPr>
            <w:tcW w:w="90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324"/>
        </w:trPr>
        <w:tc>
          <w:tcPr>
            <w:tcW w:w="430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1860" w:type="dxa"/>
            <w:vAlign w:val="bottom"/>
          </w:tcPr>
          <w:p>
            <w:pPr>
              <w:spacing w:after="0"/>
              <w:rPr>
                <w:sz w:val="24"/>
                <w:szCs w:val="24"/>
                <w:color w:val="auto"/>
              </w:rPr>
            </w:pP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shares of our common stock.</w:t>
            </w:r>
          </w:p>
        </w:tc>
      </w:tr>
      <w:tr>
        <w:trPr>
          <w:trHeight w:val="293"/>
        </w:trPr>
        <w:tc>
          <w:tcPr>
            <w:tcW w:w="4300" w:type="dxa"/>
            <w:vAlign w:val="bottom"/>
          </w:tcPr>
          <w:p>
            <w:pPr>
              <w:spacing w:after="0"/>
              <w:rPr>
                <w:sz w:val="20"/>
                <w:szCs w:val="20"/>
                <w:color w:val="auto"/>
              </w:rPr>
            </w:pPr>
            <w:r>
              <w:rPr>
                <w:rFonts w:ascii="Arial" w:cs="Arial" w:eastAsia="Arial" w:hAnsi="Arial"/>
                <w:sz w:val="18"/>
                <w:szCs w:val="18"/>
                <w:b w:val="1"/>
                <w:bCs w:val="1"/>
                <w:color w:val="auto"/>
              </w:rPr>
              <w:t>Option to purchase additional shares</w:t>
            </w:r>
          </w:p>
        </w:tc>
        <w:tc>
          <w:tcPr>
            <w:tcW w:w="6340" w:type="dxa"/>
            <w:vAlign w:val="bottom"/>
            <w:gridSpan w:val="3"/>
          </w:tcPr>
          <w:p>
            <w:pPr>
              <w:ind w:left="1220"/>
              <w:spacing w:after="0"/>
              <w:rPr>
                <w:sz w:val="20"/>
                <w:szCs w:val="20"/>
                <w:color w:val="auto"/>
              </w:rPr>
            </w:pPr>
            <w:r>
              <w:rPr>
                <w:rFonts w:ascii="Arial" w:cs="Arial" w:eastAsia="Arial" w:hAnsi="Arial"/>
                <w:sz w:val="18"/>
                <w:szCs w:val="18"/>
                <w:color w:val="auto"/>
              </w:rPr>
              <w:t>The underwriters have a 30-day option to purchase up to an</w:t>
            </w:r>
          </w:p>
        </w:tc>
      </w:tr>
      <w:tr>
        <w:trPr>
          <w:trHeight w:val="239"/>
        </w:trPr>
        <w:tc>
          <w:tcPr>
            <w:tcW w:w="4300" w:type="dxa"/>
            <w:vAlign w:val="bottom"/>
          </w:tcPr>
          <w:p>
            <w:pPr>
              <w:spacing w:after="0"/>
              <w:rPr>
                <w:sz w:val="20"/>
                <w:szCs w:val="20"/>
                <w:color w:val="auto"/>
              </w:rPr>
            </w:pPr>
          </w:p>
        </w:tc>
        <w:tc>
          <w:tcPr>
            <w:tcW w:w="2760" w:type="dxa"/>
            <w:vAlign w:val="bottom"/>
            <w:gridSpan w:val="2"/>
          </w:tcPr>
          <w:p>
            <w:pPr>
              <w:ind w:left="1220"/>
              <w:spacing w:after="0"/>
              <w:rPr>
                <w:sz w:val="20"/>
                <w:szCs w:val="20"/>
                <w:color w:val="auto"/>
              </w:rPr>
            </w:pPr>
            <w:r>
              <w:rPr>
                <w:rFonts w:ascii="Arial" w:cs="Arial" w:eastAsia="Arial" w:hAnsi="Arial"/>
                <w:sz w:val="18"/>
                <w:szCs w:val="18"/>
                <w:color w:val="auto"/>
              </w:rPr>
              <w:t>additional</w:t>
            </w:r>
          </w:p>
        </w:tc>
        <w:tc>
          <w:tcPr>
            <w:tcW w:w="3580" w:type="dxa"/>
            <w:vAlign w:val="bottom"/>
          </w:tcPr>
          <w:p>
            <w:pPr>
              <w:jc w:val="center"/>
              <w:ind w:right="1330"/>
              <w:spacing w:after="0"/>
              <w:rPr>
                <w:sz w:val="20"/>
                <w:szCs w:val="20"/>
                <w:color w:val="auto"/>
              </w:rPr>
            </w:pPr>
            <w:r>
              <w:rPr>
                <w:rFonts w:ascii="Arial" w:cs="Arial" w:eastAsia="Arial" w:hAnsi="Arial"/>
                <w:sz w:val="18"/>
                <w:szCs w:val="18"/>
                <w:color w:val="auto"/>
                <w:w w:val="99"/>
              </w:rPr>
              <w:t>shares of common stock.</w:t>
            </w:r>
          </w:p>
        </w:tc>
      </w:tr>
      <w:tr>
        <w:trPr>
          <w:trHeight w:val="288"/>
        </w:trPr>
        <w:tc>
          <w:tcPr>
            <w:tcW w:w="4300" w:type="dxa"/>
            <w:vAlign w:val="bottom"/>
          </w:tcPr>
          <w:p>
            <w:pPr>
              <w:spacing w:after="0"/>
              <w:rPr>
                <w:sz w:val="20"/>
                <w:szCs w:val="20"/>
                <w:color w:val="auto"/>
              </w:rPr>
            </w:pPr>
            <w:r>
              <w:rPr>
                <w:rFonts w:ascii="Arial" w:cs="Arial" w:eastAsia="Arial" w:hAnsi="Arial"/>
                <w:sz w:val="18"/>
                <w:szCs w:val="18"/>
                <w:b w:val="1"/>
                <w:bCs w:val="1"/>
                <w:color w:val="auto"/>
              </w:rPr>
              <w:t>Common stock to be outstanding immediately</w:t>
            </w:r>
          </w:p>
        </w:tc>
        <w:tc>
          <w:tcPr>
            <w:tcW w:w="186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rPr>
              <w:t>shares (</w:t>
            </w:r>
          </w:p>
        </w:tc>
        <w:tc>
          <w:tcPr>
            <w:tcW w:w="3580" w:type="dxa"/>
            <w:vAlign w:val="bottom"/>
          </w:tcPr>
          <w:p>
            <w:pPr>
              <w:ind w:left="700"/>
              <w:spacing w:after="0"/>
              <w:rPr>
                <w:sz w:val="20"/>
                <w:szCs w:val="20"/>
                <w:color w:val="auto"/>
              </w:rPr>
            </w:pPr>
            <w:r>
              <w:rPr>
                <w:rFonts w:ascii="Arial" w:cs="Arial" w:eastAsia="Arial" w:hAnsi="Arial"/>
                <w:sz w:val="18"/>
                <w:szCs w:val="18"/>
                <w:color w:val="auto"/>
              </w:rPr>
              <w:t>shares if the underwriters exercise</w:t>
            </w:r>
          </w:p>
        </w:tc>
      </w:tr>
      <w:tr>
        <w:trPr>
          <w:trHeight w:val="247"/>
        </w:trPr>
        <w:tc>
          <w:tcPr>
            <w:tcW w:w="4300" w:type="dxa"/>
            <w:vAlign w:val="bottom"/>
          </w:tcPr>
          <w:p>
            <w:pPr>
              <w:ind w:left="100"/>
              <w:spacing w:after="0"/>
              <w:rPr>
                <w:sz w:val="20"/>
                <w:szCs w:val="20"/>
                <w:color w:val="auto"/>
              </w:rPr>
            </w:pPr>
            <w:r>
              <w:rPr>
                <w:rFonts w:ascii="Arial" w:cs="Arial" w:eastAsia="Arial" w:hAnsi="Arial"/>
                <w:sz w:val="18"/>
                <w:szCs w:val="18"/>
                <w:b w:val="1"/>
                <w:bCs w:val="1"/>
                <w:color w:val="auto"/>
              </w:rPr>
              <w:t>after this offering</w:t>
            </w:r>
          </w:p>
        </w:tc>
        <w:tc>
          <w:tcPr>
            <w:tcW w:w="6340" w:type="dxa"/>
            <w:vAlign w:val="bottom"/>
            <w:gridSpan w:val="3"/>
          </w:tcPr>
          <w:p>
            <w:pPr>
              <w:ind w:left="1220"/>
              <w:spacing w:after="0"/>
              <w:rPr>
                <w:sz w:val="20"/>
                <w:szCs w:val="20"/>
                <w:color w:val="auto"/>
              </w:rPr>
            </w:pPr>
            <w:r>
              <w:rPr>
                <w:rFonts w:ascii="Arial" w:cs="Arial" w:eastAsia="Arial" w:hAnsi="Arial"/>
                <w:sz w:val="18"/>
                <w:szCs w:val="18"/>
                <w:color w:val="auto"/>
              </w:rPr>
              <w:t>their option to purchase additional shares in full).</w:t>
            </w:r>
          </w:p>
        </w:tc>
      </w:tr>
      <w:tr>
        <w:trPr>
          <w:trHeight w:val="293"/>
        </w:trPr>
        <w:tc>
          <w:tcPr>
            <w:tcW w:w="430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6340" w:type="dxa"/>
            <w:vAlign w:val="bottom"/>
            <w:gridSpan w:val="3"/>
          </w:tcPr>
          <w:p>
            <w:pPr>
              <w:ind w:left="1220"/>
              <w:spacing w:after="0"/>
              <w:rPr>
                <w:sz w:val="20"/>
                <w:szCs w:val="20"/>
                <w:color w:val="auto"/>
              </w:rPr>
            </w:pPr>
            <w:r>
              <w:rPr>
                <w:rFonts w:ascii="Arial" w:cs="Arial" w:eastAsia="Arial" w:hAnsi="Arial"/>
                <w:sz w:val="18"/>
                <w:szCs w:val="18"/>
                <w:color w:val="auto"/>
                <w:w w:val="99"/>
              </w:rPr>
              <w:t>We estimate that the net proceeds to us from this offering will be</w:t>
            </w:r>
          </w:p>
        </w:tc>
      </w:tr>
      <w:tr>
        <w:trPr>
          <w:trHeight w:val="203"/>
        </w:trPr>
        <w:tc>
          <w:tcPr>
            <w:tcW w:w="4300" w:type="dxa"/>
            <w:vAlign w:val="bottom"/>
          </w:tcPr>
          <w:p>
            <w:pPr>
              <w:spacing w:after="0"/>
              <w:rPr>
                <w:sz w:val="17"/>
                <w:szCs w:val="17"/>
                <w:color w:val="auto"/>
              </w:rPr>
            </w:pPr>
          </w:p>
        </w:tc>
        <w:tc>
          <w:tcPr>
            <w:tcW w:w="2760" w:type="dxa"/>
            <w:vAlign w:val="bottom"/>
            <w:gridSpan w:val="2"/>
          </w:tcPr>
          <w:p>
            <w:pPr>
              <w:ind w:left="1220"/>
              <w:spacing w:after="0" w:line="202" w:lineRule="exact"/>
              <w:rPr>
                <w:sz w:val="20"/>
                <w:szCs w:val="20"/>
                <w:color w:val="auto"/>
              </w:rPr>
            </w:pPr>
            <w:r>
              <w:rPr>
                <w:rFonts w:ascii="Arial" w:cs="Arial" w:eastAsia="Arial" w:hAnsi="Arial"/>
                <w:sz w:val="18"/>
                <w:szCs w:val="18"/>
                <w:color w:val="auto"/>
              </w:rPr>
              <w:t>approximately $</w:t>
            </w:r>
          </w:p>
        </w:tc>
        <w:tc>
          <w:tcPr>
            <w:tcW w:w="3580" w:type="dxa"/>
            <w:vAlign w:val="bottom"/>
          </w:tcPr>
          <w:p>
            <w:pPr>
              <w:ind w:left="380"/>
              <w:spacing w:after="0" w:line="202" w:lineRule="exact"/>
              <w:rPr>
                <w:sz w:val="20"/>
                <w:szCs w:val="20"/>
                <w:color w:val="auto"/>
              </w:rPr>
            </w:pPr>
            <w:r>
              <w:rPr>
                <w:rFonts w:ascii="Arial" w:cs="Arial" w:eastAsia="Arial" w:hAnsi="Arial"/>
                <w:sz w:val="18"/>
                <w:szCs w:val="18"/>
                <w:color w:val="auto"/>
              </w:rPr>
              <w:t>million, or approximately</w:t>
            </w:r>
          </w:p>
        </w:tc>
      </w:tr>
      <w:tr>
        <w:trPr>
          <w:trHeight w:val="203"/>
        </w:trPr>
        <w:tc>
          <w:tcPr>
            <w:tcW w:w="4300" w:type="dxa"/>
            <w:vAlign w:val="bottom"/>
          </w:tcPr>
          <w:p>
            <w:pPr>
              <w:spacing w:after="0"/>
              <w:rPr>
                <w:sz w:val="17"/>
                <w:szCs w:val="17"/>
                <w:color w:val="auto"/>
              </w:rPr>
            </w:pPr>
          </w:p>
        </w:tc>
        <w:tc>
          <w:tcPr>
            <w:tcW w:w="18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4480" w:type="dxa"/>
            <w:vAlign w:val="bottom"/>
            <w:gridSpan w:val="2"/>
          </w:tcPr>
          <w:p>
            <w:pPr>
              <w:jc w:val="center"/>
              <w:ind w:right="410"/>
              <w:spacing w:after="0" w:line="202" w:lineRule="exact"/>
              <w:rPr>
                <w:sz w:val="20"/>
                <w:szCs w:val="20"/>
                <w:color w:val="auto"/>
              </w:rPr>
            </w:pPr>
            <w:r>
              <w:rPr>
                <w:rFonts w:ascii="Arial" w:cs="Arial" w:eastAsia="Arial" w:hAnsi="Arial"/>
                <w:sz w:val="18"/>
                <w:szCs w:val="18"/>
                <w:color w:val="auto"/>
              </w:rPr>
              <w:t>million if the underwriters exercise their option to</w:t>
            </w:r>
          </w:p>
        </w:tc>
      </w:tr>
      <w:tr>
        <w:trPr>
          <w:trHeight w:val="239"/>
        </w:trPr>
        <w:tc>
          <w:tcPr>
            <w:tcW w:w="4300" w:type="dxa"/>
            <w:vAlign w:val="bottom"/>
          </w:tcPr>
          <w:p>
            <w:pPr>
              <w:spacing w:after="0"/>
              <w:rPr>
                <w:sz w:val="20"/>
                <w:szCs w:val="20"/>
                <w:color w:val="auto"/>
              </w:rPr>
            </w:pPr>
          </w:p>
        </w:tc>
        <w:tc>
          <w:tcPr>
            <w:tcW w:w="6340" w:type="dxa"/>
            <w:vAlign w:val="bottom"/>
            <w:gridSpan w:val="3"/>
          </w:tcPr>
          <w:p>
            <w:pPr>
              <w:ind w:left="1220"/>
              <w:spacing w:after="0"/>
              <w:rPr>
                <w:sz w:val="20"/>
                <w:szCs w:val="20"/>
                <w:color w:val="auto"/>
              </w:rPr>
            </w:pPr>
            <w:r>
              <w:rPr>
                <w:rFonts w:ascii="Arial" w:cs="Arial" w:eastAsia="Arial" w:hAnsi="Arial"/>
                <w:sz w:val="18"/>
                <w:szCs w:val="18"/>
                <w:color w:val="auto"/>
              </w:rPr>
              <w:t>purchase additional shares in full.</w:t>
            </w:r>
          </w:p>
        </w:tc>
      </w:tr>
      <w:tr>
        <w:trPr>
          <w:trHeight w:val="288"/>
        </w:trPr>
        <w:tc>
          <w:tcPr>
            <w:tcW w:w="4300" w:type="dxa"/>
            <w:vAlign w:val="bottom"/>
          </w:tcPr>
          <w:p>
            <w:pPr>
              <w:spacing w:after="0"/>
              <w:rPr>
                <w:sz w:val="24"/>
                <w:szCs w:val="24"/>
                <w:color w:val="auto"/>
              </w:rPr>
            </w:pPr>
          </w:p>
        </w:tc>
        <w:tc>
          <w:tcPr>
            <w:tcW w:w="6340" w:type="dxa"/>
            <w:vAlign w:val="bottom"/>
            <w:gridSpan w:val="3"/>
          </w:tcPr>
          <w:p>
            <w:pPr>
              <w:ind w:left="1220"/>
              <w:spacing w:after="0"/>
              <w:rPr>
                <w:sz w:val="20"/>
                <w:szCs w:val="20"/>
                <w:color w:val="auto"/>
              </w:rPr>
            </w:pPr>
            <w:r>
              <w:rPr>
                <w:rFonts w:ascii="Arial" w:cs="Arial" w:eastAsia="Arial" w:hAnsi="Arial"/>
                <w:sz w:val="18"/>
                <w:szCs w:val="18"/>
                <w:color w:val="auto"/>
              </w:rPr>
              <w:t>We currently intend to use the net proceeds from the sale of</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w w:val="99"/>
              </w:rPr>
              <w:t>securities offered under this prospectus supplement primarily for</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general corporate purposes, which may include working capital</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and capital expenditures, research and development expenses,</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including to fund clinical trials, regulatory submissions,</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commercialization, discovery and additional preclinical research</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and development of additional product candidates and platform</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enhancement, general and administrative expenses, and</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potential acquisitions of, or investments in, companies,</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technologies, products or assets that complement our business.</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See “Use of Proceeds” in this prospectus supplement for more</w:t>
            </w:r>
          </w:p>
        </w:tc>
      </w:tr>
      <w:tr>
        <w:trPr>
          <w:trHeight w:val="239"/>
        </w:trPr>
        <w:tc>
          <w:tcPr>
            <w:tcW w:w="4300" w:type="dxa"/>
            <w:vAlign w:val="bottom"/>
          </w:tcPr>
          <w:p>
            <w:pPr>
              <w:spacing w:after="0"/>
              <w:rPr>
                <w:sz w:val="20"/>
                <w:szCs w:val="20"/>
                <w:color w:val="auto"/>
              </w:rPr>
            </w:pPr>
          </w:p>
        </w:tc>
        <w:tc>
          <w:tcPr>
            <w:tcW w:w="2760" w:type="dxa"/>
            <w:vAlign w:val="bottom"/>
            <w:gridSpan w:val="2"/>
          </w:tcPr>
          <w:p>
            <w:pPr>
              <w:ind w:left="1220"/>
              <w:spacing w:after="0"/>
              <w:rPr>
                <w:sz w:val="20"/>
                <w:szCs w:val="20"/>
                <w:color w:val="auto"/>
              </w:rPr>
            </w:pPr>
            <w:r>
              <w:rPr>
                <w:rFonts w:ascii="Arial" w:cs="Arial" w:eastAsia="Arial" w:hAnsi="Arial"/>
                <w:sz w:val="18"/>
                <w:szCs w:val="18"/>
                <w:color w:val="auto"/>
              </w:rPr>
              <w:t>information.</w:t>
            </w:r>
          </w:p>
        </w:tc>
        <w:tc>
          <w:tcPr>
            <w:tcW w:w="3580" w:type="dxa"/>
            <w:vAlign w:val="bottom"/>
          </w:tcPr>
          <w:p>
            <w:pPr>
              <w:spacing w:after="0"/>
              <w:rPr>
                <w:sz w:val="20"/>
                <w:szCs w:val="20"/>
                <w:color w:val="auto"/>
              </w:rPr>
            </w:pPr>
          </w:p>
        </w:tc>
      </w:tr>
      <w:tr>
        <w:trPr>
          <w:trHeight w:val="288"/>
        </w:trPr>
        <w:tc>
          <w:tcPr>
            <w:tcW w:w="430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6340" w:type="dxa"/>
            <w:vAlign w:val="bottom"/>
            <w:gridSpan w:val="3"/>
          </w:tcPr>
          <w:p>
            <w:pPr>
              <w:ind w:left="1220"/>
              <w:spacing w:after="0"/>
              <w:rPr>
                <w:sz w:val="20"/>
                <w:szCs w:val="20"/>
                <w:color w:val="auto"/>
              </w:rPr>
            </w:pPr>
            <w:r>
              <w:rPr>
                <w:rFonts w:ascii="Arial" w:cs="Arial" w:eastAsia="Arial" w:hAnsi="Arial"/>
                <w:sz w:val="18"/>
                <w:szCs w:val="18"/>
                <w:color w:val="auto"/>
              </w:rPr>
              <w:t>You should read the “Risk Factors” in this prospectus</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supplement, the accompanying base prospectus, and the risks</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set forth under the caption “Item 1A. Risk Factors” included in</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our Annual Report on Form 10-K for the fiscal year ended</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December 31, 2021 and the other documents incorporated by</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reference into this prospectus supplement for a discussion of</w:t>
            </w:r>
          </w:p>
        </w:tc>
      </w:tr>
      <w:tr>
        <w:trPr>
          <w:trHeight w:val="203"/>
        </w:trPr>
        <w:tc>
          <w:tcPr>
            <w:tcW w:w="4300" w:type="dxa"/>
            <w:vAlign w:val="bottom"/>
          </w:tcPr>
          <w:p>
            <w:pPr>
              <w:spacing w:after="0"/>
              <w:rPr>
                <w:sz w:val="17"/>
                <w:szCs w:val="17"/>
                <w:color w:val="auto"/>
              </w:rPr>
            </w:pPr>
          </w:p>
        </w:tc>
        <w:tc>
          <w:tcPr>
            <w:tcW w:w="63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factors to consider carefully before deciding to purchase shares</w:t>
            </w:r>
          </w:p>
        </w:tc>
      </w:tr>
      <w:tr>
        <w:trPr>
          <w:trHeight w:val="239"/>
        </w:trPr>
        <w:tc>
          <w:tcPr>
            <w:tcW w:w="4300" w:type="dxa"/>
            <w:vAlign w:val="bottom"/>
          </w:tcPr>
          <w:p>
            <w:pPr>
              <w:spacing w:after="0"/>
              <w:rPr>
                <w:sz w:val="20"/>
                <w:szCs w:val="20"/>
                <w:color w:val="auto"/>
              </w:rPr>
            </w:pPr>
          </w:p>
        </w:tc>
        <w:tc>
          <w:tcPr>
            <w:tcW w:w="6340" w:type="dxa"/>
            <w:vAlign w:val="bottom"/>
            <w:gridSpan w:val="3"/>
          </w:tcPr>
          <w:p>
            <w:pPr>
              <w:ind w:left="1220"/>
              <w:spacing w:after="0"/>
              <w:rPr>
                <w:sz w:val="20"/>
                <w:szCs w:val="20"/>
                <w:color w:val="auto"/>
              </w:rPr>
            </w:pPr>
            <w:r>
              <w:rPr>
                <w:rFonts w:ascii="Arial" w:cs="Arial" w:eastAsia="Arial" w:hAnsi="Arial"/>
                <w:sz w:val="18"/>
                <w:szCs w:val="18"/>
                <w:color w:val="auto"/>
              </w:rPr>
              <w:t>of our common stock.</w:t>
            </w:r>
          </w:p>
        </w:tc>
      </w:tr>
      <w:tr>
        <w:trPr>
          <w:trHeight w:val="332"/>
        </w:trPr>
        <w:tc>
          <w:tcPr>
            <w:tcW w:w="4300" w:type="dxa"/>
            <w:vAlign w:val="bottom"/>
          </w:tcPr>
          <w:p>
            <w:pPr>
              <w:spacing w:after="0"/>
              <w:rPr>
                <w:sz w:val="20"/>
                <w:szCs w:val="20"/>
                <w:color w:val="auto"/>
              </w:rPr>
            </w:pPr>
            <w:r>
              <w:rPr>
                <w:rFonts w:ascii="Arial" w:cs="Arial" w:eastAsia="Arial" w:hAnsi="Arial"/>
                <w:sz w:val="18"/>
                <w:szCs w:val="18"/>
                <w:b w:val="1"/>
                <w:bCs w:val="1"/>
                <w:color w:val="auto"/>
              </w:rPr>
              <w:t>Nasdaq Global Market Symbol</w:t>
            </w:r>
          </w:p>
        </w:tc>
        <w:tc>
          <w:tcPr>
            <w:tcW w:w="1860" w:type="dxa"/>
            <w:vAlign w:val="bottom"/>
          </w:tcPr>
          <w:p>
            <w:pPr>
              <w:ind w:left="1220"/>
              <w:spacing w:after="0"/>
              <w:rPr>
                <w:sz w:val="20"/>
                <w:szCs w:val="20"/>
                <w:color w:val="auto"/>
              </w:rPr>
            </w:pPr>
            <w:r>
              <w:rPr>
                <w:rFonts w:ascii="Arial" w:cs="Arial" w:eastAsia="Arial" w:hAnsi="Arial"/>
                <w:sz w:val="18"/>
                <w:szCs w:val="18"/>
                <w:color w:val="auto"/>
              </w:rPr>
              <w:t>“FULC”</w:t>
            </w:r>
          </w:p>
        </w:tc>
        <w:tc>
          <w:tcPr>
            <w:tcW w:w="90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185" w:lineRule="exact"/>
        <w:rPr>
          <w:sz w:val="20"/>
          <w:szCs w:val="20"/>
          <w:color w:val="auto"/>
        </w:rPr>
      </w:pPr>
    </w:p>
    <w:p>
      <w:pPr>
        <w:ind w:left="300" w:right="720" w:firstLine="532"/>
        <w:spacing w:after="0" w:line="271" w:lineRule="auto"/>
        <w:rPr>
          <w:sz w:val="20"/>
          <w:szCs w:val="20"/>
          <w:color w:val="auto"/>
        </w:rPr>
      </w:pPr>
      <w:r>
        <w:rPr>
          <w:rFonts w:ascii="Arial" w:cs="Arial" w:eastAsia="Arial" w:hAnsi="Arial"/>
          <w:sz w:val="18"/>
          <w:szCs w:val="18"/>
          <w:color w:val="auto"/>
        </w:rPr>
        <w:t>The number of shares of our common stock shown above to be outstanding immediately after this offering is based on 52,049,913 shares of common stock outstanding as of September 30, 2022 and excludes the following:</w:t>
      </w:r>
    </w:p>
    <w:p>
      <w:pPr>
        <w:spacing w:after="0" w:line="59" w:lineRule="exact"/>
        <w:rPr>
          <w:sz w:val="20"/>
          <w:szCs w:val="20"/>
          <w:color w:val="auto"/>
        </w:rPr>
      </w:pPr>
    </w:p>
    <w:p>
      <w:pPr>
        <w:ind w:left="1020" w:right="500" w:hanging="19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5,929,065 shares of common stock issuable upon exercise of stock options outstanding as of September 30, 2022 at a weighted average exercise price of $12.89 per share;</w:t>
      </w: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352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2352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right="200" w:hanging="195"/>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95,174 shares of common stock issuable upon vesting of restricted stock units, or RSUs, outstanding as of September 30, 2022; and</w:t>
      </w:r>
    </w:p>
    <w:p>
      <w:pPr>
        <w:spacing w:after="0" w:line="59" w:lineRule="exact"/>
        <w:rPr>
          <w:rFonts w:ascii="Arial" w:cs="Arial" w:eastAsia="Arial" w:hAnsi="Arial"/>
          <w:sz w:val="18"/>
          <w:szCs w:val="18"/>
          <w:color w:val="auto"/>
        </w:rPr>
      </w:pPr>
    </w:p>
    <w:p>
      <w:pPr>
        <w:ind w:left="1020" w:hanging="195"/>
        <w:spacing w:after="0" w:line="275"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1,667,865, 1,125,540, and 1,091,085 shares of our common stock available for future issuance as of September 30, 2022 under our 2019 Stock Incentive Plan, our 2022 Inducement Stock Incentive Plan and our 2019 Employee Stock Purchase Plan, respectively, as well as any automatic increases in the number of shares of common stock reserved under these plans.</w:t>
      </w:r>
    </w:p>
    <w:p>
      <w:pPr>
        <w:spacing w:after="0" w:line="1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all information in this prospectus supplement:</w:t>
      </w:r>
    </w:p>
    <w:p>
      <w:pPr>
        <w:spacing w:after="0" w:line="117"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no exercise of the outstanding stock options or settlement of the RSUs described above;</w:t>
      </w:r>
    </w:p>
    <w:p>
      <w:pPr>
        <w:spacing w:after="0" w:line="117" w:lineRule="exact"/>
        <w:rPr>
          <w:rFonts w:ascii="Arial" w:cs="Arial" w:eastAsia="Arial" w:hAnsi="Arial"/>
          <w:sz w:val="18"/>
          <w:szCs w:val="18"/>
          <w:color w:val="auto"/>
        </w:rPr>
      </w:pPr>
    </w:p>
    <w:p>
      <w:pPr>
        <w:ind w:left="1020" w:right="160" w:hanging="195"/>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our common stock in this offering; and</w:t>
      </w:r>
    </w:p>
    <w:p>
      <w:pPr>
        <w:spacing w:after="0" w:line="59" w:lineRule="exact"/>
        <w:rPr>
          <w:rFonts w:ascii="Arial" w:cs="Arial" w:eastAsia="Arial" w:hAnsi="Arial"/>
          <w:sz w:val="18"/>
          <w:szCs w:val="18"/>
          <w:color w:val="auto"/>
        </w:rPr>
      </w:pPr>
    </w:p>
    <w:p>
      <w:pPr>
        <w:ind w:left="1020" w:right="2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reflect the potential issuance of shares of our common stock that remain available for sale as of the date of this prospectus supplement under our “at-the-market” offering program, pursuant to which we may sell common stock for remaining gross proceeds of up to $50 million from time to time under our equity distribution agreement with Piper Sandler &amp; Co.</w:t>
      </w: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prospectus supplement and the accompanying base prospectus and the risk factors in our most recent Annual Report on Form 10-K, our most recent Quarterly Report on Form 10-Q, together with other information in this prospectus supplement, the accompanying base prospectus and the information and documents incorporated by reference in this prospectus supplement and the accompanying base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This Offering</w:t>
      </w:r>
    </w:p>
    <w:p>
      <w:pPr>
        <w:spacing w:after="0" w:line="214" w:lineRule="exact"/>
        <w:rPr>
          <w:sz w:val="20"/>
          <w:szCs w:val="20"/>
          <w:color w:val="auto"/>
        </w:rPr>
      </w:pPr>
    </w:p>
    <w:p>
      <w:pPr>
        <w:ind w:left="120" w:right="440"/>
        <w:spacing w:after="0" w:line="278" w:lineRule="auto"/>
        <w:rPr>
          <w:sz w:val="20"/>
          <w:szCs w:val="20"/>
          <w:color w:val="auto"/>
        </w:rPr>
      </w:pPr>
      <w:r>
        <w:rPr>
          <w:rFonts w:ascii="Arial" w:cs="Arial" w:eastAsia="Arial" w:hAnsi="Arial"/>
          <w:sz w:val="18"/>
          <w:szCs w:val="18"/>
          <w:b w:val="1"/>
          <w:bCs w:val="1"/>
          <w:i w:val="1"/>
          <w:iCs w:val="1"/>
          <w:color w:val="auto"/>
        </w:rPr>
        <w:t>Sale of a substantial number of shares of our common stock, including by us, could cause the market price of our common stock to drop significantly, even if our business is doing well.</w:t>
      </w:r>
    </w:p>
    <w:p>
      <w:pPr>
        <w:spacing w:after="0" w:line="31" w:lineRule="exact"/>
        <w:rPr>
          <w:sz w:val="20"/>
          <w:szCs w:val="20"/>
          <w:color w:val="auto"/>
        </w:rPr>
      </w:pPr>
    </w:p>
    <w:p>
      <w:pPr>
        <w:ind w:left="120" w:firstLine="551"/>
        <w:spacing w:after="0" w:line="26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5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6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have filed a registration statement covering the resale of 4,029,411 shares of our common stock that we sold to purchasers in a private placement and have agreed to keep such registration statement effective until the date the shares covered by the registration statement have been sold or can be resold without restriction under Rule 144 of the Securities Act.</w:t>
      </w:r>
    </w:p>
    <w:p>
      <w:pPr>
        <w:spacing w:after="0" w:line="16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These shares can be freely sold in the public market upon issuance, subject to volume limitations applicable to affiliates.</w:t>
      </w:r>
    </w:p>
    <w:p>
      <w:pPr>
        <w:spacing w:after="0" w:line="279"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Our management may invest or spend the proceeds of this offering in ways with which you may not agree or in ways that may not yield a return.</w:t>
      </w:r>
    </w:p>
    <w:p>
      <w:pPr>
        <w:spacing w:after="0" w:line="31"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76" w:lineRule="exact"/>
        <w:rPr>
          <w:sz w:val="20"/>
          <w:szCs w:val="20"/>
          <w:color w:val="auto"/>
        </w:rPr>
      </w:pPr>
    </w:p>
    <w:p>
      <w:pPr>
        <w:jc w:val="both"/>
        <w:ind w:left="120" w:right="400" w:firstLine="551"/>
        <w:spacing w:after="0" w:line="253" w:lineRule="auto"/>
        <w:rPr>
          <w:sz w:val="20"/>
          <w:szCs w:val="20"/>
          <w:color w:val="auto"/>
        </w:rPr>
      </w:pPr>
      <w:r>
        <w:rPr>
          <w:rFonts w:ascii="Arial" w:cs="Arial" w:eastAsia="Arial" w:hAnsi="Arial"/>
          <w:sz w:val="18"/>
          <w:szCs w:val="18"/>
          <w:color w:val="auto"/>
        </w:rPr>
        <w:t>In addition, the issuance from time to time of shares of our common stock in this offering, or our ability to issue these shares of common stock in this offering, could result in resales of our common stock by our current stockholders concerned about the potential dilution of their holdings. In turn, these resales could have the effect of depressing the market price for our common stock.</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common stock purchased in the offering.</w:t>
      </w:r>
    </w:p>
    <w:p>
      <w:pPr>
        <w:spacing w:after="0" w:line="102" w:lineRule="exact"/>
        <w:rPr>
          <w:sz w:val="20"/>
          <w:szCs w:val="20"/>
          <w:color w:val="auto"/>
        </w:rPr>
      </w:pPr>
    </w:p>
    <w:p>
      <w:pPr>
        <w:jc w:val="both"/>
        <w:ind w:left="120" w:right="300" w:firstLine="551"/>
        <w:spacing w:after="0" w:line="255" w:lineRule="auto"/>
        <w:rPr>
          <w:sz w:val="20"/>
          <w:szCs w:val="20"/>
          <w:color w:val="auto"/>
        </w:rPr>
      </w:pPr>
      <w:r>
        <w:rPr>
          <w:rFonts w:ascii="Arial" w:cs="Arial" w:eastAsia="Arial" w:hAnsi="Arial"/>
          <w:sz w:val="17"/>
          <w:szCs w:val="17"/>
          <w:color w:val="auto"/>
        </w:rPr>
        <w:t>The price of our common stock to be sold in this offering is substantially higher than the net tangible book value per share of our common stock. Therefore, if you purchase shares of our common stock in this offering, you will pay a price per share that substantially exceeds our net tangible book value per share after this offering. After giving effect to the sale of shares of our common stock in the</w:t>
      </w:r>
    </w:p>
    <w:p>
      <w:pPr>
        <w:spacing w:after="0" w:line="2" w:lineRule="exact"/>
        <w:rPr>
          <w:sz w:val="20"/>
          <w:szCs w:val="20"/>
          <w:color w:val="auto"/>
        </w:rPr>
      </w:pPr>
    </w:p>
    <w:p>
      <w:pPr>
        <w:ind w:left="120" w:right="100"/>
        <w:spacing w:after="0" w:line="234" w:lineRule="auto"/>
        <w:rPr>
          <w:sz w:val="20"/>
          <w:szCs w:val="20"/>
          <w:color w:val="auto"/>
        </w:rPr>
      </w:pPr>
      <w:r>
        <w:rPr>
          <w:rFonts w:ascii="Arial" w:cs="Arial" w:eastAsia="Arial" w:hAnsi="Arial"/>
          <w:sz w:val="18"/>
          <w:szCs w:val="18"/>
          <w:color w:val="auto"/>
        </w:rPr>
        <w:t>aggregate amount of $ at the public offering price of $ per share of common stock, and after deducting underwriting discounts and commissions and estimated offering expenses payable by us, our as adjusted net tangible book value as of September 30,</w:t>
      </w:r>
    </w:p>
    <w:p>
      <w:pPr>
        <w:spacing w:after="0" w:line="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2022 would have been approximately $ million, or approximately $ per share. This represents an immediate increase in as adjusted net tangible book value of approximately $ per share to our existing stockholders and an immediate dilution in as adjusted net tangible book value of approximately $ per share to purchasers of our common stock in this offering. See “Dilution” in this prospectus supplement for more information.</w:t>
      </w:r>
    </w:p>
    <w:p>
      <w:pPr>
        <w:spacing w:after="0" w:line="290"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stockholders.</w:t>
      </w:r>
    </w:p>
    <w:p>
      <w:pPr>
        <w:spacing w:after="0" w:line="31"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During the period from July 18, 2019 to January 13, 2023, the closing price of our common stock ranged from a high of $30.97 per share to a low of $4.20 per share. The stock market in general and the market for smaller biopharmaceutical companies in particular have experienced extreme volatility that has often been unrelated to the operating performance of particular companies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289"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Accordingly, stockholders must rely on capital appreciation, if any, for any return on their investment.</w:t>
      </w:r>
    </w:p>
    <w:p>
      <w:pPr>
        <w:spacing w:after="0" w:line="31"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prospectus supplement, the accompanying base prospectus and the documents incorporated by reference in each of this prospectus supplement and the accompanying base prospectus include “forward-looking statements” within the meaning of Section 27A of the Securities Act of 1933, as amended, or the Securities Act, and Section 21E of the Securities Exchange Act of 1934, as amended, or the Exchange Act. All statements, other than statements of historical fact, contained or incorporated by reference in this prospectus supplement and the accompanying base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83"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The forward-looking statements in this prospectus supplement, the accompanying prospectus and the information incorporated by reference herein and therein include, among other things, statements about:</w:t>
      </w:r>
    </w:p>
    <w:p>
      <w:pPr>
        <w:spacing w:after="0" w:line="59" w:lineRule="exact"/>
        <w:rPr>
          <w:sz w:val="20"/>
          <w:szCs w:val="20"/>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ongoing clinical trials of losmapimod and FTX-6058;</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organizational streamlining and realignment of resources, including our anticipated cash runway;</w:t>
      </w:r>
    </w:p>
    <w:p>
      <w:pPr>
        <w:spacing w:after="0" w:line="117" w:lineRule="exact"/>
        <w:rPr>
          <w:rFonts w:ascii="Arial" w:cs="Arial" w:eastAsia="Arial" w:hAnsi="Arial"/>
          <w:sz w:val="18"/>
          <w:szCs w:val="18"/>
          <w:color w:val="auto"/>
        </w:rPr>
      </w:pPr>
    </w:p>
    <w:p>
      <w:pPr>
        <w:ind w:left="880" w:right="38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 and operations, including our clinical trials and development plans, as well as our future financial results;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880" w:right="40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59" w:lineRule="exact"/>
        <w:rPr>
          <w:rFonts w:ascii="Arial" w:cs="Arial" w:eastAsia="Arial" w:hAnsi="Arial"/>
          <w:sz w:val="18"/>
          <w:szCs w:val="18"/>
          <w:color w:val="auto"/>
        </w:rPr>
      </w:pPr>
    </w:p>
    <w:p>
      <w:pPr>
        <w:ind w:left="880" w:right="24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59" w:lineRule="exact"/>
        <w:rPr>
          <w:rFonts w:ascii="Arial" w:cs="Arial" w:eastAsia="Arial" w:hAnsi="Arial"/>
          <w:sz w:val="18"/>
          <w:szCs w:val="18"/>
          <w:color w:val="auto"/>
        </w:rPr>
      </w:pPr>
    </w:p>
    <w:p>
      <w:pPr>
        <w:ind w:left="880" w:right="18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losmapimod, FTX-6058 and any other product candidates;</w:t>
      </w:r>
    </w:p>
    <w:p>
      <w:pPr>
        <w:spacing w:after="0" w:line="59"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 if our product candidates are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progress and results of our collaboration with BMS;</w:t>
      </w:r>
    </w:p>
    <w:p>
      <w:pPr>
        <w:spacing w:after="0" w:line="117" w:lineRule="exact"/>
        <w:rPr>
          <w:rFonts w:ascii="Arial" w:cs="Arial" w:eastAsia="Arial" w:hAnsi="Arial"/>
          <w:sz w:val="18"/>
          <w:szCs w:val="18"/>
          <w:color w:val="auto"/>
        </w:rPr>
      </w:pPr>
    </w:p>
    <w:p>
      <w:pPr>
        <w:ind w:left="880" w:right="62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59" w:lineRule="exact"/>
        <w:rPr>
          <w:rFonts w:ascii="Arial" w:cs="Arial" w:eastAsia="Arial" w:hAnsi="Arial"/>
          <w:sz w:val="18"/>
          <w:szCs w:val="18"/>
          <w:color w:val="auto"/>
        </w:rPr>
      </w:pPr>
    </w:p>
    <w:p>
      <w:pPr>
        <w:ind w:left="880" w:right="26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regarding expenses, future revenue, timing of any future revenue, capital requirements and needs for additional financing;</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880" w:right="340" w:hanging="224"/>
        <w:spacing w:after="0" w:line="271"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5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may not actually achieve the plans, intentions or expectations disclosed in our forward- 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supplement, particularly in the “Risk Factors” section, that we believe could cause actual results or events to differ materially from the forward- 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83"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You should read this prospectus supplement, the accompanying base prospectus,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The forward-looking statements contained in this prospectus supplement and the accompanying base prospectus and incorporated by reference herein are made as of the date hereof, and we do not assume any obligation to update any forward-looking statements except as required by applicable law.</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supplement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546"/>
        </w:trPr>
        <w:tc>
          <w:tcPr>
            <w:tcW w:w="13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80" w:type="dxa"/>
            <w:vAlign w:val="bottom"/>
          </w:tcPr>
          <w:p>
            <w:pPr>
              <w:ind w:left="240"/>
              <w:spacing w:after="0"/>
              <w:rPr>
                <w:sz w:val="20"/>
                <w:szCs w:val="20"/>
                <w:color w:val="auto"/>
              </w:rPr>
            </w:pPr>
            <w:r>
              <w:rPr>
                <w:rFonts w:ascii="Arial" w:cs="Arial" w:eastAsia="Arial" w:hAnsi="Arial"/>
                <w:sz w:val="18"/>
                <w:szCs w:val="18"/>
                <w:b w:val="1"/>
                <w:bCs w:val="1"/>
                <w:color w:val="auto"/>
              </w:rPr>
              <w:t>USE OF PROCEEDS</w:t>
            </w:r>
          </w:p>
        </w:tc>
        <w:tc>
          <w:tcPr>
            <w:tcW w:w="4320" w:type="dxa"/>
            <w:vAlign w:val="bottom"/>
          </w:tcPr>
          <w:p>
            <w:pPr>
              <w:spacing w:after="0"/>
              <w:rPr>
                <w:sz w:val="24"/>
                <w:szCs w:val="24"/>
                <w:color w:val="auto"/>
              </w:rPr>
            </w:pPr>
          </w:p>
        </w:tc>
      </w:tr>
      <w:tr>
        <w:trPr>
          <w:trHeight w:val="374"/>
        </w:trPr>
        <w:tc>
          <w:tcPr>
            <w:tcW w:w="6800" w:type="dxa"/>
            <w:vAlign w:val="bottom"/>
            <w:gridSpan w:val="4"/>
          </w:tcPr>
          <w:p>
            <w:pPr>
              <w:ind w:left="660"/>
              <w:spacing w:after="0"/>
              <w:rPr>
                <w:sz w:val="20"/>
                <w:szCs w:val="20"/>
                <w:color w:val="auto"/>
              </w:rPr>
            </w:pPr>
            <w:r>
              <w:rPr>
                <w:rFonts w:ascii="Arial" w:cs="Arial" w:eastAsia="Arial" w:hAnsi="Arial"/>
                <w:sz w:val="18"/>
                <w:szCs w:val="18"/>
                <w:color w:val="auto"/>
              </w:rPr>
              <w:t>We estimate that the net proceeds to us from the issuance and sale of</w:t>
            </w:r>
          </w:p>
        </w:tc>
        <w:tc>
          <w:tcPr>
            <w:tcW w:w="4320" w:type="dxa"/>
            <w:vAlign w:val="bottom"/>
          </w:tcPr>
          <w:p>
            <w:pPr>
              <w:ind w:left="300"/>
              <w:spacing w:after="0"/>
              <w:rPr>
                <w:sz w:val="20"/>
                <w:szCs w:val="20"/>
                <w:color w:val="auto"/>
              </w:rPr>
            </w:pPr>
            <w:r>
              <w:rPr>
                <w:rFonts w:ascii="Arial" w:cs="Arial" w:eastAsia="Arial" w:hAnsi="Arial"/>
                <w:sz w:val="18"/>
                <w:szCs w:val="18"/>
                <w:color w:val="auto"/>
              </w:rPr>
              <w:t>shares of common stock in this offering will be</w:t>
            </w:r>
          </w:p>
        </w:tc>
      </w:tr>
      <w:tr>
        <w:trPr>
          <w:trHeight w:val="221"/>
        </w:trPr>
        <w:tc>
          <w:tcPr>
            <w:tcW w:w="1780" w:type="dxa"/>
            <w:vAlign w:val="bottom"/>
            <w:gridSpan w:val="2"/>
          </w:tcPr>
          <w:p>
            <w:pPr>
              <w:ind w:left="120"/>
              <w:spacing w:after="0"/>
              <w:rPr>
                <w:sz w:val="20"/>
                <w:szCs w:val="20"/>
                <w:color w:val="auto"/>
              </w:rPr>
            </w:pPr>
            <w:r>
              <w:rPr>
                <w:rFonts w:ascii="Arial" w:cs="Arial" w:eastAsia="Arial" w:hAnsi="Arial"/>
                <w:sz w:val="18"/>
                <w:szCs w:val="18"/>
                <w:color w:val="auto"/>
              </w:rPr>
              <w:t>approximately $</w:t>
            </w:r>
          </w:p>
        </w:tc>
        <w:tc>
          <w:tcPr>
            <w:tcW w:w="2740" w:type="dxa"/>
            <w:vAlign w:val="bottom"/>
          </w:tcPr>
          <w:p>
            <w:pPr>
              <w:ind w:left="400"/>
              <w:spacing w:after="0"/>
              <w:rPr>
                <w:sz w:val="20"/>
                <w:szCs w:val="20"/>
                <w:color w:val="auto"/>
              </w:rPr>
            </w:pPr>
            <w:r>
              <w:rPr>
                <w:rFonts w:ascii="Arial" w:cs="Arial" w:eastAsia="Arial" w:hAnsi="Arial"/>
                <w:sz w:val="18"/>
                <w:szCs w:val="18"/>
                <w:color w:val="auto"/>
              </w:rPr>
              <w:t>million, or approximately $</w:t>
            </w:r>
          </w:p>
        </w:tc>
        <w:tc>
          <w:tcPr>
            <w:tcW w:w="6600" w:type="dxa"/>
            <w:vAlign w:val="bottom"/>
            <w:gridSpan w:val="2"/>
          </w:tcPr>
          <w:p>
            <w:pPr>
              <w:ind w:left="560"/>
              <w:spacing w:after="0"/>
              <w:rPr>
                <w:sz w:val="20"/>
                <w:szCs w:val="20"/>
                <w:color w:val="auto"/>
              </w:rPr>
            </w:pPr>
            <w:r>
              <w:rPr>
                <w:rFonts w:ascii="Arial" w:cs="Arial" w:eastAsia="Arial" w:hAnsi="Arial"/>
                <w:sz w:val="18"/>
                <w:szCs w:val="18"/>
                <w:color w:val="auto"/>
                <w:w w:val="99"/>
              </w:rPr>
              <w:t>million if the underwriters exercise their option to purchase additional shares</w:t>
            </w:r>
          </w:p>
        </w:tc>
      </w:tr>
    </w:tbl>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full, in each case after deducting underwriting discounts and commissions and estimated offering expenses payable to us.</w:t>
      </w:r>
    </w:p>
    <w:p>
      <w:pPr>
        <w:spacing w:after="0" w:line="19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We currently anticipate that we will use the net proceeds from this offering, together with our existing cash, cash equivalents and marketable securities,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w:t>
      </w:r>
    </w:p>
    <w:p>
      <w:pPr>
        <w:spacing w:after="0" w:line="17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As of September 30, 2022, we had cash, cash equivalents and marketable securities of $221.8 million. This expected use of net proceeds from this offering represents our intentions based upon our current plans and business conditions, which could change in the future as our plans and business conditions evolve. The amounts and timing of our actual use of the net proceeds may vary significantly depending on numerous factors, including the actual net proceeds from this offering,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85"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Pending the use of proceeds described above, we intend to invest the net proceeds in a variety of capital preservation investments, including short-term, investment-grade, interest-bearing instruments and U.S. government securities.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46"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2" w:lineRule="exact"/>
        <w:rPr>
          <w:sz w:val="20"/>
          <w:szCs w:val="20"/>
          <w:color w:val="auto"/>
        </w:rPr>
      </w:pPr>
    </w:p>
    <w:p>
      <w:pPr>
        <w:jc w:val="both"/>
        <w:ind w:left="120" w:right="160" w:firstLine="551"/>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public offering price per share of our common stock you will pay in this offering and the as adjusted net tangible book value per share of our common stock immediately after this offering.</w:t>
      </w:r>
    </w:p>
    <w:p>
      <w:pPr>
        <w:spacing w:after="0" w:line="169" w:lineRule="exact"/>
        <w:rPr>
          <w:sz w:val="20"/>
          <w:szCs w:val="20"/>
          <w:color w:val="auto"/>
        </w:rPr>
      </w:pPr>
    </w:p>
    <w:p>
      <w:pPr>
        <w:jc w:val="both"/>
        <w:ind w:left="120" w:right="580" w:firstLine="551"/>
        <w:spacing w:after="0" w:line="247" w:lineRule="auto"/>
        <w:rPr>
          <w:sz w:val="20"/>
          <w:szCs w:val="20"/>
          <w:color w:val="auto"/>
        </w:rPr>
      </w:pPr>
      <w:r>
        <w:rPr>
          <w:rFonts w:ascii="Arial" w:cs="Arial" w:eastAsia="Arial" w:hAnsi="Arial"/>
          <w:sz w:val="18"/>
          <w:szCs w:val="18"/>
          <w:color w:val="auto"/>
        </w:rPr>
        <w:t>Our historical net tangible book value as of September 30, 2022 was approximately $221.4 million, or $4.25 per share of our common stock. Our historical net tangible book value is the amount of our total tangible assets less our total liabilities. Historical net tangible book value per share represents historical net tangible book value divided by the 52,049,913 shares of our common stock outstanding as of September 30, 2022.</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4280" w:type="dxa"/>
            <w:vAlign w:val="bottom"/>
            <w:gridSpan w:val="2"/>
          </w:tcPr>
          <w:p>
            <w:pPr>
              <w:ind w:left="220"/>
              <w:spacing w:after="0"/>
              <w:rPr>
                <w:sz w:val="20"/>
                <w:szCs w:val="20"/>
                <w:color w:val="auto"/>
              </w:rPr>
            </w:pPr>
            <w:r>
              <w:rPr>
                <w:rFonts w:ascii="Arial" w:cs="Arial" w:eastAsia="Arial" w:hAnsi="Arial"/>
                <w:sz w:val="18"/>
                <w:szCs w:val="18"/>
                <w:color w:val="auto"/>
              </w:rPr>
              <w:t>After giving effect to the issuance and sale of</w:t>
            </w:r>
          </w:p>
        </w:tc>
        <w:tc>
          <w:tcPr>
            <w:tcW w:w="6420" w:type="dxa"/>
            <w:vAlign w:val="bottom"/>
            <w:gridSpan w:val="7"/>
          </w:tcPr>
          <w:p>
            <w:pPr>
              <w:ind w:left="320"/>
              <w:spacing w:after="0"/>
              <w:rPr>
                <w:sz w:val="20"/>
                <w:szCs w:val="20"/>
                <w:color w:val="auto"/>
              </w:rPr>
            </w:pPr>
            <w:r>
              <w:rPr>
                <w:rFonts w:ascii="Arial" w:cs="Arial" w:eastAsia="Arial" w:hAnsi="Arial"/>
                <w:sz w:val="18"/>
                <w:szCs w:val="18"/>
                <w:color w:val="auto"/>
              </w:rPr>
              <w:t>shares of our common stock that we are offering at the public offering price</w:t>
            </w:r>
          </w:p>
        </w:tc>
      </w:tr>
      <w:tr>
        <w:trPr>
          <w:trHeight w:val="203"/>
        </w:trPr>
        <w:tc>
          <w:tcPr>
            <w:tcW w:w="320" w:type="dxa"/>
            <w:vAlign w:val="bottom"/>
          </w:tcPr>
          <w:p>
            <w:pPr>
              <w:spacing w:after="0" w:line="202" w:lineRule="exact"/>
              <w:rPr>
                <w:sz w:val="20"/>
                <w:szCs w:val="20"/>
                <w:color w:val="auto"/>
              </w:rPr>
            </w:pPr>
            <w:r>
              <w:rPr>
                <w:rFonts w:ascii="Arial" w:cs="Arial" w:eastAsia="Arial" w:hAnsi="Arial"/>
                <w:sz w:val="18"/>
                <w:szCs w:val="18"/>
                <w:color w:val="auto"/>
                <w:w w:val="99"/>
              </w:rPr>
              <w:t>of $</w:t>
            </w:r>
          </w:p>
        </w:tc>
        <w:tc>
          <w:tcPr>
            <w:tcW w:w="10700" w:type="dxa"/>
            <w:vAlign w:val="bottom"/>
            <w:gridSpan w:val="9"/>
          </w:tcPr>
          <w:p>
            <w:pPr>
              <w:ind w:left="820"/>
              <w:spacing w:after="0" w:line="202" w:lineRule="exact"/>
              <w:rPr>
                <w:sz w:val="20"/>
                <w:szCs w:val="20"/>
                <w:color w:val="auto"/>
              </w:rPr>
            </w:pPr>
            <w:r>
              <w:rPr>
                <w:rFonts w:ascii="Arial" w:cs="Arial" w:eastAsia="Arial" w:hAnsi="Arial"/>
                <w:sz w:val="18"/>
                <w:szCs w:val="18"/>
                <w:color w:val="auto"/>
              </w:rPr>
              <w:t>per share, and after deducting the underwriting discounts and commissions and estimated offering expenses payable by us,</w:t>
            </w:r>
          </w:p>
        </w:tc>
      </w:tr>
      <w:tr>
        <w:trPr>
          <w:trHeight w:val="203"/>
        </w:trPr>
        <w:tc>
          <w:tcPr>
            <w:tcW w:w="7800" w:type="dxa"/>
            <w:vAlign w:val="bottom"/>
            <w:gridSpan w:val="4"/>
          </w:tcPr>
          <w:p>
            <w:pPr>
              <w:spacing w:after="0" w:line="202" w:lineRule="exact"/>
              <w:rPr>
                <w:sz w:val="20"/>
                <w:szCs w:val="20"/>
                <w:color w:val="auto"/>
              </w:rPr>
            </w:pPr>
            <w:r>
              <w:rPr>
                <w:rFonts w:ascii="Arial" w:cs="Arial" w:eastAsia="Arial" w:hAnsi="Arial"/>
                <w:sz w:val="18"/>
                <w:szCs w:val="18"/>
                <w:color w:val="auto"/>
              </w:rPr>
              <w:t>our as adjusted net tangible book value at September 30, 2022 would have been approximately $</w:t>
            </w:r>
          </w:p>
        </w:tc>
        <w:tc>
          <w:tcPr>
            <w:tcW w:w="220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million, or $</w:t>
            </w:r>
          </w:p>
        </w:tc>
        <w:tc>
          <w:tcPr>
            <w:tcW w:w="180" w:type="dxa"/>
            <w:vAlign w:val="bottom"/>
          </w:tcPr>
          <w:p>
            <w:pPr>
              <w:spacing w:after="0"/>
              <w:rPr>
                <w:sz w:val="17"/>
                <w:szCs w:val="17"/>
                <w:color w:val="auto"/>
              </w:rPr>
            </w:pPr>
          </w:p>
        </w:tc>
        <w:tc>
          <w:tcPr>
            <w:tcW w:w="8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per</w:t>
            </w:r>
          </w:p>
        </w:tc>
      </w:tr>
      <w:tr>
        <w:trPr>
          <w:trHeight w:val="203"/>
        </w:trPr>
        <w:tc>
          <w:tcPr>
            <w:tcW w:w="7800" w:type="dxa"/>
            <w:vAlign w:val="bottom"/>
            <w:gridSpan w:val="4"/>
          </w:tcPr>
          <w:p>
            <w:pPr>
              <w:spacing w:after="0" w:line="202" w:lineRule="exact"/>
              <w:rPr>
                <w:sz w:val="20"/>
                <w:szCs w:val="20"/>
                <w:color w:val="auto"/>
              </w:rPr>
            </w:pPr>
            <w:r>
              <w:rPr>
                <w:rFonts w:ascii="Arial" w:cs="Arial" w:eastAsia="Arial" w:hAnsi="Arial"/>
                <w:sz w:val="18"/>
                <w:szCs w:val="18"/>
                <w:color w:val="auto"/>
              </w:rPr>
              <w:t>share. This represents an immediate increase in as adjusted net tangible book value of $</w:t>
            </w:r>
          </w:p>
        </w:tc>
        <w:tc>
          <w:tcPr>
            <w:tcW w:w="3220" w:type="dxa"/>
            <w:vAlign w:val="bottom"/>
            <w:gridSpan w:val="6"/>
          </w:tcPr>
          <w:p>
            <w:pPr>
              <w:ind w:left="60"/>
              <w:spacing w:after="0" w:line="202" w:lineRule="exact"/>
              <w:rPr>
                <w:sz w:val="20"/>
                <w:szCs w:val="20"/>
                <w:color w:val="auto"/>
              </w:rPr>
            </w:pPr>
            <w:r>
              <w:rPr>
                <w:rFonts w:ascii="Arial" w:cs="Arial" w:eastAsia="Arial" w:hAnsi="Arial"/>
                <w:sz w:val="18"/>
                <w:szCs w:val="18"/>
                <w:color w:val="auto"/>
              </w:rPr>
              <w:t>per share to existing stockholders and</w:t>
            </w:r>
          </w:p>
        </w:tc>
      </w:tr>
      <w:tr>
        <w:trPr>
          <w:trHeight w:val="203"/>
        </w:trPr>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an immediate dilution of $</w:t>
            </w:r>
          </w:p>
        </w:tc>
        <w:tc>
          <w:tcPr>
            <w:tcW w:w="8380" w:type="dxa"/>
            <w:vAlign w:val="bottom"/>
            <w:gridSpan w:val="8"/>
          </w:tcPr>
          <w:p>
            <w:pPr>
              <w:ind w:left="260"/>
              <w:spacing w:after="0" w:line="202" w:lineRule="exact"/>
              <w:rPr>
                <w:sz w:val="20"/>
                <w:szCs w:val="20"/>
                <w:color w:val="auto"/>
              </w:rPr>
            </w:pPr>
            <w:r>
              <w:rPr>
                <w:rFonts w:ascii="Arial" w:cs="Arial" w:eastAsia="Arial" w:hAnsi="Arial"/>
                <w:sz w:val="18"/>
                <w:szCs w:val="18"/>
                <w:color w:val="auto"/>
              </w:rPr>
              <w:t>per share to investors in this offering. Dilution per share to new investors is determined by subtracting</w:t>
            </w:r>
          </w:p>
        </w:tc>
      </w:tr>
      <w:tr>
        <w:trPr>
          <w:trHeight w:val="203"/>
        </w:trPr>
        <w:tc>
          <w:tcPr>
            <w:tcW w:w="11020" w:type="dxa"/>
            <w:vAlign w:val="bottom"/>
            <w:gridSpan w:val="10"/>
          </w:tcPr>
          <w:p>
            <w:pPr>
              <w:spacing w:after="0" w:line="202" w:lineRule="exact"/>
              <w:rPr>
                <w:sz w:val="20"/>
                <w:szCs w:val="20"/>
                <w:color w:val="auto"/>
              </w:rPr>
            </w:pPr>
            <w:r>
              <w:rPr>
                <w:rFonts w:ascii="Arial" w:cs="Arial" w:eastAsia="Arial" w:hAnsi="Arial"/>
                <w:sz w:val="18"/>
                <w:szCs w:val="18"/>
                <w:color w:val="auto"/>
              </w:rPr>
              <w:t>as adjusted net tangible book value per share after this offering from the public offering price per share paid by new investors. The</w:t>
            </w:r>
          </w:p>
        </w:tc>
      </w:tr>
      <w:tr>
        <w:trPr>
          <w:trHeight w:val="239"/>
        </w:trPr>
        <w:tc>
          <w:tcPr>
            <w:tcW w:w="4600" w:type="dxa"/>
            <w:vAlign w:val="bottom"/>
            <w:gridSpan w:val="3"/>
          </w:tcPr>
          <w:p>
            <w:pPr>
              <w:spacing w:after="0"/>
              <w:rPr>
                <w:sz w:val="20"/>
                <w:szCs w:val="20"/>
                <w:color w:val="auto"/>
              </w:rPr>
            </w:pPr>
            <w:r>
              <w:rPr>
                <w:rFonts w:ascii="Arial" w:cs="Arial" w:eastAsia="Arial" w:hAnsi="Arial"/>
                <w:sz w:val="18"/>
                <w:szCs w:val="18"/>
                <w:color w:val="auto"/>
              </w:rPr>
              <w:t>following table illustrates this per share dilution.</w:t>
            </w:r>
          </w:p>
        </w:tc>
        <w:tc>
          <w:tcPr>
            <w:tcW w:w="3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2640" w:type="dxa"/>
            <w:vAlign w:val="bottom"/>
            <w:gridSpan w:val="2"/>
          </w:tcPr>
          <w:p>
            <w:pPr>
              <w:spacing w:after="0"/>
              <w:rPr>
                <w:sz w:val="19"/>
                <w:szCs w:val="19"/>
                <w:color w:val="auto"/>
              </w:rPr>
            </w:pPr>
          </w:p>
        </w:tc>
        <w:tc>
          <w:tcPr>
            <w:tcW w:w="19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2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 per share</w:t>
            </w:r>
          </w:p>
        </w:tc>
        <w:tc>
          <w:tcPr>
            <w:tcW w:w="196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4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Historical net tangible book value per share as of September 30, 2022</w:t>
            </w:r>
          </w:p>
        </w:tc>
        <w:tc>
          <w:tcPr>
            <w:tcW w:w="22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$4.25</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20" w:type="dxa"/>
            <w:vAlign w:val="bottom"/>
            <w:shd w:val="clear" w:color="auto" w:fill="CCEEFF"/>
          </w:tcPr>
          <w:p>
            <w:pPr>
              <w:spacing w:after="0"/>
              <w:rPr>
                <w:sz w:val="17"/>
                <w:szCs w:val="17"/>
                <w:color w:val="auto"/>
              </w:rPr>
            </w:pPr>
          </w:p>
        </w:tc>
        <w:tc>
          <w:tcPr>
            <w:tcW w:w="74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Increase in net tangible book value per share attributable to this offering</w:t>
            </w:r>
          </w:p>
        </w:tc>
        <w:tc>
          <w:tcPr>
            <w:tcW w:w="15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7800" w:type="dxa"/>
            <w:vAlign w:val="bottom"/>
            <w:gridSpan w:val="4"/>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20" w:type="dxa"/>
            <w:vAlign w:val="bottom"/>
            <w:shd w:val="clear" w:color="auto" w:fill="CCEEFF"/>
          </w:tcPr>
          <w:p>
            <w:pPr>
              <w:spacing w:after="0"/>
              <w:rPr>
                <w:sz w:val="17"/>
                <w:szCs w:val="17"/>
                <w:color w:val="auto"/>
              </w:rPr>
            </w:pPr>
          </w:p>
        </w:tc>
        <w:tc>
          <w:tcPr>
            <w:tcW w:w="74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1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9860" w:type="dxa"/>
            <w:vAlign w:val="bottom"/>
            <w:gridSpan w:val="7"/>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320" w:type="dxa"/>
            <w:vAlign w:val="bottom"/>
          </w:tcPr>
          <w:p>
            <w:pPr>
              <w:spacing w:after="0"/>
              <w:rPr>
                <w:sz w:val="24"/>
                <w:szCs w:val="24"/>
                <w:color w:val="auto"/>
              </w:rPr>
            </w:pPr>
          </w:p>
        </w:tc>
        <w:tc>
          <w:tcPr>
            <w:tcW w:w="10700" w:type="dxa"/>
            <w:vAlign w:val="bottom"/>
            <w:gridSpan w:val="9"/>
          </w:tcPr>
          <w:p>
            <w:pPr>
              <w:ind w:left="220"/>
              <w:spacing w:after="0"/>
              <w:rPr>
                <w:sz w:val="20"/>
                <w:szCs w:val="20"/>
                <w:color w:val="auto"/>
              </w:rPr>
            </w:pPr>
            <w:r>
              <w:rPr>
                <w:rFonts w:ascii="Arial" w:cs="Arial" w:eastAsia="Arial" w:hAnsi="Arial"/>
                <w:sz w:val="18"/>
                <w:szCs w:val="18"/>
                <w:color w:val="auto"/>
              </w:rPr>
              <w:t>If the underwriters exercise their option to purchase additional shares in full the immediate dilution in as adjusted net tangible book</w:t>
            </w:r>
          </w:p>
        </w:tc>
      </w:tr>
      <w:tr>
        <w:trPr>
          <w:trHeight w:val="239"/>
        </w:trPr>
        <w:tc>
          <w:tcPr>
            <w:tcW w:w="4600" w:type="dxa"/>
            <w:vAlign w:val="bottom"/>
            <w:gridSpan w:val="3"/>
          </w:tcPr>
          <w:p>
            <w:pPr>
              <w:spacing w:after="0"/>
              <w:rPr>
                <w:sz w:val="20"/>
                <w:szCs w:val="20"/>
                <w:color w:val="auto"/>
              </w:rPr>
            </w:pPr>
            <w:r>
              <w:rPr>
                <w:rFonts w:ascii="Arial" w:cs="Arial" w:eastAsia="Arial" w:hAnsi="Arial"/>
                <w:sz w:val="18"/>
                <w:szCs w:val="18"/>
                <w:color w:val="auto"/>
              </w:rPr>
              <w:t>value per share to investors in this offering would be $</w:t>
            </w:r>
          </w:p>
        </w:tc>
        <w:tc>
          <w:tcPr>
            <w:tcW w:w="3200" w:type="dxa"/>
            <w:vAlign w:val="bottom"/>
          </w:tcPr>
          <w:p>
            <w:pPr>
              <w:ind w:left="500"/>
              <w:spacing w:after="0"/>
              <w:rPr>
                <w:sz w:val="20"/>
                <w:szCs w:val="20"/>
                <w:color w:val="auto"/>
              </w:rPr>
            </w:pPr>
            <w:r>
              <w:rPr>
                <w:rFonts w:ascii="Arial" w:cs="Arial" w:eastAsia="Arial" w:hAnsi="Arial"/>
                <w:sz w:val="18"/>
                <w:szCs w:val="18"/>
                <w:color w:val="auto"/>
              </w:rPr>
              <w:t>per share.</w:t>
            </w: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0"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The table and discussion above are based on 52,049,913 shares of our common stock outstanding as of September 30, 2022, and exclude:</w:t>
      </w:r>
    </w:p>
    <w:p>
      <w:pPr>
        <w:spacing w:after="0" w:line="59" w:lineRule="exact"/>
        <w:rPr>
          <w:sz w:val="20"/>
          <w:szCs w:val="20"/>
          <w:color w:val="auto"/>
        </w:rPr>
      </w:pPr>
    </w:p>
    <w:p>
      <w:pPr>
        <w:ind w:left="880" w:right="60" w:hanging="224"/>
        <w:spacing w:after="0" w:line="271"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5,929,065 shares of common stock issuable upon exercise of stock options outstanding as of September 30, 2022 at a weighted average exercise price of $12.89 per share;</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95,174 shares of common stock issuable upon vesting of restricted stock units outstanding as of September 30, 2022; and</w:t>
      </w:r>
    </w:p>
    <w:p>
      <w:pPr>
        <w:spacing w:after="0" w:line="117" w:lineRule="exact"/>
        <w:rPr>
          <w:rFonts w:ascii="Arial" w:cs="Arial" w:eastAsia="Arial" w:hAnsi="Arial"/>
          <w:sz w:val="18"/>
          <w:szCs w:val="18"/>
          <w:color w:val="auto"/>
        </w:rPr>
      </w:pPr>
    </w:p>
    <w:p>
      <w:pPr>
        <w:ind w:left="880" w:right="80" w:hanging="224"/>
        <w:spacing w:after="0" w:line="253"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1,667,865, 1,125,540, and 1,091,085 shares of our common stock available for future issuance as of September 30, 2022 under our 2019 Stock Incentive Plan, our 2022 Inducement Stock Incentive Plan and our 2019 Employee Stock Purchase Plan, respectively, as well as any automatic increases in the number of shares of common stock reserved under these plans.</w:t>
      </w:r>
    </w:p>
    <w:p>
      <w:pPr>
        <w:spacing w:after="0" w:line="169"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To the extent that outstanding stock options are exercised, new stock options are issued, or we issue additional shares of common stock in the future, including pursuant to our equity distribution agreement with Piper Sandler &amp; Co., there will be further dilution to investors purchasing shares of common stock in this offering.</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MATERIAL U.S. FEDERAL INCOME AND ESTATE TAX CONSIDERATIONS FOR NON U.S. HOLDERS OF COMMON STOCK</w:t>
      </w:r>
    </w:p>
    <w:p>
      <w:pPr>
        <w:spacing w:after="0" w:line="21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79" w:lineRule="exact"/>
        <w:rPr>
          <w:sz w:val="20"/>
          <w:szCs w:val="20"/>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w:t>
      </w:r>
    </w:p>
    <w:p>
      <w:pPr>
        <w:spacing w:after="0" w:line="169"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This discussion does not address the tax treatment of partnerships or other entities that are pass- 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w:t>
      </w:r>
    </w:p>
    <w:p>
      <w:pPr>
        <w:spacing w:after="0" w:line="179"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non-U.S. holders described in this prospectus supplement. There can be no assurance that the Internal Revenue Service, or the IRS, will not challenge one or more of the tax consequences described in this prospectus supplement.</w:t>
      </w:r>
    </w:p>
    <w:p>
      <w:pPr>
        <w:spacing w:after="0" w:line="179"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206"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17" w:lineRule="exact"/>
        <w:rPr>
          <w:rFonts w:ascii="Arial" w:cs="Arial" w:eastAsia="Arial" w:hAnsi="Arial"/>
          <w:sz w:val="18"/>
          <w:szCs w:val="18"/>
          <w:color w:val="auto"/>
        </w:rPr>
      </w:pPr>
    </w:p>
    <w:p>
      <w:pPr>
        <w:ind w:left="880" w:right="260" w:hanging="224"/>
        <w:spacing w:after="0" w:line="27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non-U.S. governments;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2" w:lineRule="exact"/>
        <w:rPr>
          <w:sz w:val="20"/>
          <w:szCs w:val="20"/>
          <w:color w:val="auto"/>
        </w:rPr>
      </w:pPr>
    </w:p>
    <w:p>
      <w:pPr>
        <w:ind w:left="120" w:right="160" w:firstLine="551"/>
        <w:spacing w:after="0" w:line="250"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w:t>
      </w:r>
    </w:p>
    <w:p>
      <w:pPr>
        <w:spacing w:after="0" w:line="212"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68"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80"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properly executed IRS Form W-8BEN or W-8BEN-E (or successor form) and satisfy applicable certification and other requirements.</w:t>
      </w:r>
    </w:p>
    <w:p>
      <w:pPr>
        <w:spacing w:after="0" w:line="104"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color w:val="auto"/>
        </w:rPr>
        <w:t>Non-U.S. holders are urged to consult their own tax advisors regarding their entitlement to benefits under a relevant income tax treaty and the specific methods available to them to satisfy these requirements.</w:t>
      </w:r>
    </w:p>
    <w:p>
      <w:pPr>
        <w:spacing w:after="0" w:line="154"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with the IRS.</w:t>
      </w: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12"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74" w:lineRule="exact"/>
        <w:rPr>
          <w:sz w:val="20"/>
          <w:szCs w:val="20"/>
          <w:color w:val="auto"/>
        </w:rPr>
      </w:pPr>
    </w:p>
    <w:p>
      <w:pPr>
        <w:ind w:left="880" w:hanging="224"/>
        <w:spacing w:after="0" w:line="242"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with respect to the gain,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84" w:lineRule="exact"/>
        <w:rPr>
          <w:rFonts w:ascii="Arial" w:cs="Arial" w:eastAsia="Arial" w:hAnsi="Arial"/>
          <w:sz w:val="18"/>
          <w:szCs w:val="18"/>
          <w:color w:val="auto"/>
        </w:rPr>
      </w:pPr>
    </w:p>
    <w:p>
      <w:pPr>
        <w:ind w:left="880" w:right="40" w:hanging="224"/>
        <w:spacing w:after="0" w:line="24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81" w:lineRule="exact"/>
        <w:rPr>
          <w:rFonts w:ascii="Arial" w:cs="Arial" w:eastAsia="Arial" w:hAnsi="Arial"/>
          <w:sz w:val="18"/>
          <w:szCs w:val="18"/>
          <w:color w:val="auto"/>
        </w:rPr>
      </w:pPr>
    </w:p>
    <w:p>
      <w:pPr>
        <w:ind w:left="880" w:right="20" w:hanging="224"/>
        <w:spacing w:after="0" w:line="253"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Generally, a corporation is a “U.S. real property holding corporation” only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 Federal Estate Tax</w:t>
      </w:r>
    </w:p>
    <w:p>
      <w:pPr>
        <w:spacing w:after="0" w:line="212"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Shares of our common stock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80"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 -U.S.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80"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54" w:lineRule="exact"/>
        <w:rPr>
          <w:sz w:val="20"/>
          <w:szCs w:val="20"/>
          <w:color w:val="auto"/>
        </w:rPr>
      </w:pPr>
    </w:p>
    <w:p>
      <w:pPr>
        <w:jc w:val="both"/>
        <w:ind w:left="120" w:right="720" w:firstLine="551"/>
        <w:spacing w:after="0" w:line="25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FATCA</w:t>
      </w:r>
    </w:p>
    <w:p>
      <w:pPr>
        <w:spacing w:after="0" w:line="212" w:lineRule="exact"/>
        <w:rPr>
          <w:sz w:val="20"/>
          <w:szCs w:val="20"/>
          <w:color w:val="auto"/>
        </w:rPr>
      </w:pPr>
    </w:p>
    <w:p>
      <w:pPr>
        <w:ind w:left="120" w:right="300" w:firstLine="551"/>
        <w:spacing w:after="0" w:line="244" w:lineRule="auto"/>
        <w:rPr>
          <w:sz w:val="20"/>
          <w:szCs w:val="20"/>
          <w:color w:val="auto"/>
        </w:rPr>
      </w:pPr>
      <w:r>
        <w:rPr>
          <w:rFonts w:ascii="Arial" w:cs="Arial" w:eastAsia="Arial" w:hAnsi="Arial"/>
          <w:sz w:val="18"/>
          <w:szCs w:val="18"/>
          <w:color w:val="auto"/>
        </w:rPr>
        <w:t>Provisions of the Code commonly referred to as the Foreign Account Tax Compliance Act, or FATCA, generally impose a 30% withholding tax on dividends on, and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under FATCA.</w:t>
      </w:r>
    </w:p>
    <w:p>
      <w:pPr>
        <w:spacing w:after="0" w:line="176"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also apply to payments of gross proceeds from a sale or other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disposition of our common stock, under proposed U.S. Treasury Regulations, withholding on payments of gross proceeds is not required. Although such proposed regulations are not final, applicable withholding agents may rely on the proposed regulations until final regulations are issued.</w:t>
      </w:r>
    </w:p>
    <w:p>
      <w:pPr>
        <w:spacing w:after="0" w:line="16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176" w:lineRule="exact"/>
        <w:rPr>
          <w:sz w:val="20"/>
          <w:szCs w:val="20"/>
          <w:color w:val="auto"/>
        </w:rPr>
      </w:pPr>
    </w:p>
    <w:p>
      <w:pPr>
        <w:ind w:left="120" w:right="100" w:firstLine="551"/>
        <w:spacing w:after="0" w:line="250" w:lineRule="auto"/>
        <w:rPr>
          <w:sz w:val="20"/>
          <w:szCs w:val="20"/>
          <w:color w:val="auto"/>
        </w:rPr>
      </w:pPr>
      <w:r>
        <w:rPr>
          <w:rFonts w:ascii="Arial" w:cs="Arial" w:eastAsia="Arial" w:hAnsi="Arial"/>
          <w:sz w:val="18"/>
          <w:szCs w:val="18"/>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ind w:left="120"/>
        <w:spacing w:after="0"/>
        <w:rPr>
          <w:sz w:val="20"/>
          <w:szCs w:val="20"/>
          <w:color w:val="auto"/>
        </w:rPr>
      </w:pPr>
      <w:r>
        <w:rPr>
          <w:rFonts w:ascii="Arial" w:cs="Arial" w:eastAsia="Arial" w:hAnsi="Arial"/>
          <w:sz w:val="18"/>
          <w:szCs w:val="18"/>
          <w:color w:val="auto"/>
        </w:rPr>
        <w:t>Goldman Sachs &amp; Co. LLC, SVB Securities LLC and Piper Sandler &amp; Co., are the representatives of the underwriters.</w:t>
      </w:r>
    </w:p>
    <w:p>
      <w:pPr>
        <w:spacing w:after="0" w:line="230" w:lineRule="exact"/>
        <w:rPr>
          <w:sz w:val="20"/>
          <w:szCs w:val="20"/>
          <w:color w:val="auto"/>
        </w:rPr>
      </w:pPr>
    </w:p>
    <w:p>
      <w:pPr>
        <w:ind w:left="120"/>
        <w:spacing w:after="0"/>
        <w:tabs>
          <w:tab w:leader="none" w:pos="982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SVB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3175</wp:posOffset>
            </wp:positionV>
            <wp:extent cx="78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H.C. Wainwright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3175</wp:posOffset>
            </wp:positionV>
            <wp:extent cx="788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36"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54"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The underwriters have an option to buy up to an additional shares of common stock from us. They may exercise that option for 30 days. If any shares are purchased pursuant to this option, the underwriters will severally purchase shares in approximately the same proportion as set forth in the table above.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additional shares.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Paid by Us</w:t>
            </w:r>
          </w:p>
        </w:tc>
        <w:tc>
          <w:tcPr>
            <w:tcW w:w="8300" w:type="dxa"/>
            <w:vAlign w:val="bottom"/>
            <w:vMerge w:val="restart"/>
          </w:tcPr>
          <w:p>
            <w:pPr>
              <w:spacing w:after="0"/>
              <w:rPr>
                <w:sz w:val="14"/>
                <w:szCs w:val="14"/>
                <w:color w:val="auto"/>
              </w:rPr>
            </w:pPr>
          </w:p>
        </w:tc>
        <w:tc>
          <w:tcPr>
            <w:tcW w:w="780" w:type="dxa"/>
            <w:vAlign w:val="bottom"/>
          </w:tcPr>
          <w:p>
            <w:pPr>
              <w:jc w:val="right"/>
              <w:ind w:right="219"/>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8300" w:type="dxa"/>
            <w:vAlign w:val="bottom"/>
            <w:vMerge w:val="continue"/>
          </w:tcPr>
          <w:p>
            <w:pPr>
              <w:spacing w:after="0"/>
              <w:rPr>
                <w:sz w:val="15"/>
                <w:szCs w:val="15"/>
                <w:color w:val="auto"/>
              </w:rPr>
            </w:pPr>
          </w:p>
        </w:tc>
        <w:tc>
          <w:tcPr>
            <w:tcW w:w="780" w:type="dxa"/>
            <w:vAlign w:val="bottom"/>
          </w:tcPr>
          <w:p>
            <w:pPr>
              <w:jc w:val="right"/>
              <w:ind w:right="19"/>
              <w:spacing w:after="0" w:line="158" w:lineRule="exact"/>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5"/>
                <w:szCs w:val="15"/>
                <w:color w:val="auto"/>
              </w:rPr>
            </w:pPr>
          </w:p>
        </w:tc>
        <w:tc>
          <w:tcPr>
            <w:tcW w:w="8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9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780" w:type="dxa"/>
            <w:vAlign w:val="bottom"/>
            <w:tcBorders>
              <w:top w:val="single" w:sz="8" w:color="auto"/>
            </w:tcBorders>
            <w:shd w:val="clear" w:color="auto" w:fill="CCEEFF"/>
          </w:tcPr>
          <w:p>
            <w:pPr>
              <w:jc w:val="right"/>
              <w:ind w:right="599"/>
              <w:spacing w:after="0" w:line="189"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602"/>
              <w:spacing w:after="0" w:line="189"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9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w:t>
      </w:r>
    </w:p>
    <w:p>
      <w:pPr>
        <w:spacing w:after="0" w:line="14" w:lineRule="exact"/>
        <w:rPr>
          <w:sz w:val="20"/>
          <w:szCs w:val="20"/>
          <w:color w:val="auto"/>
        </w:rPr>
      </w:pPr>
    </w:p>
    <w:p>
      <w:pPr>
        <w:ind w:left="120" w:right="160" w:hanging="4"/>
        <w:spacing w:after="0" w:line="250"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We have agreed to reimburse the underwriters for expenses relating to the clearance of this offering with the Financial Industry Regulatory Authority, Inc.</w:t>
      </w:r>
    </w:p>
    <w:p>
      <w:pPr>
        <w:spacing w:after="0" w:line="17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w:t>
      </w:r>
    </w:p>
    <w:p>
      <w:pPr>
        <w:spacing w:after="0" w:line="1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prospectus supplement.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We, our executive officers and our directors have agreed with the underwriters, subject to certain exceptions, not to dispose of or hedge any of our common stock or securities convertible into or exchangeable for shares of our common stock during the period from the date of this prospectus supplement continuing through the date 60 days, in our case, and 30 days, in the case of our executive officers and our directors, after the date of this prospectus supplement, except with the prior written consent of Goldman Sachs &amp; Co. LLC, SVB Securities LLC and Piper Sandler &amp; Co. This agreement does not apply to any existing employee benefit plans.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1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189"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9"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the Securities Act.</w:t>
      </w:r>
    </w:p>
    <w:p>
      <w:pPr>
        <w:spacing w:after="0" w:line="15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76" w:lineRule="exact"/>
        <w:rPr>
          <w:sz w:val="20"/>
          <w:szCs w:val="20"/>
          <w:color w:val="auto"/>
        </w:rPr>
      </w:pPr>
    </w:p>
    <w:p>
      <w:pPr>
        <w:ind w:left="120" w:right="280" w:firstLine="551"/>
        <w:spacing w:after="0" w:line="24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12"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In relation to each Member State of the European Economic Area (each a “Relevant Member State”), no common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82"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17" w:lineRule="exact"/>
        <w:rPr>
          <w:rFonts w:ascii="Arial" w:cs="Arial" w:eastAsia="Arial" w:hAnsi="Arial"/>
          <w:sz w:val="18"/>
          <w:szCs w:val="18"/>
          <w:color w:val="auto"/>
        </w:rPr>
      </w:pPr>
    </w:p>
    <w:p>
      <w:pPr>
        <w:ind w:left="1300" w:right="540" w:hanging="644"/>
        <w:spacing w:after="0" w:line="27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5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5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174" w:lineRule="exact"/>
        <w:rPr>
          <w:sz w:val="20"/>
          <w:szCs w:val="20"/>
          <w:color w:val="auto"/>
        </w:rPr>
      </w:pPr>
    </w:p>
    <w:p>
      <w:pPr>
        <w:jc w:val="both"/>
        <w:ind w:left="120" w:right="240" w:firstLine="551"/>
        <w:spacing w:after="0" w:line="253"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w:t>
      </w:r>
    </w:p>
    <w:p>
      <w:pPr>
        <w:spacing w:after="0" w:line="169" w:lineRule="exact"/>
        <w:rPr>
          <w:sz w:val="20"/>
          <w:szCs w:val="20"/>
          <w:color w:val="auto"/>
        </w:rPr>
      </w:pPr>
    </w:p>
    <w:p>
      <w:pPr>
        <w:ind w:left="880" w:hanging="213"/>
        <w:spacing w:after="0"/>
        <w:tabs>
          <w:tab w:leader="none" w:pos="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211" w:lineRule="exact"/>
        <w:rPr>
          <w:rFonts w:ascii="Arial" w:cs="Arial" w:eastAsia="Arial" w:hAnsi="Arial"/>
          <w:sz w:val="18"/>
          <w:szCs w:val="18"/>
          <w:color w:val="auto"/>
        </w:rPr>
      </w:pPr>
    </w:p>
    <w:p>
      <w:pPr>
        <w:ind w:left="880" w:hanging="213"/>
        <w:spacing w:after="0"/>
        <w:tabs>
          <w:tab w:leader="none" w:pos="8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5 of the Prospectus Regulation,</w:t>
      </w:r>
    </w:p>
    <w:p>
      <w:pPr>
        <w:spacing w:after="0" w:line="25" w:lineRule="exact"/>
        <w:rPr>
          <w:rFonts w:ascii="Arial" w:cs="Arial" w:eastAsia="Arial" w:hAnsi="Arial"/>
          <w:sz w:val="17"/>
          <w:szCs w:val="17"/>
          <w:color w:val="auto"/>
        </w:rPr>
      </w:pPr>
    </w:p>
    <w:p>
      <w:pPr>
        <w:ind w:left="120" w:right="100" w:hanging="4"/>
        <w:spacing w:after="0" w:line="238"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181" w:lineRule="exact"/>
        <w:rPr>
          <w:sz w:val="20"/>
          <w:szCs w:val="20"/>
          <w:color w:val="auto"/>
        </w:rPr>
      </w:pPr>
    </w:p>
    <w:p>
      <w:pPr>
        <w:ind w:left="120" w:right="360" w:firstLine="551"/>
        <w:spacing w:after="0" w:line="275" w:lineRule="auto"/>
        <w:rPr>
          <w:sz w:val="20"/>
          <w:szCs w:val="20"/>
          <w:color w:val="auto"/>
        </w:rPr>
      </w:pPr>
      <w:r>
        <w:rPr>
          <w:rFonts w:ascii="Arial" w:cs="Arial" w:eastAsia="Arial" w:hAnsi="Arial"/>
          <w:sz w:val="17"/>
          <w:szCs w:val="17"/>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1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This prospectus supplement and any other material in relation to the common shares described herein is only being distributed to, and is only directed at, and any investment or investment activity to which this prospectus supplement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United Kingdom to, and any invitation, offer or agreement to purchase or otherwise acquire the shares will be engaged in only with, the Relevant Persons. This prospectus supplement and its contents are confidential and should not be distributed, published or reproduced (in whole or in part) or disclosed by recipients to any other person in the United Kingdom. Any person in the United Kingdom that is not a Relevant Person should not act or rely on this prospectus supplement or any of its contents.</w:t>
      </w:r>
    </w:p>
    <w:p>
      <w:pPr>
        <w:spacing w:after="0" w:line="186"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7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1300" w:right="220" w:hanging="644"/>
        <w:spacing w:after="0" w:line="271"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representatives for any such offer; or</w:t>
      </w:r>
    </w:p>
    <w:p>
      <w:pPr>
        <w:spacing w:after="0" w:line="5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provided that no such offer of the shares shall require us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9" w:lineRule="exact"/>
        <w:rPr>
          <w:sz w:val="20"/>
          <w:szCs w:val="20"/>
          <w:color w:val="auto"/>
        </w:rPr>
      </w:pPr>
    </w:p>
    <w:p>
      <w:pPr>
        <w:ind w:left="120" w:right="20" w:firstLine="551"/>
        <w:spacing w:after="0" w:line="301" w:lineRule="auto"/>
        <w:rPr>
          <w:sz w:val="20"/>
          <w:szCs w:val="20"/>
          <w:color w:val="auto"/>
        </w:rPr>
      </w:pPr>
      <w:r>
        <w:rPr>
          <w:rFonts w:ascii="Arial" w:cs="Arial" w:eastAsia="Arial" w:hAnsi="Arial"/>
          <w:sz w:val="17"/>
          <w:szCs w:val="17"/>
          <w:color w:val="auto"/>
        </w:rPr>
        <w:t>Each person in the United Kingdom who acquires any shares in the offering or to whom any offer is made will be deemed to have represented, acknowledged and agreed to and with us, the underwriters and their affiliates that it meets the criteria outlined in this section.</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1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12"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6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1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1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our shares has been or will be lodged with the Australian Securities &amp; Investments Commission ( the “ASIC”). This document has not been lodged with ASIC and is only directed to certain categories of exempt persons. Accordingly, if you receive this document in Australia:</w:t>
      </w:r>
    </w:p>
    <w:p>
      <w:pPr>
        <w:spacing w:after="0" w:line="79"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17" w:lineRule="exact"/>
        <w:rPr>
          <w:rFonts w:ascii="Arial" w:cs="Arial" w:eastAsia="Arial" w:hAnsi="Arial"/>
          <w:sz w:val="18"/>
          <w:szCs w:val="18"/>
          <w:color w:val="auto"/>
        </w:rPr>
      </w:pPr>
    </w:p>
    <w:p>
      <w:pPr>
        <w:ind w:left="1860" w:right="120" w:hanging="543"/>
        <w:spacing w:after="0" w:line="253" w:lineRule="auto"/>
        <w:tabs>
          <w:tab w:leader="none" w:pos="1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74" w:lineRule="exact"/>
        <w:rPr>
          <w:rFonts w:ascii="Arial" w:cs="Arial" w:eastAsia="Arial" w:hAnsi="Arial"/>
          <w:sz w:val="18"/>
          <w:szCs w:val="18"/>
          <w:color w:val="auto"/>
        </w:rPr>
      </w:pPr>
    </w:p>
    <w:p>
      <w:pPr>
        <w:ind w:left="1860" w:hanging="543"/>
        <w:spacing w:after="0"/>
        <w:tabs>
          <w:tab w:leader="none" w:pos="1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person associated with us under section 708(12) of the Corporations Act; or</w:t>
      </w:r>
    </w:p>
    <w:p>
      <w:pPr>
        <w:spacing w:after="0" w:line="117" w:lineRule="exact"/>
        <w:rPr>
          <w:rFonts w:ascii="Arial" w:cs="Arial" w:eastAsia="Arial" w:hAnsi="Arial"/>
          <w:sz w:val="18"/>
          <w:szCs w:val="18"/>
          <w:color w:val="auto"/>
        </w:rPr>
      </w:pPr>
    </w:p>
    <w:p>
      <w:pPr>
        <w:ind w:left="1860" w:right="120" w:hanging="543"/>
        <w:spacing w:after="0" w:line="247" w:lineRule="auto"/>
        <w:tabs>
          <w:tab w:leader="none" w:pos="1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300" w:hanging="644"/>
        <w:spacing w:after="0" w:line="25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our shares for resale in Australia within 12 months of that security being issued unless any such resale offer is exempt from the requirement to issue a disclosure document under section 708 of the Corporations Act.</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12"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State of Israel this prospectus supplement shall not be regarded as an offer to the public to purchase shares of our common stock under the Israeli Securities Law, 5728 – 1968, or the Israeli Securities Law, which requires a prospectus to be published and authorized by the Israel Securities Authority if it complies with certain provisions of Section 15 of the Israeli Securities Law,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We have not and will not distribute this prospectus supplement or make, distribute or direct an offer to subscribe for our common stock to any person within the State of Israel, other than to Qualified Investors and up to 35 Addressed Investors.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In particular, we may request, as a condition to be offered shares of our common stock, that Qualified Investors will each represent, warrant and certify to us and/or to anyone acting on our behalf: (i) that it is an investor falling within one of the categories listed in the First Addendum to the Israeli Securities Law; (ii) which of the categories listed in the First Addendum to the Israeli Securities Law regarding Qualified Investors is applicable to it; (iii) that it will abide by all provisions set forth in the Israeli Securities Law and the regulations promulgated thereunder in connection with the offer to be issued shares of our common stock; (iv) that the shares of our common stock and that it will be issued are subject to exemptions available under the Israeli Securities Law (a) for its own account, (b) for investment purposes only and (c) not issued with a view to resale within the State of Israel, other than in accordance with the provisions of the Israeli Securities Law;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color w:val="auto"/>
        </w:rPr>
        <w:t>The validity of the shares of common stock offered hereby will be passed upon by Goodwin Procter LLP, Boston, Massachusetts. Mintz, Levin, Cohn, Ferris, Glovsky, and Popeo, P.C., New York, New York, is acting as counsel for the underwriters in connection with certain legal matters relating to this offering.</w:t>
      </w: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firstLine="551"/>
        <w:spacing w:after="0" w:line="266" w:lineRule="auto"/>
        <w:rPr>
          <w:sz w:val="20"/>
          <w:szCs w:val="20"/>
          <w:color w:val="auto"/>
        </w:rPr>
      </w:pPr>
      <w:r>
        <w:rPr>
          <w:rFonts w:ascii="Arial" w:cs="Arial" w:eastAsia="Arial" w:hAnsi="Arial"/>
          <w:sz w:val="17"/>
          <w:szCs w:val="17"/>
          <w:color w:val="auto"/>
        </w:rPr>
        <w:t>The consolidated financial statements of Fulcrum Therapeutics, Inc. appearing in Fulcrum Therapeutics, Inc.’s Annual Report on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 www.sec.gov. Copies of certain information filed by us with the SEC are also available on our website at http://www.fulcrumtx.com. Our website is not a part of this prospectus supplement and information contained on, or that can be accessed through our website, is not incorporated by reference in this prospectus supplement and the accompanying base prospectus.</w:t>
      </w:r>
    </w:p>
    <w:p>
      <w:pPr>
        <w:spacing w:after="0" w:line="17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supplement and the accompanying base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1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and the accompanying base prospectus.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001-38978)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85" w:lineRule="exact"/>
        <w:rPr>
          <w:sz w:val="20"/>
          <w:szCs w:val="20"/>
          <w:color w:val="auto"/>
        </w:rPr>
      </w:pPr>
    </w:p>
    <w:p>
      <w:pPr>
        <w:jc w:val="both"/>
        <w:ind w:left="880" w:hanging="224"/>
        <w:spacing w:after="0" w:line="25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6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filed on March 3, 2022, including the information specifically incorporated by reference into our Annual Report on Form 10-K from our </w:t>
      </w:r>
      <w:hyperlink r:id="rId63">
        <w:r>
          <w:rPr>
            <w:rFonts w:ascii="Arial" w:cs="Arial" w:eastAsia="Arial" w:hAnsi="Arial"/>
            <w:sz w:val="18"/>
            <w:szCs w:val="18"/>
            <w:u w:val="single" w:color="auto"/>
            <w:color w:val="0000EE"/>
          </w:rPr>
          <w:t>definitive proxy statement on 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filed on April 28, 2022;</w:t>
      </w:r>
    </w:p>
    <w:p>
      <w:pPr>
        <w:spacing w:after="0" w:line="74"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22"/>
        </w:numPr>
        <w:rPr>
          <w:rFonts w:ascii="Arial" w:cs="Arial" w:eastAsia="Arial" w:hAnsi="Arial"/>
          <w:sz w:val="18"/>
          <w:szCs w:val="18"/>
          <w:color w:val="0000EE"/>
        </w:rPr>
      </w:pPr>
      <w:hyperlink r:id="rId64">
        <w:r>
          <w:rPr>
            <w:rFonts w:ascii="Arial" w:cs="Arial" w:eastAsia="Arial" w:hAnsi="Arial"/>
            <w:sz w:val="18"/>
            <w:szCs w:val="18"/>
            <w:color w:val="auto"/>
          </w:rPr>
          <w:t xml:space="preserve">Quarterly Reports on Form 10-Q for the quarters ended March 31, 2022, June 30, 2022, and September 30, 2022, filed on </w:t>
        </w:r>
        <w:r>
          <w:rPr>
            <w:rFonts w:ascii="Arial" w:cs="Arial" w:eastAsia="Arial" w:hAnsi="Arial"/>
            <w:sz w:val="18"/>
            <w:szCs w:val="18"/>
            <w:u w:val="single" w:color="auto"/>
            <w:color w:val="0000EE"/>
          </w:rPr>
          <w:t>May</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9, 2022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 xml:space="preserve">August 11, 2022 </w:t>
        </w:r>
      </w:hyperlink>
      <w:hyperlink r:id="rId64">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6">
        <w:r>
          <w:rPr>
            <w:rFonts w:ascii="Arial" w:cs="Arial" w:eastAsia="Arial" w:hAnsi="Arial"/>
            <w:sz w:val="18"/>
            <w:szCs w:val="18"/>
            <w:u w:val="single" w:color="auto"/>
            <w:color w:val="0000EE"/>
          </w:rPr>
          <w:t>November 8, 2022</w:t>
        </w:r>
      </w:hyperlink>
      <w:hyperlink r:id="rId64">
        <w:r>
          <w:rPr>
            <w:rFonts w:ascii="Arial" w:cs="Arial" w:eastAsia="Arial" w:hAnsi="Arial"/>
            <w:sz w:val="18"/>
            <w:szCs w:val="18"/>
            <w:color w:val="000000"/>
          </w:rPr>
          <w:t>, respectively;</w:t>
        </w:r>
      </w:hyperlink>
    </w:p>
    <w:p>
      <w:pPr>
        <w:spacing w:after="0" w:line="59" w:lineRule="exact"/>
        <w:rPr>
          <w:rFonts w:ascii="Arial" w:cs="Arial" w:eastAsia="Arial" w:hAnsi="Arial"/>
          <w:sz w:val="18"/>
          <w:szCs w:val="18"/>
          <w:color w:val="0000EE"/>
        </w:rPr>
      </w:pPr>
    </w:p>
    <w:p>
      <w:pPr>
        <w:ind w:left="880" w:right="80" w:hanging="224"/>
        <w:spacing w:after="0" w:line="247" w:lineRule="auto"/>
        <w:tabs>
          <w:tab w:leader="none" w:pos="880" w:val="left"/>
        </w:tabs>
        <w:numPr>
          <w:ilvl w:val="0"/>
          <w:numId w:val="22"/>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on </w:t>
      </w:r>
      <w:hyperlink r:id="rId67">
        <w:r>
          <w:rPr>
            <w:rFonts w:ascii="Arial" w:cs="Arial" w:eastAsia="Arial" w:hAnsi="Arial"/>
            <w:sz w:val="18"/>
            <w:szCs w:val="18"/>
            <w:u w:val="single" w:color="auto"/>
            <w:color w:val="0000EE"/>
          </w:rPr>
          <w:t>January 4, 2022</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January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Item 9.01), </w:t>
      </w:r>
      <w:hyperlink r:id="rId69">
        <w:r>
          <w:rPr>
            <w:rFonts w:ascii="Arial" w:cs="Arial" w:eastAsia="Arial" w:hAnsi="Arial"/>
            <w:sz w:val="18"/>
            <w:szCs w:val="18"/>
            <w:u w:val="single" w:color="auto"/>
            <w:color w:val="0000EE"/>
          </w:rPr>
          <w:t>March 10, 2022</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May 10,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1">
        <w:r>
          <w:rPr>
            <w:rFonts w:ascii="Arial" w:cs="Arial" w:eastAsia="Arial" w:hAnsi="Arial"/>
            <w:sz w:val="18"/>
            <w:szCs w:val="18"/>
            <w:u w:val="single" w:color="auto"/>
            <w:color w:val="0000EE"/>
          </w:rPr>
          <w:t>June 6,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2">
        <w:r>
          <w:rPr>
            <w:rFonts w:ascii="Arial" w:cs="Arial" w:eastAsia="Arial" w:hAnsi="Arial"/>
            <w:sz w:val="18"/>
            <w:szCs w:val="18"/>
            <w:u w:val="single" w:color="auto"/>
            <w:color w:val="0000EE"/>
          </w:rPr>
          <w:t>June 9,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3">
        <w:r>
          <w:rPr>
            <w:rFonts w:ascii="Arial" w:cs="Arial" w:eastAsia="Arial" w:hAnsi="Arial"/>
            <w:sz w:val="18"/>
            <w:szCs w:val="18"/>
            <w:u w:val="single" w:color="auto"/>
            <w:color w:val="0000EE"/>
          </w:rPr>
          <w:t>June 10,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4">
        <w:r>
          <w:rPr>
            <w:rFonts w:ascii="Arial" w:cs="Arial" w:eastAsia="Arial" w:hAnsi="Arial"/>
            <w:sz w:val="18"/>
            <w:szCs w:val="18"/>
            <w:u w:val="single" w:color="auto"/>
            <w:color w:val="0000EE"/>
          </w:rPr>
          <w:t>July 11,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5">
        <w:r>
          <w:rPr>
            <w:rFonts w:ascii="Arial" w:cs="Arial" w:eastAsia="Arial" w:hAnsi="Arial"/>
            <w:sz w:val="18"/>
            <w:szCs w:val="18"/>
            <w:u w:val="single" w:color="auto"/>
            <w:color w:val="0000EE"/>
          </w:rPr>
          <w:t xml:space="preserve">August 11, 2022 </w:t>
        </w:r>
      </w:hyperlink>
      <w:r>
        <w:rPr>
          <w:rFonts w:ascii="Arial" w:cs="Arial" w:eastAsia="Arial" w:hAnsi="Arial"/>
          <w:sz w:val="18"/>
          <w:szCs w:val="18"/>
          <w:color w:val="000000"/>
        </w:rPr>
        <w:t>(other</w:t>
      </w:r>
      <w:r>
        <w:rPr>
          <w:rFonts w:ascii="Arial" w:cs="Arial" w:eastAsia="Arial" w:hAnsi="Arial"/>
          <w:sz w:val="18"/>
          <w:szCs w:val="18"/>
          <w:color w:val="0000EE"/>
        </w:rPr>
        <w:t xml:space="preserve"> </w:t>
      </w:r>
      <w:r>
        <w:rPr>
          <w:rFonts w:ascii="Arial" w:cs="Arial" w:eastAsia="Arial" w:hAnsi="Arial"/>
          <w:sz w:val="18"/>
          <w:szCs w:val="18"/>
          <w:color w:val="000000"/>
        </w:rPr>
        <w:t>than Item 2.02 and 9.01),</w:t>
      </w:r>
      <w:r>
        <w:rPr>
          <w:rFonts w:ascii="Arial" w:cs="Arial" w:eastAsia="Arial" w:hAnsi="Arial"/>
          <w:sz w:val="18"/>
          <w:szCs w:val="18"/>
          <w:color w:val="0000EE"/>
        </w:rPr>
        <w:t xml:space="preserve"> </w:t>
      </w:r>
      <w:hyperlink r:id="rId76">
        <w:r>
          <w:rPr>
            <w:rFonts w:ascii="Arial" w:cs="Arial" w:eastAsia="Arial" w:hAnsi="Arial"/>
            <w:sz w:val="18"/>
            <w:szCs w:val="18"/>
            <w:u w:val="single" w:color="auto"/>
            <w:color w:val="0000EE"/>
          </w:rPr>
          <w:t>August 11,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17,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23,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19,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4, 2023</w:t>
        </w:r>
        <w:r>
          <w:rPr>
            <w:rFonts w:ascii="Arial" w:cs="Arial" w:eastAsia="Arial" w:hAnsi="Arial"/>
            <w:sz w:val="18"/>
            <w:szCs w:val="18"/>
            <w:color w:val="0000EE"/>
          </w:rPr>
          <w:t xml:space="preserve"> </w:t>
        </w:r>
        <w:r>
          <w:rPr>
            <w:rFonts w:ascii="Arial" w:cs="Arial" w:eastAsia="Arial" w:hAnsi="Arial"/>
            <w:sz w:val="18"/>
            <w:szCs w:val="18"/>
            <w:color w:val="000000"/>
          </w:rPr>
          <w:t>(other than Item 2.02) 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w:t>
        </w:r>
      </w:hyperlink>
      <w:r>
        <w:rPr>
          <w:rFonts w:ascii="Arial" w:cs="Arial" w:eastAsia="Arial" w:hAnsi="Arial"/>
          <w:sz w:val="18"/>
          <w:szCs w:val="18"/>
          <w:color w:val="0000EE"/>
        </w:rPr>
        <w:t xml:space="preserve"> </w:t>
      </w:r>
      <w:hyperlink r:id="rId76">
        <w:r>
          <w:rPr>
            <w:rFonts w:ascii="Arial" w:cs="Arial" w:eastAsia="Arial" w:hAnsi="Arial"/>
            <w:sz w:val="18"/>
            <w:szCs w:val="18"/>
            <w:u w:val="single" w:color="auto"/>
            <w:color w:val="0000EE"/>
          </w:rPr>
          <w:t>17, 2023</w:t>
        </w:r>
        <w:r>
          <w:rPr>
            <w:rFonts w:ascii="Arial" w:cs="Arial" w:eastAsia="Arial" w:hAnsi="Arial"/>
            <w:sz w:val="18"/>
            <w:szCs w:val="18"/>
            <w:color w:val="0000EE"/>
          </w:rPr>
          <w:t xml:space="preserve"> </w:t>
        </w:r>
        <w:r>
          <w:rPr>
            <w:rFonts w:ascii="Arial" w:cs="Arial" w:eastAsia="Arial" w:hAnsi="Arial"/>
            <w:sz w:val="18"/>
            <w:szCs w:val="18"/>
            <w:color w:val="000000"/>
          </w:rPr>
          <w:t>(other than Item 2.02); and</w:t>
        </w:r>
      </w:hyperlink>
    </w:p>
    <w:p>
      <w:pPr>
        <w:spacing w:after="0" w:line="79" w:lineRule="exact"/>
        <w:rPr>
          <w:rFonts w:ascii="Arial" w:cs="Arial" w:eastAsia="Arial" w:hAnsi="Arial"/>
          <w:sz w:val="18"/>
          <w:szCs w:val="18"/>
          <w:color w:val="0000EE"/>
        </w:rPr>
      </w:pPr>
    </w:p>
    <w:p>
      <w:pPr>
        <w:ind w:left="880" w:hanging="224"/>
        <w:spacing w:after="0" w:line="25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7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updated and superseded by the description of our capital stock contained in </w:t>
      </w:r>
      <w:hyperlink r:id="rId78">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including any amendments and reports filed for the purpose of updating such description.</w:t>
      </w:r>
    </w:p>
    <w:p>
      <w:pPr>
        <w:spacing w:after="0" w:line="169" w:lineRule="exact"/>
        <w:rPr>
          <w:rFonts w:ascii="Arial" w:cs="Arial" w:eastAsia="Arial" w:hAnsi="Arial"/>
          <w:sz w:val="18"/>
          <w:szCs w:val="18"/>
          <w:color w:val="auto"/>
        </w:rPr>
      </w:pPr>
    </w:p>
    <w:p>
      <w:pPr>
        <w:jc w:val="center"/>
        <w:ind w:right="2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12"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Fulcrum Therapeutics, Inc.</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26 Landsdowne Street</w:t>
      </w:r>
    </w:p>
    <w:p>
      <w:pPr>
        <w:jc w:val="center"/>
        <w:ind w:right="-119"/>
        <w:spacing w:after="0" w:line="234" w:lineRule="auto"/>
        <w:rPr>
          <w:sz w:val="20"/>
          <w:szCs w:val="20"/>
          <w:color w:val="auto"/>
        </w:rPr>
      </w:pPr>
      <w:r>
        <w:rPr>
          <w:rFonts w:ascii="Arial" w:cs="Arial" w:eastAsia="Arial" w:hAnsi="Arial"/>
          <w:sz w:val="18"/>
          <w:szCs w:val="18"/>
          <w:color w:val="auto"/>
        </w:rPr>
        <w:t>Cambridge, Massachusetts 02139</w:t>
      </w:r>
    </w:p>
    <w:p>
      <w:pPr>
        <w:jc w:val="center"/>
        <w:ind w:right="-119"/>
        <w:spacing w:after="0" w:line="235" w:lineRule="auto"/>
        <w:rPr>
          <w:sz w:val="20"/>
          <w:szCs w:val="20"/>
          <w:color w:val="auto"/>
        </w:rPr>
      </w:pPr>
      <w:r>
        <w:rPr>
          <w:rFonts w:ascii="Arial" w:cs="Arial" w:eastAsia="Arial" w:hAnsi="Arial"/>
          <w:sz w:val="18"/>
          <w:szCs w:val="18"/>
          <w:color w:val="auto"/>
        </w:rPr>
        <w:t>Attn: Investor Relations</w:t>
      </w:r>
    </w:p>
    <w:p>
      <w:pPr>
        <w:spacing w:after="0" w:line="1" w:lineRule="exact"/>
        <w:rPr>
          <w:rFonts w:ascii="Arial" w:cs="Arial" w:eastAsia="Arial" w:hAnsi="Arial"/>
          <w:sz w:val="18"/>
          <w:szCs w:val="18"/>
          <w:color w:val="auto"/>
        </w:rPr>
      </w:pPr>
    </w:p>
    <w:p>
      <w:pPr>
        <w:ind w:left="5440" w:right="4880" w:hanging="431"/>
        <w:spacing w:after="0" w:line="462" w:lineRule="auto"/>
        <w:tabs>
          <w:tab w:leader="none" w:pos="5485" w:val="left"/>
        </w:tabs>
        <w:numPr>
          <w:ilvl w:val="0"/>
          <w:numId w:val="23"/>
        </w:numPr>
        <w:rPr>
          <w:rFonts w:ascii="Arial" w:cs="Arial" w:eastAsia="Arial" w:hAnsi="Arial"/>
          <w:sz w:val="17"/>
          <w:szCs w:val="17"/>
          <w:color w:val="auto"/>
        </w:rPr>
      </w:pPr>
      <w:r>
        <w:rPr>
          <w:rFonts w:ascii="Arial" w:cs="Arial" w:eastAsia="Arial" w:hAnsi="Arial"/>
          <w:sz w:val="17"/>
          <w:szCs w:val="17"/>
          <w:color w:val="auto"/>
        </w:rPr>
        <w:t>651-8851 S-30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173990</wp:posOffset>
            </wp:positionV>
            <wp:extent cx="2897505" cy="720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28975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up to an aggregate value of $250,000,000.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38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significant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76"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28, 2022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4"/>
        </w:trPr>
        <w:tc>
          <w:tcPr>
            <w:tcW w:w="76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3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440" w:type="dxa"/>
            <w:vAlign w:val="bottom"/>
            <w:gridSpan w:val="8"/>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line="20" w:lineRule="exact"/>
              <w:rPr>
                <w:sz w:val="1"/>
                <w:szCs w:val="1"/>
                <w:color w:val="auto"/>
              </w:rPr>
            </w:pPr>
          </w:p>
        </w:tc>
      </w:tr>
      <w:tr>
        <w:trPr>
          <w:trHeight w:val="209"/>
        </w:trPr>
        <w:tc>
          <w:tcPr>
            <w:tcW w:w="50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260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 AND INDUSTRY DATA</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ABOUT FULCRUM THERAPEUTICS, INC.</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10"/>
        </w:trPr>
        <w:tc>
          <w:tcPr>
            <w:tcW w:w="15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1760" w:type="dxa"/>
            <w:vAlign w:val="bottom"/>
            <w:tcBorders>
              <w:top w:val="single" w:sz="8" w:color="0000EE"/>
            </w:tcBorders>
            <w:gridSpan w:val="9"/>
          </w:tcPr>
          <w:p>
            <w:pPr>
              <w:spacing w:after="0"/>
              <w:rPr>
                <w:sz w:val="18"/>
                <w:szCs w:val="18"/>
                <w:color w:val="auto"/>
              </w:rPr>
            </w:pPr>
          </w:p>
        </w:tc>
        <w:tc>
          <w:tcPr>
            <w:tcW w:w="4320" w:type="dxa"/>
            <w:vAlign w:val="bottom"/>
            <w:gridSpan w:val="3"/>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640" w:type="dxa"/>
            <w:vAlign w:val="bottom"/>
            <w:gridSpan w:val="5"/>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4340" w:type="dxa"/>
            <w:vAlign w:val="bottom"/>
            <w:gridSpan w:val="4"/>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5640" w:type="dxa"/>
            <w:vAlign w:val="bottom"/>
            <w:gridSpan w:val="10"/>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5180" w:type="dxa"/>
            <w:vAlign w:val="bottom"/>
            <w:gridSpan w:val="7"/>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10"/>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FORMS OF SECURITIES</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8"/>
                <w:szCs w:val="18"/>
                <w:color w:val="auto"/>
              </w:rPr>
            </w:pPr>
          </w:p>
        </w:tc>
        <w:tc>
          <w:tcPr>
            <w:tcW w:w="5620" w:type="dxa"/>
            <w:vAlign w:val="bottom"/>
            <w:gridSpan w:val="9"/>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EXPERTS</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amount of up to $250,000,000.</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“our” and “us” refer, collectively, to Fulcrum Therapeutics, Inc., a Delaware corporation, and its consolidated subsidiary.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9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6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on March 3,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on </w:t>
      </w:r>
      <w:hyperlink r:id="rId88">
        <w:r>
          <w:rPr>
            <w:rFonts w:ascii="Times New Roman" w:cs="Times New Roman" w:eastAsia="Times New Roman" w:hAnsi="Times New Roman"/>
            <w:sz w:val="18"/>
            <w:szCs w:val="18"/>
            <w:u w:val="single" w:color="auto"/>
            <w:color w:val="0000EE"/>
          </w:rPr>
          <w:t>January 4</w:t>
        </w:r>
      </w:hyperlink>
      <w:r>
        <w:rPr>
          <w:rFonts w:ascii="Times New Roman" w:cs="Times New Roman" w:eastAsia="Times New Roman" w:hAnsi="Times New Roman"/>
          <w:sz w:val="18"/>
          <w:szCs w:val="18"/>
          <w:color w:val="auto"/>
        </w:rPr>
        <w:t xml:space="preserve">, 2022 and </w:t>
      </w:r>
      <w:hyperlink r:id="rId89">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Item 2.02);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July 12, 2019, as the description therein has been updated and superseded by the description of our capital stock contained in </w:t>
      </w:r>
      <w:hyperlink r:id="rId78">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2020, and including any amendments and reports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calling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651-8851</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Our most advanced clinical product candidate, losmamipod, is in development to treat the root cause of facioscapulohumeral muscular dystrophy, or FSHD. Our other clinical product candidate is FTX-6058, which is being developed for the treatment of certain hemoglobinopathies, including sickle cell disease, or SCD, and ß-thalassemia. We expect to initiate FSHD: REACH, a randomized, double-blind, placebo-controlled, multi-national Phase 3 clinical trial of losmapimod, our product candidate for FSHD, in the second quarter of 2022. We initiated a Phase 1b clinical trial of FTX-6058 in people with SCD in the fourth quarter of 2021, and we expect to report initial data from that Phase 1b trial in the second quarter of 2022. Additionally, we submitted an investigational new drug application, or IND, in the fourth quarter of 2021 for FTX-6058 in other select hemoglobinopathies, including ß-thalassemia, and expect to initiate a Phase 1b study in the second quarter of 2022.</w:t>
      </w:r>
    </w:p>
    <w:p>
      <w:pPr>
        <w:spacing w:after="0" w:line="19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losmamipod for FSHD and FTX-6058 for hemoglobinopathies, as well as a robust discovery pipeline. We expect to nominate our next development candidate this year to support our fourth IND by the end of the first quarter of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0" w:lineRule="exact"/>
        <w:rPr>
          <w:sz w:val="20"/>
          <w:szCs w:val="20"/>
          <w:color w:val="auto"/>
        </w:rPr>
      </w:pPr>
    </w:p>
    <w:p>
      <w:pPr>
        <w:ind w:left="120" w:right="120"/>
        <w:spacing w:after="0" w:line="278" w:lineRule="auto"/>
        <w:rPr>
          <w:sz w:val="20"/>
          <w:szCs w:val="20"/>
          <w:color w:val="auto"/>
        </w:rPr>
      </w:pPr>
      <w:r>
        <w:rPr>
          <w:rFonts w:ascii="Times New Roman" w:cs="Times New Roman" w:eastAsia="Times New Roman" w:hAnsi="Times New Roman"/>
          <w:sz w:val="17"/>
          <w:szCs w:val="17"/>
          <w:color w:val="auto"/>
        </w:rPr>
        <w:t xml:space="preserve">We own or have rights to, or have applied for,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we will assert, to the fullest extent under applicable law, our rights to our trademarks, service marks and trade names.</w:t>
      </w: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the net proceeds of any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8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9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 and, with respect to any subordinated debt securities the terms on which they are subordinated;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method of determination of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of the debt securities if other than $1,000 or multiples of $1,000;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fund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dates, prices, obligations and restrictions on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subject to the defeasance provisions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definitive or global form or in definitive form only upon satisfaction of certain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as to payment or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defaults or covenants in addition to or in lieu of those set forth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Unless we indicate otherwise in a prospectus supplement with respect to a particular series of senior debt securities, the senior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0" w:lineRule="exact"/>
        <w:rPr>
          <w:sz w:val="20"/>
          <w:szCs w:val="20"/>
          <w:color w:val="auto"/>
        </w:rPr>
      </w:pPr>
    </w:p>
    <w:p>
      <w:pPr>
        <w:ind w:left="120"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Unless we indicate otherwise in a prospectus supplement with respect to a particular series of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8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U.S. corporation, limited liability company, partnership or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senior debt securities and under the senior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60"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Protection in the Event of a Change in Control. </w:t>
      </w:r>
      <w:r>
        <w:rPr>
          <w:rFonts w:ascii="Times New Roman" w:cs="Times New Roman" w:eastAsia="Times New Roman" w:hAnsi="Times New Roman"/>
          <w:sz w:val="18"/>
          <w:szCs w:val="18"/>
          <w:color w:val="auto"/>
        </w:rPr>
        <w:t>Unless we indicate otherwise in a prospectus supplement with respect to a particular series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indicate otherwise in a prospectus supplement with respect to a particular series of senior debt securities, the following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of default under the senior indenture with respect to senior debt securities of each series:</w:t>
      </w:r>
    </w:p>
    <w:p>
      <w:pPr>
        <w:spacing w:after="0" w:line="66" w:lineRule="exact"/>
        <w:rPr>
          <w:sz w:val="20"/>
          <w:szCs w:val="20"/>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whether or not voluntary;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senior debt securities as may be specified in the applicable prospectus supplement.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83"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78"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We can satisfy and discharge our obligations to holders of any series of debt securities if:</w:t>
      </w:r>
    </w:p>
    <w:p>
      <w:pPr>
        <w:spacing w:after="0" w:line="133" w:lineRule="exact"/>
        <w:rPr>
          <w:sz w:val="20"/>
          <w:szCs w:val="20"/>
          <w:color w:val="auto"/>
        </w:rPr>
      </w:pPr>
    </w:p>
    <w:p>
      <w:pPr>
        <w:ind w:left="1080" w:right="1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the principal of and interest on all senior debt securities of such series (with certain limited exceptions) when due and payable;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senior trustee for cancellation all senior debt securities of such series theretofore authenticated under the senior indenture (with certain limited exceptions); or</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83"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4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74"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Unless the applicable prospectus supplement provides otherwise, the following discussion of legal defeasance and covenant defeasance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any series of debt securities issued under the indentures.</w:t>
      </w:r>
    </w:p>
    <w:p>
      <w:pPr>
        <w:spacing w:after="0" w:line="158" w:lineRule="exact"/>
        <w:rPr>
          <w:sz w:val="20"/>
          <w:szCs w:val="20"/>
          <w:color w:val="auto"/>
        </w:rPr>
      </w:pPr>
    </w:p>
    <w:p>
      <w:pPr>
        <w:ind w:left="120" w:right="940"/>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We can legally release ourselves from any payment or other obligations on the debt securities of any series (called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defeasance”) if certain conditions are met, including the following:</w:t>
      </w:r>
    </w:p>
    <w:p>
      <w:pPr>
        <w:spacing w:after="0" w:line="66" w:lineRule="exact"/>
        <w:rPr>
          <w:sz w:val="20"/>
          <w:szCs w:val="20"/>
          <w:color w:val="auto"/>
        </w:rPr>
      </w:pPr>
    </w:p>
    <w:p>
      <w:pPr>
        <w:ind w:left="1080" w:right="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Without any change in current U.S. federal tax law, we can make the same type of deposit described above and be released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87" w:lineRule="exact"/>
        <w:rPr>
          <w:sz w:val="20"/>
          <w:szCs w:val="20"/>
          <w:color w:val="auto"/>
        </w:rPr>
      </w:pPr>
    </w:p>
    <w:p>
      <w:pPr>
        <w:ind w:left="1080" w:right="2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and</w:t>
      </w:r>
    </w:p>
    <w:p>
      <w:pPr>
        <w:spacing w:after="0" w:line="85"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We and the trustee may amend or supplement the senior indenture or the senior debt securities of any series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any holder:</w:t>
      </w:r>
    </w:p>
    <w:p>
      <w:pPr>
        <w:spacing w:after="0" w:line="66"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assets as security for the senior debt securities of one or more series;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1"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requirements of the SEC in order to effect or maintain the qualification of the senior indenture under the Trust Indenture Act of 1939, as amended (the “Trust Indenture Act”);</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add guarantors with respect to the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senior debt securities of any series so long as no senior debt securities of such series are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final maturity of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 or extends the time for payment of, interest on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amount payable upon the redemption of any senior debt securities of such series;</w:t>
      </w:r>
    </w:p>
    <w:p>
      <w:pPr>
        <w:spacing w:after="0" w:line="130" w:lineRule="exact"/>
        <w:rPr>
          <w:rFonts w:ascii="Times New Roman" w:cs="Times New Roman" w:eastAsia="Times New Roman" w:hAnsi="Times New Roman"/>
          <w:sz w:val="18"/>
          <w:szCs w:val="18"/>
          <w:color w:val="auto"/>
        </w:rPr>
      </w:pPr>
    </w:p>
    <w:p>
      <w:pPr>
        <w:ind w:left="5540" w:right="2640" w:hanging="4884"/>
        <w:spacing w:after="0" w:line="454" w:lineRule="auto"/>
        <w:tabs>
          <w:tab w:leader="none" w:pos="10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currency of payment of principal of or interest on any senior debt securities of such series; 13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original issue discount securities payable upon acceleration of maturity or the amount provable in bankruptcy;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 to convert or exchange senior debt securities into common stock, other securities or property in accordance with the terms of the senior debt securities; or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Notice of Redemption. </w:t>
      </w:r>
      <w:r>
        <w:rPr>
          <w:rFonts w:ascii="Times New Roman" w:cs="Times New Roman" w:eastAsia="Times New Roman" w:hAnsi="Times New Roman"/>
          <w:sz w:val="18"/>
          <w:szCs w:val="18"/>
          <w:color w:val="auto"/>
        </w:rPr>
        <w:t>Notice of any redemption of senior debt securities will be mailed at least 10 days but not more than 60 days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method determined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85"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7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We will describe the terms upon which senior debt securities may be convertible into our common stock or other securities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83" w:lineRule="exact"/>
        <w:rPr>
          <w:sz w:val="20"/>
          <w:szCs w:val="20"/>
          <w:color w:val="auto"/>
        </w:rPr>
      </w:pPr>
    </w:p>
    <w:p>
      <w:pPr>
        <w:ind w:left="120"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Personal Liability of Incorporators, Stockholders, Officers or Directors. </w:t>
      </w:r>
      <w:r>
        <w:rPr>
          <w:rFonts w:ascii="Times New Roman" w:cs="Times New Roman" w:eastAsia="Times New Roman" w:hAnsi="Times New Roman"/>
          <w:sz w:val="18"/>
          <w:szCs w:val="18"/>
          <w:color w:val="auto"/>
        </w:rPr>
        <w:t>The senior indenture provides that no recourse shall be had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covenant or agreement of ours in the senior indenture or any</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7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Concerning the Trustee. </w:t>
      </w:r>
      <w:r>
        <w:rPr>
          <w:rFonts w:ascii="Times New Roman" w:cs="Times New Roman" w:eastAsia="Times New Roman" w:hAnsi="Times New Roman"/>
          <w:sz w:val="18"/>
          <w:szCs w:val="18"/>
          <w:color w:val="auto"/>
        </w:rPr>
        <w:t>The senior indenture provides that, except during the continuance of an event of default, the trustee will not be liable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have normal banking relationships with the senior trustee in the ordinary course of business.</w:t>
      </w:r>
    </w:p>
    <w:p>
      <w:pPr>
        <w:spacing w:after="0" w:line="22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Unclaimed Funds. </w:t>
      </w:r>
      <w:r>
        <w:rPr>
          <w:rFonts w:ascii="Times New Roman" w:cs="Times New Roman" w:eastAsia="Times New Roman" w:hAnsi="Times New Roman"/>
          <w:sz w:val="18"/>
          <w:szCs w:val="18"/>
          <w:color w:val="auto"/>
        </w:rPr>
        <w:t>All funds deposited with the trustee or any paying agent for the payment of principal, premium, interest or additional amounts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0"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senior indenture and the senior debt securities will be governed by, and construed in accordance with, the internal laws of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York.</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or different subordination terms may be specified in the prospectus supplement applicable to a particular series.</w:t>
      </w:r>
    </w:p>
    <w:p>
      <w:pPr>
        <w:spacing w:after="0" w:line="2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The indebtedness evidenced by the subordinated debt securities is subordinate to the prior payment in full of all of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that are capitalized on the books of that person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As of December 31, 2021, we had issued and outstanding 40,636,398 shares of our common stock held by 33 stockholders of record (not including beneficial owners whose shares are held in “nominee” or “street” name), including 10,174 shares of unvested restricted stock subject to repurchase by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45"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elected to offer depositary shares as described under “Description of Depositary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78"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stock will, with respect to dividend rights and rights upon our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of our affairs, rank:</w:t>
      </w:r>
    </w:p>
    <w:p>
      <w:pPr>
        <w:spacing w:after="0" w:line="66" w:lineRule="exact"/>
        <w:rPr>
          <w:sz w:val="20"/>
          <w:szCs w:val="20"/>
          <w:color w:val="auto"/>
        </w:rPr>
      </w:pPr>
    </w:p>
    <w:p>
      <w:pPr>
        <w:ind w:left="10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23"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 declared by our board of directors, cash dividends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rates and on such dates described in the prospectus supplement.</w:t>
      </w:r>
    </w:p>
    <w:p>
      <w:pPr>
        <w:spacing w:after="0" w:line="16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Different series of preferred stock may be entitled to dividends at different rates or based on different methods of calculation. The dividend rate may be fixed or variable or both. Dividends will be payable to the holders of</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record as they appear on our stock books on record dates fixed by our board of directors, as specified in the applicable prospectus supplement.</w:t>
      </w:r>
    </w:p>
    <w:p>
      <w:pPr>
        <w:spacing w:after="0" w:line="225"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87" w:lineRule="exact"/>
        <w:rPr>
          <w:sz w:val="20"/>
          <w:szCs w:val="20"/>
          <w:color w:val="auto"/>
        </w:rPr>
      </w:pPr>
    </w:p>
    <w:p>
      <w:pPr>
        <w:jc w:val="both"/>
        <w:ind w:left="120" w:right="120"/>
        <w:spacing w:after="0" w:line="312" w:lineRule="auto"/>
        <w:rPr>
          <w:sz w:val="20"/>
          <w:szCs w:val="20"/>
          <w:color w:val="auto"/>
        </w:rPr>
      </w:pPr>
      <w:r>
        <w:rPr>
          <w:rFonts w:ascii="Times New Roman" w:cs="Times New Roman" w:eastAsia="Times New Roman" w:hAnsi="Times New Roman"/>
          <w:sz w:val="17"/>
          <w:szCs w:val="17"/>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4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7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 our affairs, then, before we make any distribution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1"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 subject to mandatory redemption or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as a whole or in part, in each case upon the terms, at the times and at the redemption prices set forth in such prospectus supplement.</w:t>
      </w:r>
    </w:p>
    <w:p>
      <w:pPr>
        <w:spacing w:after="0" w:line="16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93" w:lineRule="exact"/>
        <w:rPr>
          <w:sz w:val="20"/>
          <w:szCs w:val="20"/>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31" w:lineRule="exact"/>
        <w:rPr>
          <w:sz w:val="20"/>
          <w:szCs w:val="20"/>
          <w:color w:val="auto"/>
        </w:rPr>
      </w:pPr>
    </w:p>
    <w:p>
      <w:pPr>
        <w:ind w:left="1080" w:right="2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76"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58"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45"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74" w:lineRule="exact"/>
        <w:rPr>
          <w:sz w:val="20"/>
          <w:szCs w:val="20"/>
          <w:color w:val="auto"/>
        </w:rPr>
      </w:pPr>
    </w:p>
    <w:p>
      <w:pPr>
        <w:ind w:left="120" w:right="70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 as indicated in the applicable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w:t>
      </w:r>
    </w:p>
    <w:p>
      <w:pPr>
        <w:spacing w:after="0" w:line="16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 convertible into shares of our common stock will be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 in the applicable prospectus supplement.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Anti-Takeover Law and Certain Charter and Bylaw Provisions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Removal of Directors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 Advance Notice Requirements for Stockholder Proposals and Director Nominations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of incorporation contains the choice of forum provision described above, it is possible that a court could rule that such a provision is inapplicable for a particular claim or action or that such provision is unenforceable.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and Form S-3 Registration Rights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Incidental Registration Rights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8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pursuant to which we are obligated to indemnify the selling stockholders in the event of material misstatements or omissions in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55"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unit agent for the units, if applicable,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 if applicable.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or depositary shares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55"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dealer may then resell such securities to the public at varying prices to be determined by such dealer at the time of resale.</w:t>
      </w:r>
    </w:p>
    <w:p>
      <w:pPr>
        <w:spacing w:after="0" w:line="20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3" w:lineRule="exact"/>
        <w:rPr>
          <w:sz w:val="20"/>
          <w:szCs w:val="20"/>
          <w:color w:val="auto"/>
        </w:rPr>
      </w:pPr>
    </w:p>
    <w:p>
      <w:pPr>
        <w:ind w:left="1080" w:right="1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80"/>
          </w:cols>
          <w:pgMar w:left="320" w:top="455" w:right="6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Fulcrum Therapeutics, Inc. appearing in Fulcrum Therapeutics,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337820</wp:posOffset>
            </wp:positionV>
            <wp:extent cx="2922905" cy="7289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29229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1349375</wp:posOffset>
            </wp:positionV>
            <wp:extent cx="11144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321945</wp:posOffset>
            </wp:positionV>
            <wp:extent cx="11144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27" w:lineRule="exact"/>
        <w:rPr>
          <w:sz w:val="20"/>
          <w:szCs w:val="20"/>
          <w:color w:val="auto"/>
        </w:rPr>
      </w:pPr>
    </w:p>
    <w:p>
      <w:pPr>
        <w:ind w:left="120"/>
        <w:spacing w:after="0"/>
        <w:tabs>
          <w:tab w:leader="none" w:pos="5020" w:val="left"/>
          <w:tab w:leader="none" w:pos="972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SVB Securities</w:t>
      </w:r>
      <w:r>
        <w:rPr>
          <w:sz w:val="20"/>
          <w:szCs w:val="20"/>
          <w:color w:val="auto"/>
        </w:rPr>
        <w:tab/>
      </w:r>
      <w:r>
        <w:rPr>
          <w:rFonts w:ascii="Arial" w:cs="Arial" w:eastAsia="Arial" w:hAnsi="Arial"/>
          <w:sz w:val="21"/>
          <w:szCs w:val="21"/>
          <w:b w:val="1"/>
          <w:bCs w:val="1"/>
          <w:color w:val="auto"/>
        </w:rPr>
        <w:t>Piper Sandler</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Lead Manager</w:t>
      </w:r>
    </w:p>
    <w:p>
      <w:pPr>
        <w:spacing w:after="0" w:line="18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H.C. Wainwright &amp; Co.</w:t>
      </w:r>
    </w:p>
    <w:p>
      <w:pPr>
        <w:spacing w:after="0" w:line="17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1303655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1372235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decimal"/>
      <w:start w:val="617"/>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Roman"/>
      <w:start w:val="1"/>
    </w:lvl>
    <w:lvl w:ilvl="1">
      <w:lvlJc w:val="left"/>
      <w:lvlText w:val="%2)"/>
      <w:numFmt w:val="lowerLetter"/>
      <w:start w:val="1"/>
    </w:lvl>
  </w:abstractNum>
  <w:abstractNum w:abstractNumId="17">
    <w:nsid w:val="3006C83E"/>
    <w:multiLevelType w:val="hybridMultilevel"/>
    <w:lvl w:ilvl="0">
      <w:lvlJc w:val="left"/>
      <w:lvlText w:val="(%1)"/>
      <w:numFmt w:val="lowerRoman"/>
      <w:start w:val="1"/>
    </w:lvl>
    <w:lvl w:ilvl="1">
      <w:lvlJc w:val="left"/>
      <w:lvlText w:val="%2"/>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lvl w:ilvl="1">
      <w:lvlJc w:val="left"/>
      <w:lvlText w:val="(%2)"/>
      <w:numFmt w:val="lowerRoman"/>
      <w:start w:val="1"/>
    </w:lvl>
  </w:abstractNum>
  <w:abstractNum w:abstractNumId="20">
    <w:nsid w:val="5577F8E1"/>
    <w:multiLevelType w:val="hybridMultilevel"/>
    <w:lvl w:ilvl="0">
      <w:lvlJc w:val="left"/>
      <w:lvlText w:val="(%1)"/>
      <w:numFmt w:val="lowerLetter"/>
      <w:start w:val="2"/>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617"/>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617"/>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jpe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jpe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62" Type="http://schemas.openxmlformats.org/officeDocument/2006/relationships/hyperlink" Target="http://www.sec.gov/ix?doc=/Archives/edgar/data/1680581/000095017022002727/fulc-20211231.htm" TargetMode="External"/><Relationship Id="rId63" Type="http://schemas.openxmlformats.org/officeDocument/2006/relationships/hyperlink" Target="http://www.sec.gov/Archives/edgar/data/1680581/000119312522127507/d53754ddef14a.htm" TargetMode="External"/><Relationship Id="rId64" Type="http://schemas.openxmlformats.org/officeDocument/2006/relationships/hyperlink" Target="http://www.sec.gov/ix?doc=/Archives/edgar/data/1680581/000095017022008235/fulc-20220331.htm" TargetMode="External"/><Relationship Id="rId65" Type="http://schemas.openxmlformats.org/officeDocument/2006/relationships/hyperlink" Target="http://www.sec.gov/ix?doc=/Archives/edgar/data/1680581/000095017022016644/fulc-20220630.htm" TargetMode="External"/><Relationship Id="rId66" Type="http://schemas.openxmlformats.org/officeDocument/2006/relationships/hyperlink" Target="http://www.sec.gov/ix?doc=/Archives/edgar/data/1680581/000095017022022913/fulc-20220930.htm" TargetMode="External"/><Relationship Id="rId67" Type="http://schemas.openxmlformats.org/officeDocument/2006/relationships/hyperlink" Target="http://www.sec.gov/ix?doc=/Archives/edgar/data/1680581/000119312522001760/d237013d8k.htm" TargetMode="External"/><Relationship Id="rId68" Type="http://schemas.openxmlformats.org/officeDocument/2006/relationships/hyperlink" Target="http://www.sec.gov/ix?doc=/Archives/edgar/data/1680581/000119312522005038/d157429d8k.htm" TargetMode="External"/><Relationship Id="rId69" Type="http://schemas.openxmlformats.org/officeDocument/2006/relationships/hyperlink" Target="http://www.sec.gov/ix?doc=/Archives/edgar/data/1680581/000119312522072011/d306646d8k.htm" TargetMode="External"/><Relationship Id="rId70" Type="http://schemas.openxmlformats.org/officeDocument/2006/relationships/hyperlink" Target="http://www.sec.gov/ix?doc=/Archives/edgar/data/1680581/000119312522145361/d335800d8k.htm" TargetMode="External"/><Relationship Id="rId71" Type="http://schemas.openxmlformats.org/officeDocument/2006/relationships/hyperlink" Target="http://www.sec.gov/ix?doc=/Archives/edgar/data/1680581/000119312522168375/d318754d8k.htm" TargetMode="External"/><Relationship Id="rId72" Type="http://schemas.openxmlformats.org/officeDocument/2006/relationships/hyperlink" Target="http://www.sec.gov/ix?doc=/Archives/edgar/data/1680581/000119312522171026/d334925d8k.htm" TargetMode="External"/><Relationship Id="rId73" Type="http://schemas.openxmlformats.org/officeDocument/2006/relationships/hyperlink" Target="http://www.sec.gov/ix?doc=/Archives/edgar/data/1680581/000119312522171957/d369471d8k.htm" TargetMode="External"/><Relationship Id="rId74" Type="http://schemas.openxmlformats.org/officeDocument/2006/relationships/hyperlink" Target="http://www.sec.gov/ix?doc=/Archives/edgar/data/1680581/000119312522191340/d338706d8k.htm" TargetMode="External"/><Relationship Id="rId75" Type="http://schemas.openxmlformats.org/officeDocument/2006/relationships/hyperlink" Target="http://www.sec.gov/ix?doc=/Archives/edgar/data/0001680581/000095017022016633/fulc-20220811.htm" TargetMode="External"/><Relationship Id="rId76" Type="http://schemas.openxmlformats.org/officeDocument/2006/relationships/hyperlink" Target="http://www.sec.gov/ix?doc=/Archives/edgar/data/1680581/000119312523009500/d436290d8k.htm" TargetMode="External"/><Relationship Id="rId77" Type="http://schemas.openxmlformats.org/officeDocument/2006/relationships/hyperlink" Target="http://www.sec.gov/Archives/edgar/data/1680581/000110465919040208/a19-3408_78a12b.htm" TargetMode="External"/><Relationship Id="rId78" Type="http://schemas.openxmlformats.org/officeDocument/2006/relationships/hyperlink" Target="http://www.sec.gov/Archives/edgar/data/1680581/000156459020008951/fulc-ex42_198.htm" TargetMode="External"/><Relationship Id="rId88" Type="http://schemas.openxmlformats.org/officeDocument/2006/relationships/hyperlink" Target="http://www.sec.gov/ix?doc=/Archives/edgar/data/0001680581/000119312522001760/d237013d8k.htm" TargetMode="External"/><Relationship Id="rId89" Type="http://schemas.openxmlformats.org/officeDocument/2006/relationships/hyperlink" Target="http://www.sec.gov/ix?doc=/Archives/edgar/data/0001680581/000119312522005038/d15742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2023-01-17T16:41:15Z</dcterms:created>
  <dcterms:modified xsi:type="dcterms:W3CDTF">2023-01-17T16:41:15Z</dcterms:modified>
</cp:coreProperties>
</file>