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258445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On August 21, 2024, we entered into separate exchange agreements with RA Capital Healthcare Fund, L.P., or RA Capital, and another existing institutional stockholder, pursuant to which (i) RA Capital exchanged 8,500,000 shares of our common stock, par value $0.001 per share, or common stock, for a pre-funded warrant to acquire 8,500,000 shares of our common stock and (ii) the other existing institutional stockholder exchanged an aggregate of 850,000 shares of our common stock, for pre-funded warrants to acquire an aggregate of 850,000 shares of our common stock.</w:t>
      </w:r>
    </w:p>
    <w:p>
      <w:pPr>
        <w:spacing w:after="0" w:line="1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pre-funded warrants have an exercise price of $0.001 per underlying share of common stock, are immediately exercisable and have no expiration date. The number of shares of our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we allow the exercise) if upon giving effect to such exercise, it would cause the aggregate number of shares of our common stock beneficially owned by the holder (together with affiliates and any other persons whose beneficial ownership of our common stock would be aggregated for the purposes of Section 13(d) of the Securities Exchange Act of 1934, as amended) to exceed 9.99% of the total number of then issued and outstanding shares of our common stock as determined in accordance with the terms of the pre-funded warrant. This threshold may be increased or decreased upon 61 days’ prior notice at the discretion of the holder, but not in excess of 19.99% or, with respect to the other existing institutional stockholder’s pre-funded warrants, not in excess of 9.99%.</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issued the pre-funded warrants without registration in reliance on the exemption from registration contained in Section 3(a)(9) of the Securities Act of 1933, as amended.</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form of pre-funded warrant is filed as Exhibit 4.1 hereto and is incorporated herein by reference. The foregoing description does not purport to be complete and is qualified in its entirety by reference to such exhibit.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6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245"/>
        </w:trPr>
        <w:tc>
          <w:tcPr>
            <w:tcW w:w="8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20" w:type="dxa"/>
            <w:vAlign w:val="bottom"/>
          </w:tcPr>
          <w:p>
            <w:pPr>
              <w:spacing w:after="0"/>
              <w:rPr>
                <w:sz w:val="21"/>
                <w:szCs w:val="21"/>
                <w:color w:val="auto"/>
              </w:rPr>
            </w:pPr>
          </w:p>
        </w:tc>
        <w:tc>
          <w:tcPr>
            <w:tcW w:w="3700" w:type="dxa"/>
            <w:vAlign w:val="bottom"/>
          </w:tcPr>
          <w:p>
            <w:pPr>
              <w:spacing w:after="0"/>
              <w:rPr>
                <w:sz w:val="21"/>
                <w:szCs w:val="21"/>
                <w:color w:val="auto"/>
              </w:rPr>
            </w:pPr>
          </w:p>
        </w:tc>
      </w:tr>
      <w:tr>
        <w:trPr>
          <w:trHeight w:val="204"/>
        </w:trPr>
        <w:tc>
          <w:tcPr>
            <w:tcW w:w="8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No.</w:t>
            </w:r>
          </w:p>
        </w:tc>
        <w:tc>
          <w:tcPr>
            <w:tcW w:w="2120" w:type="dxa"/>
            <w:vAlign w:val="bottom"/>
          </w:tcPr>
          <w:p>
            <w:pPr>
              <w:spacing w:after="0"/>
              <w:rPr>
                <w:sz w:val="17"/>
                <w:szCs w:val="17"/>
                <w:color w:val="auto"/>
              </w:rPr>
            </w:pPr>
          </w:p>
        </w:tc>
        <w:tc>
          <w:tcPr>
            <w:tcW w:w="3700" w:type="dxa"/>
            <w:vAlign w:val="bottom"/>
          </w:tcPr>
          <w:p>
            <w:pPr>
              <w:ind w:left="2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r>
      <w:tr>
        <w:trPr>
          <w:trHeight w:val="20"/>
        </w:trPr>
        <w:tc>
          <w:tcPr>
            <w:tcW w:w="8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880"/>
          </w:cols>
          <w:pgMar w:left="440" w:top="293"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22, 2024</w:t>
            </w:r>
          </w:p>
        </w:tc>
        <w:tc>
          <w:tcPr>
            <w:tcW w:w="75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32"/>
        </w:trPr>
        <w:tc>
          <w:tcPr>
            <w:tcW w:w="3440" w:type="dxa"/>
            <w:vAlign w:val="bottom"/>
          </w:tcPr>
          <w:p>
            <w:pPr>
              <w:spacing w:after="0"/>
              <w:rPr>
                <w:sz w:val="24"/>
                <w:szCs w:val="24"/>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C. Sapir</w:t>
            </w:r>
          </w:p>
        </w:tc>
      </w:tr>
      <w:tr>
        <w:trPr>
          <w:trHeight w:val="205"/>
        </w:trPr>
        <w:tc>
          <w:tcPr>
            <w:tcW w:w="3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Alex C. Sapir</w:t>
            </w:r>
          </w:p>
        </w:tc>
      </w:tr>
      <w:tr>
        <w:trPr>
          <w:trHeight w:val="234"/>
        </w:trPr>
        <w:tc>
          <w:tcPr>
            <w:tcW w:w="3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PRE-FUNDED WARRANT TO PURCHASE COMMON STOCK</w:t>
      </w:r>
    </w:p>
    <w:p>
      <w:pPr>
        <w:sectPr>
          <w:pgSz w:w="11900" w:h="16838" w:orient="portrait"/>
          <w:cols w:equalWidth="0" w:num="1">
            <w:col w:w="11020"/>
          </w:cols>
          <w:pgMar w:left="440" w:top="117" w:right="439" w:bottom="1440" w:gutter="0" w:footer="0" w:header="0"/>
        </w:sectPr>
      </w:pPr>
    </w:p>
    <w:p>
      <w:pPr>
        <w:spacing w:after="0" w:line="24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 xml:space="preserve">Number of Shares: [●] (subject to adjustment) </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pacing w:after="0" w:line="360" w:lineRule="exact"/>
        <w:rPr>
          <w:sz w:val="20"/>
          <w:szCs w:val="20"/>
          <w:color w:val="auto"/>
        </w:rPr>
      </w:pPr>
    </w:p>
    <w:p>
      <w:pPr>
        <w:sectPr>
          <w:pgSz w:w="11900" w:h="16838" w:orient="portrait"/>
          <w:cols w:equalWidth="0" w:num="2">
            <w:col w:w="10700" w:space="140"/>
            <w:col w:w="180"/>
          </w:cols>
          <w:pgMar w:left="440" w:top="117" w:right="4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No.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Date: [●], 2024</w:t>
      </w:r>
    </w:p>
    <w:p>
      <w:pPr>
        <w:spacing w:after="0" w:line="200" w:lineRule="exact"/>
        <w:rPr>
          <w:sz w:val="20"/>
          <w:szCs w:val="20"/>
          <w:color w:val="auto"/>
        </w:rPr>
      </w:pPr>
    </w:p>
    <w:p>
      <w:pPr>
        <w:sectPr>
          <w:pgSz w:w="11900" w:h="16838" w:orient="portrait"/>
          <w:cols w:equalWidth="0" w:num="2">
            <w:col w:w="8120" w:space="720"/>
            <w:col w:w="2180"/>
          </w:cols>
          <w:pgMar w:left="440" w:top="117" w:right="439" w:bottom="1440" w:gutter="0" w:footer="0" w:header="0"/>
          <w:type w:val="continuous"/>
        </w:sectPr>
      </w:pPr>
    </w:p>
    <w:p>
      <w:pPr>
        <w:spacing w:after="0" w:line="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Fulcrum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per share equal to $0.001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in each case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intermediates, controls, is controlled by or is under common control with such Person.</w:t>
      </w:r>
    </w:p>
    <w:p>
      <w:pPr>
        <w:spacing w:after="0" w:line="15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7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All such determinations shall be appropriately adjusted for any stock dividend, stock split, stock combination or other similar transaction during the applicable calculation period.</w:t>
      </w:r>
    </w:p>
    <w:p>
      <w:pPr>
        <w:sectPr>
          <w:pgSz w:w="11900" w:h="16838" w:orient="portrait"/>
          <w:cols w:equalWidth="0" w:num="1">
            <w:col w:w="11020"/>
          </w:cols>
          <w:pgMar w:left="440" w:top="117" w:right="439" w:bottom="1440" w:gutter="0" w:footer="0" w:header="0"/>
          <w:type w:val="continuous"/>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The Company shall register ownership of this Warrant, upon records to be maintained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w:t>
      </w:r>
    </w:p>
    <w:p>
      <w:pPr>
        <w:sectPr>
          <w:pgSz w:w="11900" w:h="16838" w:orient="portrait"/>
          <w:cols w:equalWidth="0" w:num="1">
            <w:col w:w="10980"/>
          </w:cols>
          <w:pgMar w:left="440" w:top="266" w:right="479" w:bottom="1440" w:gutter="0" w:footer="0" w:header="0"/>
        </w:sectPr>
      </w:pPr>
    </w:p>
    <w:bookmarkStart w:id="5" w:name="page6"/>
    <w:bookmarkEnd w:id="5"/>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700" w:firstLine="771"/>
        <w:spacing w:after="0" w:line="282" w:lineRule="auto"/>
        <w:rPr>
          <w:sz w:val="20"/>
          <w:szCs w:val="20"/>
          <w:color w:val="auto"/>
        </w:rPr>
      </w:pPr>
      <w:r>
        <w:rPr>
          <w:rFonts w:ascii="Times New Roman" w:cs="Times New Roman" w:eastAsia="Times New Roman" w:hAnsi="Times New Roman"/>
          <w:sz w:val="18"/>
          <w:szCs w:val="18"/>
          <w:color w:val="auto"/>
        </w:rPr>
        <w:t xml:space="preserve">(a)  All or any part of this Warrant shall be exercisable by the registered Holder in any manner permitted by this Warrant (including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at any time and from time to time on or after the Original Issue Date, and such rights shall not expire.</w:t>
      </w:r>
    </w:p>
    <w:p>
      <w:pPr>
        <w:spacing w:after="0" w:line="162" w:lineRule="exact"/>
        <w:rPr>
          <w:sz w:val="20"/>
          <w:szCs w:val="20"/>
          <w:color w:val="auto"/>
        </w:rPr>
      </w:pPr>
    </w:p>
    <w:p>
      <w:pPr>
        <w:ind w:right="120" w:firstLine="771"/>
        <w:spacing w:after="0" w:line="255" w:lineRule="auto"/>
        <w:rPr>
          <w:sz w:val="20"/>
          <w:szCs w:val="20"/>
          <w:color w:val="auto"/>
        </w:rPr>
      </w:pPr>
      <w:r>
        <w:rPr>
          <w:rFonts w:ascii="Times New Roman" w:cs="Times New Roman" w:eastAsia="Times New Roman" w:hAnsi="Times New Roman"/>
          <w:sz w:val="18"/>
          <w:szCs w:val="18"/>
          <w:color w:val="auto"/>
        </w:rPr>
        <w:t xml:space="preserve">(b)  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89" w:lineRule="exact"/>
        <w:rPr>
          <w:sz w:val="20"/>
          <w:szCs w:val="20"/>
          <w:color w:val="auto"/>
        </w:rPr>
      </w:pPr>
    </w:p>
    <w:p>
      <w:pPr>
        <w:ind w:right="180" w:firstLine="771"/>
        <w:spacing w:after="0" w:line="266" w:lineRule="auto"/>
        <w:rPr>
          <w:sz w:val="20"/>
          <w:szCs w:val="20"/>
          <w:color w:val="auto"/>
        </w:rPr>
      </w:pPr>
      <w:r>
        <w:rPr>
          <w:rFonts w:ascii="Times New Roman" w:cs="Times New Roman" w:eastAsia="Times New Roman" w:hAnsi="Times New Roman"/>
          <w:sz w:val="18"/>
          <w:szCs w:val="18"/>
          <w:color w:val="auto"/>
        </w:rPr>
        <w:t>(c)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771"/>
        <w:spacing w:after="0" w:line="254" w:lineRule="auto"/>
        <w:rPr>
          <w:sz w:val="20"/>
          <w:szCs w:val="20"/>
          <w:color w:val="auto"/>
        </w:rPr>
      </w:pPr>
      <w:r>
        <w:rPr>
          <w:rFonts w:ascii="Times New Roman" w:cs="Times New Roman" w:eastAsia="Times New Roman" w:hAnsi="Times New Roman"/>
          <w:sz w:val="18"/>
          <w:szCs w:val="18"/>
          <w:color w:val="auto"/>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(i)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Custodian system or (ii) in book-entry form via a direct registration system (“</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maintained by or on behalf of the Transfer Agent.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2" w:lineRule="exact"/>
        <w:rPr>
          <w:sz w:val="20"/>
          <w:szCs w:val="20"/>
          <w:color w:val="auto"/>
        </w:rPr>
      </w:pPr>
    </w:p>
    <w:p>
      <w:pPr>
        <w:ind w:right="60" w:firstLine="771"/>
        <w:spacing w:after="0" w:line="261" w:lineRule="auto"/>
        <w:rPr>
          <w:sz w:val="20"/>
          <w:szCs w:val="20"/>
          <w:color w:val="auto"/>
        </w:rPr>
      </w:pPr>
      <w:r>
        <w:rPr>
          <w:rFonts w:ascii="Times New Roman" w:cs="Times New Roman" w:eastAsia="Times New Roman" w:hAnsi="Times New Roman"/>
          <w:sz w:val="18"/>
          <w:szCs w:val="18"/>
          <w:color w:val="auto"/>
        </w:rPr>
        <w:t xml:space="preserve">(b)  In addition to any other rights available to the Holder, if the Company fails to cause the Transfer Agent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caused by incorrect or incomplete information provided by Holder to the Company) and the Holder or the Holder’s broker on its behalf purchases (in an open market</w:t>
      </w:r>
    </w:p>
    <w:p>
      <w:pPr>
        <w:sectPr>
          <w:pgSz w:w="11900" w:h="16838" w:orient="portrait"/>
          <w:cols w:equalWidth="0" w:num="1">
            <w:col w:w="11000"/>
          </w:cols>
          <w:pgMar w:left="440" w:top="270" w:right="459" w:bottom="1440" w:gutter="0" w:footer="0" w:header="0"/>
        </w:sectPr>
      </w:pPr>
    </w:p>
    <w:bookmarkStart w:id="6" w:name="page7"/>
    <w:bookmarkEnd w:id="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92" w:lineRule="exact"/>
        <w:rPr>
          <w:sz w:val="20"/>
          <w:szCs w:val="20"/>
          <w:color w:val="auto"/>
        </w:rPr>
      </w:pPr>
    </w:p>
    <w:p>
      <w:pPr>
        <w:ind w:firstLine="771"/>
        <w:spacing w:after="0" w:line="253" w:lineRule="auto"/>
        <w:rPr>
          <w:sz w:val="20"/>
          <w:szCs w:val="20"/>
          <w:color w:val="auto"/>
        </w:rPr>
      </w:pPr>
      <w:r>
        <w:rPr>
          <w:rFonts w:ascii="Times New Roman" w:cs="Times New Roman" w:eastAsia="Times New Roman" w:hAnsi="Times New Roman"/>
          <w:sz w:val="18"/>
          <w:szCs w:val="18"/>
          <w:color w:val="auto"/>
        </w:rPr>
        <w:t xml:space="preserve">(c)  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8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and delivery of Exercise Shares shall be made without charge to the Holder for any issue or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ectPr>
          <w:pgSz w:w="11900" w:h="16838" w:orient="portrait"/>
          <w:cols w:equalWidth="0" w:num="1">
            <w:col w:w="10980"/>
          </w:cols>
          <w:pgMar w:left="440" w:top="270" w:right="479" w:bottom="1440" w:gutter="0" w:footer="0" w:header="0"/>
        </w:sectPr>
      </w:pPr>
    </w:p>
    <w:bookmarkStart w:id="7" w:name="page8"/>
    <w:bookmarkEnd w:id="7"/>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(the “</w:t>
      </w:r>
      <w:r>
        <w:rPr>
          <w:rFonts w:ascii="Times New Roman" w:cs="Times New Roman" w:eastAsia="Times New Roman" w:hAnsi="Times New Roman"/>
          <w:sz w:val="18"/>
          <w:szCs w:val="18"/>
          <w:b w:val="1"/>
          <w:bCs w:val="1"/>
          <w:color w:val="auto"/>
        </w:rPr>
        <w:t>Number of Warrant Shares</w:t>
      </w:r>
      <w:r>
        <w:rPr>
          <w:rFonts w:ascii="Times New Roman" w:cs="Times New Roman" w:eastAsia="Times New Roman" w:hAnsi="Times New Roman"/>
          <w:sz w:val="18"/>
          <w:szCs w:val="18"/>
          <w:color w:val="auto"/>
        </w:rPr>
        <w:t>”) are subject to adjustment from time to time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77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7" w:lineRule="exact"/>
        <w:rPr>
          <w:sz w:val="20"/>
          <w:szCs w:val="20"/>
          <w:color w:val="auto"/>
        </w:rPr>
      </w:pPr>
    </w:p>
    <w:p>
      <w:pPr>
        <w:ind w:right="460" w:firstLine="771"/>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w:t>
      </w:r>
    </w:p>
    <w:p>
      <w:pPr>
        <w:sectPr>
          <w:pgSz w:w="11900" w:h="16838" w:orient="portrait"/>
          <w:cols w:equalWidth="0" w:num="1">
            <w:col w:w="10960"/>
          </w:cols>
          <w:pgMar w:left="440" w:top="266"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of indebtedness or any other assets by way of a dividend, spin off, reclassification, corporate rearrangement, scheme of arrangement or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any distribution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5953125</wp:posOffset>
            </wp:positionH>
            <wp:positionV relativeFrom="paragraph">
              <wp:posOffset>-19050</wp:posOffset>
            </wp:positionV>
            <wp:extent cx="28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participated therein if the Holder had held the number of shares of Common Stock acquirable upon complete exercise of this Warrant (without regard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limitations or restrictions on exercise of this Warrant, including without limitation, the Maximum Percentage (as defined below))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date on which a record is taken for such Distribution, or, if no such record is taken, the date as of which the record holders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are to be determined for the participation in such Distribution (provided, that to the extent that the Holder’s right to participate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Distribution would result in the Holder and the other Attribution Parties exceeding the Maximum Percentage, then the Holder shall not be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participate in such Distribution to such extent (and shall not be entitled to beneficial ownership of such shares of Common Stock as a result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(and beneficial ownership) to such extent) and the portion of such Distribution shall be held in abeyance for the benefit of the Holder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or times as its right thereto would not result in the Holder and the other Attribution Parties exceeding the Maximum Percentage, at which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times the Holder shall be granted such Distribution (and any Distributions declared or made on such initial Distribution or on any subsequent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held similarly in abeyance) to the same extent as if there had been no such limitation).</w:t>
      </w:r>
    </w:p>
    <w:p>
      <w:pPr>
        <w:spacing w:after="0" w:line="207" w:lineRule="exact"/>
        <w:rPr>
          <w:sz w:val="20"/>
          <w:szCs w:val="20"/>
          <w:color w:val="auto"/>
        </w:rPr>
      </w:pPr>
    </w:p>
    <w:p>
      <w:pPr>
        <w:ind w:firstLine="771"/>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w:t>
      </w:r>
    </w:p>
    <w:p>
      <w:pPr>
        <w:sectPr>
          <w:pgSz w:w="11900" w:h="16838" w:orient="portrait"/>
          <w:cols w:equalWidth="0" w:num="1">
            <w:col w:w="10980"/>
          </w:cols>
          <w:pgMar w:left="440" w:top="270" w:right="479" w:bottom="1440" w:gutter="0" w:footer="0" w:header="0"/>
        </w:sectPr>
      </w:pPr>
    </w:p>
    <w:bookmarkStart w:id="9" w:name="page10"/>
    <w:bookmarkEnd w:id="9"/>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consistent and on par with the securities or other property issuable upon exercise of the originally offered Purchase Rights).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 and (ii)</w:t>
      </w:r>
    </w:p>
    <w:p>
      <w:pPr>
        <w:ind w:left="4" w:right="3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 any stock or securities (other than Options) directly or indirectly convertible into or exercisable or exchangeable for shares of Common Stock.</w:t>
      </w:r>
    </w:p>
    <w:p>
      <w:pPr>
        <w:spacing w:after="0" w:line="181" w:lineRule="exact"/>
        <w:rPr>
          <w:sz w:val="20"/>
          <w:szCs w:val="20"/>
          <w:color w:val="auto"/>
        </w:rPr>
      </w:pPr>
    </w:p>
    <w:p>
      <w:pPr>
        <w:ind w:left="4" w:right="20" w:firstLine="771"/>
        <w:spacing w:after="0" w:line="270"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w:t>
      </w:r>
    </w:p>
    <w:p>
      <w:pPr>
        <w:spacing w:after="0" w:line="3" w:lineRule="exact"/>
        <w:rPr>
          <w:sz w:val="20"/>
          <w:szCs w:val="20"/>
          <w:color w:val="auto"/>
        </w:rPr>
      </w:pPr>
    </w:p>
    <w:p>
      <w:pPr>
        <w:ind w:left="4" w:hanging="4"/>
        <w:spacing w:after="0" w:line="250"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8"/>
          <w:szCs w:val="18"/>
          <w:u w:val="single" w:color="auto"/>
          <w:color w:val="auto"/>
        </w:rPr>
        <w:t>Sections 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above)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w:t>
      </w:r>
    </w:p>
    <w:p>
      <w:pPr>
        <w:spacing w:after="0" w:line="5" w:lineRule="exact"/>
        <w:rPr>
          <w:rFonts w:ascii="Times New Roman" w:cs="Times New Roman" w:eastAsia="Times New Roman" w:hAnsi="Times New Roman"/>
          <w:sz w:val="18"/>
          <w:szCs w:val="18"/>
          <w:color w:val="auto"/>
        </w:rPr>
      </w:pPr>
    </w:p>
    <w:p>
      <w:pPr>
        <w:ind w:left="4" w:right="60" w:hanging="4"/>
        <w:spacing w:after="0" w:line="253"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189" w:lineRule="exact"/>
        <w:rPr>
          <w:sz w:val="20"/>
          <w:szCs w:val="20"/>
          <w:color w:val="auto"/>
        </w:rPr>
      </w:pPr>
    </w:p>
    <w:p>
      <w:pPr>
        <w:jc w:val="both"/>
        <w:ind w:left="4" w:right="120" w:firstLine="771"/>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Number of Warrant Shares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ectPr>
          <w:pgSz w:w="11900" w:h="16838" w:orient="portrait"/>
          <w:cols w:equalWidth="0" w:num="1">
            <w:col w:w="11024"/>
          </w:cols>
          <w:pgMar w:left="436" w:top="270" w:right="439" w:bottom="1440" w:gutter="0" w:footer="0" w:header="0"/>
        </w:sectPr>
      </w:pPr>
    </w:p>
    <w:bookmarkStart w:id="10" w:name="page11"/>
    <w:bookmarkEnd w:id="10"/>
    <w:p>
      <w:pPr>
        <w:ind w:left="7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sz w:val="20"/>
          <w:szCs w:val="20"/>
          <w:color w:val="auto"/>
        </w:rPr>
      </w:pPr>
    </w:p>
    <w:p>
      <w:pPr>
        <w:ind w:right="240" w:firstLine="771"/>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7" w:lineRule="exact"/>
        <w:rPr>
          <w:sz w:val="20"/>
          <w:szCs w:val="20"/>
          <w:color w:val="auto"/>
        </w:rPr>
      </w:pPr>
    </w:p>
    <w:p>
      <w:pPr>
        <w:ind w:firstLine="771"/>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ectPr>
          <w:pgSz w:w="11900" w:h="16838" w:orient="portrait"/>
          <w:cols w:equalWidth="0" w:num="1">
            <w:col w:w="11000"/>
          </w:cols>
          <w:pgMar w:left="440" w:top="270" w:right="459" w:bottom="1440" w:gutter="0" w:footer="0" w:header="0"/>
        </w:sectPr>
      </w:pPr>
    </w:p>
    <w:bookmarkStart w:id="11" w:name="page12"/>
    <w:bookmarkEnd w:id="11"/>
    <w:p>
      <w:pPr>
        <w:ind w:left="760"/>
        <w:spacing w:after="0"/>
        <w:rPr>
          <w:sz w:val="20"/>
          <w:szCs w:val="20"/>
          <w:color w:val="auto"/>
        </w:rPr>
      </w:pPr>
      <w:r>
        <w:rPr>
          <w:rFonts w:ascii="Times New Roman" w:cs="Times New Roman" w:eastAsia="Times New Roman" w:hAnsi="Times New Roman"/>
          <w:sz w:val="13"/>
          <w:szCs w:val="13"/>
          <w:color w:val="auto"/>
        </w:rPr>
        <w:t>“Y” 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equals the total number of Warrant Shares with respect to which this Warrant is then being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-206375</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140"/>
            <w:col w:w="9740"/>
          </w:cols>
          <w:pgMar w:left="440" w:top="270" w:right="479" w:bottom="1440" w:gutter="0" w:footer="0" w:header="0"/>
        </w:sectPr>
      </w:pPr>
    </w:p>
    <w:p>
      <w:pPr>
        <w:spacing w:after="0" w:line="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“A” 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equals the Closing Sale Price of the shares of Common Stock as of the Trading Day on the date immediately preceding the Exercise</w:t>
      </w:r>
    </w:p>
    <w:p>
      <w:pPr>
        <w:spacing w:after="0" w:line="39" w:lineRule="exact"/>
        <w:rPr>
          <w:sz w:val="20"/>
          <w:szCs w:val="20"/>
          <w:color w:val="auto"/>
        </w:rPr>
      </w:pPr>
    </w:p>
    <w:p>
      <w:pPr>
        <w:sectPr>
          <w:pgSz w:w="11900" w:h="16838" w:orient="portrait"/>
          <w:cols w:equalWidth="0" w:num="2">
            <w:col w:w="1100" w:space="140"/>
            <w:col w:w="974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Date; and</w:t>
      </w:r>
    </w:p>
    <w:p>
      <w:pPr>
        <w:sectPr>
          <w:pgSz w:w="11900" w:h="16838" w:orient="portrait"/>
          <w:cols w:equalWidth="0" w:num="1">
            <w:col w:w="10980"/>
          </w:cols>
          <w:pgMar w:left="440" w:top="270" w:right="479" w:bottom="1440" w:gutter="0" w:footer="0" w:header="0"/>
          <w:type w:val="continuous"/>
        </w:sectPr>
      </w:pP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“B” 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equals the Exercise Price then in effect for the applicable Warrant Shares at the time of such exercise.</w:t>
      </w:r>
    </w:p>
    <w:p>
      <w:pPr>
        <w:spacing w:after="0" w:line="200" w:lineRule="exact"/>
        <w:rPr>
          <w:sz w:val="20"/>
          <w:szCs w:val="20"/>
          <w:color w:val="auto"/>
        </w:rPr>
      </w:pPr>
    </w:p>
    <w:p>
      <w:pPr>
        <w:sectPr>
          <w:pgSz w:w="11900" w:h="16838" w:orient="portrait"/>
          <w:cols w:equalWidth="0" w:num="2">
            <w:col w:w="1100" w:space="120"/>
            <w:col w:w="9760"/>
          </w:cols>
          <w:pgMar w:left="440" w:top="270" w:right="479" w:bottom="1440" w:gutter="0" w:footer="0" w:header="0"/>
          <w:type w:val="continuous"/>
        </w:sectPr>
      </w:pPr>
    </w:p>
    <w:p>
      <w:pPr>
        <w:spacing w:after="0" w:line="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 Fractional Shares), in no event will the exercise of this Warrant be settled in cash.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771"/>
        <w:spacing w:after="0" w:line="267" w:lineRule="auto"/>
        <w:rPr>
          <w:sz w:val="20"/>
          <w:szCs w:val="20"/>
          <w:color w:val="auto"/>
        </w:rPr>
      </w:pPr>
      <w:r>
        <w:rPr>
          <w:rFonts w:ascii="Times New Roman" w:cs="Times New Roman" w:eastAsia="Times New Roman" w:hAnsi="Times New Roman"/>
          <w:sz w:val="17"/>
          <w:szCs w:val="17"/>
          <w:color w:val="auto"/>
        </w:rPr>
        <w:t>(a)  Notwithstanding anything to the contrary contained herein, the Company shall not effect the exercise of any portion of this Warrant, and the Holder of this Warrant shall not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9.99%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7"/>
          <w:szCs w:val="17"/>
          <w:u w:val="single" w:color="auto"/>
          <w:color w:val="auto"/>
        </w:rPr>
        <w:t>Paragraph 11(a)</w:t>
      </w:r>
      <w:r>
        <w:rPr>
          <w:rFonts w:ascii="Times New Roman" w:cs="Times New Roman" w:eastAsia="Times New Roman" w:hAnsi="Times New Roman"/>
          <w:sz w:val="17"/>
          <w:szCs w:val="17"/>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For any reason at any time, upon the written</w:t>
      </w:r>
    </w:p>
    <w:p>
      <w:pPr>
        <w:sectPr>
          <w:pgSz w:w="11900" w:h="16838" w:orient="portrait"/>
          <w:cols w:equalWidth="0" w:num="1">
            <w:col w:w="10980"/>
          </w:cols>
          <w:pgMar w:left="440" w:top="270" w:right="479" w:bottom="1440" w:gutter="0" w:footer="0" w:header="0"/>
          <w:type w:val="continuous"/>
        </w:sectPr>
      </w:pPr>
    </w:p>
    <w:bookmarkStart w:id="12" w:name="page13"/>
    <w:bookmarkEnd w:id="12"/>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oral request of the Holder, the Company shall within one Trading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7"/>
          <w:szCs w:val="17"/>
          <w:b w:val="1"/>
          <w:bCs w:val="1"/>
          <w:color w:val="auto"/>
        </w:rPr>
        <w:t>Excess Shares</w:t>
      </w:r>
      <w:r>
        <w:rPr>
          <w:rFonts w:ascii="Times New Roman" w:cs="Times New Roman" w:eastAsia="Times New Roman" w:hAnsi="Times New Roman"/>
          <w:sz w:val="17"/>
          <w:szCs w:val="17"/>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[9.99 / 19.99]% specified in such notice; provided that any increase in the Maximum Percentage will not be effective until the 61st day after such notice is delivered to the Company and shall not negatively affect any partial exercise effected prior to such change.</w:t>
      </w:r>
    </w:p>
    <w:p>
      <w:pPr>
        <w:spacing w:after="0" w:line="200" w:lineRule="exact"/>
        <w:rPr>
          <w:sz w:val="20"/>
          <w:szCs w:val="20"/>
          <w:color w:val="auto"/>
        </w:rPr>
      </w:pPr>
    </w:p>
    <w:p>
      <w:pPr>
        <w:spacing w:after="0" w:line="203" w:lineRule="exact"/>
        <w:rPr>
          <w:sz w:val="20"/>
          <w:szCs w:val="20"/>
          <w:color w:val="auto"/>
        </w:rPr>
      </w:pPr>
    </w:p>
    <w:p>
      <w:pPr>
        <w:ind w:right="20" w:firstLine="771"/>
        <w:spacing w:after="0" w:line="254" w:lineRule="auto"/>
        <w:rPr>
          <w:sz w:val="20"/>
          <w:szCs w:val="20"/>
          <w:color w:val="auto"/>
        </w:rPr>
      </w:pPr>
      <w:r>
        <w:rPr>
          <w:rFonts w:ascii="Times New Roman" w:cs="Times New Roman" w:eastAsia="Times New Roman" w:hAnsi="Times New Roman"/>
          <w:sz w:val="18"/>
          <w:szCs w:val="18"/>
          <w:color w:val="auto"/>
        </w:rPr>
        <w:t xml:space="preserve">(b)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extent necessary to correct this paragraph or any portion of</w:t>
      </w:r>
    </w:p>
    <w:p>
      <w:pPr>
        <w:sectPr>
          <w:pgSz w:w="11900" w:h="16838" w:orient="portrait"/>
          <w:cols w:equalWidth="0" w:num="1">
            <w:col w:w="10980"/>
          </w:cols>
          <w:pgMar w:left="440" w:top="270" w:right="479" w:bottom="1440" w:gutter="0" w:footer="0" w:header="0"/>
        </w:sectPr>
      </w:pPr>
    </w:p>
    <w:bookmarkStart w:id="13" w:name="page14"/>
    <w:bookmarkEnd w:id="13"/>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paragraph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72"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given and effective on the earliest of (i) the date of transmission, if such notice or communication is delivered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77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ectPr>
          <w:pgSz w:w="11900" w:h="16838" w:orient="portrait"/>
          <w:cols w:equalWidth="0" w:num="1">
            <w:col w:w="10980"/>
          </w:cols>
          <w:pgMar w:left="440" w:top="270" w:right="479" w:bottom="1440" w:gutter="0" w:footer="0" w:header="0"/>
        </w:sectPr>
      </w:pPr>
    </w:p>
    <w:bookmarkStart w:id="14" w:name="page15"/>
    <w:bookmarkEnd w:id="14"/>
    <w:p>
      <w:pPr>
        <w:ind w:firstLine="77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90" w:lineRule="exact"/>
        <w:rPr>
          <w:sz w:val="20"/>
          <w:szCs w:val="20"/>
          <w:color w:val="auto"/>
        </w:rPr>
      </w:pPr>
    </w:p>
    <w:p>
      <w:pPr>
        <w:ind w:right="160" w:firstLine="771"/>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83" w:lineRule="exact"/>
        <w:rPr>
          <w:sz w:val="20"/>
          <w:szCs w:val="20"/>
          <w:color w:val="auto"/>
        </w:rPr>
      </w:pPr>
    </w:p>
    <w:p>
      <w:pPr>
        <w:ind w:right="100" w:firstLine="771"/>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76" w:lineRule="exact"/>
        <w:rPr>
          <w:sz w:val="20"/>
          <w:szCs w:val="20"/>
          <w:color w:val="auto"/>
        </w:rPr>
      </w:pPr>
    </w:p>
    <w:p>
      <w:pPr>
        <w:ind w:right="560" w:firstLine="771"/>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62" w:lineRule="exact"/>
        <w:rPr>
          <w:sz w:val="20"/>
          <w:szCs w:val="20"/>
          <w:color w:val="auto"/>
        </w:rPr>
      </w:pPr>
    </w:p>
    <w:p>
      <w:pPr>
        <w:ind w:right="100" w:firstLine="771"/>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w:t>
      </w:r>
    </w:p>
    <w:p>
      <w:pPr>
        <w:sectPr>
          <w:pgSz w:w="11900" w:h="16838" w:orient="portrait"/>
          <w:cols w:equalWidth="0" w:num="1">
            <w:col w:w="11000"/>
          </w:cols>
          <w:pgMar w:left="440" w:top="270" w:right="45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2" w:lineRule="exact"/>
        <w:rPr>
          <w:sz w:val="20"/>
          <w:szCs w:val="20"/>
          <w:color w:val="auto"/>
        </w:rPr>
      </w:pPr>
    </w:p>
    <w:p>
      <w:pPr>
        <w:ind w:right="400" w:firstLine="771"/>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2" w:lineRule="exact"/>
        <w:rPr>
          <w:sz w:val="20"/>
          <w:szCs w:val="20"/>
          <w:color w:val="auto"/>
        </w:rPr>
      </w:pPr>
    </w:p>
    <w:p>
      <w:pPr>
        <w:jc w:val="both"/>
        <w:ind w:right="200" w:firstLine="771"/>
        <w:spacing w:after="0" w:line="261"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5264150</wp:posOffset>
            </wp:positionH>
            <wp:positionV relativeFrom="paragraph">
              <wp:posOffset>17145</wp:posOffset>
            </wp:positionV>
            <wp:extent cx="1448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80"/>
          </w:cols>
          <w:pgMar w:left="880" w:top="270" w:right="539" w:bottom="1440" w:gutter="0" w:footer="0" w:header="0"/>
        </w:sectPr>
      </w:pPr>
    </w:p>
    <w:bookmarkStart w:id="17" w:name="page18"/>
    <w:bookmarkEnd w:id="17"/>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9"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(1)</w:t>
            </w:r>
          </w:p>
        </w:tc>
        <w:tc>
          <w:tcPr>
            <w:tcW w:w="10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8"/>
              </w:rPr>
              <w:t>The undersigned is the Holder of Warrant No.   (the “Warrant”) issued by Fulcrum Therapeutics, Inc., a Delaware corporation (the “Company”).</w:t>
            </w:r>
          </w:p>
        </w:tc>
      </w:tr>
      <w:tr>
        <w:trPr>
          <w:trHeight w:val="20"/>
        </w:trPr>
        <w:tc>
          <w:tcPr>
            <w:tcW w:w="35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7"/>
        </w:trPr>
        <w:tc>
          <w:tcPr>
            <w:tcW w:w="10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have the respective meanings set forth in the Warrant.</w:t>
            </w:r>
          </w:p>
        </w:tc>
      </w:tr>
      <w:tr>
        <w:trPr>
          <w:trHeight w:val="39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(2)</w:t>
            </w:r>
          </w:p>
        </w:tc>
        <w:tc>
          <w:tcPr>
            <w:tcW w:w="10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tc>
      </w:tr>
      <w:tr>
        <w:trPr>
          <w:trHeight w:val="20"/>
        </w:trPr>
        <w:tc>
          <w:tcPr>
            <w:tcW w:w="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bl>
    <w:p>
      <w:pPr>
        <w:spacing w:after="0" w:line="225" w:lineRule="exact"/>
        <w:rPr>
          <w:sz w:val="20"/>
          <w:szCs w:val="20"/>
          <w:color w:val="auto"/>
        </w:rPr>
      </w:pPr>
    </w:p>
    <w:p>
      <w:pPr>
        <w:ind w:left="324" w:right="4500" w:hanging="324"/>
        <w:spacing w:after="0" w:line="347" w:lineRule="exact"/>
        <w:tabs>
          <w:tab w:leader="none" w:pos="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intends that payment of the Exercise Price shall be made as (check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 Exercise</w:t>
      </w:r>
    </w:p>
    <w:p>
      <w:pPr>
        <w:spacing w:after="0" w:line="129" w:lineRule="exact"/>
        <w:rPr>
          <w:rFonts w:ascii="Times New Roman" w:cs="Times New Roman" w:eastAsia="Times New Roman" w:hAnsi="Times New Roman"/>
          <w:sz w:val="18"/>
          <w:szCs w:val="18"/>
          <w:color w:val="auto"/>
        </w:rPr>
      </w:pPr>
    </w:p>
    <w:p>
      <w:pPr>
        <w:ind w:left="324"/>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“Cashless Exercise”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Warrant</w:t>
      </w:r>
    </w:p>
    <w:p>
      <w:pPr>
        <w:spacing w:after="0" w:line="266"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(4) If the Holder has elected a Cash Exercise, the Holder shall pay the sum of $       in immediately available funds to the Company in accordance with the terms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-185420</wp:posOffset>
            </wp:positionV>
            <wp:extent cx="3429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42" w:lineRule="exact"/>
        <w:rPr>
          <w:sz w:val="20"/>
          <w:szCs w:val="20"/>
          <w:color w:val="auto"/>
        </w:rPr>
      </w:pPr>
    </w:p>
    <w:p>
      <w:pPr>
        <w:ind w:left="4" w:right="40" w:hanging="4"/>
        <w:spacing w:after="0" w:line="282"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(check one):</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4"/>
              </w:rPr>
              <w:t>to the following DWAC Account Number: 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
        </w:trPr>
        <w:tc>
          <w:tcPr>
            <w:tcW w:w="3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80"/>
        </w:trPr>
        <w:tc>
          <w:tcPr>
            <w:tcW w:w="4380" w:type="dxa"/>
            <w:vAlign w:val="bottom"/>
            <w:gridSpan w:val="8"/>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book-entry form via a direct registration system</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4"/>
        </w:trPr>
        <w:tc>
          <w:tcPr>
            <w:tcW w:w="6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by physical delivery of a certificate to: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0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20" w:type="dxa"/>
            <w:vAlign w:val="bottom"/>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324"/>
        <w:spacing w:after="0" w:line="207" w:lineRule="exact"/>
        <w:tabs>
          <w:tab w:leader="none" w:pos="7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in restricted book-entry form in the Company’s share register</w:t>
      </w:r>
    </w:p>
    <w:p>
      <w:pPr>
        <w:spacing w:after="0" w:line="266" w:lineRule="exact"/>
        <w:rPr>
          <w:sz w:val="20"/>
          <w:szCs w:val="20"/>
          <w:color w:val="auto"/>
        </w:rPr>
      </w:pPr>
    </w:p>
    <w:p>
      <w:pPr>
        <w:ind w:left="4" w:hanging="4"/>
        <w:spacing w:after="0" w:line="261"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bl>
    <w:p>
      <w:pPr>
        <w:spacing w:after="0" w:line="225"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sectPr>
      <w:pgSz w:w="11900" w:h="16838" w:orient="portrait"/>
      <w:cols w:equalWidth="0" w:num="1">
        <w:col w:w="10824"/>
      </w:cols>
      <w:pgMar w:left="436"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3"/>
    </w:lvl>
  </w:abstractNum>
  <w:abstractNum w:abstractNumId="2">
    <w:nsid w:val="238E1F29"/>
    <w:multiLevelType w:val="hybridMultilevel"/>
    <w:lvl w:ilvl="0">
      <w:lvlJc w:val="left"/>
      <w:lvlText w:val="(%1)"/>
      <w:numFmt w:val="lowerRoman"/>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2024-08-22T15:13:04Z</dcterms:created>
  <dcterms:modified xsi:type="dcterms:W3CDTF">2024-08-22T15:13:04Z</dcterms:modified>
</cp:coreProperties>
</file>