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1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(Amendment No. 4)*</w:t>
      </w:r>
    </w:p>
    <w:p>
      <w:pPr>
        <w:spacing w:after="0" w:line="200" w:lineRule="exact"/>
        <w:rPr>
          <w:sz w:val="24"/>
          <w:szCs w:val="24"/>
          <w:color w:val="auto"/>
        </w:rPr>
      </w:pPr>
    </w:p>
    <w:p>
      <w:pPr>
        <w:spacing w:after="0" w:line="39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359616109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[_] Rule 13d-1(b)</w:t>
      </w:r>
    </w:p>
    <w:p>
      <w:pPr>
        <w:spacing w:after="0" w:line="225" w:lineRule="exact"/>
        <w:rPr>
          <w:sz w:val="24"/>
          <w:szCs w:val="24"/>
          <w:color w:val="auto"/>
        </w:rPr>
      </w:pPr>
    </w:p>
    <w:p>
      <w:pPr>
        <w:jc w:val="both"/>
        <w:ind w:left="1300" w:right="8560" w:firstLine="4"/>
        <w:spacing w:after="0" w:line="521" w:lineRule="auto"/>
        <w:tabs>
          <w:tab w:leader="none" w:pos="159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13d-1(c) [_] Rule 13d-1(d)</w:t>
      </w:r>
    </w:p>
    <w:p>
      <w:pPr>
        <w:spacing w:after="0"/>
        <w:rPr>
          <w:sz w:val="20"/>
          <w:szCs w:val="20"/>
          <w:color w:val="auto"/>
        </w:rPr>
      </w:pPr>
      <w:r>
        <w:rPr>
          <w:rFonts w:ascii="Courier New" w:cs="Courier New" w:eastAsia="Courier New" w:hAnsi="Courier New"/>
          <w:sz w:val="18"/>
          <w:szCs w:val="18"/>
          <w:color w:val="auto"/>
        </w:rPr>
        <w:t>__________</w:t>
      </w:r>
    </w:p>
    <w:p>
      <w:pPr>
        <w:spacing w:after="0" w:line="34"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99" w:lineRule="exact"/>
        <w:rPr>
          <w:sz w:val="24"/>
          <w:szCs w:val="24"/>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551815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441" w:right="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26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359616109</w:t>
            </w:r>
          </w:p>
        </w:tc>
      </w:tr>
      <w:tr>
        <w:trPr>
          <w:trHeight w:val="27"/>
        </w:trPr>
        <w:tc>
          <w:tcPr>
            <w:tcW w:w="114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ind w:left="900" w:hanging="89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36" w:lineRule="exact"/>
        <w:rPr>
          <w:rFonts w:ascii="Times New Roman" w:cs="Times New Roman" w:eastAsia="Times New Roman" w:hAnsi="Times New Roman"/>
          <w:sz w:val="18"/>
          <w:szCs w:val="18"/>
          <w:color w:val="auto"/>
        </w:rPr>
      </w:pPr>
    </w:p>
    <w:p>
      <w:pPr>
        <w:ind w:left="900" w:right="4120"/>
        <w:spacing w:after="0" w:line="5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Suvretta Capital Management, LLC</w:t>
      </w:r>
    </w:p>
    <w:p>
      <w:pPr>
        <w:ind w:left="900" w:hanging="89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color w:val="auto"/>
        </w:rPr>
        <w:t>(a) [_]</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[_]</w:t>
      </w:r>
    </w:p>
    <w:p>
      <w:pPr>
        <w:spacing w:after="0" w:line="279" w:lineRule="exact"/>
        <w:rPr>
          <w:sz w:val="20"/>
          <w:szCs w:val="20"/>
          <w:color w:val="auto"/>
        </w:rPr>
      </w:pPr>
    </w:p>
    <w:p>
      <w:pPr>
        <w:ind w:left="900" w:hanging="89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5" w:lineRule="exact"/>
        <w:rPr>
          <w:rFonts w:ascii="Times New Roman" w:cs="Times New Roman" w:eastAsia="Times New Roman" w:hAnsi="Times New Roman"/>
          <w:sz w:val="18"/>
          <w:szCs w:val="18"/>
          <w:color w:val="auto"/>
        </w:rPr>
      </w:pPr>
    </w:p>
    <w:p>
      <w:pPr>
        <w:ind w:left="900" w:right="6040" w:hanging="895"/>
        <w:spacing w:after="0" w:line="595"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0" w:lineRule="exact"/>
        <w:rPr>
          <w:sz w:val="20"/>
          <w:szCs w:val="20"/>
          <w:color w:val="auto"/>
        </w:rPr>
      </w:pPr>
    </w:p>
    <w:p>
      <w:pPr>
        <w:spacing w:after="0" w:line="205" w:lineRule="exact"/>
        <w:rPr>
          <w:sz w:val="20"/>
          <w:szCs w:val="20"/>
          <w:color w:val="auto"/>
        </w:rPr>
      </w:pPr>
    </w:p>
    <w:p>
      <w:pPr>
        <w:ind w:left="900" w:right="7860" w:hanging="895"/>
        <w:spacing w:after="0" w:line="563"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ind w:left="900" w:right="7580" w:hanging="895"/>
        <w:spacing w:after="0" w:line="563"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1,182,791</w:t>
      </w:r>
    </w:p>
    <w:p>
      <w:pPr>
        <w:ind w:left="900" w:right="7460" w:hanging="895"/>
        <w:spacing w:after="0" w:line="563"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ind w:left="900" w:right="7180" w:hanging="895"/>
        <w:spacing w:after="0" w:line="563"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1,182,791</w:t>
      </w:r>
    </w:p>
    <w:p>
      <w:pPr>
        <w:ind w:left="900" w:right="3160" w:hanging="895"/>
        <w:spacing w:after="0" w:line="547"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1,182,791</w:t>
      </w:r>
    </w:p>
    <w:p>
      <w:pPr>
        <w:spacing w:after="0" w:line="1" w:lineRule="exact"/>
        <w:rPr>
          <w:sz w:val="20"/>
          <w:szCs w:val="20"/>
          <w:color w:val="auto"/>
        </w:rPr>
      </w:pPr>
    </w:p>
    <w:p>
      <w:pPr>
        <w:spacing w:after="0"/>
        <w:tabs>
          <w:tab w:leader="none" w:pos="880" w:val="left"/>
          <w:tab w:leader="none" w:pos="1010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7"/>
          <w:szCs w:val="17"/>
          <w:color w:val="auto"/>
        </w:rPr>
        <w:t>[_]</w:t>
      </w:r>
    </w:p>
    <w:p>
      <w:pPr>
        <w:spacing w:after="0" w:line="252" w:lineRule="exact"/>
        <w:rPr>
          <w:sz w:val="20"/>
          <w:szCs w:val="20"/>
          <w:color w:val="auto"/>
        </w:rPr>
      </w:pPr>
    </w:p>
    <w:p>
      <w:pPr>
        <w:ind w:left="900" w:right="4660" w:hanging="895"/>
        <w:spacing w:after="0" w:line="563"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2.2%</w:t>
      </w:r>
    </w:p>
    <w:p>
      <w:pPr>
        <w:ind w:left="900" w:right="5380" w:hanging="895"/>
        <w:spacing w:after="0" w:line="595"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234315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20"/>
          </w:cols>
          <w:pgMar w:left="420" w:top="904" w:right="8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26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359616109</w:t>
            </w:r>
          </w:p>
        </w:tc>
      </w:tr>
      <w:tr>
        <w:trPr>
          <w:trHeight w:val="27"/>
        </w:trPr>
        <w:tc>
          <w:tcPr>
            <w:tcW w:w="114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ind w:left="680" w:hanging="675"/>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36" w:lineRule="exact"/>
        <w:rPr>
          <w:rFonts w:ascii="Times New Roman" w:cs="Times New Roman" w:eastAsia="Times New Roman" w:hAnsi="Times New Roman"/>
          <w:sz w:val="18"/>
          <w:szCs w:val="18"/>
          <w:color w:val="auto"/>
        </w:rPr>
      </w:pPr>
    </w:p>
    <w:p>
      <w:pPr>
        <w:ind w:left="680" w:right="4440"/>
        <w:spacing w:after="0" w:line="5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Averill Master Fund, Ltd.</w:t>
      </w:r>
    </w:p>
    <w:p>
      <w:pPr>
        <w:ind w:left="680" w:hanging="675"/>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9"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(a) [_]</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[_]</w:t>
      </w:r>
    </w:p>
    <w:p>
      <w:pPr>
        <w:spacing w:after="0" w:line="234" w:lineRule="exact"/>
        <w:rPr>
          <w:sz w:val="20"/>
          <w:szCs w:val="20"/>
          <w:color w:val="auto"/>
        </w:rPr>
      </w:pPr>
    </w:p>
    <w:p>
      <w:pPr>
        <w:ind w:left="680" w:hanging="675"/>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5" w:lineRule="exact"/>
        <w:rPr>
          <w:rFonts w:ascii="Times New Roman" w:cs="Times New Roman" w:eastAsia="Times New Roman" w:hAnsi="Times New Roman"/>
          <w:sz w:val="18"/>
          <w:szCs w:val="18"/>
          <w:color w:val="auto"/>
        </w:rPr>
      </w:pPr>
    </w:p>
    <w:p>
      <w:pPr>
        <w:ind w:left="680" w:right="6360" w:hanging="675"/>
        <w:spacing w:after="0" w:line="595"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spacing w:after="0" w:line="200" w:lineRule="exact"/>
        <w:rPr>
          <w:sz w:val="20"/>
          <w:szCs w:val="20"/>
          <w:color w:val="auto"/>
        </w:rPr>
      </w:pPr>
    </w:p>
    <w:p>
      <w:pPr>
        <w:spacing w:after="0" w:line="232" w:lineRule="exact"/>
        <w:rPr>
          <w:sz w:val="20"/>
          <w:szCs w:val="20"/>
          <w:color w:val="auto"/>
        </w:rPr>
      </w:pPr>
    </w:p>
    <w:p>
      <w:pPr>
        <w:ind w:left="680" w:right="8160" w:hanging="675"/>
        <w:spacing w:after="0" w:line="563"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ind w:left="680" w:right="7900" w:hanging="675"/>
        <w:spacing w:after="0" w:line="563"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1,182,791</w:t>
      </w:r>
    </w:p>
    <w:p>
      <w:pPr>
        <w:ind w:left="680" w:right="7760" w:hanging="675"/>
        <w:spacing w:after="0" w:line="563"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ind w:left="680" w:right="7500" w:hanging="675"/>
        <w:spacing w:after="0" w:line="563"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1,182,791</w:t>
      </w:r>
    </w:p>
    <w:p>
      <w:pPr>
        <w:ind w:left="680" w:right="3460" w:hanging="675"/>
        <w:spacing w:after="0" w:line="563"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1,182,791</w:t>
      </w:r>
    </w:p>
    <w:p>
      <w:pPr>
        <w:jc w:val="center"/>
        <w:ind w:left="5180" w:right="1120" w:hanging="5175"/>
        <w:spacing w:after="0" w:line="282" w:lineRule="auto"/>
        <w:tabs>
          <w:tab w:leader="none" w:pos="68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 [_]</w:t>
      </w:r>
    </w:p>
    <w:p>
      <w:pPr>
        <w:spacing w:after="0" w:line="188" w:lineRule="exact"/>
        <w:rPr>
          <w:rFonts w:ascii="Times New Roman" w:cs="Times New Roman" w:eastAsia="Times New Roman" w:hAnsi="Times New Roman"/>
          <w:sz w:val="18"/>
          <w:szCs w:val="18"/>
          <w:color w:val="auto"/>
        </w:rPr>
      </w:pPr>
    </w:p>
    <w:p>
      <w:pPr>
        <w:ind w:left="680" w:right="4960" w:hanging="675"/>
        <w:spacing w:after="0" w:line="563"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2.2%</w:t>
      </w:r>
    </w:p>
    <w:p>
      <w:pPr>
        <w:ind w:left="680" w:right="5680" w:hanging="675"/>
        <w:spacing w:after="0" w:line="595"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106045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00"/>
          </w:cols>
          <w:pgMar w:left="420" w:top="675" w:right="7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17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359616109</w:t>
            </w:r>
          </w:p>
        </w:tc>
      </w:tr>
      <w:tr>
        <w:trPr>
          <w:trHeight w:val="27"/>
        </w:trPr>
        <w:tc>
          <w:tcPr>
            <w:tcW w:w="11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ind w:left="900" w:hanging="89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36" w:lineRule="exact"/>
        <w:rPr>
          <w:rFonts w:ascii="Times New Roman" w:cs="Times New Roman" w:eastAsia="Times New Roman" w:hAnsi="Times New Roman"/>
          <w:sz w:val="18"/>
          <w:szCs w:val="18"/>
          <w:color w:val="auto"/>
        </w:rPr>
      </w:pPr>
    </w:p>
    <w:p>
      <w:pPr>
        <w:ind w:left="900" w:right="4120"/>
        <w:spacing w:after="0" w:line="5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Aaron Cowen</w:t>
      </w:r>
    </w:p>
    <w:p>
      <w:pPr>
        <w:ind w:left="900" w:hanging="89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color w:val="auto"/>
        </w:rPr>
        <w:t>(a) [_]</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[_]</w:t>
      </w:r>
    </w:p>
    <w:p>
      <w:pPr>
        <w:spacing w:after="0" w:line="279" w:lineRule="exact"/>
        <w:rPr>
          <w:sz w:val="20"/>
          <w:szCs w:val="20"/>
          <w:color w:val="auto"/>
        </w:rPr>
      </w:pPr>
    </w:p>
    <w:p>
      <w:pPr>
        <w:ind w:left="900" w:hanging="89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5" w:lineRule="exact"/>
        <w:rPr>
          <w:rFonts w:ascii="Times New Roman" w:cs="Times New Roman" w:eastAsia="Times New Roman" w:hAnsi="Times New Roman"/>
          <w:sz w:val="18"/>
          <w:szCs w:val="18"/>
          <w:color w:val="auto"/>
        </w:rPr>
      </w:pPr>
    </w:p>
    <w:p>
      <w:pPr>
        <w:ind w:left="900" w:right="6040" w:hanging="895"/>
        <w:spacing w:after="0" w:line="595"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U.S.A.</w:t>
      </w:r>
    </w:p>
    <w:p>
      <w:pPr>
        <w:spacing w:after="0" w:line="200" w:lineRule="exact"/>
        <w:rPr>
          <w:sz w:val="20"/>
          <w:szCs w:val="20"/>
          <w:color w:val="auto"/>
        </w:rPr>
      </w:pPr>
    </w:p>
    <w:p>
      <w:pPr>
        <w:spacing w:after="0" w:line="205" w:lineRule="exact"/>
        <w:rPr>
          <w:sz w:val="20"/>
          <w:szCs w:val="20"/>
          <w:color w:val="auto"/>
        </w:rPr>
      </w:pPr>
    </w:p>
    <w:p>
      <w:pPr>
        <w:ind w:left="900" w:right="7860" w:hanging="895"/>
        <w:spacing w:after="0" w:line="563"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ind w:left="900" w:right="7580" w:hanging="895"/>
        <w:spacing w:after="0" w:line="563"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1,182,791</w:t>
      </w:r>
    </w:p>
    <w:p>
      <w:pPr>
        <w:ind w:left="900" w:right="7460" w:hanging="895"/>
        <w:spacing w:after="0" w:line="563"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ind w:left="900" w:right="7180" w:hanging="895"/>
        <w:spacing w:after="0" w:line="563"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1,182,791</w:t>
      </w:r>
    </w:p>
    <w:p>
      <w:pPr>
        <w:ind w:left="900" w:right="3160" w:hanging="895"/>
        <w:spacing w:after="0" w:line="547"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1,182,791</w:t>
      </w:r>
    </w:p>
    <w:p>
      <w:pPr>
        <w:spacing w:after="0" w:line="1" w:lineRule="exact"/>
        <w:rPr>
          <w:sz w:val="20"/>
          <w:szCs w:val="20"/>
          <w:color w:val="auto"/>
        </w:rPr>
      </w:pPr>
    </w:p>
    <w:p>
      <w:pPr>
        <w:spacing w:after="0"/>
        <w:tabs>
          <w:tab w:leader="none" w:pos="880" w:val="left"/>
          <w:tab w:leader="none" w:pos="1010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7"/>
          <w:szCs w:val="17"/>
          <w:color w:val="auto"/>
        </w:rPr>
        <w:t>[_]</w:t>
      </w:r>
    </w:p>
    <w:p>
      <w:pPr>
        <w:spacing w:after="0" w:line="252" w:lineRule="exact"/>
        <w:rPr>
          <w:sz w:val="20"/>
          <w:szCs w:val="20"/>
          <w:color w:val="auto"/>
        </w:rPr>
      </w:pPr>
    </w:p>
    <w:p>
      <w:pPr>
        <w:ind w:left="900" w:right="4660" w:hanging="895"/>
        <w:spacing w:after="0" w:line="563"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2.2%</w:t>
      </w:r>
    </w:p>
    <w:p>
      <w:pPr>
        <w:ind w:left="900" w:right="5380" w:hanging="895"/>
        <w:spacing w:after="0" w:line="595"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388620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20"/>
          </w:cols>
          <w:pgMar w:left="420" w:top="1093" w:right="859" w:bottom="1440" w:gutter="0" w:footer="0" w:header="0"/>
        </w:sectPr>
      </w:pPr>
    </w:p>
    <w:bookmarkStart w:id="4" w:name="page5"/>
    <w:bookmarkEnd w:id="4"/>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520" w:type="dxa"/>
            <w:vAlign w:val="bottom"/>
          </w:tcPr>
          <w:p>
            <w:pPr>
              <w:spacing w:after="0"/>
              <w:rPr>
                <w:sz w:val="20"/>
                <w:szCs w:val="20"/>
                <w:color w:val="auto"/>
              </w:rPr>
            </w:pPr>
          </w:p>
        </w:tc>
        <w:tc>
          <w:tcPr>
            <w:tcW w:w="190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359616109</w:t>
            </w:r>
          </w:p>
        </w:tc>
        <w:tc>
          <w:tcPr>
            <w:tcW w:w="7860" w:type="dxa"/>
            <w:vAlign w:val="bottom"/>
          </w:tcPr>
          <w:p>
            <w:pPr>
              <w:spacing w:after="0"/>
              <w:rPr>
                <w:sz w:val="20"/>
                <w:szCs w:val="20"/>
                <w:color w:val="auto"/>
              </w:rPr>
            </w:pPr>
          </w:p>
        </w:tc>
      </w:tr>
      <w:tr>
        <w:trPr>
          <w:trHeight w:val="27"/>
        </w:trPr>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860" w:type="dxa"/>
            <w:vAlign w:val="bottom"/>
          </w:tcPr>
          <w:p>
            <w:pPr>
              <w:spacing w:after="0"/>
              <w:rPr>
                <w:sz w:val="2"/>
                <w:szCs w:val="2"/>
                <w:color w:val="auto"/>
              </w:rPr>
            </w:pPr>
          </w:p>
        </w:tc>
      </w:tr>
      <w:tr>
        <w:trPr>
          <w:trHeight w:val="69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340" w:type="dxa"/>
            <w:vAlign w:val="bottom"/>
          </w:tcPr>
          <w:p>
            <w:pPr>
              <w:spacing w:after="0"/>
              <w:rPr>
                <w:sz w:val="24"/>
                <w:szCs w:val="24"/>
                <w:color w:val="auto"/>
              </w:rPr>
            </w:pPr>
          </w:p>
        </w:tc>
        <w:tc>
          <w:tcPr>
            <w:tcW w:w="9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Name of Issuer:</w:t>
            </w:r>
          </w:p>
        </w:tc>
      </w:tr>
      <w:tr>
        <w:trPr>
          <w:trHeight w:val="459"/>
        </w:trPr>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Fulcrum Therapeutics, Inc.</w:t>
            </w:r>
          </w:p>
        </w:tc>
      </w:tr>
      <w:tr>
        <w:trPr>
          <w:trHeight w:val="27"/>
        </w:trPr>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20" w:type="dxa"/>
            <w:vAlign w:val="bottom"/>
            <w:tcBorders>
              <w:bottom w:val="single" w:sz="8" w:color="auto"/>
            </w:tcBorders>
            <w:gridSpan w:val="2"/>
          </w:tcPr>
          <w:p>
            <w:pPr>
              <w:spacing w:after="0"/>
              <w:rPr>
                <w:sz w:val="2"/>
                <w:szCs w:val="2"/>
                <w:color w:val="auto"/>
              </w:rPr>
            </w:pPr>
          </w:p>
        </w:tc>
      </w:tr>
      <w:tr>
        <w:trPr>
          <w:trHeight w:val="453"/>
        </w:trPr>
        <w:tc>
          <w:tcPr>
            <w:tcW w:w="860" w:type="dxa"/>
            <w:vAlign w:val="bottom"/>
          </w:tcPr>
          <w:p>
            <w:pPr>
              <w:spacing w:after="0"/>
              <w:rPr>
                <w:sz w:val="24"/>
                <w:szCs w:val="24"/>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340" w:type="dxa"/>
            <w:vAlign w:val="bottom"/>
          </w:tcPr>
          <w:p>
            <w:pPr>
              <w:spacing w:after="0"/>
              <w:rPr>
                <w:sz w:val="24"/>
                <w:szCs w:val="24"/>
                <w:color w:val="auto"/>
              </w:rPr>
            </w:pPr>
          </w:p>
        </w:tc>
        <w:tc>
          <w:tcPr>
            <w:tcW w:w="9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r>
      <w:tr>
        <w:trPr>
          <w:trHeight w:val="468"/>
        </w:trPr>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26 Landsdowne Street</w:t>
            </w:r>
          </w:p>
        </w:tc>
      </w:tr>
      <w:tr>
        <w:trPr>
          <w:trHeight w:val="234"/>
        </w:trPr>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Cambridge, MA 02139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1090295</wp:posOffset>
            </wp:positionH>
            <wp:positionV relativeFrom="paragraph">
              <wp:posOffset>154305</wp:posOffset>
            </wp:positionV>
            <wp:extent cx="59836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sectPr>
          <w:pgSz w:w="11900" w:h="16887" w:orient="portrait"/>
          <w:cols w:equalWidth="0" w:num="1">
            <w:col w:w="11140"/>
          </w:cols>
          <w:pgMar w:left="420" w:top="958" w:right="339" w:bottom="0" w:gutter="0" w:footer="0" w:header="0"/>
        </w:sectPr>
      </w:pPr>
    </w:p>
    <w:p>
      <w:pPr>
        <w:spacing w:after="0" w:line="200" w:lineRule="exact"/>
        <w:rPr>
          <w:sz w:val="20"/>
          <w:szCs w:val="20"/>
          <w:color w:val="auto"/>
        </w:rPr>
      </w:pPr>
    </w:p>
    <w:p>
      <w:pPr>
        <w:spacing w:after="0" w:line="28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color w:val="auto"/>
        </w:rPr>
        <w:t>(a) –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Principal Business Address, and Citizenship of Persons Filing</w:t>
      </w:r>
      <w:r>
        <w:rPr>
          <w:rFonts w:ascii="Times New Roman" w:cs="Times New Roman" w:eastAsia="Times New Roman" w:hAnsi="Times New Roman"/>
          <w:sz w:val="21"/>
          <w:szCs w:val="21"/>
          <w:color w:val="auto"/>
        </w:rPr>
        <w: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Suvretta Capital Management, LLC – 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Averill Master Fund, Ltd. – Cayman Islands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Aaron Cowen –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142875</wp:posOffset>
            </wp:positionV>
            <wp:extent cx="59836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Suvretta Capital Management,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540 Madison Avenue, 7th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Averill Master Fund,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Maples Corporate Services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309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Ugland 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Cayman KY1-1104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Aaron Cowen: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Suvretta Capital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540 Madison Avenue, 7th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5715</wp:posOffset>
            </wp:positionV>
            <wp:extent cx="59836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83605"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par value $0.001 per share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34290</wp:posOffset>
            </wp:positionV>
            <wp:extent cx="59836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83605" cy="8890"/>
                    </a:xfrm>
                    <a:prstGeom prst="rect">
                      <a:avLst/>
                    </a:prstGeom>
                    <a:noFill/>
                  </pic:spPr>
                </pic:pic>
              </a:graphicData>
            </a:graphic>
          </wp:anchor>
        </w:drawing>
      </w:r>
    </w:p>
    <w:p>
      <w:pPr>
        <w:spacing w:after="0" w:line="200" w:lineRule="exact"/>
        <w:rPr>
          <w:sz w:val="20"/>
          <w:szCs w:val="20"/>
          <w:color w:val="auto"/>
        </w:rPr>
      </w:pPr>
    </w:p>
    <w:p>
      <w:pPr>
        <w:sectPr>
          <w:pgSz w:w="11900" w:h="16887" w:orient="portrait"/>
          <w:cols w:equalWidth="0" w:num="2">
            <w:col w:w="1480" w:space="340"/>
            <w:col w:w="9320"/>
          </w:cols>
          <w:pgMar w:left="420" w:top="958" w:right="339" w:bottom="0" w:gutter="0" w:footer="0" w:header="0"/>
          <w:type w:val="continuous"/>
        </w:sectPr>
      </w:pPr>
    </w:p>
    <w:p>
      <w:pPr>
        <w:spacing w:after="0" w:line="93" w:lineRule="exact"/>
        <w:rPr>
          <w:sz w:val="20"/>
          <w:szCs w:val="20"/>
          <w:color w:val="auto"/>
        </w:rPr>
      </w:pPr>
    </w:p>
    <w:p>
      <w:pPr>
        <w:ind w:left="900"/>
        <w:spacing w:after="0"/>
        <w:tabs>
          <w:tab w:leader="none" w:pos="1800" w:val="left"/>
        </w:tabs>
        <w:rPr>
          <w:sz w:val="20"/>
          <w:szCs w:val="20"/>
          <w:color w:val="auto"/>
        </w:rPr>
      </w:pPr>
      <w:r>
        <w:rPr>
          <w:rFonts w:ascii="Times New Roman" w:cs="Times New Roman" w:eastAsia="Times New Roman" w:hAnsi="Times New Roman"/>
          <w:sz w:val="18"/>
          <w:szCs w:val="18"/>
          <w:color w:val="auto"/>
        </w:rPr>
        <w:t>(e).</w:t>
      </w:r>
      <w:r>
        <w:rPr>
          <w:sz w:val="20"/>
          <w:szCs w:val="20"/>
          <w:color w:val="auto"/>
        </w:rPr>
        <w:tab/>
      </w:r>
      <w:r>
        <w:rPr>
          <w:rFonts w:ascii="Times New Roman" w:cs="Times New Roman" w:eastAsia="Times New Roman" w:hAnsi="Times New Roman"/>
          <w:sz w:val="17"/>
          <w:szCs w:val="17"/>
          <w:color w:val="auto"/>
        </w:rPr>
        <w:t>CUSIP Number:</w:t>
      </w:r>
    </w:p>
    <w:p>
      <w:pPr>
        <w:spacing w:after="0" w:line="27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359616109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1090295</wp:posOffset>
            </wp:positionH>
            <wp:positionV relativeFrom="paragraph">
              <wp:posOffset>34290</wp:posOffset>
            </wp:positionV>
            <wp:extent cx="59836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8360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color w:val="auto"/>
        </w:rPr>
        <w:t>If This Statement is filed pursuant to ss.240.13d-1(b) or 240.13d-2(b), or (c), check whether the person filing is a</w:t>
      </w:r>
    </w:p>
    <w:p>
      <w:pPr>
        <w:spacing w:after="0" w:line="200" w:lineRule="exact"/>
        <w:rPr>
          <w:sz w:val="20"/>
          <w:szCs w:val="20"/>
          <w:color w:val="auto"/>
        </w:rPr>
      </w:pPr>
    </w:p>
    <w:p>
      <w:pPr>
        <w:spacing w:after="0" w:line="295" w:lineRule="exact"/>
        <w:rPr>
          <w:sz w:val="20"/>
          <w:szCs w:val="20"/>
          <w:color w:val="auto"/>
        </w:rPr>
      </w:pPr>
    </w:p>
    <w:p>
      <w:pPr>
        <w:ind w:left="1820" w:hanging="910"/>
        <w:spacing w:after="0"/>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Broker or dealer registered under Section 15 of the Exchange Act (15 U.S.C. 78c).</w:t>
      </w:r>
    </w:p>
    <w:p>
      <w:pPr>
        <w:spacing w:after="0" w:line="279" w:lineRule="exact"/>
        <w:rPr>
          <w:rFonts w:ascii="Times New Roman" w:cs="Times New Roman" w:eastAsia="Times New Roman" w:hAnsi="Times New Roman"/>
          <w:sz w:val="18"/>
          <w:szCs w:val="18"/>
          <w:color w:val="auto"/>
        </w:rPr>
      </w:pPr>
    </w:p>
    <w:p>
      <w:pPr>
        <w:ind w:left="1820" w:hanging="910"/>
        <w:spacing w:after="0"/>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Bank as defined in Section 3(a)(6) of the Exchange Act (15 U.S.C. 78c).</w:t>
      </w:r>
    </w:p>
    <w:p>
      <w:pPr>
        <w:spacing w:after="0" w:line="279" w:lineRule="exact"/>
        <w:rPr>
          <w:rFonts w:ascii="Times New Roman" w:cs="Times New Roman" w:eastAsia="Times New Roman" w:hAnsi="Times New Roman"/>
          <w:sz w:val="18"/>
          <w:szCs w:val="18"/>
          <w:color w:val="auto"/>
        </w:rPr>
      </w:pPr>
    </w:p>
    <w:p>
      <w:pPr>
        <w:ind w:left="1820" w:hanging="910"/>
        <w:spacing w:after="0"/>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Insurance company as defined in Section 3(a)(19) of the Exchange Act (15 U.S.C. 78c).</w:t>
      </w:r>
    </w:p>
    <w:p>
      <w:pPr>
        <w:spacing w:after="0" w:line="279" w:lineRule="exact"/>
        <w:rPr>
          <w:rFonts w:ascii="Times New Roman" w:cs="Times New Roman" w:eastAsia="Times New Roman" w:hAnsi="Times New Roman"/>
          <w:sz w:val="18"/>
          <w:szCs w:val="18"/>
          <w:color w:val="auto"/>
        </w:rPr>
      </w:pPr>
    </w:p>
    <w:p>
      <w:pPr>
        <w:ind w:left="1820" w:hanging="910"/>
        <w:spacing w:after="0"/>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Investment company registered under Section 8 of the Investment Company Act of 1940 (15 U.S.C. 80a-8).</w:t>
      </w:r>
    </w:p>
    <w:p>
      <w:pPr>
        <w:spacing w:after="0" w:line="279" w:lineRule="exact"/>
        <w:rPr>
          <w:rFonts w:ascii="Times New Roman" w:cs="Times New Roman" w:eastAsia="Times New Roman" w:hAnsi="Times New Roman"/>
          <w:sz w:val="18"/>
          <w:szCs w:val="18"/>
          <w:color w:val="auto"/>
        </w:rPr>
      </w:pPr>
    </w:p>
    <w:p>
      <w:pPr>
        <w:ind w:left="1820" w:hanging="910"/>
        <w:spacing w:after="0"/>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An investment adviser in accordance with § 240.13d-1(b)(1)(ii)(E);</w:t>
      </w:r>
    </w:p>
    <w:p>
      <w:pPr>
        <w:spacing w:after="0" w:line="279" w:lineRule="exact"/>
        <w:rPr>
          <w:rFonts w:ascii="Times New Roman" w:cs="Times New Roman" w:eastAsia="Times New Roman" w:hAnsi="Times New Roman"/>
          <w:sz w:val="18"/>
          <w:szCs w:val="18"/>
          <w:color w:val="auto"/>
        </w:rPr>
      </w:pPr>
    </w:p>
    <w:p>
      <w:pPr>
        <w:ind w:left="1820" w:hanging="910"/>
        <w:spacing w:after="0"/>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An employee benefit plan or endowment fund in accordance with § 240.13d-1(b)(1)(ii)(F);</w:t>
      </w:r>
    </w:p>
    <w:p>
      <w:pPr>
        <w:spacing w:after="0" w:line="279" w:lineRule="exact"/>
        <w:rPr>
          <w:rFonts w:ascii="Times New Roman" w:cs="Times New Roman" w:eastAsia="Times New Roman" w:hAnsi="Times New Roman"/>
          <w:sz w:val="18"/>
          <w:szCs w:val="18"/>
          <w:color w:val="auto"/>
        </w:rPr>
      </w:pPr>
    </w:p>
    <w:p>
      <w:pPr>
        <w:ind w:left="1820" w:hanging="910"/>
        <w:spacing w:after="0"/>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A parent holding company or control person in accordance with Rule 13d-1(b)(1)(ii)(G);</w:t>
      </w:r>
    </w:p>
    <w:p>
      <w:pPr>
        <w:spacing w:after="0" w:line="279" w:lineRule="exact"/>
        <w:rPr>
          <w:rFonts w:ascii="Times New Roman" w:cs="Times New Roman" w:eastAsia="Times New Roman" w:hAnsi="Times New Roman"/>
          <w:sz w:val="18"/>
          <w:szCs w:val="18"/>
          <w:color w:val="auto"/>
        </w:rPr>
      </w:pPr>
    </w:p>
    <w:p>
      <w:pPr>
        <w:ind w:left="1820" w:hanging="910"/>
        <w:spacing w:after="0"/>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A savings association as defined in Section 3(b) of the Federal Deposit Insurance Act (12 U.S.C.1813);</w:t>
      </w:r>
    </w:p>
    <w:p>
      <w:pPr>
        <w:spacing w:after="0" w:line="279" w:lineRule="exact"/>
        <w:rPr>
          <w:rFonts w:ascii="Times New Roman" w:cs="Times New Roman" w:eastAsia="Times New Roman" w:hAnsi="Times New Roman"/>
          <w:sz w:val="18"/>
          <w:szCs w:val="18"/>
          <w:color w:val="auto"/>
        </w:rPr>
      </w:pPr>
    </w:p>
    <w:p>
      <w:pPr>
        <w:ind w:left="2260" w:right="360" w:hanging="1350"/>
        <w:spacing w:after="0" w:line="282" w:lineRule="auto"/>
        <w:tabs>
          <w:tab w:leader="none" w:pos="181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A church plan that is excluded from the definition of an investment company under Section 3(c)(14) of the Investment Company Act of 1940 (15 U.S.C. 80a-3);</w:t>
      </w:r>
    </w:p>
    <w:p>
      <w:pPr>
        <w:sectPr>
          <w:pgSz w:w="11900" w:h="16887" w:orient="portrait"/>
          <w:cols w:equalWidth="0" w:num="1">
            <w:col w:w="11140"/>
          </w:cols>
          <w:pgMar w:left="420" w:top="958" w:right="339" w:bottom="0" w:gutter="0" w:footer="0" w:header="0"/>
          <w:type w:val="continuous"/>
        </w:sectPr>
      </w:pPr>
    </w:p>
    <w:bookmarkStart w:id="5" w:name="page6"/>
    <w:bookmarkEnd w:id="5"/>
    <w:p>
      <w:pPr>
        <w:ind w:left="910" w:hanging="910"/>
        <w:spacing w:after="0"/>
        <w:tabs>
          <w:tab w:leader="none" w:pos="91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Group, in accordance with s.240.13d-1(b)(1)(ii)(J).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wp:posOffset>
            </wp:positionH>
            <wp:positionV relativeFrom="paragraph">
              <wp:posOffset>325755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30"/>
          </w:cols>
          <w:pgMar w:left="1330" w:top="364" w:right="1440" w:bottom="1440" w:gutter="0" w:footer="0" w:header="0"/>
        </w:sectPr>
      </w:pPr>
    </w:p>
    <w:bookmarkStart w:id="6" w:name="page7"/>
    <w:bookmarkEnd w:id="6"/>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color w:val="auto"/>
        </w:rPr>
        <w:t>Ownership.</w:t>
      </w:r>
    </w:p>
    <w:p>
      <w:pPr>
        <w:spacing w:after="0" w:line="2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1440" w:hanging="665"/>
        <w:spacing w:after="0"/>
        <w:tabs>
          <w:tab w:leader="none" w:pos="1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79" w:lineRule="exact"/>
        <w:rPr>
          <w:rFonts w:ascii="Times New Roman" w:cs="Times New Roman" w:eastAsia="Times New Roman" w:hAnsi="Times New Roman"/>
          <w:sz w:val="18"/>
          <w:szCs w:val="18"/>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Suvretta Capital Management, LLC – 1,182,791</w:t>
      </w:r>
    </w:p>
    <w:p>
      <w:pPr>
        <w:spacing w:after="0" w:line="49" w:lineRule="exact"/>
        <w:rPr>
          <w:rFonts w:ascii="Times New Roman" w:cs="Times New Roman" w:eastAsia="Times New Roman" w:hAnsi="Times New Roman"/>
          <w:sz w:val="18"/>
          <w:szCs w:val="18"/>
          <w:color w:val="auto"/>
        </w:rPr>
      </w:pPr>
    </w:p>
    <w:p>
      <w:pPr>
        <w:ind w:left="1440" w:right="68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Averill Master Fund, Ltd. – 1,182,791 Aaron Cowen – 1,182,791</w:t>
      </w:r>
    </w:p>
    <w:p>
      <w:pPr>
        <w:spacing w:after="0" w:line="189" w:lineRule="exact"/>
        <w:rPr>
          <w:rFonts w:ascii="Times New Roman" w:cs="Times New Roman" w:eastAsia="Times New Roman" w:hAnsi="Times New Roman"/>
          <w:sz w:val="18"/>
          <w:szCs w:val="18"/>
          <w:color w:val="auto"/>
        </w:rPr>
      </w:pPr>
    </w:p>
    <w:p>
      <w:pPr>
        <w:ind w:left="1440" w:hanging="665"/>
        <w:spacing w:after="0"/>
        <w:tabs>
          <w:tab w:leader="none" w:pos="1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79" w:lineRule="exact"/>
        <w:rPr>
          <w:rFonts w:ascii="Times New Roman" w:cs="Times New Roman" w:eastAsia="Times New Roman" w:hAnsi="Times New Roman"/>
          <w:sz w:val="18"/>
          <w:szCs w:val="18"/>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Suvretta Capital Management, LLC – 2.2%</w:t>
      </w:r>
    </w:p>
    <w:p>
      <w:pPr>
        <w:spacing w:after="0" w:line="49" w:lineRule="exact"/>
        <w:rPr>
          <w:rFonts w:ascii="Times New Roman" w:cs="Times New Roman" w:eastAsia="Times New Roman" w:hAnsi="Times New Roman"/>
          <w:sz w:val="18"/>
          <w:szCs w:val="18"/>
          <w:color w:val="auto"/>
        </w:rPr>
      </w:pPr>
    </w:p>
    <w:p>
      <w:pPr>
        <w:ind w:left="1440" w:right="72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Averill Master Fund, Ltd. – 2.2% Aaron Cowen – 2.2%</w:t>
      </w:r>
    </w:p>
    <w:p>
      <w:pPr>
        <w:spacing w:after="0" w:line="364" w:lineRule="exact"/>
        <w:rPr>
          <w:rFonts w:ascii="Times New Roman" w:cs="Times New Roman" w:eastAsia="Times New Roman" w:hAnsi="Times New Roman"/>
          <w:sz w:val="18"/>
          <w:szCs w:val="18"/>
          <w:color w:val="auto"/>
        </w:rPr>
      </w:pPr>
    </w:p>
    <w:p>
      <w:pPr>
        <w:ind w:left="1440" w:hanging="665"/>
        <w:spacing w:after="0"/>
        <w:tabs>
          <w:tab w:leader="none" w:pos="1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79" w:lineRule="exact"/>
        <w:rPr>
          <w:rFonts w:ascii="Times New Roman" w:cs="Times New Roman" w:eastAsia="Times New Roman" w:hAnsi="Times New Roman"/>
          <w:sz w:val="18"/>
          <w:szCs w:val="18"/>
          <w:color w:val="auto"/>
        </w:rPr>
      </w:pPr>
    </w:p>
    <w:p>
      <w:pPr>
        <w:ind w:left="2160" w:hanging="724"/>
        <w:spacing w:after="0"/>
        <w:tabs>
          <w:tab w:leader="none" w:pos="21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79" w:lineRule="exact"/>
        <w:rPr>
          <w:rFonts w:ascii="Times New Roman" w:cs="Times New Roman" w:eastAsia="Times New Roman" w:hAnsi="Times New Roman"/>
          <w:sz w:val="18"/>
          <w:szCs w:val="18"/>
          <w:color w:val="auto"/>
        </w:rPr>
      </w:pPr>
    </w:p>
    <w:p>
      <w:pPr>
        <w:ind w:left="2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Suvretta Capital Management, LLC – 0</w:t>
      </w:r>
    </w:p>
    <w:p>
      <w:pPr>
        <w:spacing w:after="0" w:line="49" w:lineRule="exact"/>
        <w:rPr>
          <w:rFonts w:ascii="Times New Roman" w:cs="Times New Roman" w:eastAsia="Times New Roman" w:hAnsi="Times New Roman"/>
          <w:sz w:val="18"/>
          <w:szCs w:val="18"/>
          <w:color w:val="auto"/>
        </w:rPr>
      </w:pPr>
    </w:p>
    <w:p>
      <w:pPr>
        <w:ind w:left="2160" w:right="67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Averill Master Fund, Ltd. – 0 Aaron Cowen – 0</w:t>
      </w:r>
    </w:p>
    <w:p>
      <w:pPr>
        <w:spacing w:after="0" w:line="189" w:lineRule="exact"/>
        <w:rPr>
          <w:rFonts w:ascii="Times New Roman" w:cs="Times New Roman" w:eastAsia="Times New Roman" w:hAnsi="Times New Roman"/>
          <w:sz w:val="18"/>
          <w:szCs w:val="18"/>
          <w:color w:val="auto"/>
        </w:rPr>
      </w:pPr>
    </w:p>
    <w:p>
      <w:pPr>
        <w:ind w:left="2160" w:hanging="724"/>
        <w:spacing w:after="0"/>
        <w:tabs>
          <w:tab w:leader="none" w:pos="21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79" w:lineRule="exact"/>
        <w:rPr>
          <w:rFonts w:ascii="Times New Roman" w:cs="Times New Roman" w:eastAsia="Times New Roman" w:hAnsi="Times New Roman"/>
          <w:sz w:val="18"/>
          <w:szCs w:val="18"/>
          <w:color w:val="auto"/>
        </w:rPr>
      </w:pPr>
    </w:p>
    <w:p>
      <w:pPr>
        <w:ind w:left="2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Suvretta Capital Management, LLC – 1,182,791</w:t>
      </w:r>
    </w:p>
    <w:p>
      <w:pPr>
        <w:spacing w:after="0" w:line="49" w:lineRule="exact"/>
        <w:rPr>
          <w:rFonts w:ascii="Times New Roman" w:cs="Times New Roman" w:eastAsia="Times New Roman" w:hAnsi="Times New Roman"/>
          <w:sz w:val="18"/>
          <w:szCs w:val="18"/>
          <w:color w:val="auto"/>
        </w:rPr>
      </w:pPr>
    </w:p>
    <w:p>
      <w:pPr>
        <w:ind w:left="2140" w:right="61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Averill Master Fund, Ltd. – 1,182,791 Aaron Cowen – 1,182,791</w:t>
      </w:r>
    </w:p>
    <w:p>
      <w:pPr>
        <w:spacing w:after="0" w:line="189" w:lineRule="exact"/>
        <w:rPr>
          <w:rFonts w:ascii="Times New Roman" w:cs="Times New Roman" w:eastAsia="Times New Roman" w:hAnsi="Times New Roman"/>
          <w:sz w:val="18"/>
          <w:szCs w:val="18"/>
          <w:color w:val="auto"/>
        </w:rPr>
      </w:pPr>
    </w:p>
    <w:p>
      <w:pPr>
        <w:ind w:left="2160" w:hanging="724"/>
        <w:spacing w:after="0"/>
        <w:tabs>
          <w:tab w:leader="none" w:pos="21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79" w:lineRule="exact"/>
        <w:rPr>
          <w:rFonts w:ascii="Times New Roman" w:cs="Times New Roman" w:eastAsia="Times New Roman" w:hAnsi="Times New Roman"/>
          <w:sz w:val="18"/>
          <w:szCs w:val="18"/>
          <w:color w:val="auto"/>
        </w:rPr>
      </w:pPr>
    </w:p>
    <w:p>
      <w:pPr>
        <w:ind w:left="2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Suvretta Capital Management, LLC – 0</w:t>
      </w:r>
    </w:p>
    <w:p>
      <w:pPr>
        <w:spacing w:after="0" w:line="49" w:lineRule="exact"/>
        <w:rPr>
          <w:rFonts w:ascii="Times New Roman" w:cs="Times New Roman" w:eastAsia="Times New Roman" w:hAnsi="Times New Roman"/>
          <w:sz w:val="18"/>
          <w:szCs w:val="18"/>
          <w:color w:val="auto"/>
        </w:rPr>
      </w:pPr>
    </w:p>
    <w:p>
      <w:pPr>
        <w:ind w:left="2160" w:right="67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Averill Master Fund, Ltd. – 0 Aaron Cowen – 0</w:t>
      </w:r>
    </w:p>
    <w:p>
      <w:pPr>
        <w:spacing w:after="0" w:line="189" w:lineRule="exact"/>
        <w:rPr>
          <w:rFonts w:ascii="Times New Roman" w:cs="Times New Roman" w:eastAsia="Times New Roman" w:hAnsi="Times New Roman"/>
          <w:sz w:val="18"/>
          <w:szCs w:val="18"/>
          <w:color w:val="auto"/>
        </w:rPr>
      </w:pPr>
    </w:p>
    <w:p>
      <w:pPr>
        <w:ind w:left="2160" w:hanging="724"/>
        <w:spacing w:after="0"/>
        <w:tabs>
          <w:tab w:leader="none" w:pos="21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79" w:lineRule="exact"/>
        <w:rPr>
          <w:rFonts w:ascii="Times New Roman" w:cs="Times New Roman" w:eastAsia="Times New Roman" w:hAnsi="Times New Roman"/>
          <w:sz w:val="18"/>
          <w:szCs w:val="18"/>
          <w:color w:val="auto"/>
        </w:rPr>
      </w:pPr>
    </w:p>
    <w:p>
      <w:pPr>
        <w:ind w:left="2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Suvretta Capital Management, LLC – 1,182,791</w:t>
      </w:r>
    </w:p>
    <w:p>
      <w:pPr>
        <w:spacing w:after="0" w:line="49" w:lineRule="exact"/>
        <w:rPr>
          <w:rFonts w:ascii="Times New Roman" w:cs="Times New Roman" w:eastAsia="Times New Roman" w:hAnsi="Times New Roman"/>
          <w:sz w:val="18"/>
          <w:szCs w:val="18"/>
          <w:color w:val="auto"/>
        </w:rPr>
      </w:pPr>
    </w:p>
    <w:p>
      <w:pPr>
        <w:ind w:left="2160" w:right="61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Averill Master Fund, Ltd. – 1,182,791 Aaron Cowen – 1,182,791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1313180</wp:posOffset>
            </wp:positionH>
            <wp:positionV relativeFrom="paragraph">
              <wp:posOffset>-30480</wp:posOffset>
            </wp:positionV>
            <wp:extent cx="57607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-184785</wp:posOffset>
            </wp:positionV>
            <wp:extent cx="57607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-339090</wp:posOffset>
            </wp:positionV>
            <wp:extent cx="57607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-965200</wp:posOffset>
            </wp:positionV>
            <wp:extent cx="57607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-1119505</wp:posOffset>
            </wp:positionV>
            <wp:extent cx="57607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-1273810</wp:posOffset>
            </wp:positionV>
            <wp:extent cx="57607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-1899285</wp:posOffset>
            </wp:positionV>
            <wp:extent cx="57607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-2053590</wp:posOffset>
            </wp:positionV>
            <wp:extent cx="57607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-2207895</wp:posOffset>
            </wp:positionV>
            <wp:extent cx="57607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-2834005</wp:posOffset>
            </wp:positionV>
            <wp:extent cx="57607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-2988310</wp:posOffset>
            </wp:positionV>
            <wp:extent cx="57607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-3142615</wp:posOffset>
            </wp:positionV>
            <wp:extent cx="57607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-4188460</wp:posOffset>
            </wp:positionV>
            <wp:extent cx="62236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-4342765</wp:posOffset>
            </wp:positionV>
            <wp:extent cx="62236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-4497070</wp:posOffset>
            </wp:positionV>
            <wp:extent cx="62236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-5122545</wp:posOffset>
            </wp:positionV>
            <wp:extent cx="62236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-5276850</wp:posOffset>
            </wp:positionV>
            <wp:extent cx="62236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-5431155</wp:posOffset>
            </wp:positionV>
            <wp:extent cx="62236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23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color w:val="auto"/>
        </w:rPr>
        <w:t>Ownership of Five Percent or Less of a Class.</w:t>
      </w:r>
    </w:p>
    <w:p>
      <w:pPr>
        <w:spacing w:after="0" w:line="200" w:lineRule="exact"/>
        <w:rPr>
          <w:sz w:val="20"/>
          <w:szCs w:val="20"/>
          <w:color w:val="auto"/>
        </w:rPr>
      </w:pPr>
    </w:p>
    <w:p>
      <w:pPr>
        <w:spacing w:after="0" w:line="268" w:lineRule="exact"/>
        <w:rPr>
          <w:sz w:val="20"/>
          <w:szCs w:val="20"/>
          <w:color w:val="auto"/>
        </w:rPr>
      </w:pPr>
    </w:p>
    <w:p>
      <w:pPr>
        <w:ind w:firstLine="725"/>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268605</wp:posOffset>
            </wp:positionV>
            <wp:extent cx="64890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739775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1147" w:right="439" w:bottom="1440" w:gutter="0" w:footer="0" w:header="0"/>
        </w:sectPr>
      </w:pPr>
    </w:p>
    <w:bookmarkStart w:id="7" w:name="page8"/>
    <w:bookmarkEnd w:id="7"/>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Ownership of More Than Five Percent on Behalf of Another Person.</w:t>
      </w:r>
    </w:p>
    <w:p>
      <w:pPr>
        <w:spacing w:after="0" w:line="252" w:lineRule="exact"/>
        <w:rPr>
          <w:sz w:val="20"/>
          <w:szCs w:val="20"/>
          <w:color w:val="auto"/>
        </w:rPr>
      </w:pPr>
    </w:p>
    <w:p>
      <w:pPr>
        <w:ind w:right="80" w:firstLine="725"/>
        <w:spacing w:after="0" w:line="261" w:lineRule="auto"/>
        <w:rPr>
          <w:sz w:val="20"/>
          <w:szCs w:val="20"/>
          <w:color w:val="auto"/>
        </w:rPr>
      </w:pPr>
      <w:r>
        <w:rPr>
          <w:rFonts w:ascii="Times New Roman" w:cs="Times New Roman" w:eastAsia="Times New Roman" w:hAnsi="Times New Roman"/>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34290</wp:posOffset>
            </wp:positionV>
            <wp:extent cx="64890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7"/>
          <w:szCs w:val="17"/>
          <w:color w:val="auto"/>
        </w:rPr>
        <w:t>Identification and Classification of the Subsidiary Which Acquired the Security Being Reported on by the Parent Holding Company.</w:t>
      </w:r>
    </w:p>
    <w:p>
      <w:pPr>
        <w:spacing w:after="0" w:line="252" w:lineRule="exact"/>
        <w:rPr>
          <w:sz w:val="20"/>
          <w:szCs w:val="20"/>
          <w:color w:val="auto"/>
        </w:rPr>
      </w:pPr>
    </w:p>
    <w:p>
      <w:pPr>
        <w:ind w:firstLine="725"/>
        <w:spacing w:after="0" w:line="266" w:lineRule="auto"/>
        <w:rPr>
          <w:sz w:val="20"/>
          <w:szCs w:val="20"/>
          <w:color w:val="auto"/>
        </w:rPr>
      </w:pPr>
      <w:r>
        <w:rPr>
          <w:rFonts w:ascii="Times New Roman" w:cs="Times New Roman" w:eastAsia="Times New Roman" w:hAnsi="Times New Roman"/>
          <w:sz w:val="18"/>
          <w:szCs w:val="18"/>
          <w:color w:val="auto"/>
        </w:rPr>
        <w:t>If a parent holding company has filed this schedule, pursuant to Rule 13d-1(b)(1)(ii)(G),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See Exhibit B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34290</wp:posOffset>
            </wp:positionV>
            <wp:extent cx="64890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8"/>
          <w:szCs w:val="18"/>
          <w:color w:val="auto"/>
        </w:rPr>
        <w:t>Identification and Classification of Members of the Group.</w:t>
      </w:r>
    </w:p>
    <w:p>
      <w:pPr>
        <w:spacing w:after="0" w:line="252" w:lineRule="exact"/>
        <w:rPr>
          <w:sz w:val="20"/>
          <w:szCs w:val="20"/>
          <w:color w:val="auto"/>
        </w:rPr>
      </w:pPr>
    </w:p>
    <w:p>
      <w:pPr>
        <w:ind w:right="120" w:firstLine="725"/>
        <w:spacing w:after="0" w:line="266" w:lineRule="auto"/>
        <w:rPr>
          <w:sz w:val="20"/>
          <w:szCs w:val="20"/>
          <w:color w:val="auto"/>
        </w:rPr>
      </w:pPr>
      <w:r>
        <w:rPr>
          <w:rFonts w:ascii="Times New Roman" w:cs="Times New Roman" w:eastAsia="Times New Roman" w:hAnsi="Times New Roman"/>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34290</wp:posOffset>
            </wp:positionV>
            <wp:extent cx="64890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8"/>
          <w:szCs w:val="18"/>
          <w:color w:val="auto"/>
        </w:rPr>
        <w:t>Notice of Dissolution of Group.</w:t>
      </w:r>
    </w:p>
    <w:p>
      <w:pPr>
        <w:spacing w:after="0" w:line="252" w:lineRule="exact"/>
        <w:rPr>
          <w:sz w:val="20"/>
          <w:szCs w:val="20"/>
          <w:color w:val="auto"/>
        </w:rPr>
      </w:pPr>
    </w:p>
    <w:p>
      <w:pPr>
        <w:ind w:right="300" w:firstLine="725"/>
        <w:spacing w:after="0" w:line="282" w:lineRule="auto"/>
        <w:rPr>
          <w:sz w:val="20"/>
          <w:szCs w:val="20"/>
          <w:color w:val="auto"/>
        </w:rPr>
      </w:pPr>
      <w:r>
        <w:rPr>
          <w:rFonts w:ascii="Times New Roman" w:cs="Times New Roman" w:eastAsia="Times New Roman" w:hAnsi="Times New Roman"/>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34290</wp:posOffset>
            </wp:positionV>
            <wp:extent cx="64890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8"/>
          <w:szCs w:val="18"/>
          <w:color w:val="auto"/>
        </w:rPr>
        <w:t>Certification.</w:t>
      </w:r>
    </w:p>
    <w:p>
      <w:pPr>
        <w:spacing w:after="0" w:line="252" w:lineRule="exact"/>
        <w:rPr>
          <w:sz w:val="20"/>
          <w:szCs w:val="20"/>
          <w:color w:val="auto"/>
        </w:rPr>
      </w:pPr>
    </w:p>
    <w:p>
      <w:pPr>
        <w:ind w:left="1480" w:hanging="462"/>
        <w:spacing w:after="0"/>
        <w:tabs>
          <w:tab w:leader="none" w:pos="1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certification shall be included if the statement is filed pursuant to §240.13d-1(c):</w:t>
      </w:r>
    </w:p>
    <w:p>
      <w:pPr>
        <w:spacing w:after="0" w:line="279" w:lineRule="exact"/>
        <w:rPr>
          <w:rFonts w:ascii="Times New Roman" w:cs="Times New Roman" w:eastAsia="Times New Roman" w:hAnsi="Times New Roman"/>
          <w:sz w:val="18"/>
          <w:szCs w:val="18"/>
          <w:color w:val="auto"/>
        </w:rPr>
      </w:pPr>
    </w:p>
    <w:p>
      <w:pPr>
        <w:ind w:left="148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297180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420" w:top="958" w:right="4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23"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8"/>
          <w:szCs w:val="18"/>
          <w:color w:val="auto"/>
        </w:rPr>
        <w:t>November 14, 2024</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24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Suvretta Capital Management, LLC*</w:t>
      </w:r>
    </w:p>
    <w:p>
      <w:pPr>
        <w:spacing w:after="0" w:line="279"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By: /s/ Aaron Cowen</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46"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05"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Averill Master Fund, Ltd.*</w:t>
      </w:r>
    </w:p>
    <w:p>
      <w:pPr>
        <w:spacing w:after="0" w:line="252"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By: /s/ Aaron Cowen</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46"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Director</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19"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Aaron Cowen*</w:t>
      </w:r>
    </w:p>
    <w:p>
      <w:pPr>
        <w:spacing w:after="0" w:line="225"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 Aaron Cowen</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Reporting Person disclaims beneficial ownership over the securities reported herein except to the extent of its pecuniary interest therein.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s.240.13d-7 for other parties for whom copies are to be sent.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21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undersigned agree that this Amendment 4 to Schedule 13G dated November 14, 2024 relating to the Common Stock, par value $0.001 per share of Fulcrum Therapeutics, Inc. shall be filed on behalf of the undersigned.</w:t>
      </w:r>
    </w:p>
    <w:p>
      <w:pPr>
        <w:spacing w:after="0" w:line="162"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8"/>
          <w:szCs w:val="18"/>
          <w:color w:val="auto"/>
        </w:rPr>
        <w:t>November 14, 2024</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46"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Suvretta Capital Management, LLC</w:t>
      </w:r>
    </w:p>
    <w:p>
      <w:pPr>
        <w:spacing w:after="0" w:line="279"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By: /s/ Aaron Cowen</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246"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05"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Averill Master Fund, Ltd.</w:t>
      </w:r>
    </w:p>
    <w:p>
      <w:pPr>
        <w:spacing w:after="0" w:line="252"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By: /s/ Aaron Cowen</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46"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Director</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19"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Aaron Cowen</w:t>
      </w:r>
    </w:p>
    <w:p>
      <w:pPr>
        <w:spacing w:after="0" w:line="225"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 Aaron Cowen</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487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color w:val="auto"/>
        </w:rPr>
        <w:t>Exhibit 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Aaron Cowen has beneficial ownership by virtue of his role as a control person of Suvretta Capital Management, LLC.</w:t>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upperLetter"/>
      <w:start w:val="24"/>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3"/>
    </w:lvl>
  </w:abstractNum>
  <w:abstractNum w:abstractNumId="3">
    <w:nsid w:val="4DB127F8"/>
    <w:multiLevelType w:val="hybridMultilevel"/>
    <w:lvl w:ilvl="0">
      <w:lvlJc w:val="left"/>
      <w:lvlText w:val="%1."/>
      <w:numFmt w:val="decimal"/>
      <w:start w:val="5"/>
    </w:lvl>
  </w:abstractNum>
  <w:abstractNum w:abstractNumId="4">
    <w:nsid w:val="216231B"/>
    <w:multiLevelType w:val="hybridMultilevel"/>
    <w:lvl w:ilvl="0">
      <w:lvlJc w:val="left"/>
      <w:lvlText w:val="%1."/>
      <w:numFmt w:val="decimal"/>
      <w:start w:val="1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3"/>
    </w:lvl>
  </w:abstractNum>
  <w:abstractNum w:abstractNumId="7">
    <w:nsid w:val="66EF438D"/>
    <w:multiLevelType w:val="hybridMultilevel"/>
    <w:lvl w:ilvl="0">
      <w:lvlJc w:val="left"/>
      <w:lvlText w:val="%1."/>
      <w:numFmt w:val="decimal"/>
      <w:start w:val="5"/>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3"/>
    </w:lvl>
  </w:abstractNum>
  <w:abstractNum w:abstractNumId="10">
    <w:nsid w:val="109CF92E"/>
    <w:multiLevelType w:val="hybridMultilevel"/>
    <w:lvl w:ilvl="0">
      <w:lvlJc w:val="left"/>
      <w:lvlText w:val="%1."/>
      <w:numFmt w:val="decimal"/>
      <w:start w:val="5"/>
    </w:lvl>
  </w:abstractNum>
  <w:abstractNum w:abstractNumId="11">
    <w:nsid w:val="DED7263"/>
    <w:multiLevelType w:val="hybridMultilevel"/>
    <w:lvl w:ilvl="0">
      <w:lvlJc w:val="left"/>
      <w:lvlText w:val="%1."/>
      <w:numFmt w:val="decimal"/>
      <w:start w:val="1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10"/>
    </w:lvl>
  </w:abstractNum>
  <w:abstractNum w:abstractNumId="14">
    <w:nsid w:val="41A7C4C9"/>
    <w:multiLevelType w:val="hybridMultilevel"/>
    <w:lvl w:ilvl="0">
      <w:lvlJc w:val="left"/>
      <w:lvlText w:val="(%1)"/>
      <w:numFmt w:val="lowerLetter"/>
      <w:start w:val="1"/>
    </w:lvl>
    <w:lvl w:ilvl="1">
      <w:lvlJc w:val="left"/>
      <w:lvlText w:val="(%2)"/>
      <w:numFmt w:val="lowerRoman"/>
      <w:start w:val="1"/>
    </w:lvl>
  </w:abstractNum>
  <w:abstractNum w:abstractNumId="15">
    <w:nsid w:val="6B68079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2024-11-14T16:01:02Z</dcterms:created>
  <dcterms:modified xsi:type="dcterms:W3CDTF">2024-11-14T16:01:02Z</dcterms:modified>
</cp:coreProperties>
</file>