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King Rachel K.</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Fulcrum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FULC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Borders>
              <w:bottom w:val="single" w:sz="8" w:color="0000EE"/>
            </w:tcBorders>
          </w:tcPr>
          <w:p>
            <w:pPr>
              <w:spacing w:after="0"/>
              <w:rPr>
                <w:sz w:val="6"/>
                <w:szCs w:val="6"/>
                <w:color w:val="auto"/>
              </w:rPr>
            </w:pPr>
          </w:p>
        </w:tc>
        <w:tc>
          <w:tcPr>
            <w:tcW w:w="1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15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FULCRUM THERAPEUTICS, INC.</w:t>
            </w:r>
          </w:p>
        </w:tc>
        <w:tc>
          <w:tcPr>
            <w:tcW w:w="2380" w:type="dxa"/>
            <w:vAlign w:val="bottom"/>
            <w:gridSpan w:val="3"/>
            <w:vMerge w:val="continue"/>
          </w:tcPr>
          <w:p>
            <w:pPr>
              <w:spacing w:after="0"/>
              <w:rPr>
                <w:sz w:val="10"/>
                <w:szCs w:val="10"/>
                <w:color w:val="auto"/>
              </w:rPr>
            </w:pPr>
          </w:p>
        </w:tc>
        <w:tc>
          <w:tcPr>
            <w:tcW w:w="15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26 LANDSDOWNE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32,000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32,000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32,000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30, 2026 and is scheduled to vest with respect to all shares on the first anniversary of the grant date or, if earlier, immediately prior to the first annual meeting of stockholders occurring after the grant date, subject to continued service.</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Alan Musso, as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07/02/2026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Rachel King</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89712" TargetMode="External"/><Relationship Id="rId14"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2026-07-02T15:32:58Z</dcterms:created>
  <dcterms:modified xsi:type="dcterms:W3CDTF">2026-07-02T15:32:58Z</dcterms:modified>
</cp:coreProperties>
</file>