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660" w:right="1580" w:hanging="3652"/>
        <w:spacing w:after="0" w:line="407" w:lineRule="auto"/>
        <w:tabs>
          <w:tab w:leader="none" w:pos="51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7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-7620</wp:posOffset>
            </wp:positionV>
            <wp:extent cx="1237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16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20" w:type="dxa"/>
            <w:vAlign w:val="bottom"/>
          </w:tcPr>
          <w:p>
            <w:pPr>
              <w:spacing w:after="0"/>
              <w:rPr>
                <w:sz w:val="20"/>
                <w:szCs w:val="20"/>
                <w:color w:val="auto"/>
              </w:rPr>
            </w:pPr>
          </w:p>
        </w:tc>
      </w:tr>
      <w:tr>
        <w:trPr>
          <w:trHeight w:val="94"/>
        </w:trPr>
        <w:tc>
          <w:tcPr>
            <w:tcW w:w="28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308"/>
        </w:trPr>
        <w:tc>
          <w:tcPr>
            <w:tcW w:w="61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6160" w:type="dxa"/>
            <w:vAlign w:val="bottom"/>
            <w:gridSpan w:val="3"/>
          </w:tcPr>
          <w:p>
            <w:pPr>
              <w:jc w:val="center"/>
              <w:ind w:right="3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160" w:type="dxa"/>
            <w:vAlign w:val="bottom"/>
            <w:gridSpan w:val="3"/>
          </w:tcPr>
          <w:p>
            <w:pPr>
              <w:jc w:val="center"/>
              <w:ind w:right="3760"/>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16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8"/>
              </w:rPr>
              <w:t>26 Landsdowne Street</w:t>
            </w:r>
          </w:p>
        </w:tc>
        <w:tc>
          <w:tcPr>
            <w:tcW w:w="1220" w:type="dxa"/>
            <w:vAlign w:val="bottom"/>
          </w:tcPr>
          <w:p>
            <w:pPr>
              <w:spacing w:after="0"/>
              <w:rPr>
                <w:sz w:val="18"/>
                <w:szCs w:val="18"/>
                <w:color w:val="auto"/>
              </w:rPr>
            </w:pPr>
          </w:p>
        </w:tc>
      </w:tr>
      <w:tr>
        <w:trPr>
          <w:trHeight w:val="212"/>
        </w:trPr>
        <w:tc>
          <w:tcPr>
            <w:tcW w:w="61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8"/>
              </w:rPr>
              <w:t>Cambridge, Massachusetts</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16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90" w:lineRule="exact"/>
        <w:rPr>
          <w:sz w:val="24"/>
          <w:szCs w:val="24"/>
          <w:color w:val="auto"/>
        </w:rPr>
      </w:pPr>
    </w:p>
    <w:p>
      <w:pPr>
        <w:ind w:right="8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40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8" w:lineRule="exact"/>
        <w:rPr>
          <w:sz w:val="24"/>
          <w:szCs w:val="24"/>
          <w:color w:val="auto"/>
        </w:rPr>
      </w:pPr>
    </w:p>
    <w:p>
      <w:pPr>
        <w:jc w:val="both"/>
        <w:ind w:right="20"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left="520" w:right="15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28, 2021, the registrant had 40,548,783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86" w:lineRule="exact"/>
        <w:rPr>
          <w:sz w:val="20"/>
          <w:szCs w:val="20"/>
          <w:color w:val="auto"/>
        </w:rPr>
      </w:pPr>
    </w:p>
    <w:p>
      <w:pPr>
        <w:ind w:left="880" w:right="620" w:hanging="373"/>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ongoing clinical trials of losmapimod, including our ongoing open label extension of our Phase 2b clinical trial for the treatment of facioscapulohumeral muscular dystrophy, or FSHD, and our ongoing Phase 2 open label clinical trial for the treatment of FSHD;</w:t>
      </w:r>
    </w:p>
    <w:p>
      <w:pPr>
        <w:spacing w:after="0" w:line="15" w:lineRule="exact"/>
        <w:rPr>
          <w:rFonts w:ascii="Arial" w:cs="Arial" w:eastAsia="Arial" w:hAnsi="Arial"/>
          <w:sz w:val="16"/>
          <w:szCs w:val="16"/>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1 clinical trial of FTX-6058 in healthy adult volunteers and patients with sickle cell disease, or SCD, and our planned Phase 1b clinical trial of FTX-6058 in patients with SCD;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collaborations with Acceleron Pharma Inc. and MyoKardia, Inc., a wholly owned subsidiary of Bristol-Myers Squibb Company;</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ind w:right="40"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2"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5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84" w:lineRule="exact"/>
        <w:rPr>
          <w:sz w:val="20"/>
          <w:szCs w:val="20"/>
          <w:color w:val="auto"/>
        </w:rPr>
      </w:pPr>
    </w:p>
    <w:p>
      <w:pPr>
        <w:ind w:left="740" w:right="12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$70.8 million for the year ended December 31, 2020 and $57.4 million for the nine months ended September 30, 2021. We expect to incur losses over the next several years and may never achieve or maintain profitability. As of September 30, 2021, we had an accumulated deficit of $279.0 million.</w:t>
      </w:r>
    </w:p>
    <w:p>
      <w:pPr>
        <w:spacing w:after="0" w:line="183" w:lineRule="exact"/>
        <w:rPr>
          <w:rFonts w:ascii="Arial" w:cs="Arial" w:eastAsia="Arial" w:hAnsi="Arial"/>
          <w:sz w:val="18"/>
          <w:szCs w:val="18"/>
          <w:color w:val="auto"/>
        </w:rPr>
      </w:pPr>
    </w:p>
    <w:p>
      <w:pPr>
        <w:ind w:left="740" w:right="20" w:hanging="368"/>
        <w:spacing w:after="0" w:line="293"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including our open label extension of our Phase 2b clinical trial for the treatment of FSHD and our Phase 2 open label clinical trial for the treatment of FSHD, continue our Phase 1 clinical trial of FTX-6058 in healthy adult volunteers and patients with SCD, prepare for our planned Phase 1b clinical trial of FTX-6058 in patients with SCD, and continue research and development and initiate additional clinical trials of, and seek regulatory approval for, these and other product candidates.</w:t>
      </w:r>
    </w:p>
    <w:p>
      <w:pPr>
        <w:spacing w:after="0" w:line="164" w:lineRule="exact"/>
        <w:rPr>
          <w:rFonts w:ascii="Arial" w:cs="Arial" w:eastAsia="Arial" w:hAnsi="Arial"/>
          <w:sz w:val="16"/>
          <w:szCs w:val="16"/>
          <w:color w:val="auto"/>
        </w:rPr>
      </w:pPr>
    </w:p>
    <w:p>
      <w:pPr>
        <w:ind w:left="740" w:right="140" w:hanging="36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5" w:lineRule="exact"/>
        <w:rPr>
          <w:rFonts w:ascii="Arial" w:cs="Arial" w:eastAsia="Arial" w:hAnsi="Arial"/>
          <w:sz w:val="17"/>
          <w:szCs w:val="17"/>
          <w:color w:val="auto"/>
        </w:rPr>
      </w:pPr>
    </w:p>
    <w:p>
      <w:pPr>
        <w:ind w:left="740" w:right="5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rFonts w:ascii="Arial" w:cs="Arial" w:eastAsia="Arial" w:hAnsi="Arial"/>
          <w:sz w:val="18"/>
          <w:szCs w:val="18"/>
          <w:color w:val="auto"/>
        </w:rPr>
      </w:pPr>
    </w:p>
    <w:p>
      <w:pPr>
        <w:ind w:left="740" w:right="120" w:hanging="368"/>
        <w:spacing w:after="0" w:line="31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successful in our efforts to use our product engine to build a pipeline of product candidates. A key element of our strategy is to use our proprietary product engine to identify and validate cellular drug targets that can potentially modulate gene expression to address the root cause of genetically defined rare diseases, with an initial focus on identifying small molecules specific to the identified cellular target.</w:t>
      </w:r>
    </w:p>
    <w:p>
      <w:pPr>
        <w:spacing w:after="0" w:line="148" w:lineRule="exact"/>
        <w:rPr>
          <w:rFonts w:ascii="Arial" w:cs="Arial" w:eastAsia="Arial" w:hAnsi="Arial"/>
          <w:sz w:val="16"/>
          <w:szCs w:val="16"/>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3"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limited clinical experience and, in some cases, using new endpoints or methodologies, the U.S. Food and Drug Administration or other regulatory authorities may not consider the endpoints of our clinical trials to predict or provide clinically meaningful results.</w:t>
      </w:r>
    </w:p>
    <w:p>
      <w:pPr>
        <w:spacing w:after="0" w:line="183"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both"/>
        <w:ind w:left="368"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83" w:lineRule="exact"/>
        <w:rPr>
          <w:rFonts w:ascii="Arial" w:cs="Arial" w:eastAsia="Arial" w:hAnsi="Arial"/>
          <w:sz w:val="18"/>
          <w:szCs w:val="18"/>
          <w:color w:val="auto"/>
        </w:rPr>
      </w:pPr>
    </w:p>
    <w:p>
      <w:pPr>
        <w:ind w:left="368" w:right="48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rFonts w:ascii="Arial" w:cs="Arial" w:eastAsia="Arial" w:hAnsi="Arial"/>
          <w:sz w:val="18"/>
          <w:szCs w:val="18"/>
          <w:color w:val="auto"/>
        </w:rPr>
      </w:pPr>
    </w:p>
    <w:p>
      <w:pPr>
        <w:ind w:left="368" w:right="120" w:hanging="368"/>
        <w:spacing w:after="0" w:line="311"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entered into, and may in the future enter into, collaborations with third parties for the discovery, development or commercialization of product candidates, including our collaborations with Acceleron Pharma Inc. and MyoKardia, Inc. If our collaborations are not successful, we may not be able to capitalize on the market potential of these product candidates and our business could be adversely affected.</w:t>
      </w:r>
    </w:p>
    <w:p>
      <w:pPr>
        <w:spacing w:after="0" w:line="148" w:lineRule="exact"/>
        <w:rPr>
          <w:rFonts w:ascii="Arial" w:cs="Arial" w:eastAsia="Arial" w:hAnsi="Arial"/>
          <w:sz w:val="16"/>
          <w:szCs w:val="16"/>
          <w:color w:val="auto"/>
        </w:rPr>
      </w:pPr>
    </w:p>
    <w:p>
      <w:pPr>
        <w:ind w:left="368" w:right="20" w:hanging="368"/>
        <w:spacing w:after="0" w:line="311"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8" w:lineRule="exact"/>
        <w:rPr>
          <w:rFonts w:ascii="Arial" w:cs="Arial" w:eastAsia="Arial" w:hAnsi="Arial"/>
          <w:sz w:val="16"/>
          <w:szCs w:val="16"/>
          <w:color w:val="auto"/>
        </w:rPr>
      </w:pPr>
    </w:p>
    <w:p>
      <w:pPr>
        <w:ind w:left="368" w:right="54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8"/>
          </w:cols>
          <w:pgMar w:left="692" w:top="557"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5"/>
            <w:vMerge w:val="restart"/>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FINANCIAL INFORMATION</w:t>
              </w:r>
            </w:hyperlink>
          </w:p>
        </w:tc>
        <w:tc>
          <w:tcPr>
            <w:tcW w:w="7600" w:type="dxa"/>
            <w:vAlign w:val="bottom"/>
            <w:gridSpan w:val="10"/>
            <w:vMerge w:val="restart"/>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88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5"/>
            <w:vMerge w:val="continue"/>
          </w:tcPr>
          <w:p>
            <w:pPr>
              <w:spacing w:after="0"/>
              <w:rPr>
                <w:sz w:val="15"/>
                <w:szCs w:val="15"/>
                <w:color w:val="auto"/>
              </w:rPr>
            </w:pPr>
          </w:p>
        </w:tc>
        <w:tc>
          <w:tcPr>
            <w:tcW w:w="7600" w:type="dxa"/>
            <w:vAlign w:val="bottom"/>
            <w:gridSpan w:val="10"/>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as of September 30, 2021 and December 31, 2020</w:t>
              </w:r>
            </w:hyperlink>
          </w:p>
        </w:tc>
        <w:tc>
          <w:tcPr>
            <w:tcW w:w="412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Operations and Comprehensive Loss for the three and nine months ended September 30, 2021 and 2020</w:t>
              </w:r>
            </w:hyperlink>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Stockholders’ Equity for the three and nine months ended September 30, 2021 and 2020</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Consolidated Statements of Cash Flows for the nine months ended September 30, 2021 and 2020</w:t>
              </w:r>
            </w:hyperlink>
          </w:p>
        </w:tc>
        <w:tc>
          <w:tcPr>
            <w:tcW w:w="1380" w:type="dxa"/>
            <w:vAlign w:val="bottom"/>
            <w:tcBorders>
              <w:top w:val="single" w:sz="8" w:color="0000EE"/>
            </w:tcBorders>
          </w:tcPr>
          <w:p>
            <w:pPr>
              <w:spacing w:after="0"/>
              <w:rPr>
                <w:sz w:val="18"/>
                <w:szCs w:val="18"/>
                <w:color w:val="auto"/>
              </w:rPr>
            </w:pPr>
          </w:p>
        </w:tc>
        <w:tc>
          <w:tcPr>
            <w:tcW w:w="148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w:t>
              </w:r>
            </w:hyperlink>
          </w:p>
        </w:tc>
        <w:tc>
          <w:tcPr>
            <w:tcW w:w="670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40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Controls and Procedures</w:t>
              </w:r>
            </w:hyperlink>
          </w:p>
        </w:tc>
        <w:tc>
          <w:tcPr>
            <w:tcW w:w="808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8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960" w:type="dxa"/>
            <w:vAlign w:val="bottom"/>
            <w:tcBorders>
              <w:top w:val="single" w:sz="8" w:color="0000EE"/>
            </w:tcBorders>
            <w:gridSpan w:val="2"/>
          </w:tcPr>
          <w:p>
            <w:pPr>
              <w:spacing w:after="0"/>
              <w:rPr>
                <w:sz w:val="18"/>
                <w:szCs w:val="18"/>
                <w:color w:val="auto"/>
              </w:rPr>
            </w:pPr>
          </w:p>
        </w:tc>
        <w:tc>
          <w:tcPr>
            <w:tcW w:w="798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Unregistered Sales of Equity Securities and Use of Proceeds</w:t>
              </w:r>
            </w:hyperlink>
          </w:p>
        </w:tc>
        <w:tc>
          <w:tcPr>
            <w:tcW w:w="550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60" w:type="dxa"/>
            <w:vAlign w:val="bottom"/>
            <w:gridSpan w:val="1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rFonts w:ascii="Arial" w:cs="Arial" w:eastAsia="Arial" w:hAnsi="Arial"/>
                <w:sz w:val="18"/>
                <w:szCs w:val="18"/>
                <w:color w:val="0000EE"/>
                <w:w w:val="99"/>
              </w:rPr>
            </w:pPr>
            <w:hyperlink w:anchor="page84">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65,473</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57,052</w:t>
            </w: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174,872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55,862</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2,000</w:t>
            </w: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Unbilled accounts receivable</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531</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4,674</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4,065</w:t>
            </w: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246,187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119,510</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7,749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8,397</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1,092</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578</w:t>
            </w:r>
          </w:p>
        </w:tc>
      </w:tr>
      <w:tr>
        <w:trPr>
          <w:trHeight w:val="26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255,547</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129,577</w:t>
            </w: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3,742</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4,079</w:t>
            </w: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10,255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7,267</w:t>
            </w: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r>
      <w:tr>
        <w:trPr>
          <w:trHeight w:val="22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 portion</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6,131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14,910</w:t>
            </w: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20,597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26,725</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Deferred rent, excluding current portion</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1,649</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incentive, excluding current portion</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2,699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3,051</w:t>
            </w: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excluding current portion</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2,971</w:t>
            </w: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24,938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34,396</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w w:val="97"/>
              </w:rPr>
              <w:t>Preferred stock, $0.001 par value; 5,000,000 shares authorized; no shares issued or outstanding</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$0.001 par value; 200,000,000 shares authorized; 40,545,949 and 28,067,402 shares</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issued as of September 30, 2021 and December 31, 2020, respectively; 40,525,985 and 27,941,566</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outstanding as of September 30, 2021 and December 31, 2020, respectively</w:t>
            </w: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Treasury stock, at cost; no shares as of September 30, 2021 and December 31, 2020</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509,638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316,775</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(278,983)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(221,620)</w:t>
            </w: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230,609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95,181</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255,547</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129,577</w:t>
            </w: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14,105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4,598</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17,077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15,640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50,789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42,897</w:t>
            </w: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8,628</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20,811</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15,525</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25,705</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20,952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71,600</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58,422</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(53,824)</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725</w:t>
            </w: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(20,716)</w:t>
            </w: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(18,962)</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(57,363)</w:t>
            </w: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(53,099)</w:t>
            </w: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38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r>
      <w:tr>
        <w:trPr>
          <w:trHeight w:val="25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36,606</w:t>
            </w:r>
          </w:p>
        </w:tc>
        <w:tc>
          <w:tcPr>
            <w:tcW w:w="12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27,261</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33,603</w:t>
            </w:r>
          </w:p>
        </w:tc>
        <w:tc>
          <w:tcPr>
            <w:tcW w:w="12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24,621</w:t>
            </w:r>
          </w:p>
        </w:tc>
      </w:tr>
      <w:tr>
        <w:trPr>
          <w:trHeight w:val="210"/>
        </w:trPr>
        <w:tc>
          <w:tcPr>
            <w:tcW w:w="5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w:t>
            </w:r>
          </w:p>
        </w:tc>
        <w:tc>
          <w:tcPr>
            <w:tcW w:w="5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(18,962)</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(57,363)</w:t>
            </w:r>
          </w:p>
        </w:tc>
        <w:tc>
          <w:tcPr>
            <w:tcW w:w="5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(53,099)</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comprehensive (loss) gain:</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31</w:t>
            </w:r>
          </w:p>
        </w:tc>
      </w:tr>
      <w:tr>
        <w:trPr>
          <w:trHeight w:val="223"/>
        </w:trPr>
        <w:tc>
          <w:tcPr>
            <w:tcW w:w="58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other comprehensive (loss) gain</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w:t>
            </w: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(20,794)</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(57,448)</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(53,068)</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Accumulated</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Additional</w:t>
            </w:r>
          </w:p>
        </w:tc>
        <w:tc>
          <w:tcPr>
            <w:tcW w:w="8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Other</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95"/>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125"/>
        </w:trPr>
        <w:tc>
          <w:tcPr>
            <w:tcW w:w="3560" w:type="dxa"/>
            <w:vAlign w:val="bottom"/>
          </w:tcPr>
          <w:p>
            <w:pPr>
              <w:spacing w:after="0"/>
              <w:rPr>
                <w:sz w:val="10"/>
                <w:szCs w:val="10"/>
                <w:color w:val="auto"/>
              </w:rPr>
            </w:pPr>
          </w:p>
        </w:tc>
        <w:tc>
          <w:tcPr>
            <w:tcW w:w="16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0"/>
                <w:szCs w:val="10"/>
                <w:b w:val="1"/>
                <w:bCs w:val="1"/>
                <w:color w:val="auto"/>
              </w:rPr>
              <w:t>Common Stock</w:t>
            </w: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0"/>
                <w:szCs w:val="10"/>
                <w:b w:val="1"/>
                <w:bCs w:val="1"/>
                <w:color w:val="auto"/>
              </w:rPr>
              <w:t>Treasury Stock</w:t>
            </w:r>
          </w:p>
        </w:tc>
        <w:tc>
          <w:tcPr>
            <w:tcW w:w="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Paid-In</w:t>
            </w:r>
          </w:p>
        </w:tc>
        <w:tc>
          <w:tcPr>
            <w:tcW w:w="9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87"/>
              </w:rPr>
              <w:t>Comprehensive</w:t>
            </w:r>
          </w:p>
        </w:tc>
        <w:tc>
          <w:tcPr>
            <w:tcW w:w="6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10"/>
                <w:szCs w:val="10"/>
                <w:color w:val="auto"/>
              </w:rPr>
            </w:pPr>
          </w:p>
        </w:tc>
        <w:tc>
          <w:tcPr>
            <w:tcW w:w="740" w:type="dxa"/>
            <w:vAlign w:val="bottom"/>
          </w:tcPr>
          <w:p>
            <w:pPr>
              <w:jc w:val="center"/>
              <w:ind w:right="75"/>
              <w:spacing w:after="0"/>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rPr>
                <w:sz w:val="1"/>
                <w:szCs w:val="1"/>
                <w:color w:val="auto"/>
              </w:rPr>
            </w:pPr>
          </w:p>
        </w:tc>
      </w:tr>
      <w:tr>
        <w:trPr>
          <w:trHeight w:val="156"/>
        </w:trPr>
        <w:tc>
          <w:tcPr>
            <w:tcW w:w="35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0"/>
                <w:szCs w:val="10"/>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Amount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0"/>
                <w:szCs w:val="10"/>
                <w:b w:val="1"/>
                <w:bCs w:val="1"/>
                <w:color w:val="auto"/>
              </w:rPr>
              <w:t>Amount</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75"/>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35"/>
              <w:spacing w:after="0"/>
              <w:rPr>
                <w:sz w:val="20"/>
                <w:szCs w:val="20"/>
                <w:color w:val="auto"/>
              </w:rPr>
            </w:pPr>
            <w:r>
              <w:rPr>
                <w:rFonts w:ascii="Arial" w:cs="Arial" w:eastAsia="Arial" w:hAnsi="Arial"/>
                <w:sz w:val="10"/>
                <w:szCs w:val="10"/>
                <w:b w:val="1"/>
                <w:bCs w:val="1"/>
                <w:color w:val="auto"/>
                <w:w w:val="87"/>
              </w:rPr>
              <w:t>Gain (Loss)</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0"/>
                <w:szCs w:val="10"/>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5"/>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01"/>
        </w:trPr>
        <w:tc>
          <w:tcPr>
            <w:tcW w:w="3560" w:type="dxa"/>
            <w:vAlign w:val="bottom"/>
            <w:shd w:val="clear" w:color="auto" w:fill="CFF0FC"/>
          </w:tcPr>
          <w:p>
            <w:pPr>
              <w:spacing w:after="0" w:line="102" w:lineRule="exact"/>
              <w:rPr>
                <w:sz w:val="20"/>
                <w:szCs w:val="20"/>
                <w:color w:val="auto"/>
              </w:rPr>
            </w:pPr>
            <w:r>
              <w:rPr>
                <w:rFonts w:ascii="Arial" w:cs="Arial" w:eastAsia="Arial" w:hAnsi="Arial"/>
                <w:sz w:val="9"/>
                <w:szCs w:val="9"/>
                <w:color w:val="auto"/>
              </w:rPr>
              <w:t>Balance at December 31, 2019</w:t>
            </w:r>
          </w:p>
        </w:tc>
        <w:tc>
          <w:tcPr>
            <w:tcW w:w="90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22,654,444</w:t>
            </w:r>
          </w:p>
        </w:tc>
        <w:tc>
          <w:tcPr>
            <w:tcW w:w="740" w:type="dxa"/>
            <w:vAlign w:val="bottom"/>
            <w:gridSpan w:val="2"/>
            <w:shd w:val="clear" w:color="auto" w:fill="CFF0FC"/>
          </w:tcPr>
          <w:p>
            <w:pPr>
              <w:jc w:val="right"/>
              <w:ind w:right="552"/>
              <w:spacing w:after="0" w:line="102" w:lineRule="exact"/>
              <w:rPr>
                <w:sz w:val="20"/>
                <w:szCs w:val="20"/>
                <w:color w:val="auto"/>
              </w:rPr>
            </w:pPr>
            <w:r>
              <w:rPr>
                <w:rFonts w:ascii="Arial" w:cs="Arial" w:eastAsia="Arial" w:hAnsi="Arial"/>
                <w:sz w:val="9"/>
                <w:szCs w:val="9"/>
                <w:color w:val="auto"/>
              </w:rPr>
              <w:t>$</w:t>
            </w:r>
          </w:p>
        </w:tc>
        <w:tc>
          <w:tcPr>
            <w:tcW w:w="26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23</w:t>
            </w:r>
          </w:p>
        </w:tc>
        <w:tc>
          <w:tcPr>
            <w:tcW w:w="100" w:type="dxa"/>
            <w:vAlign w:val="bottom"/>
            <w:shd w:val="clear" w:color="auto" w:fill="CFF0FC"/>
          </w:tcPr>
          <w:p>
            <w:pPr>
              <w:spacing w:after="0"/>
              <w:rPr>
                <w:sz w:val="8"/>
                <w:szCs w:val="8"/>
                <w:color w:val="auto"/>
              </w:rPr>
            </w:pPr>
          </w:p>
        </w:tc>
        <w:tc>
          <w:tcPr>
            <w:tcW w:w="980" w:type="dxa"/>
            <w:vAlign w:val="bottom"/>
            <w:gridSpan w:val="2"/>
            <w:shd w:val="clear" w:color="auto" w:fill="CFF0FC"/>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534"/>
              <w:spacing w:after="0"/>
              <w:rPr>
                <w:sz w:val="20"/>
                <w:szCs w:val="20"/>
                <w:color w:val="auto"/>
              </w:rPr>
            </w:pPr>
            <w:r>
              <w:rPr>
                <w:rFonts w:ascii="Arial" w:cs="Arial" w:eastAsia="Arial" w:hAnsi="Arial"/>
                <w:sz w:val="4"/>
                <w:szCs w:val="4"/>
                <w:color w:val="auto"/>
                <w:w w:val="87"/>
              </w:rPr>
              <w:t>$</w:t>
            </w:r>
          </w:p>
        </w:tc>
        <w:tc>
          <w:tcPr>
            <w:tcW w:w="380" w:type="dxa"/>
            <w:vAlign w:val="bottom"/>
            <w:gridSpan w:val="2"/>
            <w:shd w:val="clear" w:color="auto" w:fill="CFF0FC"/>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jc w:val="right"/>
              <w:ind w:right="18"/>
              <w:spacing w:after="0"/>
              <w:rPr>
                <w:sz w:val="20"/>
                <w:szCs w:val="20"/>
                <w:color w:val="auto"/>
              </w:rPr>
            </w:pPr>
            <w:r>
              <w:rPr>
                <w:rFonts w:ascii="Arial" w:cs="Arial" w:eastAsia="Arial" w:hAnsi="Arial"/>
                <w:sz w:val="4"/>
                <w:szCs w:val="4"/>
                <w:color w:val="auto"/>
                <w:w w:val="87"/>
              </w:rPr>
              <w:t>$</w:t>
            </w:r>
          </w:p>
        </w:tc>
        <w:tc>
          <w:tcPr>
            <w:tcW w:w="78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237,931</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FF0FC"/>
          </w:tcPr>
          <w:p>
            <w:pPr>
              <w:jc w:val="right"/>
              <w:ind w:right="24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4"/>
                <w:szCs w:val="4"/>
                <w:color w:val="auto"/>
                <w:w w:val="87"/>
              </w:rPr>
              <w:t>$</w:t>
            </w:r>
          </w:p>
        </w:tc>
        <w:tc>
          <w:tcPr>
            <w:tcW w:w="800" w:type="dxa"/>
            <w:vAlign w:val="bottom"/>
            <w:shd w:val="clear" w:color="auto" w:fill="CFF0FC"/>
          </w:tcPr>
          <w:p>
            <w:pPr>
              <w:jc w:val="right"/>
              <w:ind w:right="35"/>
              <w:spacing w:after="0" w:line="102" w:lineRule="exact"/>
              <w:rPr>
                <w:sz w:val="20"/>
                <w:szCs w:val="20"/>
                <w:color w:val="auto"/>
              </w:rPr>
            </w:pPr>
            <w:r>
              <w:rPr>
                <w:rFonts w:ascii="Arial" w:cs="Arial" w:eastAsia="Arial" w:hAnsi="Arial"/>
                <w:sz w:val="9"/>
                <w:szCs w:val="9"/>
                <w:color w:val="auto"/>
              </w:rPr>
              <w:t>(150,801 )</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ind w:right="15"/>
              <w:spacing w:after="0" w:line="102" w:lineRule="exact"/>
              <w:rPr>
                <w:sz w:val="20"/>
                <w:szCs w:val="20"/>
                <w:color w:val="auto"/>
              </w:rPr>
            </w:pPr>
            <w:r>
              <w:rPr>
                <w:rFonts w:ascii="Arial" w:cs="Arial" w:eastAsia="Arial" w:hAnsi="Arial"/>
                <w:sz w:val="9"/>
                <w:szCs w:val="9"/>
                <w:color w:val="auto"/>
              </w:rPr>
              <w:t>87,153</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Issuance of common stock under employee benefit plans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36,472</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286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286</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Vesting of restricted stock awards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102,221</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Repurchase of unvested restricted stock awards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75"/>
              <w:spacing w:after="0"/>
              <w:rPr>
                <w:sz w:val="20"/>
                <w:szCs w:val="20"/>
                <w:color w:val="auto"/>
              </w:rPr>
            </w:pPr>
            <w:r>
              <w:rPr>
                <w:rFonts w:ascii="Arial" w:cs="Arial" w:eastAsia="Arial" w:hAnsi="Arial"/>
                <w:sz w:val="9"/>
                <w:szCs w:val="9"/>
                <w:color w:val="auto"/>
              </w:rPr>
              <w:t>8,787</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Retirement of treasury shares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9"/>
                <w:szCs w:val="9"/>
                <w:color w:val="auto"/>
              </w:rPr>
              <w:t>(8,787 )</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Stock-based compensation expense</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1,693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1,693</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Unrealized loss on marketable securities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(53 )</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9"/>
                <w:szCs w:val="9"/>
                <w:color w:val="auto"/>
              </w:rPr>
              <w:t>(53 )</w:t>
            </w:r>
          </w:p>
        </w:tc>
        <w:tc>
          <w:tcPr>
            <w:tcW w:w="0" w:type="dxa"/>
            <w:vAlign w:val="bottom"/>
          </w:tcPr>
          <w:p>
            <w:pPr>
              <w:spacing w:after="0"/>
              <w:rPr>
                <w:sz w:val="1"/>
                <w:szCs w:val="1"/>
                <w:color w:val="auto"/>
              </w:rPr>
            </w:pPr>
          </w:p>
        </w:tc>
      </w:tr>
      <w:tr>
        <w:trPr>
          <w:trHeight w:val="108"/>
        </w:trPr>
        <w:tc>
          <w:tcPr>
            <w:tcW w:w="3560" w:type="dxa"/>
            <w:vAlign w:val="bottom"/>
            <w:tcBorders>
              <w:bottom w:val="single" w:sz="8" w:color="CFF0FC"/>
            </w:tcBorders>
          </w:tcPr>
          <w:p>
            <w:pPr>
              <w:ind w:left="260"/>
              <w:spacing w:after="0"/>
              <w:rPr>
                <w:sz w:val="20"/>
                <w:szCs w:val="20"/>
                <w:color w:val="auto"/>
              </w:rPr>
            </w:pPr>
            <w:r>
              <w:rPr>
                <w:rFonts w:ascii="Arial" w:cs="Arial" w:eastAsia="Arial" w:hAnsi="Arial"/>
                <w:sz w:val="9"/>
                <w:szCs w:val="9"/>
                <w:color w:val="auto"/>
              </w:rPr>
              <w:t>Net loss</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(18,452 )</w:t>
            </w: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(18,452 )</w:t>
            </w:r>
          </w:p>
        </w:tc>
        <w:tc>
          <w:tcPr>
            <w:tcW w:w="0" w:type="dxa"/>
            <w:vAlign w:val="bottom"/>
          </w:tcPr>
          <w:p>
            <w:pPr>
              <w:spacing w:after="0"/>
              <w:rPr>
                <w:sz w:val="1"/>
                <w:szCs w:val="1"/>
                <w:color w:val="auto"/>
              </w:rPr>
            </w:pPr>
          </w:p>
        </w:tc>
      </w:tr>
      <w:tr>
        <w:trPr>
          <w:trHeight w:val="101"/>
        </w:trPr>
        <w:tc>
          <w:tcPr>
            <w:tcW w:w="3560" w:type="dxa"/>
            <w:vAlign w:val="bottom"/>
            <w:shd w:val="clear" w:color="auto" w:fill="CFF0FC"/>
          </w:tcPr>
          <w:p>
            <w:pPr>
              <w:spacing w:after="0" w:line="102" w:lineRule="exact"/>
              <w:rPr>
                <w:sz w:val="20"/>
                <w:szCs w:val="20"/>
                <w:color w:val="auto"/>
              </w:rPr>
            </w:pPr>
            <w:r>
              <w:rPr>
                <w:rFonts w:ascii="Arial" w:cs="Arial" w:eastAsia="Arial" w:hAnsi="Arial"/>
                <w:sz w:val="9"/>
                <w:szCs w:val="9"/>
                <w:color w:val="auto"/>
              </w:rPr>
              <w:t>Balance at March 31, 2020</w:t>
            </w:r>
          </w:p>
        </w:tc>
        <w:tc>
          <w:tcPr>
            <w:tcW w:w="90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22,793,137</w:t>
            </w:r>
          </w:p>
        </w:tc>
        <w:tc>
          <w:tcPr>
            <w:tcW w:w="740" w:type="dxa"/>
            <w:vAlign w:val="bottom"/>
            <w:gridSpan w:val="2"/>
            <w:shd w:val="clear" w:color="auto" w:fill="CFF0FC"/>
          </w:tcPr>
          <w:p>
            <w:pPr>
              <w:jc w:val="right"/>
              <w:ind w:right="552"/>
              <w:spacing w:after="0" w:line="102" w:lineRule="exact"/>
              <w:rPr>
                <w:sz w:val="20"/>
                <w:szCs w:val="20"/>
                <w:color w:val="auto"/>
              </w:rPr>
            </w:pPr>
            <w:r>
              <w:rPr>
                <w:rFonts w:ascii="Arial" w:cs="Arial" w:eastAsia="Arial" w:hAnsi="Arial"/>
                <w:sz w:val="9"/>
                <w:szCs w:val="9"/>
                <w:color w:val="auto"/>
              </w:rPr>
              <w:t>$</w:t>
            </w:r>
          </w:p>
        </w:tc>
        <w:tc>
          <w:tcPr>
            <w:tcW w:w="26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23</w:t>
            </w:r>
          </w:p>
        </w:tc>
        <w:tc>
          <w:tcPr>
            <w:tcW w:w="100" w:type="dxa"/>
            <w:vAlign w:val="bottom"/>
            <w:shd w:val="clear" w:color="auto" w:fill="CFF0FC"/>
          </w:tcPr>
          <w:p>
            <w:pPr>
              <w:spacing w:after="0"/>
              <w:rPr>
                <w:sz w:val="8"/>
                <w:szCs w:val="8"/>
                <w:color w:val="auto"/>
              </w:rPr>
            </w:pPr>
          </w:p>
        </w:tc>
        <w:tc>
          <w:tcPr>
            <w:tcW w:w="980" w:type="dxa"/>
            <w:vAlign w:val="bottom"/>
            <w:gridSpan w:val="2"/>
            <w:shd w:val="clear" w:color="auto" w:fill="CFF0FC"/>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534"/>
              <w:spacing w:after="0"/>
              <w:rPr>
                <w:sz w:val="20"/>
                <w:szCs w:val="20"/>
                <w:color w:val="auto"/>
              </w:rPr>
            </w:pPr>
            <w:r>
              <w:rPr>
                <w:rFonts w:ascii="Arial" w:cs="Arial" w:eastAsia="Arial" w:hAnsi="Arial"/>
                <w:sz w:val="4"/>
                <w:szCs w:val="4"/>
                <w:color w:val="auto"/>
                <w:w w:val="87"/>
              </w:rPr>
              <w:t>$</w:t>
            </w:r>
          </w:p>
        </w:tc>
        <w:tc>
          <w:tcPr>
            <w:tcW w:w="380" w:type="dxa"/>
            <w:vAlign w:val="bottom"/>
            <w:gridSpan w:val="2"/>
            <w:shd w:val="clear" w:color="auto" w:fill="CFF0FC"/>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jc w:val="right"/>
              <w:ind w:right="18"/>
              <w:spacing w:after="0"/>
              <w:rPr>
                <w:sz w:val="20"/>
                <w:szCs w:val="20"/>
                <w:color w:val="auto"/>
              </w:rPr>
            </w:pPr>
            <w:r>
              <w:rPr>
                <w:rFonts w:ascii="Arial" w:cs="Arial" w:eastAsia="Arial" w:hAnsi="Arial"/>
                <w:sz w:val="4"/>
                <w:szCs w:val="4"/>
                <w:color w:val="auto"/>
                <w:w w:val="87"/>
              </w:rPr>
              <w:t>$</w:t>
            </w:r>
          </w:p>
        </w:tc>
        <w:tc>
          <w:tcPr>
            <w:tcW w:w="78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239,914</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780" w:type="dxa"/>
            <w:vAlign w:val="bottom"/>
            <w:shd w:val="clear" w:color="auto" w:fill="CFF0FC"/>
          </w:tcPr>
          <w:p>
            <w:pPr>
              <w:jc w:val="right"/>
              <w:ind w:right="15"/>
              <w:spacing w:after="0" w:line="102" w:lineRule="exact"/>
              <w:rPr>
                <w:sz w:val="20"/>
                <w:szCs w:val="20"/>
                <w:color w:val="auto"/>
              </w:rPr>
            </w:pPr>
            <w:r>
              <w:rPr>
                <w:rFonts w:ascii="Arial" w:cs="Arial" w:eastAsia="Arial" w:hAnsi="Arial"/>
                <w:sz w:val="9"/>
                <w:szCs w:val="9"/>
                <w:color w:val="auto"/>
              </w:rPr>
              <w:t>(53 )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4"/>
                <w:szCs w:val="4"/>
                <w:color w:val="auto"/>
                <w:w w:val="87"/>
              </w:rPr>
              <w:t>$</w:t>
            </w:r>
          </w:p>
        </w:tc>
        <w:tc>
          <w:tcPr>
            <w:tcW w:w="800" w:type="dxa"/>
            <w:vAlign w:val="bottom"/>
            <w:shd w:val="clear" w:color="auto" w:fill="CFF0FC"/>
          </w:tcPr>
          <w:p>
            <w:pPr>
              <w:jc w:val="right"/>
              <w:ind w:right="35"/>
              <w:spacing w:after="0" w:line="102" w:lineRule="exact"/>
              <w:rPr>
                <w:sz w:val="20"/>
                <w:szCs w:val="20"/>
                <w:color w:val="auto"/>
              </w:rPr>
            </w:pPr>
            <w:r>
              <w:rPr>
                <w:rFonts w:ascii="Arial" w:cs="Arial" w:eastAsia="Arial" w:hAnsi="Arial"/>
                <w:sz w:val="9"/>
                <w:szCs w:val="9"/>
                <w:color w:val="auto"/>
              </w:rPr>
              <w:t>(169,253 )</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ind w:right="15"/>
              <w:spacing w:after="0" w:line="102" w:lineRule="exact"/>
              <w:rPr>
                <w:sz w:val="20"/>
                <w:szCs w:val="20"/>
                <w:color w:val="auto"/>
              </w:rPr>
            </w:pPr>
            <w:r>
              <w:rPr>
                <w:rFonts w:ascii="Arial" w:cs="Arial" w:eastAsia="Arial" w:hAnsi="Arial"/>
                <w:sz w:val="9"/>
                <w:szCs w:val="9"/>
                <w:color w:val="auto"/>
              </w:rPr>
              <w:t>70,631</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9"/>
                <w:szCs w:val="9"/>
                <w:color w:val="auto"/>
              </w:rPr>
              <w:t>Issuance of common stock in connection with private placement, net of placement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35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560" w:type="dxa"/>
            <w:vAlign w:val="bottom"/>
          </w:tcPr>
          <w:p>
            <w:pPr>
              <w:ind w:left="260"/>
              <w:spacing w:after="0" w:line="102" w:lineRule="exact"/>
              <w:rPr>
                <w:sz w:val="20"/>
                <w:szCs w:val="20"/>
                <w:color w:val="auto"/>
              </w:rPr>
            </w:pPr>
            <w:r>
              <w:rPr>
                <w:rFonts w:ascii="Arial" w:cs="Arial" w:eastAsia="Arial" w:hAnsi="Arial"/>
                <w:sz w:val="9"/>
                <w:szCs w:val="9"/>
                <w:color w:val="auto"/>
              </w:rPr>
              <w:t>agent fees and offering costs</w:t>
            </w:r>
          </w:p>
        </w:tc>
        <w:tc>
          <w:tcPr>
            <w:tcW w:w="900" w:type="dxa"/>
            <w:vAlign w:val="bottom"/>
          </w:tcPr>
          <w:p>
            <w:pPr>
              <w:jc w:val="right"/>
              <w:ind w:right="95"/>
              <w:spacing w:after="0" w:line="102" w:lineRule="exact"/>
              <w:rPr>
                <w:sz w:val="20"/>
                <w:szCs w:val="20"/>
                <w:color w:val="auto"/>
              </w:rPr>
            </w:pPr>
            <w:r>
              <w:rPr>
                <w:rFonts w:ascii="Arial" w:cs="Arial" w:eastAsia="Arial" w:hAnsi="Arial"/>
                <w:sz w:val="9"/>
                <w:szCs w:val="9"/>
                <w:color w:val="auto"/>
              </w:rPr>
              <w:t>4,029,411</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jc w:val="right"/>
              <w:ind w:right="75"/>
              <w:spacing w:after="0" w:line="102" w:lineRule="exact"/>
              <w:rPr>
                <w:sz w:val="20"/>
                <w:szCs w:val="20"/>
                <w:color w:val="auto"/>
              </w:rPr>
            </w:pPr>
            <w:r>
              <w:rPr>
                <w:rFonts w:ascii="Arial" w:cs="Arial" w:eastAsia="Arial" w:hAnsi="Arial"/>
                <w:sz w:val="9"/>
                <w:szCs w:val="9"/>
                <w:color w:val="auto"/>
              </w:rPr>
              <w:t>4</w:t>
            </w:r>
          </w:p>
        </w:tc>
        <w:tc>
          <w:tcPr>
            <w:tcW w:w="100" w:type="dxa"/>
            <w:vAlign w:val="bottom"/>
          </w:tcPr>
          <w:p>
            <w:pPr>
              <w:spacing w:after="0"/>
              <w:rPr>
                <w:sz w:val="8"/>
                <w:szCs w:val="8"/>
                <w:color w:val="auto"/>
              </w:rPr>
            </w:pPr>
          </w:p>
        </w:tc>
        <w:tc>
          <w:tcPr>
            <w:tcW w:w="98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00" w:type="dxa"/>
            <w:vAlign w:val="bottom"/>
          </w:tcPr>
          <w:p>
            <w:pPr>
              <w:spacing w:after="0"/>
              <w:rPr>
                <w:sz w:val="8"/>
                <w:szCs w:val="8"/>
                <w:color w:val="auto"/>
              </w:rPr>
            </w:pPr>
          </w:p>
        </w:tc>
        <w:tc>
          <w:tcPr>
            <w:tcW w:w="38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80" w:type="dxa"/>
            <w:vAlign w:val="bottom"/>
          </w:tcPr>
          <w:p>
            <w:pPr>
              <w:jc w:val="right"/>
              <w:ind w:right="75"/>
              <w:spacing w:after="0" w:line="102" w:lineRule="exact"/>
              <w:rPr>
                <w:sz w:val="20"/>
                <w:szCs w:val="20"/>
                <w:color w:val="auto"/>
              </w:rPr>
            </w:pPr>
            <w:r>
              <w:rPr>
                <w:rFonts w:ascii="Arial" w:cs="Arial" w:eastAsia="Arial" w:hAnsi="Arial"/>
                <w:sz w:val="9"/>
                <w:szCs w:val="9"/>
                <w:color w:val="auto"/>
              </w:rPr>
              <w:t>64,313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right"/>
              <w:ind w:right="24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40" w:type="dxa"/>
            <w:vAlign w:val="bottom"/>
          </w:tcPr>
          <w:p>
            <w:pPr>
              <w:jc w:val="right"/>
              <w:ind w:right="15"/>
              <w:spacing w:after="0" w:line="102" w:lineRule="exact"/>
              <w:rPr>
                <w:sz w:val="20"/>
                <w:szCs w:val="20"/>
                <w:color w:val="auto"/>
              </w:rPr>
            </w:pPr>
            <w:r>
              <w:rPr>
                <w:rFonts w:ascii="Arial" w:cs="Arial" w:eastAsia="Arial" w:hAnsi="Arial"/>
                <w:sz w:val="9"/>
                <w:szCs w:val="9"/>
                <w:color w:val="auto"/>
              </w:rPr>
              <w:t>64,317</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Issuance of common stock under employee benefit plans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70,904</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525</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525</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Vesting of restricted stock awards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330,344</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Repurchase of unvested restricted stock awards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10,642</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Retirement of treasury shares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35"/>
              <w:spacing w:after="0"/>
              <w:rPr>
                <w:sz w:val="20"/>
                <w:szCs w:val="20"/>
                <w:color w:val="auto"/>
              </w:rPr>
            </w:pPr>
            <w:r>
              <w:rPr>
                <w:rFonts w:ascii="Arial" w:cs="Arial" w:eastAsia="Arial" w:hAnsi="Arial"/>
                <w:sz w:val="9"/>
                <w:szCs w:val="9"/>
                <w:color w:val="auto"/>
              </w:rPr>
              <w:t>(10,642 )</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Stock-based compensation expense</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2,204</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2,204</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Unrealized gain on marketable securities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134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134</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Net loss</w:t>
            </w:r>
          </w:p>
        </w:tc>
        <w:tc>
          <w:tcPr>
            <w:tcW w:w="9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8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9"/>
                <w:szCs w:val="9"/>
                <w:color w:val="auto"/>
              </w:rPr>
              <w:t>(15,685 )</w:t>
            </w: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(15,685 )</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tcPr>
          <w:p>
            <w:pPr>
              <w:spacing w:after="0" w:line="102" w:lineRule="exact"/>
              <w:rPr>
                <w:sz w:val="20"/>
                <w:szCs w:val="20"/>
                <w:color w:val="auto"/>
              </w:rPr>
            </w:pPr>
            <w:r>
              <w:rPr>
                <w:rFonts w:ascii="Arial" w:cs="Arial" w:eastAsia="Arial" w:hAnsi="Arial"/>
                <w:sz w:val="9"/>
                <w:szCs w:val="9"/>
                <w:color w:val="auto"/>
              </w:rPr>
              <w:t>Balance at June 30, 2020</w:t>
            </w:r>
          </w:p>
        </w:tc>
        <w:tc>
          <w:tcPr>
            <w:tcW w:w="900" w:type="dxa"/>
            <w:vAlign w:val="bottom"/>
            <w:tcBorders>
              <w:bottom w:val="single" w:sz="8" w:color="auto"/>
            </w:tcBorders>
          </w:tcPr>
          <w:p>
            <w:pPr>
              <w:jc w:val="right"/>
              <w:ind w:right="95"/>
              <w:spacing w:after="0" w:line="102" w:lineRule="exact"/>
              <w:rPr>
                <w:sz w:val="20"/>
                <w:szCs w:val="20"/>
                <w:color w:val="auto"/>
              </w:rPr>
            </w:pPr>
            <w:r>
              <w:rPr>
                <w:rFonts w:ascii="Arial" w:cs="Arial" w:eastAsia="Arial" w:hAnsi="Arial"/>
                <w:sz w:val="9"/>
                <w:szCs w:val="9"/>
                <w:color w:val="auto"/>
              </w:rPr>
              <w:t>27,223,796</w:t>
            </w: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ind w:right="552"/>
              <w:spacing w:after="0"/>
              <w:rPr>
                <w:sz w:val="20"/>
                <w:szCs w:val="20"/>
                <w:color w:val="auto"/>
              </w:rPr>
            </w:pPr>
            <w:r>
              <w:rPr>
                <w:rFonts w:ascii="Arial" w:cs="Arial" w:eastAsia="Arial" w:hAnsi="Arial"/>
                <w:sz w:val="4"/>
                <w:szCs w:val="4"/>
                <w:color w:val="auto"/>
                <w:w w:val="87"/>
              </w:rPr>
              <w:t>$</w:t>
            </w:r>
          </w:p>
        </w:tc>
        <w:tc>
          <w:tcPr>
            <w:tcW w:w="26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27</w:t>
            </w:r>
          </w:p>
        </w:tc>
        <w:tc>
          <w:tcPr>
            <w:tcW w:w="1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ind w:right="534"/>
              <w:spacing w:after="0"/>
              <w:rPr>
                <w:sz w:val="20"/>
                <w:szCs w:val="20"/>
                <w:color w:val="auto"/>
              </w:rPr>
            </w:pPr>
            <w:r>
              <w:rPr>
                <w:rFonts w:ascii="Arial" w:cs="Arial" w:eastAsia="Arial" w:hAnsi="Arial"/>
                <w:sz w:val="4"/>
                <w:szCs w:val="4"/>
                <w:color w:val="auto"/>
                <w:w w:val="87"/>
              </w:rPr>
              <w:t>$</w:t>
            </w:r>
          </w:p>
        </w:tc>
        <w:tc>
          <w:tcPr>
            <w:tcW w:w="260" w:type="dxa"/>
            <w:vAlign w:val="bottom"/>
            <w:tcBorders>
              <w:bottom w:val="single" w:sz="8" w:color="auto"/>
            </w:tcBorders>
          </w:tcPr>
          <w:p>
            <w:pPr>
              <w:ind w:left="60"/>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7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306,961</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81</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00" w:type="dxa"/>
            <w:vAlign w:val="bottom"/>
            <w:tcBorders>
              <w:bottom w:val="single" w:sz="8" w:color="auto"/>
            </w:tcBorders>
          </w:tcPr>
          <w:p>
            <w:pPr>
              <w:jc w:val="right"/>
              <w:ind w:right="35"/>
              <w:spacing w:after="0" w:line="102" w:lineRule="exact"/>
              <w:rPr>
                <w:sz w:val="20"/>
                <w:szCs w:val="20"/>
                <w:color w:val="auto"/>
              </w:rPr>
            </w:pPr>
            <w:r>
              <w:rPr>
                <w:rFonts w:ascii="Arial" w:cs="Arial" w:eastAsia="Arial" w:hAnsi="Arial"/>
                <w:sz w:val="9"/>
                <w:szCs w:val="9"/>
                <w:color w:val="auto"/>
              </w:rPr>
              <w:t>(184,938 )</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ind w:right="15"/>
              <w:spacing w:after="0" w:line="102" w:lineRule="exact"/>
              <w:rPr>
                <w:sz w:val="20"/>
                <w:szCs w:val="20"/>
                <w:color w:val="auto"/>
              </w:rPr>
            </w:pPr>
            <w:r>
              <w:rPr>
                <w:rFonts w:ascii="Arial" w:cs="Arial" w:eastAsia="Arial" w:hAnsi="Arial"/>
                <w:sz w:val="9"/>
                <w:szCs w:val="9"/>
                <w:color w:val="auto"/>
              </w:rPr>
              <w:t>122,131</w:t>
            </w:r>
          </w:p>
        </w:tc>
        <w:tc>
          <w:tcPr>
            <w:tcW w:w="0" w:type="dxa"/>
            <w:vAlign w:val="bottom"/>
          </w:tcPr>
          <w:p>
            <w:pPr>
              <w:spacing w:after="0"/>
              <w:rPr>
                <w:sz w:val="1"/>
                <w:szCs w:val="1"/>
                <w:color w:val="auto"/>
              </w:rPr>
            </w:pPr>
          </w:p>
        </w:tc>
      </w:tr>
      <w:tr>
        <w:trPr>
          <w:trHeight w:val="88"/>
        </w:trPr>
        <w:tc>
          <w:tcPr>
            <w:tcW w:w="3560" w:type="dxa"/>
            <w:vAlign w:val="bottom"/>
            <w:shd w:val="clear" w:color="auto" w:fill="CFF0FC"/>
          </w:tcPr>
          <w:p>
            <w:pPr>
              <w:ind w:left="260"/>
              <w:spacing w:after="0" w:line="89" w:lineRule="exact"/>
              <w:rPr>
                <w:sz w:val="20"/>
                <w:szCs w:val="20"/>
                <w:color w:val="auto"/>
              </w:rPr>
            </w:pPr>
            <w:r>
              <w:rPr>
                <w:rFonts w:ascii="Arial" w:cs="Arial" w:eastAsia="Arial" w:hAnsi="Arial"/>
                <w:sz w:val="9"/>
                <w:szCs w:val="9"/>
                <w:color w:val="auto"/>
              </w:rPr>
              <w:t>Issuance of common stock under employee benefit plans</w:t>
            </w:r>
          </w:p>
        </w:tc>
        <w:tc>
          <w:tcPr>
            <w:tcW w:w="900" w:type="dxa"/>
            <w:vAlign w:val="bottom"/>
            <w:shd w:val="clear" w:color="auto" w:fill="CFF0FC"/>
          </w:tcPr>
          <w:p>
            <w:pPr>
              <w:jc w:val="right"/>
              <w:ind w:right="95"/>
              <w:spacing w:after="0" w:line="89" w:lineRule="exact"/>
              <w:rPr>
                <w:sz w:val="20"/>
                <w:szCs w:val="20"/>
                <w:color w:val="auto"/>
              </w:rPr>
            </w:pPr>
            <w:r>
              <w:rPr>
                <w:rFonts w:ascii="Arial" w:cs="Arial" w:eastAsia="Arial" w:hAnsi="Arial"/>
                <w:sz w:val="9"/>
                <w:szCs w:val="9"/>
                <w:color w:val="auto"/>
              </w:rPr>
              <w:t>10,905</w:t>
            </w:r>
          </w:p>
        </w:tc>
        <w:tc>
          <w:tcPr>
            <w:tcW w:w="1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36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7"/>
                <w:szCs w:val="7"/>
                <w:color w:val="auto"/>
              </w:rPr>
            </w:pPr>
          </w:p>
        </w:tc>
        <w:tc>
          <w:tcPr>
            <w:tcW w:w="380" w:type="dxa"/>
            <w:vAlign w:val="bottom"/>
            <w:gridSpan w:val="2"/>
            <w:shd w:val="clear" w:color="auto" w:fill="CFF0FC"/>
          </w:tcPr>
          <w:p>
            <w:pPr>
              <w:ind w:left="60"/>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80" w:type="dxa"/>
            <w:vAlign w:val="bottom"/>
            <w:shd w:val="clear" w:color="auto" w:fill="CFF0FC"/>
          </w:tcPr>
          <w:p>
            <w:pPr>
              <w:jc w:val="right"/>
              <w:ind w:right="75"/>
              <w:spacing w:after="0" w:line="89" w:lineRule="exact"/>
              <w:rPr>
                <w:sz w:val="20"/>
                <w:szCs w:val="20"/>
                <w:color w:val="auto"/>
              </w:rPr>
            </w:pPr>
            <w:r>
              <w:rPr>
                <w:rFonts w:ascii="Arial" w:cs="Arial" w:eastAsia="Arial" w:hAnsi="Arial"/>
                <w:sz w:val="9"/>
                <w:szCs w:val="9"/>
                <w:color w:val="auto"/>
              </w:rPr>
              <w:t>87</w:t>
            </w: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40"/>
              <w:spacing w:after="0" w:line="89" w:lineRule="exact"/>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40" w:type="dxa"/>
            <w:vAlign w:val="bottom"/>
            <w:shd w:val="clear" w:color="auto" w:fill="CFF0FC"/>
          </w:tcPr>
          <w:p>
            <w:pPr>
              <w:jc w:val="right"/>
              <w:ind w:right="15"/>
              <w:spacing w:after="0" w:line="89" w:lineRule="exact"/>
              <w:rPr>
                <w:sz w:val="20"/>
                <w:szCs w:val="20"/>
                <w:color w:val="auto"/>
              </w:rPr>
            </w:pPr>
            <w:r>
              <w:rPr>
                <w:rFonts w:ascii="Arial" w:cs="Arial" w:eastAsia="Arial" w:hAnsi="Arial"/>
                <w:sz w:val="9"/>
                <w:szCs w:val="9"/>
                <w:color w:val="auto"/>
              </w:rPr>
              <w:t>87</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Vesting of restricted stock awards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43,282</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Repurchase of unvested restricted stock awards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4,581</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Retirement of treasury shares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35"/>
              <w:spacing w:after="0"/>
              <w:rPr>
                <w:sz w:val="20"/>
                <w:szCs w:val="20"/>
                <w:color w:val="auto"/>
              </w:rPr>
            </w:pPr>
            <w:r>
              <w:rPr>
                <w:rFonts w:ascii="Arial" w:cs="Arial" w:eastAsia="Arial" w:hAnsi="Arial"/>
                <w:sz w:val="9"/>
                <w:szCs w:val="9"/>
                <w:color w:val="auto"/>
              </w:rPr>
              <w:t>(4,581 )</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Stock-based compensation expense</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1,776</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1,776</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Unrealized loss on marketable securities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15"/>
              <w:spacing w:after="0"/>
              <w:rPr>
                <w:sz w:val="20"/>
                <w:szCs w:val="20"/>
                <w:color w:val="auto"/>
              </w:rPr>
            </w:pPr>
            <w:r>
              <w:rPr>
                <w:rFonts w:ascii="Arial" w:cs="Arial" w:eastAsia="Arial" w:hAnsi="Arial"/>
                <w:sz w:val="9"/>
                <w:szCs w:val="9"/>
                <w:color w:val="auto"/>
              </w:rPr>
              <w:t>(50 )</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(50 )</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Net loss</w:t>
            </w:r>
          </w:p>
        </w:tc>
        <w:tc>
          <w:tcPr>
            <w:tcW w:w="9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8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9"/>
                <w:szCs w:val="9"/>
                <w:color w:val="auto"/>
              </w:rPr>
              <w:t>(18,962 )</w:t>
            </w: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(18,962 )</w:t>
            </w:r>
          </w:p>
        </w:tc>
        <w:tc>
          <w:tcPr>
            <w:tcW w:w="0" w:type="dxa"/>
            <w:vAlign w:val="bottom"/>
          </w:tcPr>
          <w:p>
            <w:pPr>
              <w:spacing w:after="0"/>
              <w:rPr>
                <w:sz w:val="1"/>
                <w:szCs w:val="1"/>
                <w:color w:val="auto"/>
              </w:rPr>
            </w:pPr>
          </w:p>
        </w:tc>
      </w:tr>
      <w:tr>
        <w:trPr>
          <w:trHeight w:val="141"/>
        </w:trPr>
        <w:tc>
          <w:tcPr>
            <w:tcW w:w="3560" w:type="dxa"/>
            <w:vAlign w:val="bottom"/>
            <w:tcBorders>
              <w:bottom w:val="single" w:sz="8" w:color="CFF0FC"/>
            </w:tcBorders>
          </w:tcPr>
          <w:p>
            <w:pPr>
              <w:spacing w:after="0" w:line="102" w:lineRule="exact"/>
              <w:rPr>
                <w:sz w:val="20"/>
                <w:szCs w:val="20"/>
                <w:color w:val="auto"/>
              </w:rPr>
            </w:pPr>
            <w:r>
              <w:rPr>
                <w:rFonts w:ascii="Arial" w:cs="Arial" w:eastAsia="Arial" w:hAnsi="Arial"/>
                <w:sz w:val="9"/>
                <w:szCs w:val="9"/>
                <w:color w:val="auto"/>
              </w:rPr>
              <w:t>Balance at September 30, 2020</w:t>
            </w:r>
          </w:p>
        </w:tc>
        <w:tc>
          <w:tcPr>
            <w:tcW w:w="900" w:type="dxa"/>
            <w:vAlign w:val="bottom"/>
            <w:tcBorders>
              <w:bottom w:val="single" w:sz="8" w:color="auto"/>
            </w:tcBorders>
          </w:tcPr>
          <w:p>
            <w:pPr>
              <w:jc w:val="right"/>
              <w:ind w:right="95"/>
              <w:spacing w:after="0" w:line="102" w:lineRule="exact"/>
              <w:rPr>
                <w:sz w:val="20"/>
                <w:szCs w:val="20"/>
                <w:color w:val="auto"/>
              </w:rPr>
            </w:pPr>
            <w:r>
              <w:rPr>
                <w:rFonts w:ascii="Arial" w:cs="Arial" w:eastAsia="Arial" w:hAnsi="Arial"/>
                <w:sz w:val="9"/>
                <w:szCs w:val="9"/>
                <w:color w:val="auto"/>
              </w:rPr>
              <w:t>27,277,983</w:t>
            </w: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ind w:right="552"/>
              <w:spacing w:after="0"/>
              <w:rPr>
                <w:sz w:val="20"/>
                <w:szCs w:val="20"/>
                <w:color w:val="auto"/>
              </w:rPr>
            </w:pPr>
            <w:r>
              <w:rPr>
                <w:rFonts w:ascii="Arial" w:cs="Arial" w:eastAsia="Arial" w:hAnsi="Arial"/>
                <w:sz w:val="4"/>
                <w:szCs w:val="4"/>
                <w:color w:val="auto"/>
                <w:w w:val="87"/>
              </w:rPr>
              <w:t>$</w:t>
            </w:r>
          </w:p>
        </w:tc>
        <w:tc>
          <w:tcPr>
            <w:tcW w:w="26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ind w:right="534"/>
              <w:spacing w:after="0"/>
              <w:rPr>
                <w:sz w:val="20"/>
                <w:szCs w:val="20"/>
                <w:color w:val="auto"/>
              </w:rPr>
            </w:pPr>
            <w:r>
              <w:rPr>
                <w:rFonts w:ascii="Arial" w:cs="Arial" w:eastAsia="Arial" w:hAnsi="Arial"/>
                <w:sz w:val="4"/>
                <w:szCs w:val="4"/>
                <w:color w:val="auto"/>
                <w:w w:val="87"/>
              </w:rPr>
              <w:t>$</w:t>
            </w:r>
          </w:p>
        </w:tc>
        <w:tc>
          <w:tcPr>
            <w:tcW w:w="260" w:type="dxa"/>
            <w:vAlign w:val="bottom"/>
            <w:tcBorders>
              <w:bottom w:val="single" w:sz="8" w:color="auto"/>
            </w:tcBorders>
          </w:tcPr>
          <w:p>
            <w:pPr>
              <w:ind w:left="60"/>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7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308,827</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31</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00" w:type="dxa"/>
            <w:vAlign w:val="bottom"/>
            <w:tcBorders>
              <w:bottom w:val="single" w:sz="8" w:color="auto"/>
            </w:tcBorders>
          </w:tcPr>
          <w:p>
            <w:pPr>
              <w:jc w:val="right"/>
              <w:ind w:right="35"/>
              <w:spacing w:after="0" w:line="102" w:lineRule="exact"/>
              <w:rPr>
                <w:sz w:val="20"/>
                <w:szCs w:val="20"/>
                <w:color w:val="auto"/>
              </w:rPr>
            </w:pPr>
            <w:r>
              <w:rPr>
                <w:rFonts w:ascii="Arial" w:cs="Arial" w:eastAsia="Arial" w:hAnsi="Arial"/>
                <w:sz w:val="9"/>
                <w:szCs w:val="9"/>
                <w:color w:val="auto"/>
              </w:rPr>
              <w:t>(203,900 )</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ind w:right="15"/>
              <w:spacing w:after="0" w:line="102" w:lineRule="exact"/>
              <w:rPr>
                <w:sz w:val="20"/>
                <w:szCs w:val="20"/>
                <w:color w:val="auto"/>
              </w:rPr>
            </w:pPr>
            <w:r>
              <w:rPr>
                <w:rFonts w:ascii="Arial" w:cs="Arial" w:eastAsia="Arial" w:hAnsi="Arial"/>
                <w:sz w:val="9"/>
                <w:szCs w:val="9"/>
                <w:color w:val="auto"/>
              </w:rPr>
              <w:t>104,985</w:t>
            </w:r>
          </w:p>
        </w:tc>
        <w:tc>
          <w:tcPr>
            <w:tcW w:w="0" w:type="dxa"/>
            <w:vAlign w:val="bottom"/>
          </w:tcPr>
          <w:p>
            <w:pPr>
              <w:spacing w:after="0"/>
              <w:rPr>
                <w:sz w:val="1"/>
                <w:szCs w:val="1"/>
                <w:color w:val="auto"/>
              </w:rPr>
            </w:pPr>
          </w:p>
        </w:tc>
      </w:tr>
      <w:tr>
        <w:trPr>
          <w:trHeight w:val="89"/>
        </w:trPr>
        <w:tc>
          <w:tcPr>
            <w:tcW w:w="3560" w:type="dxa"/>
            <w:vAlign w:val="bottom"/>
            <w:shd w:val="clear" w:color="auto" w:fill="CFF0FC"/>
          </w:tcPr>
          <w:p>
            <w:pPr>
              <w:spacing w:after="0" w:line="89" w:lineRule="exact"/>
              <w:rPr>
                <w:sz w:val="20"/>
                <w:szCs w:val="20"/>
                <w:color w:val="auto"/>
              </w:rPr>
            </w:pPr>
            <w:r>
              <w:rPr>
                <w:rFonts w:ascii="Arial" w:cs="Arial" w:eastAsia="Arial" w:hAnsi="Arial"/>
                <w:sz w:val="9"/>
                <w:szCs w:val="9"/>
                <w:color w:val="auto"/>
              </w:rPr>
              <w:t>Balance at December 31, 2020</w:t>
            </w:r>
          </w:p>
        </w:tc>
        <w:tc>
          <w:tcPr>
            <w:tcW w:w="900" w:type="dxa"/>
            <w:vAlign w:val="bottom"/>
            <w:shd w:val="clear" w:color="auto" w:fill="CFF0FC"/>
          </w:tcPr>
          <w:p>
            <w:pPr>
              <w:jc w:val="right"/>
              <w:ind w:right="95"/>
              <w:spacing w:after="0" w:line="89" w:lineRule="exact"/>
              <w:rPr>
                <w:sz w:val="20"/>
                <w:szCs w:val="20"/>
                <w:color w:val="auto"/>
              </w:rPr>
            </w:pPr>
            <w:r>
              <w:rPr>
                <w:rFonts w:ascii="Arial" w:cs="Arial" w:eastAsia="Arial" w:hAnsi="Arial"/>
                <w:sz w:val="9"/>
                <w:szCs w:val="9"/>
                <w:color w:val="auto"/>
              </w:rPr>
              <w:t>27,941,566</w:t>
            </w:r>
          </w:p>
        </w:tc>
        <w:tc>
          <w:tcPr>
            <w:tcW w:w="1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60" w:type="dxa"/>
            <w:vAlign w:val="bottom"/>
            <w:shd w:val="clear" w:color="auto" w:fill="CFF0FC"/>
          </w:tcPr>
          <w:p>
            <w:pPr>
              <w:jc w:val="right"/>
              <w:ind w:right="75"/>
              <w:spacing w:after="0" w:line="89" w:lineRule="exact"/>
              <w:rPr>
                <w:sz w:val="20"/>
                <w:szCs w:val="20"/>
                <w:color w:val="auto"/>
              </w:rPr>
            </w:pPr>
            <w:r>
              <w:rPr>
                <w:rFonts w:ascii="Arial" w:cs="Arial" w:eastAsia="Arial" w:hAnsi="Arial"/>
                <w:sz w:val="9"/>
                <w:szCs w:val="9"/>
                <w:color w:val="auto"/>
              </w:rPr>
              <w:t>28</w:t>
            </w:r>
          </w:p>
        </w:tc>
        <w:tc>
          <w:tcPr>
            <w:tcW w:w="100" w:type="dxa"/>
            <w:vAlign w:val="bottom"/>
            <w:shd w:val="clear" w:color="auto" w:fill="CFF0FC"/>
          </w:tcPr>
          <w:p>
            <w:pPr>
              <w:spacing w:after="0"/>
              <w:rPr>
                <w:sz w:val="7"/>
                <w:szCs w:val="7"/>
                <w:color w:val="auto"/>
              </w:rPr>
            </w:pPr>
          </w:p>
        </w:tc>
        <w:tc>
          <w:tcPr>
            <w:tcW w:w="98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7"/>
                <w:szCs w:val="7"/>
                <w:color w:val="auto"/>
              </w:rPr>
            </w:pPr>
          </w:p>
        </w:tc>
        <w:tc>
          <w:tcPr>
            <w:tcW w:w="380" w:type="dxa"/>
            <w:vAlign w:val="bottom"/>
            <w:gridSpan w:val="2"/>
            <w:shd w:val="clear" w:color="auto" w:fill="CFF0FC"/>
          </w:tcPr>
          <w:p>
            <w:pPr>
              <w:ind w:left="60"/>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80" w:type="dxa"/>
            <w:vAlign w:val="bottom"/>
            <w:shd w:val="clear" w:color="auto" w:fill="CFF0FC"/>
          </w:tcPr>
          <w:p>
            <w:pPr>
              <w:jc w:val="right"/>
              <w:ind w:right="75"/>
              <w:spacing w:after="0" w:line="89" w:lineRule="exact"/>
              <w:rPr>
                <w:sz w:val="20"/>
                <w:szCs w:val="20"/>
                <w:color w:val="auto"/>
              </w:rPr>
            </w:pPr>
            <w:r>
              <w:rPr>
                <w:rFonts w:ascii="Arial" w:cs="Arial" w:eastAsia="Arial" w:hAnsi="Arial"/>
                <w:sz w:val="9"/>
                <w:szCs w:val="9"/>
                <w:color w:val="auto"/>
              </w:rPr>
              <w:t>316,775</w:t>
            </w: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80" w:type="dxa"/>
            <w:vAlign w:val="bottom"/>
            <w:shd w:val="clear" w:color="auto" w:fill="CFF0FC"/>
          </w:tcPr>
          <w:p>
            <w:pPr>
              <w:jc w:val="right"/>
              <w:ind w:right="15"/>
              <w:spacing w:after="0" w:line="89" w:lineRule="exact"/>
              <w:rPr>
                <w:sz w:val="20"/>
                <w:szCs w:val="20"/>
                <w:color w:val="auto"/>
              </w:rPr>
            </w:pPr>
            <w:r>
              <w:rPr>
                <w:rFonts w:ascii="Arial" w:cs="Arial" w:eastAsia="Arial" w:hAnsi="Arial"/>
                <w:sz w:val="9"/>
                <w:szCs w:val="9"/>
                <w:color w:val="auto"/>
              </w:rPr>
              <w:t>(2 )</w:t>
            </w: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800" w:type="dxa"/>
            <w:vAlign w:val="bottom"/>
            <w:shd w:val="clear" w:color="auto" w:fill="CFF0FC"/>
          </w:tcPr>
          <w:p>
            <w:pPr>
              <w:jc w:val="right"/>
              <w:ind w:right="35"/>
              <w:spacing w:after="0" w:line="89" w:lineRule="exact"/>
              <w:rPr>
                <w:sz w:val="20"/>
                <w:szCs w:val="20"/>
                <w:color w:val="auto"/>
              </w:rPr>
            </w:pPr>
            <w:r>
              <w:rPr>
                <w:rFonts w:ascii="Arial" w:cs="Arial" w:eastAsia="Arial" w:hAnsi="Arial"/>
                <w:sz w:val="9"/>
                <w:szCs w:val="9"/>
                <w:color w:val="auto"/>
              </w:rPr>
              <w:t>(221,620 )</w:t>
            </w: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40" w:type="dxa"/>
            <w:vAlign w:val="bottom"/>
            <w:shd w:val="clear" w:color="auto" w:fill="CFF0FC"/>
          </w:tcPr>
          <w:p>
            <w:pPr>
              <w:jc w:val="right"/>
              <w:ind w:right="15"/>
              <w:spacing w:after="0" w:line="89" w:lineRule="exact"/>
              <w:rPr>
                <w:sz w:val="20"/>
                <w:szCs w:val="20"/>
                <w:color w:val="auto"/>
              </w:rPr>
            </w:pPr>
            <w:r>
              <w:rPr>
                <w:rFonts w:ascii="Arial" w:cs="Arial" w:eastAsia="Arial" w:hAnsi="Arial"/>
                <w:sz w:val="9"/>
                <w:szCs w:val="9"/>
                <w:color w:val="auto"/>
              </w:rPr>
              <w:t>95,181</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w w:val="99"/>
              </w:rPr>
              <w:t>Issuance of common stock in connection with public offering, net of issuance costs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4,600,000</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jc w:val="right"/>
              <w:ind w:right="75"/>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9"/>
                <w:szCs w:val="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47,402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47,407</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Issuance of common stock under employee benefit plans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11,888</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93</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93</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Vesting of restricted stock awards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40,982</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Repurchase of unvested restricted stock awards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1,836</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Retirement of treasury shares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35"/>
              <w:spacing w:after="0"/>
              <w:rPr>
                <w:sz w:val="20"/>
                <w:szCs w:val="20"/>
                <w:color w:val="auto"/>
              </w:rPr>
            </w:pPr>
            <w:r>
              <w:rPr>
                <w:rFonts w:ascii="Arial" w:cs="Arial" w:eastAsia="Arial" w:hAnsi="Arial"/>
                <w:sz w:val="9"/>
                <w:szCs w:val="9"/>
                <w:color w:val="auto"/>
              </w:rPr>
              <w:t>(1,836 )</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Stock-based compensation expense</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2,073</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2,073</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Unrealized loss on marketable securities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15"/>
              <w:spacing w:after="0"/>
              <w:rPr>
                <w:sz w:val="20"/>
                <w:szCs w:val="20"/>
                <w:color w:val="auto"/>
              </w:rPr>
            </w:pPr>
            <w:r>
              <w:rPr>
                <w:rFonts w:ascii="Arial" w:cs="Arial" w:eastAsia="Arial" w:hAnsi="Arial"/>
                <w:sz w:val="9"/>
                <w:szCs w:val="9"/>
                <w:color w:val="auto"/>
              </w:rPr>
              <w:t>(2 )</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Net loss</w:t>
            </w:r>
          </w:p>
        </w:tc>
        <w:tc>
          <w:tcPr>
            <w:tcW w:w="9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8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9"/>
                <w:szCs w:val="9"/>
                <w:color w:val="auto"/>
              </w:rPr>
              <w:t>(16,999 )</w:t>
            </w: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(16,999 )</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tcPr>
          <w:p>
            <w:pPr>
              <w:spacing w:after="0" w:line="102" w:lineRule="exact"/>
              <w:rPr>
                <w:sz w:val="20"/>
                <w:szCs w:val="20"/>
                <w:color w:val="auto"/>
              </w:rPr>
            </w:pPr>
            <w:r>
              <w:rPr>
                <w:rFonts w:ascii="Arial" w:cs="Arial" w:eastAsia="Arial" w:hAnsi="Arial"/>
                <w:sz w:val="9"/>
                <w:szCs w:val="9"/>
                <w:color w:val="auto"/>
              </w:rPr>
              <w:t>Balance at March 31, 2021</w:t>
            </w:r>
          </w:p>
        </w:tc>
        <w:tc>
          <w:tcPr>
            <w:tcW w:w="900" w:type="dxa"/>
            <w:vAlign w:val="bottom"/>
            <w:tcBorders>
              <w:bottom w:val="single" w:sz="8" w:color="auto"/>
            </w:tcBorders>
          </w:tcPr>
          <w:p>
            <w:pPr>
              <w:jc w:val="right"/>
              <w:ind w:right="95"/>
              <w:spacing w:after="0" w:line="102" w:lineRule="exact"/>
              <w:rPr>
                <w:sz w:val="20"/>
                <w:szCs w:val="20"/>
                <w:color w:val="auto"/>
              </w:rPr>
            </w:pPr>
            <w:r>
              <w:rPr>
                <w:rFonts w:ascii="Arial" w:cs="Arial" w:eastAsia="Arial" w:hAnsi="Arial"/>
                <w:sz w:val="9"/>
                <w:szCs w:val="9"/>
                <w:color w:val="auto"/>
              </w:rPr>
              <w:t>32,594,436</w:t>
            </w: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ind w:right="552"/>
              <w:spacing w:after="0"/>
              <w:rPr>
                <w:sz w:val="20"/>
                <w:szCs w:val="20"/>
                <w:color w:val="auto"/>
              </w:rPr>
            </w:pPr>
            <w:r>
              <w:rPr>
                <w:rFonts w:ascii="Arial" w:cs="Arial" w:eastAsia="Arial" w:hAnsi="Arial"/>
                <w:sz w:val="4"/>
                <w:szCs w:val="4"/>
                <w:color w:val="auto"/>
                <w:w w:val="87"/>
              </w:rPr>
              <w:t>$</w:t>
            </w:r>
          </w:p>
        </w:tc>
        <w:tc>
          <w:tcPr>
            <w:tcW w:w="26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33</w:t>
            </w:r>
          </w:p>
        </w:tc>
        <w:tc>
          <w:tcPr>
            <w:tcW w:w="1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ind w:right="534"/>
              <w:spacing w:after="0"/>
              <w:rPr>
                <w:sz w:val="20"/>
                <w:szCs w:val="20"/>
                <w:color w:val="auto"/>
              </w:rPr>
            </w:pPr>
            <w:r>
              <w:rPr>
                <w:rFonts w:ascii="Arial" w:cs="Arial" w:eastAsia="Arial" w:hAnsi="Arial"/>
                <w:sz w:val="4"/>
                <w:szCs w:val="4"/>
                <w:color w:val="auto"/>
                <w:w w:val="87"/>
              </w:rPr>
              <w:t>$</w:t>
            </w:r>
          </w:p>
        </w:tc>
        <w:tc>
          <w:tcPr>
            <w:tcW w:w="260" w:type="dxa"/>
            <w:vAlign w:val="bottom"/>
            <w:tcBorders>
              <w:bottom w:val="single" w:sz="8" w:color="auto"/>
            </w:tcBorders>
          </w:tcPr>
          <w:p>
            <w:pPr>
              <w:ind w:left="60"/>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7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366,344</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ind w:right="15"/>
              <w:spacing w:after="0" w:line="102" w:lineRule="exact"/>
              <w:rPr>
                <w:sz w:val="20"/>
                <w:szCs w:val="20"/>
                <w:color w:val="auto"/>
              </w:rPr>
            </w:pPr>
            <w:r>
              <w:rPr>
                <w:rFonts w:ascii="Arial" w:cs="Arial" w:eastAsia="Arial" w:hAnsi="Arial"/>
                <w:sz w:val="9"/>
                <w:szCs w:val="9"/>
                <w:color w:val="auto"/>
              </w:rPr>
              <w:t>(4 )</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00" w:type="dxa"/>
            <w:vAlign w:val="bottom"/>
            <w:tcBorders>
              <w:bottom w:val="single" w:sz="8" w:color="auto"/>
            </w:tcBorders>
          </w:tcPr>
          <w:p>
            <w:pPr>
              <w:jc w:val="right"/>
              <w:ind w:right="35"/>
              <w:spacing w:after="0" w:line="102" w:lineRule="exact"/>
              <w:rPr>
                <w:sz w:val="20"/>
                <w:szCs w:val="20"/>
                <w:color w:val="auto"/>
              </w:rPr>
            </w:pPr>
            <w:r>
              <w:rPr>
                <w:rFonts w:ascii="Arial" w:cs="Arial" w:eastAsia="Arial" w:hAnsi="Arial"/>
                <w:sz w:val="9"/>
                <w:szCs w:val="9"/>
                <w:color w:val="auto"/>
              </w:rPr>
              <w:t>(238,619 )</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ind w:right="15"/>
              <w:spacing w:after="0" w:line="102" w:lineRule="exact"/>
              <w:rPr>
                <w:sz w:val="20"/>
                <w:szCs w:val="20"/>
                <w:color w:val="auto"/>
              </w:rPr>
            </w:pPr>
            <w:r>
              <w:rPr>
                <w:rFonts w:ascii="Arial" w:cs="Arial" w:eastAsia="Arial" w:hAnsi="Arial"/>
                <w:sz w:val="9"/>
                <w:szCs w:val="9"/>
                <w:color w:val="auto"/>
              </w:rPr>
              <w:t>127,754</w:t>
            </w:r>
          </w:p>
        </w:tc>
        <w:tc>
          <w:tcPr>
            <w:tcW w:w="0" w:type="dxa"/>
            <w:vAlign w:val="bottom"/>
          </w:tcPr>
          <w:p>
            <w:pPr>
              <w:spacing w:after="0"/>
              <w:rPr>
                <w:sz w:val="1"/>
                <w:szCs w:val="1"/>
                <w:color w:val="auto"/>
              </w:rPr>
            </w:pPr>
          </w:p>
        </w:tc>
      </w:tr>
      <w:tr>
        <w:trPr>
          <w:trHeight w:val="89"/>
        </w:trPr>
        <w:tc>
          <w:tcPr>
            <w:tcW w:w="3560" w:type="dxa"/>
            <w:vAlign w:val="bottom"/>
            <w:shd w:val="clear" w:color="auto" w:fill="CFF0FC"/>
          </w:tcPr>
          <w:p>
            <w:pPr>
              <w:ind w:left="260"/>
              <w:spacing w:after="0" w:line="89" w:lineRule="exact"/>
              <w:rPr>
                <w:sz w:val="20"/>
                <w:szCs w:val="20"/>
                <w:color w:val="auto"/>
              </w:rPr>
            </w:pPr>
            <w:r>
              <w:rPr>
                <w:rFonts w:ascii="Arial" w:cs="Arial" w:eastAsia="Arial" w:hAnsi="Arial"/>
                <w:sz w:val="9"/>
                <w:szCs w:val="9"/>
                <w:color w:val="auto"/>
              </w:rPr>
              <w:t>Issuance of common stock under employee benefit plans</w:t>
            </w:r>
          </w:p>
        </w:tc>
        <w:tc>
          <w:tcPr>
            <w:tcW w:w="900" w:type="dxa"/>
            <w:vAlign w:val="bottom"/>
            <w:shd w:val="clear" w:color="auto" w:fill="CFF0FC"/>
          </w:tcPr>
          <w:p>
            <w:pPr>
              <w:jc w:val="right"/>
              <w:ind w:right="95"/>
              <w:spacing w:after="0" w:line="89" w:lineRule="exact"/>
              <w:rPr>
                <w:sz w:val="20"/>
                <w:szCs w:val="20"/>
                <w:color w:val="auto"/>
              </w:rPr>
            </w:pPr>
            <w:r>
              <w:rPr>
                <w:rFonts w:ascii="Arial" w:cs="Arial" w:eastAsia="Arial" w:hAnsi="Arial"/>
                <w:sz w:val="9"/>
                <w:szCs w:val="9"/>
                <w:color w:val="auto"/>
              </w:rPr>
              <w:t>30,008</w:t>
            </w:r>
          </w:p>
        </w:tc>
        <w:tc>
          <w:tcPr>
            <w:tcW w:w="1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36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7"/>
                <w:szCs w:val="7"/>
                <w:color w:val="auto"/>
              </w:rPr>
            </w:pPr>
          </w:p>
        </w:tc>
        <w:tc>
          <w:tcPr>
            <w:tcW w:w="380" w:type="dxa"/>
            <w:vAlign w:val="bottom"/>
            <w:gridSpan w:val="2"/>
            <w:shd w:val="clear" w:color="auto" w:fill="CFF0FC"/>
          </w:tcPr>
          <w:p>
            <w:pPr>
              <w:ind w:left="60"/>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80" w:type="dxa"/>
            <w:vAlign w:val="bottom"/>
            <w:shd w:val="clear" w:color="auto" w:fill="CFF0FC"/>
          </w:tcPr>
          <w:p>
            <w:pPr>
              <w:jc w:val="right"/>
              <w:ind w:right="75"/>
              <w:spacing w:after="0" w:line="89" w:lineRule="exact"/>
              <w:rPr>
                <w:sz w:val="20"/>
                <w:szCs w:val="20"/>
                <w:color w:val="auto"/>
              </w:rPr>
            </w:pPr>
            <w:r>
              <w:rPr>
                <w:rFonts w:ascii="Arial" w:cs="Arial" w:eastAsia="Arial" w:hAnsi="Arial"/>
                <w:sz w:val="9"/>
                <w:szCs w:val="9"/>
                <w:color w:val="auto"/>
              </w:rPr>
              <w:t>242</w:t>
            </w: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40"/>
              <w:spacing w:after="0" w:line="89" w:lineRule="exact"/>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40" w:type="dxa"/>
            <w:vAlign w:val="bottom"/>
            <w:shd w:val="clear" w:color="auto" w:fill="CFF0FC"/>
          </w:tcPr>
          <w:p>
            <w:pPr>
              <w:jc w:val="right"/>
              <w:ind w:right="15"/>
              <w:spacing w:after="0" w:line="89" w:lineRule="exact"/>
              <w:rPr>
                <w:sz w:val="20"/>
                <w:szCs w:val="20"/>
                <w:color w:val="auto"/>
              </w:rPr>
            </w:pPr>
            <w:r>
              <w:rPr>
                <w:rFonts w:ascii="Arial" w:cs="Arial" w:eastAsia="Arial" w:hAnsi="Arial"/>
                <w:sz w:val="9"/>
                <w:szCs w:val="9"/>
                <w:color w:val="auto"/>
              </w:rPr>
              <w:t>242</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Vesting of restricted stock awards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35,296</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Repurchase of unvested restricted stock awards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599</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Retirement of treasury shares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35"/>
              <w:spacing w:after="0"/>
              <w:rPr>
                <w:sz w:val="20"/>
                <w:szCs w:val="20"/>
                <w:color w:val="auto"/>
              </w:rPr>
            </w:pPr>
            <w:r>
              <w:rPr>
                <w:rFonts w:ascii="Arial" w:cs="Arial" w:eastAsia="Arial" w:hAnsi="Arial"/>
                <w:sz w:val="9"/>
                <w:szCs w:val="9"/>
                <w:color w:val="auto"/>
              </w:rPr>
              <w:t>(578 )</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Stock-based compensation expense</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2,546</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2,546</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Unrealized loss on marketable securities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15"/>
              <w:spacing w:after="0"/>
              <w:rPr>
                <w:sz w:val="20"/>
                <w:szCs w:val="20"/>
                <w:color w:val="auto"/>
              </w:rPr>
            </w:pPr>
            <w:r>
              <w:rPr>
                <w:rFonts w:ascii="Arial" w:cs="Arial" w:eastAsia="Arial" w:hAnsi="Arial"/>
                <w:sz w:val="9"/>
                <w:szCs w:val="9"/>
                <w:color w:val="auto"/>
              </w:rPr>
              <w:t>(5 )</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Net loss</w:t>
            </w:r>
          </w:p>
        </w:tc>
        <w:tc>
          <w:tcPr>
            <w:tcW w:w="9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8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9"/>
                <w:szCs w:val="9"/>
                <w:color w:val="auto"/>
              </w:rPr>
              <w:t>(19,648 )</w:t>
            </w: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(19,648 )</w:t>
            </w:r>
          </w:p>
        </w:tc>
        <w:tc>
          <w:tcPr>
            <w:tcW w:w="0" w:type="dxa"/>
            <w:vAlign w:val="bottom"/>
          </w:tcPr>
          <w:p>
            <w:pPr>
              <w:spacing w:after="0"/>
              <w:rPr>
                <w:sz w:val="1"/>
                <w:szCs w:val="1"/>
                <w:color w:val="auto"/>
              </w:rPr>
            </w:pPr>
          </w:p>
        </w:tc>
      </w:tr>
      <w:tr>
        <w:trPr>
          <w:trHeight w:val="141"/>
        </w:trPr>
        <w:tc>
          <w:tcPr>
            <w:tcW w:w="3560" w:type="dxa"/>
            <w:vAlign w:val="bottom"/>
            <w:tcBorders>
              <w:bottom w:val="single" w:sz="8" w:color="CFF0FC"/>
            </w:tcBorders>
          </w:tcPr>
          <w:p>
            <w:pPr>
              <w:spacing w:after="0" w:line="102" w:lineRule="exact"/>
              <w:rPr>
                <w:sz w:val="20"/>
                <w:szCs w:val="20"/>
                <w:color w:val="auto"/>
              </w:rPr>
            </w:pPr>
            <w:r>
              <w:rPr>
                <w:rFonts w:ascii="Arial" w:cs="Arial" w:eastAsia="Arial" w:hAnsi="Arial"/>
                <w:sz w:val="9"/>
                <w:szCs w:val="9"/>
                <w:color w:val="auto"/>
              </w:rPr>
              <w:t>Balance at June 30, 2021</w:t>
            </w:r>
          </w:p>
        </w:tc>
        <w:tc>
          <w:tcPr>
            <w:tcW w:w="900" w:type="dxa"/>
            <w:vAlign w:val="bottom"/>
            <w:tcBorders>
              <w:bottom w:val="single" w:sz="8" w:color="auto"/>
            </w:tcBorders>
          </w:tcPr>
          <w:p>
            <w:pPr>
              <w:jc w:val="right"/>
              <w:ind w:right="95"/>
              <w:spacing w:after="0" w:line="102" w:lineRule="exact"/>
              <w:rPr>
                <w:sz w:val="20"/>
                <w:szCs w:val="20"/>
                <w:color w:val="auto"/>
              </w:rPr>
            </w:pPr>
            <w:r>
              <w:rPr>
                <w:rFonts w:ascii="Arial" w:cs="Arial" w:eastAsia="Arial" w:hAnsi="Arial"/>
                <w:sz w:val="9"/>
                <w:szCs w:val="9"/>
                <w:color w:val="auto"/>
              </w:rPr>
              <w:t>32,659,740</w:t>
            </w:r>
          </w:p>
        </w:tc>
        <w:tc>
          <w:tcPr>
            <w:tcW w:w="1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ind w:right="552"/>
              <w:spacing w:after="0"/>
              <w:rPr>
                <w:sz w:val="20"/>
                <w:szCs w:val="20"/>
                <w:color w:val="auto"/>
              </w:rPr>
            </w:pPr>
            <w:r>
              <w:rPr>
                <w:rFonts w:ascii="Arial" w:cs="Arial" w:eastAsia="Arial" w:hAnsi="Arial"/>
                <w:sz w:val="4"/>
                <w:szCs w:val="4"/>
                <w:color w:val="auto"/>
                <w:w w:val="87"/>
              </w:rPr>
              <w:t>$</w:t>
            </w:r>
          </w:p>
        </w:tc>
        <w:tc>
          <w:tcPr>
            <w:tcW w:w="26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33</w:t>
            </w:r>
          </w:p>
        </w:tc>
        <w:tc>
          <w:tcPr>
            <w:tcW w:w="1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21</w:t>
            </w:r>
          </w:p>
        </w:tc>
        <w:tc>
          <w:tcPr>
            <w:tcW w:w="10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ind w:right="534"/>
              <w:spacing w:after="0"/>
              <w:rPr>
                <w:sz w:val="20"/>
                <w:szCs w:val="20"/>
                <w:color w:val="auto"/>
              </w:rPr>
            </w:pPr>
            <w:r>
              <w:rPr>
                <w:rFonts w:ascii="Arial" w:cs="Arial" w:eastAsia="Arial" w:hAnsi="Arial"/>
                <w:sz w:val="4"/>
                <w:szCs w:val="4"/>
                <w:color w:val="auto"/>
                <w:w w:val="87"/>
              </w:rPr>
              <w:t>$</w:t>
            </w:r>
          </w:p>
        </w:tc>
        <w:tc>
          <w:tcPr>
            <w:tcW w:w="260" w:type="dxa"/>
            <w:vAlign w:val="bottom"/>
            <w:tcBorders>
              <w:bottom w:val="single" w:sz="8" w:color="auto"/>
            </w:tcBorders>
          </w:tcPr>
          <w:p>
            <w:pPr>
              <w:ind w:left="60"/>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78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369,133</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ind w:right="15"/>
              <w:spacing w:after="0" w:line="102" w:lineRule="exact"/>
              <w:rPr>
                <w:sz w:val="20"/>
                <w:szCs w:val="20"/>
                <w:color w:val="auto"/>
              </w:rPr>
            </w:pPr>
            <w:r>
              <w:rPr>
                <w:rFonts w:ascii="Arial" w:cs="Arial" w:eastAsia="Arial" w:hAnsi="Arial"/>
                <w:sz w:val="9"/>
                <w:szCs w:val="9"/>
                <w:color w:val="auto"/>
              </w:rPr>
              <w:t>(9 )</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00" w:type="dxa"/>
            <w:vAlign w:val="bottom"/>
            <w:tcBorders>
              <w:bottom w:val="single" w:sz="8" w:color="auto"/>
            </w:tcBorders>
          </w:tcPr>
          <w:p>
            <w:pPr>
              <w:jc w:val="right"/>
              <w:ind w:right="35"/>
              <w:spacing w:after="0" w:line="102" w:lineRule="exact"/>
              <w:rPr>
                <w:sz w:val="20"/>
                <w:szCs w:val="20"/>
                <w:color w:val="auto"/>
              </w:rPr>
            </w:pPr>
            <w:r>
              <w:rPr>
                <w:rFonts w:ascii="Arial" w:cs="Arial" w:eastAsia="Arial" w:hAnsi="Arial"/>
                <w:sz w:val="9"/>
                <w:szCs w:val="9"/>
                <w:color w:val="auto"/>
              </w:rPr>
              <w:t>(258,267 )</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ind w:right="15"/>
              <w:spacing w:after="0" w:line="102" w:lineRule="exact"/>
              <w:rPr>
                <w:sz w:val="20"/>
                <w:szCs w:val="20"/>
                <w:color w:val="auto"/>
              </w:rPr>
            </w:pPr>
            <w:r>
              <w:rPr>
                <w:rFonts w:ascii="Arial" w:cs="Arial" w:eastAsia="Arial" w:hAnsi="Arial"/>
                <w:sz w:val="9"/>
                <w:szCs w:val="9"/>
                <w:color w:val="auto"/>
              </w:rPr>
              <w:t>110,890</w:t>
            </w:r>
          </w:p>
        </w:tc>
        <w:tc>
          <w:tcPr>
            <w:tcW w:w="0" w:type="dxa"/>
            <w:vAlign w:val="bottom"/>
          </w:tcPr>
          <w:p>
            <w:pPr>
              <w:spacing w:after="0"/>
              <w:rPr>
                <w:sz w:val="1"/>
                <w:szCs w:val="1"/>
                <w:color w:val="auto"/>
              </w:rPr>
            </w:pPr>
          </w:p>
        </w:tc>
      </w:tr>
      <w:tr>
        <w:trPr>
          <w:trHeight w:val="89"/>
        </w:trPr>
        <w:tc>
          <w:tcPr>
            <w:tcW w:w="3560" w:type="dxa"/>
            <w:vAlign w:val="bottom"/>
            <w:shd w:val="clear" w:color="auto" w:fill="CFF0FC"/>
          </w:tcPr>
          <w:p>
            <w:pPr>
              <w:ind w:left="260"/>
              <w:spacing w:after="0" w:line="89" w:lineRule="exact"/>
              <w:rPr>
                <w:sz w:val="20"/>
                <w:szCs w:val="20"/>
                <w:color w:val="auto"/>
              </w:rPr>
            </w:pPr>
            <w:r>
              <w:rPr>
                <w:rFonts w:ascii="Arial" w:cs="Arial" w:eastAsia="Arial" w:hAnsi="Arial"/>
                <w:sz w:val="9"/>
                <w:szCs w:val="9"/>
                <w:color w:val="auto"/>
                <w:w w:val="99"/>
              </w:rPr>
              <w:t>Issuance of common stock in connection with public offering, net of issuance costs</w:t>
            </w:r>
          </w:p>
        </w:tc>
        <w:tc>
          <w:tcPr>
            <w:tcW w:w="900" w:type="dxa"/>
            <w:vAlign w:val="bottom"/>
            <w:shd w:val="clear" w:color="auto" w:fill="CFF0FC"/>
          </w:tcPr>
          <w:p>
            <w:pPr>
              <w:jc w:val="right"/>
              <w:ind w:right="95"/>
              <w:spacing w:after="0" w:line="89" w:lineRule="exact"/>
              <w:rPr>
                <w:sz w:val="20"/>
                <w:szCs w:val="20"/>
                <w:color w:val="auto"/>
              </w:rPr>
            </w:pPr>
            <w:r>
              <w:rPr>
                <w:rFonts w:ascii="Arial" w:cs="Arial" w:eastAsia="Arial" w:hAnsi="Arial"/>
                <w:sz w:val="9"/>
                <w:szCs w:val="9"/>
                <w:color w:val="auto"/>
              </w:rPr>
              <w:t>7,590,000</w:t>
            </w:r>
          </w:p>
        </w:tc>
        <w:tc>
          <w:tcPr>
            <w:tcW w:w="1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60" w:type="dxa"/>
            <w:vAlign w:val="bottom"/>
            <w:shd w:val="clear" w:color="auto" w:fill="CFF0FC"/>
          </w:tcPr>
          <w:p>
            <w:pPr>
              <w:jc w:val="right"/>
              <w:ind w:right="75"/>
              <w:spacing w:after="0" w:line="89" w:lineRule="exact"/>
              <w:rPr>
                <w:sz w:val="20"/>
                <w:szCs w:val="20"/>
                <w:color w:val="auto"/>
              </w:rPr>
            </w:pPr>
            <w:r>
              <w:rPr>
                <w:rFonts w:ascii="Arial" w:cs="Arial" w:eastAsia="Arial" w:hAnsi="Arial"/>
                <w:sz w:val="9"/>
                <w:szCs w:val="9"/>
                <w:color w:val="auto"/>
              </w:rPr>
              <w:t>8</w:t>
            </w:r>
          </w:p>
        </w:tc>
        <w:tc>
          <w:tcPr>
            <w:tcW w:w="100" w:type="dxa"/>
            <w:vAlign w:val="bottom"/>
            <w:shd w:val="clear" w:color="auto" w:fill="CFF0FC"/>
          </w:tcPr>
          <w:p>
            <w:pPr>
              <w:spacing w:after="0"/>
              <w:rPr>
                <w:sz w:val="7"/>
                <w:szCs w:val="7"/>
                <w:color w:val="auto"/>
              </w:rPr>
            </w:pPr>
          </w:p>
        </w:tc>
        <w:tc>
          <w:tcPr>
            <w:tcW w:w="98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7"/>
                <w:szCs w:val="7"/>
                <w:color w:val="auto"/>
              </w:rPr>
            </w:pPr>
          </w:p>
        </w:tc>
        <w:tc>
          <w:tcPr>
            <w:tcW w:w="380" w:type="dxa"/>
            <w:vAlign w:val="bottom"/>
            <w:gridSpan w:val="2"/>
            <w:shd w:val="clear" w:color="auto" w:fill="CFF0FC"/>
          </w:tcPr>
          <w:p>
            <w:pPr>
              <w:ind w:left="60"/>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80" w:type="dxa"/>
            <w:vAlign w:val="bottom"/>
            <w:shd w:val="clear" w:color="auto" w:fill="CFF0FC"/>
          </w:tcPr>
          <w:p>
            <w:pPr>
              <w:jc w:val="right"/>
              <w:ind w:right="75"/>
              <w:spacing w:after="0" w:line="89" w:lineRule="exact"/>
              <w:rPr>
                <w:sz w:val="20"/>
                <w:szCs w:val="20"/>
                <w:color w:val="auto"/>
              </w:rPr>
            </w:pPr>
            <w:r>
              <w:rPr>
                <w:rFonts w:ascii="Arial" w:cs="Arial" w:eastAsia="Arial" w:hAnsi="Arial"/>
                <w:sz w:val="9"/>
                <w:szCs w:val="9"/>
                <w:color w:val="auto"/>
              </w:rPr>
              <w:t>135,443</w:t>
            </w: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40"/>
              <w:spacing w:after="0" w:line="89" w:lineRule="exact"/>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740" w:type="dxa"/>
            <w:vAlign w:val="bottom"/>
            <w:shd w:val="clear" w:color="auto" w:fill="CFF0FC"/>
          </w:tcPr>
          <w:p>
            <w:pPr>
              <w:jc w:val="right"/>
              <w:ind w:right="15"/>
              <w:spacing w:after="0" w:line="89" w:lineRule="exact"/>
              <w:rPr>
                <w:sz w:val="20"/>
                <w:szCs w:val="20"/>
                <w:color w:val="auto"/>
              </w:rPr>
            </w:pPr>
            <w:r>
              <w:rPr>
                <w:rFonts w:ascii="Arial" w:cs="Arial" w:eastAsia="Arial" w:hAnsi="Arial"/>
                <w:sz w:val="9"/>
                <w:szCs w:val="9"/>
                <w:color w:val="auto"/>
              </w:rPr>
              <w:t>135,451</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Issuance of common stock under employee benefit plans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249,622</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2,403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2,403</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Vesting of restricted stock awards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26,623</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Repurchase of unvested restricted stock awards</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75"/>
              <w:spacing w:after="0"/>
              <w:rPr>
                <w:sz w:val="20"/>
                <w:szCs w:val="20"/>
                <w:color w:val="auto"/>
              </w:rPr>
            </w:pPr>
            <w:r>
              <w:rPr>
                <w:rFonts w:ascii="Arial" w:cs="Arial" w:eastAsia="Arial" w:hAnsi="Arial"/>
                <w:sz w:val="9"/>
                <w:szCs w:val="9"/>
                <w:color w:val="auto"/>
              </w:rPr>
              <w:t>536</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Retirement of treasury shares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9"/>
                <w:szCs w:val="9"/>
                <w:color w:val="auto"/>
              </w:rPr>
              <w:t>(557 )</w:t>
            </w: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3560" w:type="dxa"/>
            <w:vAlign w:val="bottom"/>
          </w:tcPr>
          <w:p>
            <w:pPr>
              <w:ind w:left="260"/>
              <w:spacing w:after="0"/>
              <w:rPr>
                <w:sz w:val="20"/>
                <w:szCs w:val="20"/>
                <w:color w:val="auto"/>
              </w:rPr>
            </w:pPr>
            <w:r>
              <w:rPr>
                <w:rFonts w:ascii="Arial" w:cs="Arial" w:eastAsia="Arial" w:hAnsi="Arial"/>
                <w:sz w:val="9"/>
                <w:szCs w:val="9"/>
                <w:color w:val="auto"/>
              </w:rPr>
              <w:t>Stock-based compensation expense</w:t>
            </w:r>
          </w:p>
        </w:tc>
        <w:tc>
          <w:tcPr>
            <w:tcW w:w="9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38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2,658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2,658</w:t>
            </w:r>
          </w:p>
        </w:tc>
        <w:tc>
          <w:tcPr>
            <w:tcW w:w="0" w:type="dxa"/>
            <w:vAlign w:val="bottom"/>
          </w:tcPr>
          <w:p>
            <w:pPr>
              <w:spacing w:after="0"/>
              <w:rPr>
                <w:sz w:val="1"/>
                <w:szCs w:val="1"/>
                <w:color w:val="auto"/>
              </w:rPr>
            </w:pPr>
          </w:p>
        </w:tc>
      </w:tr>
      <w:tr>
        <w:trPr>
          <w:trHeight w:val="108"/>
        </w:trPr>
        <w:tc>
          <w:tcPr>
            <w:tcW w:w="3560" w:type="dxa"/>
            <w:vAlign w:val="bottom"/>
            <w:shd w:val="clear" w:color="auto" w:fill="CFF0FC"/>
          </w:tcPr>
          <w:p>
            <w:pPr>
              <w:ind w:left="260"/>
              <w:spacing w:after="0"/>
              <w:rPr>
                <w:sz w:val="20"/>
                <w:szCs w:val="20"/>
                <w:color w:val="auto"/>
              </w:rPr>
            </w:pPr>
            <w:r>
              <w:rPr>
                <w:rFonts w:ascii="Arial" w:cs="Arial" w:eastAsia="Arial" w:hAnsi="Arial"/>
                <w:sz w:val="9"/>
                <w:szCs w:val="9"/>
                <w:color w:val="auto"/>
              </w:rPr>
              <w:t>Unrealized loss on marketable securities</w:t>
            </w:r>
          </w:p>
        </w:tc>
        <w:tc>
          <w:tcPr>
            <w:tcW w:w="9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spacing w:after="0"/>
              <w:rPr>
                <w:sz w:val="9"/>
                <w:szCs w:val="9"/>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(78 )</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9"/>
                <w:szCs w:val="9"/>
                <w:color w:val="auto"/>
              </w:rPr>
              <w:t>(78 )</w:t>
            </w:r>
          </w:p>
        </w:tc>
        <w:tc>
          <w:tcPr>
            <w:tcW w:w="0" w:type="dxa"/>
            <w:vAlign w:val="bottom"/>
          </w:tcPr>
          <w:p>
            <w:pPr>
              <w:spacing w:after="0"/>
              <w:rPr>
                <w:sz w:val="1"/>
                <w:szCs w:val="1"/>
                <w:color w:val="auto"/>
              </w:rPr>
            </w:pPr>
          </w:p>
        </w:tc>
      </w:tr>
      <w:tr>
        <w:trPr>
          <w:trHeight w:val="108"/>
        </w:trPr>
        <w:tc>
          <w:tcPr>
            <w:tcW w:w="3560" w:type="dxa"/>
            <w:vAlign w:val="bottom"/>
            <w:tcBorders>
              <w:bottom w:val="single" w:sz="8" w:color="CFF0FC"/>
            </w:tcBorders>
          </w:tcPr>
          <w:p>
            <w:pPr>
              <w:ind w:left="260"/>
              <w:spacing w:after="0"/>
              <w:rPr>
                <w:sz w:val="20"/>
                <w:szCs w:val="20"/>
                <w:color w:val="auto"/>
              </w:rPr>
            </w:pPr>
            <w:r>
              <w:rPr>
                <w:rFonts w:ascii="Arial" w:cs="Arial" w:eastAsia="Arial" w:hAnsi="Arial"/>
                <w:sz w:val="9"/>
                <w:szCs w:val="9"/>
                <w:color w:val="auto"/>
              </w:rPr>
              <w:t>Net loss</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(20,716 )</w:t>
            </w: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(20,716 )</w:t>
            </w:r>
          </w:p>
        </w:tc>
        <w:tc>
          <w:tcPr>
            <w:tcW w:w="0" w:type="dxa"/>
            <w:vAlign w:val="bottom"/>
          </w:tcPr>
          <w:p>
            <w:pPr>
              <w:spacing w:after="0"/>
              <w:rPr>
                <w:sz w:val="1"/>
                <w:szCs w:val="1"/>
                <w:color w:val="auto"/>
              </w:rPr>
            </w:pPr>
          </w:p>
        </w:tc>
      </w:tr>
      <w:tr>
        <w:trPr>
          <w:trHeight w:val="101"/>
        </w:trPr>
        <w:tc>
          <w:tcPr>
            <w:tcW w:w="3560" w:type="dxa"/>
            <w:vAlign w:val="bottom"/>
            <w:shd w:val="clear" w:color="auto" w:fill="CFF0FC"/>
          </w:tcPr>
          <w:p>
            <w:pPr>
              <w:spacing w:after="0" w:line="102" w:lineRule="exact"/>
              <w:rPr>
                <w:sz w:val="20"/>
                <w:szCs w:val="20"/>
                <w:color w:val="auto"/>
              </w:rPr>
            </w:pPr>
            <w:r>
              <w:rPr>
                <w:rFonts w:ascii="Arial" w:cs="Arial" w:eastAsia="Arial" w:hAnsi="Arial"/>
                <w:sz w:val="9"/>
                <w:szCs w:val="9"/>
                <w:color w:val="auto"/>
              </w:rPr>
              <w:t>Balance at September 30, 2021</w:t>
            </w:r>
          </w:p>
        </w:tc>
        <w:tc>
          <w:tcPr>
            <w:tcW w:w="90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40,525,985</w:t>
            </w:r>
          </w:p>
        </w:tc>
        <w:tc>
          <w:tcPr>
            <w:tcW w:w="740" w:type="dxa"/>
            <w:vAlign w:val="bottom"/>
            <w:gridSpan w:val="2"/>
            <w:shd w:val="clear" w:color="auto" w:fill="CFF0FC"/>
          </w:tcPr>
          <w:p>
            <w:pPr>
              <w:jc w:val="right"/>
              <w:ind w:right="552"/>
              <w:spacing w:after="0" w:line="102" w:lineRule="exact"/>
              <w:rPr>
                <w:sz w:val="20"/>
                <w:szCs w:val="20"/>
                <w:color w:val="auto"/>
              </w:rPr>
            </w:pPr>
            <w:r>
              <w:rPr>
                <w:rFonts w:ascii="Arial" w:cs="Arial" w:eastAsia="Arial" w:hAnsi="Arial"/>
                <w:sz w:val="9"/>
                <w:szCs w:val="9"/>
                <w:color w:val="auto"/>
              </w:rPr>
              <w:t>$</w:t>
            </w:r>
          </w:p>
        </w:tc>
        <w:tc>
          <w:tcPr>
            <w:tcW w:w="26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41</w:t>
            </w:r>
          </w:p>
        </w:tc>
        <w:tc>
          <w:tcPr>
            <w:tcW w:w="100" w:type="dxa"/>
            <w:vAlign w:val="bottom"/>
            <w:shd w:val="clear" w:color="auto" w:fill="CFF0FC"/>
          </w:tcPr>
          <w:p>
            <w:pPr>
              <w:spacing w:after="0"/>
              <w:rPr>
                <w:sz w:val="8"/>
                <w:szCs w:val="8"/>
                <w:color w:val="auto"/>
              </w:rPr>
            </w:pPr>
          </w:p>
        </w:tc>
        <w:tc>
          <w:tcPr>
            <w:tcW w:w="980" w:type="dxa"/>
            <w:vAlign w:val="bottom"/>
            <w:gridSpan w:val="2"/>
            <w:shd w:val="clear" w:color="auto" w:fill="CFF0FC"/>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534"/>
              <w:spacing w:after="0"/>
              <w:rPr>
                <w:sz w:val="20"/>
                <w:szCs w:val="20"/>
                <w:color w:val="auto"/>
              </w:rPr>
            </w:pPr>
            <w:r>
              <w:rPr>
                <w:rFonts w:ascii="Arial" w:cs="Arial" w:eastAsia="Arial" w:hAnsi="Arial"/>
                <w:sz w:val="4"/>
                <w:szCs w:val="4"/>
                <w:color w:val="auto"/>
                <w:w w:val="87"/>
              </w:rPr>
              <w:t>$</w:t>
            </w:r>
          </w:p>
        </w:tc>
        <w:tc>
          <w:tcPr>
            <w:tcW w:w="380" w:type="dxa"/>
            <w:vAlign w:val="bottom"/>
            <w:gridSpan w:val="2"/>
            <w:shd w:val="clear" w:color="auto" w:fill="CFF0FC"/>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jc w:val="right"/>
              <w:ind w:right="18"/>
              <w:spacing w:after="0"/>
              <w:rPr>
                <w:sz w:val="20"/>
                <w:szCs w:val="20"/>
                <w:color w:val="auto"/>
              </w:rPr>
            </w:pPr>
            <w:r>
              <w:rPr>
                <w:rFonts w:ascii="Arial" w:cs="Arial" w:eastAsia="Arial" w:hAnsi="Arial"/>
                <w:sz w:val="4"/>
                <w:szCs w:val="4"/>
                <w:color w:val="auto"/>
                <w:w w:val="87"/>
              </w:rPr>
              <w:t>$</w:t>
            </w:r>
          </w:p>
        </w:tc>
        <w:tc>
          <w:tcPr>
            <w:tcW w:w="78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509,638</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780" w:type="dxa"/>
            <w:vAlign w:val="bottom"/>
            <w:shd w:val="clear" w:color="auto" w:fill="CFF0FC"/>
          </w:tcPr>
          <w:p>
            <w:pPr>
              <w:jc w:val="right"/>
              <w:ind w:right="15"/>
              <w:spacing w:after="0" w:line="102" w:lineRule="exact"/>
              <w:rPr>
                <w:sz w:val="20"/>
                <w:szCs w:val="20"/>
                <w:color w:val="auto"/>
              </w:rPr>
            </w:pPr>
            <w:r>
              <w:rPr>
                <w:rFonts w:ascii="Arial" w:cs="Arial" w:eastAsia="Arial" w:hAnsi="Arial"/>
                <w:sz w:val="9"/>
                <w:szCs w:val="9"/>
                <w:color w:val="auto"/>
              </w:rPr>
              <w:t>(87 )</w:t>
            </w: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4"/>
                <w:szCs w:val="4"/>
                <w:color w:val="auto"/>
                <w:w w:val="87"/>
              </w:rPr>
              <w:t>$</w:t>
            </w:r>
          </w:p>
        </w:tc>
        <w:tc>
          <w:tcPr>
            <w:tcW w:w="800" w:type="dxa"/>
            <w:vAlign w:val="bottom"/>
            <w:shd w:val="clear" w:color="auto" w:fill="CFF0FC"/>
          </w:tcPr>
          <w:p>
            <w:pPr>
              <w:jc w:val="right"/>
              <w:ind w:right="35"/>
              <w:spacing w:after="0" w:line="102" w:lineRule="exact"/>
              <w:rPr>
                <w:sz w:val="20"/>
                <w:szCs w:val="20"/>
                <w:color w:val="auto"/>
              </w:rPr>
            </w:pPr>
            <w:r>
              <w:rPr>
                <w:rFonts w:ascii="Arial" w:cs="Arial" w:eastAsia="Arial" w:hAnsi="Arial"/>
                <w:sz w:val="9"/>
                <w:szCs w:val="9"/>
                <w:color w:val="auto"/>
              </w:rPr>
              <w:t>(278,983 )</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ind w:right="15"/>
              <w:spacing w:after="0" w:line="102" w:lineRule="exact"/>
              <w:rPr>
                <w:sz w:val="20"/>
                <w:szCs w:val="20"/>
                <w:color w:val="auto"/>
              </w:rPr>
            </w:pPr>
            <w:r>
              <w:rPr>
                <w:rFonts w:ascii="Arial" w:cs="Arial" w:eastAsia="Arial" w:hAnsi="Arial"/>
                <w:sz w:val="9"/>
                <w:szCs w:val="9"/>
                <w:color w:val="auto"/>
              </w:rPr>
              <w:t>230,609</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Nine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54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39"/>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(57,363)</w:t>
            </w:r>
          </w:p>
        </w:tc>
        <w:tc>
          <w:tcPr>
            <w:tcW w:w="16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(53,099)</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1,894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7,277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5,673</w:t>
            </w:r>
          </w:p>
        </w:tc>
        <w:tc>
          <w:tcPr>
            <w:tcW w:w="0" w:type="dxa"/>
            <w:vAlign w:val="bottom"/>
          </w:tcPr>
          <w:p>
            <w:pPr>
              <w:spacing w:after="0"/>
              <w:rPr>
                <w:sz w:val="1"/>
                <w:szCs w:val="1"/>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Net amortization of premiums and discounts on marketable securities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Unbilled accounts receivable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13"/>
        </w:trPr>
        <w:tc>
          <w:tcPr>
            <w:tcW w:w="754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3"/>
        </w:trPr>
        <w:tc>
          <w:tcPr>
            <w:tcW w:w="75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2,745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213"/>
        </w:trPr>
        <w:tc>
          <w:tcPr>
            <w:tcW w:w="754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9,574</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deferred lease incentive</w:t>
            </w:r>
          </w:p>
        </w:tc>
        <w:tc>
          <w:tcPr>
            <w:tcW w:w="2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1180" w:type="dxa"/>
            <w:vAlign w:val="bottom"/>
            <w:gridSpan w:val="2"/>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(56,620)</w:t>
            </w:r>
          </w:p>
        </w:tc>
        <w:tc>
          <w:tcPr>
            <w:tcW w:w="1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(33,829)</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(181,349)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(81,270)</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Maturities of marketable securities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61,968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39,600</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13"/>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(120,575)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(42,540)</w:t>
            </w: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Payment of initial public offering costs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6"/>
                <w:szCs w:val="16"/>
                <w:color w:val="auto"/>
                <w:w w:val="94"/>
              </w:rPr>
              <w:t>Proceeds from issuance of common stock in connection with private placement, net of placement agent fees and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6"/>
                <w:szCs w:val="16"/>
                <w:color w:val="auto"/>
              </w:rPr>
              <w:t>offering costs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64,210</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in connection with public offerings, net of issuance costs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182,934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Principal payments on capital lease obligations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under benefit plans, net</w:t>
            </w:r>
          </w:p>
        </w:tc>
        <w:tc>
          <w:tcPr>
            <w:tcW w:w="2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2,699</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06"/>
        </w:trPr>
        <w:tc>
          <w:tcPr>
            <w:tcW w:w="7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185,616</w:t>
            </w:r>
          </w:p>
        </w:tc>
        <w:tc>
          <w:tcPr>
            <w:tcW w:w="1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64,877</w:t>
            </w:r>
          </w:p>
        </w:tc>
        <w:tc>
          <w:tcPr>
            <w:tcW w:w="0" w:type="dxa"/>
            <w:vAlign w:val="bottom"/>
          </w:tcPr>
          <w:p>
            <w:pPr>
              <w:spacing w:after="0"/>
              <w:rPr>
                <w:sz w:val="1"/>
                <w:szCs w:val="1"/>
                <w:color w:val="auto"/>
              </w:rPr>
            </w:pPr>
          </w:p>
        </w:tc>
      </w:tr>
      <w:tr>
        <w:trPr>
          <w:trHeight w:val="213"/>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8,421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(11,492)</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26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58,144</w:t>
            </w:r>
          </w:p>
        </w:tc>
        <w:tc>
          <w:tcPr>
            <w:tcW w:w="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97,805</w:t>
            </w: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1180" w:type="dxa"/>
            <w:vAlign w:val="bottom"/>
            <w:gridSpan w:val="2"/>
            <w:shd w:val="clear" w:color="auto" w:fill="CFF0FC"/>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66,565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86,313</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1180" w:type="dxa"/>
            <w:vAlign w:val="bottom"/>
            <w:gridSpan w:val="2"/>
            <w:shd w:val="clear" w:color="auto" w:fill="CFF0FC"/>
          </w:tcPr>
          <w:p>
            <w:pPr>
              <w:jc w:val="right"/>
              <w:ind w:right="768"/>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Offering costs unpaid at end of period</w:t>
            </w:r>
          </w:p>
        </w:tc>
        <w:tc>
          <w:tcPr>
            <w:tcW w:w="1180" w:type="dxa"/>
            <w:vAlign w:val="bottom"/>
            <w:gridSpan w:val="2"/>
            <w:shd w:val="clear" w:color="auto" w:fill="CFF0FC"/>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6"/>
                <w:szCs w:val="16"/>
                <w:color w:val="auto"/>
              </w:rPr>
              <w:t>Property and equipment purchases unpaid at end of period</w:t>
            </w:r>
          </w:p>
        </w:tc>
        <w:tc>
          <w:tcPr>
            <w:tcW w:w="1180" w:type="dxa"/>
            <w:vAlign w:val="bottom"/>
            <w:gridSpan w:val="2"/>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314</w:t>
            </w:r>
          </w:p>
        </w:tc>
        <w:tc>
          <w:tcPr>
            <w:tcW w:w="16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a reconciliation of the cash, cash equivalents, and restricted cash balances as of each of the periods shown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383"/>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2020</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65,473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85,221</w:t>
            </w: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1,092</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1,092</w:t>
            </w: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66,565</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86,313</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40" w:firstLine="382"/>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September 30, 2021 and the results of its operations and its cash flows for the three and nine months ended September 30, 2021 and 2020. The results for the three and nine months ended September 30, 2021 are not necessarily indicative of results to be expected for the year ending December 31, 2021, any other interim periods, or any future year or period. These consolidated financial statements should be read in conjunction with the Company’s audited consolidated financial statements and the notes thereto for the year ended December 31, 2020 included in the Company’s Annual Report on Form 10-K filed with the Securities and Exchange Commission (the “SEC”) on March 4, 2021 (the “Annual Report on Form 10-K”).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On June 9, 2020, the Company issued and sold 4,029,411 shares of common stock to investors in a private placement at a price of $17.00 per share, resulting in net proceeds of $64.3 million after deducting offering costs.</w:t>
      </w:r>
    </w:p>
    <w:p>
      <w:pPr>
        <w:spacing w:after="0" w:line="170"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On August 11, 2020, the Company entered into an Equity Distribution Agreement with Piper Sandler &amp; Co. (“Piper Sandler”), as sales agent, pursuant to which the Company may offer and sell shares of its common stock with an aggregate offering price of up to $75.0 million under an “at-the-market” offering program (the “ATM Offering”). The Equity Distribution Agreement provides that Piper Sandler will be entitled to a sales commission equal to 3.0% of the gross sales price per share of all shares sold under the ATM Offering. From the initiation of the ATM Offering through September 30, 2021, the Company has issued and sold 550,000 shares under the ATM Offering, resulting in aggregate net proceeds of $5.7 million after deducting issuance costs of $0.2 million.</w:t>
      </w:r>
    </w:p>
    <w:p>
      <w:pPr>
        <w:spacing w:after="0" w:line="192" w:lineRule="exact"/>
        <w:rPr>
          <w:sz w:val="20"/>
          <w:szCs w:val="20"/>
          <w:color w:val="auto"/>
        </w:rPr>
      </w:pPr>
    </w:p>
    <w:p>
      <w:pPr>
        <w:ind w:right="180" w:firstLine="382"/>
        <w:spacing w:after="0" w:line="263" w:lineRule="auto"/>
        <w:rPr>
          <w:sz w:val="20"/>
          <w:szCs w:val="20"/>
          <w:color w:val="auto"/>
        </w:rPr>
      </w:pPr>
      <w:r>
        <w:rPr>
          <w:rFonts w:ascii="Arial" w:cs="Arial" w:eastAsia="Arial" w:hAnsi="Arial"/>
          <w:sz w:val="18"/>
          <w:szCs w:val="18"/>
          <w:color w:val="auto"/>
        </w:rPr>
        <w:t>On January 22, 2021, the Company completed a public offering of its common stock and issued and sold 4,600,000 shares of common stock at a public offering price of $11.00 per share, resulting in net proceeds of $47.4 million after deducting underwriting discounts and commissions and offering expenses.</w:t>
      </w:r>
    </w:p>
    <w:p>
      <w:pPr>
        <w:spacing w:after="0" w:line="184"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On August 16, 2021, the Company completed a public offering of its common stock and issued and sold 7,590,000 shares of common stock at a public offering price of $19.00 per share, resulting in net proceeds of $135.5 million after deducting underwriting discounts and commissions and offering expenses.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00" w:firstLine="382"/>
        <w:spacing w:after="0" w:line="272" w:lineRule="auto"/>
        <w:rPr>
          <w:sz w:val="20"/>
          <w:szCs w:val="20"/>
          <w:color w:val="auto"/>
        </w:rPr>
      </w:pPr>
      <w:r>
        <w:rPr>
          <w:rFonts w:ascii="Arial" w:cs="Arial" w:eastAsia="Arial" w:hAnsi="Arial"/>
          <w:sz w:val="17"/>
          <w:szCs w:val="17"/>
          <w:color w:val="auto"/>
        </w:rPr>
        <w:t>The Company has incurred recurring losses and negative cash flows from operations since inception and has primarily funded its operations with proceeds from the sale of shares of common stock in public offerings, a private placement, and the ATM Offering, through issuances of convertible preferred stock, and from upfront payments received from the collaboration and license agreements with Acceleron Pharma Inc. (“Acceleron”), and MyoKardia, Inc. (“MyoKardia”), a wholly owned subsidiary of Bristol Myers Squibb Company. As of September 30, 2021, the Company had an accumulated deficit of $279.0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7"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The Company expects that its cash, cash equivalents, and marketable securities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40" w:firstLine="382"/>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140" w:firstLine="382"/>
        <w:spacing w:after="0" w:line="311" w:lineRule="auto"/>
        <w:rPr>
          <w:sz w:val="20"/>
          <w:szCs w:val="20"/>
          <w:color w:val="auto"/>
        </w:rPr>
      </w:pPr>
      <w:r>
        <w:rPr>
          <w:rFonts w:ascii="Arial" w:cs="Arial" w:eastAsia="Arial" w:hAnsi="Arial"/>
          <w:sz w:val="16"/>
          <w:szCs w:val="16"/>
          <w:color w:val="auto"/>
        </w:rPr>
        <w:t>The significant accounting policies and estimates used in the preparation of the accompanying consolidated financial statements are described in the Company’s audited consolidated financial statements for the year ended December 31, 2020 included in the Company’s Annual Report on Form 10-K. There have been no material changes in the Company’s significant accounting policies during the nine months ended September 30,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corporate bonds, commercial paper, and money market funds that invest in U.S. Treasury securities. The Company’s marketable securities primarily consist of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2019, the FASB deferred the effective date of ASU 2016-02, as amended, for private companies to fiscal years beginning after December 15, 2020. In June 2020, the FASB further deferred the effective date of ASU 2016-02, as amended, for private companies to fiscal years beginning after December 15, 2021. The new standard will become effective for the Company on January 1, 2022. The Company will apply the transition method permitted by ASU 2016-02, as amended.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67"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requires that credit losses be reported using an expected losses model rather than the incurred losses model that is currently used,</w:t>
      </w:r>
      <w:r>
        <w:rPr>
          <w:rFonts w:ascii="Arial" w:cs="Arial" w:eastAsia="Arial" w:hAnsi="Arial"/>
          <w:sz w:val="16"/>
          <w:szCs w:val="16"/>
          <w:i w:val="1"/>
          <w:iCs w:val="1"/>
          <w:color w:val="auto"/>
        </w:rPr>
        <w:t xml:space="preserve"> </w:t>
      </w:r>
      <w:r>
        <w:rPr>
          <w:rFonts w:ascii="Arial" w:cs="Arial" w:eastAsia="Arial" w:hAnsi="Arial"/>
          <w:sz w:val="16"/>
          <w:szCs w:val="16"/>
          <w:color w:val="auto"/>
        </w:rPr>
        <w:t>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61" w:lineRule="exact"/>
        <w:rPr>
          <w:sz w:val="20"/>
          <w:szCs w:val="20"/>
          <w:color w:val="auto"/>
        </w:rPr>
      </w:pPr>
    </w:p>
    <w:p>
      <w:pPr>
        <w:jc w:val="both"/>
        <w:ind w:right="120" w:firstLine="382"/>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September 30, 2021 and December 31,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8"/>
              </w:rPr>
              <w:t>Fair Value Measurements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60,070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60,070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87,951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87,951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86,921</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86,921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240,345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60,070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180,275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8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57,052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57,052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32,523</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32,523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112,914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57,052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55,862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transfers between fair value levels during the three and nine months ended September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Cash equivalents and marketable securities consisted of the following as of September 30, 2021 and December 31, 2020 (in thousands):</w:t>
      </w:r>
    </w:p>
    <w:p>
      <w:pPr>
        <w:spacing w:after="0" w:line="269"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Fair Value Measurements at</w:t>
      </w:r>
    </w:p>
    <w:p>
      <w:pPr>
        <w:jc w:val="center"/>
        <w:ind w:left="5700"/>
        <w:spacing w:after="0" w:line="236" w:lineRule="auto"/>
        <w:rPr>
          <w:sz w:val="20"/>
          <w:szCs w:val="20"/>
          <w:color w:val="auto"/>
        </w:rPr>
      </w:pPr>
      <w:r>
        <w:rPr>
          <w:rFonts w:ascii="Arial" w:cs="Arial" w:eastAsia="Arial" w:hAnsi="Arial"/>
          <w:sz w:val="14"/>
          <w:szCs w:val="14"/>
          <w:b w:val="1"/>
          <w:bCs w:val="1"/>
          <w:color w:val="auto"/>
        </w:rPr>
        <w:t>September 30, 2021</w:t>
      </w:r>
    </w:p>
    <w:tbl>
      <w:tblPr>
        <w:tblLayout w:type="fixed"/>
        <w:tblInd w:w="0" w:type="dxa"/>
        <w:tblCellMar>
          <w:top w:w="0" w:type="dxa"/>
          <w:left w:w="0" w:type="dxa"/>
          <w:bottom w:w="0" w:type="dxa"/>
          <w:right w:w="0" w:type="dxa"/>
        </w:tblCellMar>
      </w:tblPr>
      <w:tr>
        <w:trPr>
          <w:trHeight w:val="133"/>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Borders>
              <w:top w:val="single" w:sz="8" w:color="auto"/>
            </w:tcBorders>
          </w:tcPr>
          <w:p>
            <w:pPr>
              <w:jc w:val="center"/>
              <w:ind w:left="128"/>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95"/>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60,070</w:t>
            </w:r>
          </w:p>
        </w:tc>
        <w:tc>
          <w:tcPr>
            <w:tcW w:w="140" w:type="dxa"/>
            <w:vAlign w:val="bottom"/>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60,070</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4,400</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65,473</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65,473</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88,018</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87,951</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86,941</w:t>
            </w: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86,921</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174,959</w:t>
            </w:r>
          </w:p>
        </w:tc>
        <w:tc>
          <w:tcPr>
            <w:tcW w:w="1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174,872</w:t>
            </w:r>
          </w:p>
        </w:tc>
        <w:tc>
          <w:tcPr>
            <w:tcW w:w="0" w:type="dxa"/>
            <w:vAlign w:val="bottom"/>
          </w:tcPr>
          <w:p>
            <w:pPr>
              <w:spacing w:after="0"/>
              <w:rPr>
                <w:sz w:val="1"/>
                <w:szCs w:val="1"/>
                <w:color w:val="auto"/>
              </w:rPr>
            </w:pP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240,432</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240,345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right"/>
              <w:ind w:right="415"/>
              <w:spacing w:after="0"/>
              <w:rPr>
                <w:sz w:val="20"/>
                <w:szCs w:val="20"/>
                <w:color w:val="auto"/>
              </w:rPr>
            </w:pPr>
            <w:r>
              <w:rPr>
                <w:rFonts w:ascii="Arial" w:cs="Arial" w:eastAsia="Arial" w:hAnsi="Arial"/>
                <w:sz w:val="14"/>
                <w:szCs w:val="14"/>
                <w:b w:val="1"/>
                <w:bCs w:val="1"/>
                <w:color w:val="auto"/>
              </w:rPr>
              <w:t>Fair Value Measurements at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57,052</w:t>
            </w:r>
          </w:p>
        </w:tc>
        <w:tc>
          <w:tcPr>
            <w:tcW w:w="140" w:type="dxa"/>
            <w:vAlign w:val="bottom"/>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57,052</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57,052</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57,052</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23,341</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23,339</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32,523</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32,523</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55,864</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55,862</w:t>
            </w:r>
          </w:p>
        </w:tc>
        <w:tc>
          <w:tcPr>
            <w:tcW w:w="0" w:type="dxa"/>
            <w:vAlign w:val="bottom"/>
          </w:tcPr>
          <w:p>
            <w:pPr>
              <w:spacing w:after="0"/>
              <w:rPr>
                <w:sz w:val="1"/>
                <w:szCs w:val="1"/>
                <w:color w:val="auto"/>
              </w:rPr>
            </w:pP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112,916</w:t>
            </w:r>
          </w:p>
        </w:tc>
        <w:tc>
          <w:tcPr>
            <w:tcW w:w="140" w:type="dxa"/>
            <w:vAlign w:val="bottom"/>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gridSpan w:val="2"/>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112,914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40" w:firstLine="382"/>
        <w:spacing w:after="0" w:line="277" w:lineRule="auto"/>
        <w:rPr>
          <w:sz w:val="20"/>
          <w:szCs w:val="20"/>
          <w:color w:val="auto"/>
        </w:rPr>
      </w:pPr>
      <w:r>
        <w:rPr>
          <w:rFonts w:ascii="Arial" w:cs="Arial" w:eastAsia="Arial" w:hAnsi="Arial"/>
          <w:sz w:val="18"/>
          <w:szCs w:val="18"/>
          <w:color w:val="auto"/>
        </w:rPr>
        <w:t>There were no sales of marketable securities during the three and nine months ended September 30, 2021. As of September 30, 2021, the aggregate fair value of securities that were in an unrealized loss position for less than twelve months was $164.2 million.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determined that it did not hold any securities with any other-than-temporary impairment as of September 30, 2021.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the remaining contractual maturity of all of the Company’s marketable securities is less than one year. As of September 30, 2021,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did not intend to sell, and would not be more likely than not required to sell, the securities in an unrealized loss position before recovery of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amortized cost bases.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7,632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6,877</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594</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262</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15,578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14,515</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7,749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8,397</w:t>
            </w: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382"/>
        <w:spacing w:after="0" w:line="308" w:lineRule="auto"/>
        <w:rPr>
          <w:sz w:val="20"/>
          <w:szCs w:val="20"/>
          <w:color w:val="auto"/>
        </w:rPr>
      </w:pPr>
      <w:r>
        <w:rPr>
          <w:rFonts w:ascii="Arial" w:cs="Arial" w:eastAsia="Arial" w:hAnsi="Arial"/>
          <w:sz w:val="18"/>
          <w:szCs w:val="18"/>
          <w:color w:val="auto"/>
        </w:rPr>
        <w:t>Depreciation expense for the three months ended September 30, 2021 and 2020 was $0.6 million and $0.5 million, respectively. Depreciation expense for the nine months ended September 30, 2021 and 2020 was $1.9 million and $1.6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w w:val="93"/>
              </w:rPr>
              <w:t>Accrued expenses and other current liabilities consisted of the following (in thousands):</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Payroll and benefits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229"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As of September 30, 2021 and December 31, 2020, 5,000,000 shares of undesignated preferred stock were authorized. No shares of preferred stock were issued or outstanding as of September 30, 2021 and December 31, 2020.</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dividends have been declared since inception.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September 30, 2021 and December 31, 2020, 200,000,000 shares of common stock, $0.001 par value per share, were authorized.</w:t>
      </w:r>
    </w:p>
    <w:p>
      <w:pPr>
        <w:spacing w:after="0" w:line="237" w:lineRule="exact"/>
        <w:rPr>
          <w:sz w:val="20"/>
          <w:szCs w:val="20"/>
          <w:color w:val="auto"/>
        </w:rPr>
      </w:pPr>
    </w:p>
    <w:p>
      <w:pPr>
        <w:jc w:val="both"/>
        <w:ind w:right="80" w:firstLine="382"/>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2021 and December 31, 2020, the Company has reserved for future issuance the following number of shares of common stock:</w:t>
      </w:r>
    </w:p>
    <w:p>
      <w:pPr>
        <w:spacing w:after="0" w:line="26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6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4,962,869</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2,962,347</w:t>
            </w: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579,016</w:t>
            </w:r>
          </w:p>
        </w:tc>
        <w:tc>
          <w:tcPr>
            <w:tcW w:w="14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1,728,616</w:t>
            </w:r>
          </w:p>
        </w:tc>
      </w:tr>
      <w:tr>
        <w:trPr>
          <w:trHeight w:val="215"/>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76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729,900</w:t>
            </w:r>
          </w:p>
        </w:tc>
        <w:tc>
          <w:tcPr>
            <w:tcW w:w="14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465,999</w:t>
            </w:r>
          </w:p>
        </w:tc>
      </w:tr>
      <w:tr>
        <w:trPr>
          <w:trHeight w:val="223"/>
        </w:trPr>
        <w:tc>
          <w:tcPr>
            <w:tcW w:w="3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6,271,785</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5,156,962</w:t>
            </w:r>
          </w:p>
        </w:tc>
      </w:tr>
      <w:tr>
        <w:trPr>
          <w:trHeight w:val="20"/>
        </w:trPr>
        <w:tc>
          <w:tcPr>
            <w:tcW w:w="3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right="220" w:firstLine="382"/>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September 30, 2021, no shares remained available for future issuance under the 2016 Plan. Any options or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on each January 1 thereafter through January 1, 2029 by the least of (i) 2,000,000 shares, (ii) 4% of the number of shares of the Company’s common stock outstanding on the first day of each such year or (iii) an amount determined by the Company’s board of directors. On January 1, 2021, the number of shares reserved for issuance under the 2019 Plan was increased by 1,122,696 shares. As of September 30, 2021, there were 579,016 shares available for future issuance under the 2019 Plan.</w:t>
      </w:r>
    </w:p>
    <w:p>
      <w:pPr>
        <w:spacing w:after="0" w:line="165" w:lineRule="exact"/>
        <w:rPr>
          <w:sz w:val="20"/>
          <w:szCs w:val="20"/>
          <w:color w:val="auto"/>
        </w:rPr>
      </w:pPr>
    </w:p>
    <w:p>
      <w:pPr>
        <w:jc w:val="both"/>
        <w:ind w:right="240" w:firstLine="382"/>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300" w:firstLine="382"/>
        <w:spacing w:after="0" w:line="259"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7" w:lineRule="exact"/>
        <w:rPr>
          <w:sz w:val="20"/>
          <w:szCs w:val="20"/>
          <w:color w:val="auto"/>
        </w:rPr>
      </w:pPr>
    </w:p>
    <w:p>
      <w:pPr>
        <w:ind w:right="240" w:firstLine="382"/>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 w:name="page16"/>
    <w:bookmarkEnd w:id="15"/>
    <w:p>
      <w:pPr>
        <w:ind w:left="380"/>
        <w:spacing w:after="0"/>
        <w:rPr>
          <w:sz w:val="20"/>
          <w:szCs w:val="20"/>
          <w:color w:val="auto"/>
        </w:rPr>
      </w:pPr>
      <w:r>
        <w:rPr>
          <w:rFonts w:ascii="Arial" w:cs="Arial" w:eastAsia="Arial" w:hAnsi="Arial"/>
          <w:sz w:val="17"/>
          <w:szCs w:val="17"/>
          <w:color w:val="auto"/>
        </w:rPr>
        <w:t>The following table summarizes the Company’s restricted stock activity under the 2019 Plan and 2016 Plan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1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82,978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(60,043)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Repurchased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2021</w:t>
            </w:r>
          </w:p>
        </w:tc>
        <w:tc>
          <w:tcPr>
            <w:tcW w:w="11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19,964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nine months ended September 30, 2021:</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2,962,347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11.57</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5,767,895</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2,662,007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(274,745)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(386,740)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4,962,869</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w w:val="95"/>
              </w:rPr>
              <w:t>75,619,778</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September 30, 2021</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color w:val="auto"/>
                <w:w w:val="95"/>
              </w:rPr>
              <w:t>20,653,203</w:t>
            </w: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1,234,740</w:t>
            </w: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382"/>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80" w:firstLine="382"/>
        <w:spacing w:after="0" w:line="293" w:lineRule="auto"/>
        <w:rPr>
          <w:sz w:val="20"/>
          <w:szCs w:val="20"/>
          <w:color w:val="auto"/>
        </w:rPr>
      </w:pPr>
      <w:r>
        <w:rPr>
          <w:rFonts w:ascii="Arial" w:cs="Arial" w:eastAsia="Arial" w:hAnsi="Arial"/>
          <w:sz w:val="16"/>
          <w:szCs w:val="16"/>
          <w:color w:val="auto"/>
        </w:rPr>
        <w:t>The weighted average grant date fair value of stock options granted in the three and nine months ended September 30, 2021 was $15.25 per share and $10.33 per share, respectively. The weighted average grant date fair value of stock options granted in the three and nine months ended September 30, 2020 was $4.84 per share and $10.41 per share, respectively. The total intrinsic value of stock options exercised during the three and nine months ended September 30, 2021 was $2.9 million and $3.0 million, respectively. The total intrinsic value of stock options exercised during the three and nine months ended September 30, 2020 was $0.1 million and $1.2 million, respectively. The fair value of stock options granted during the three and nine months ended September 30, 2021 and 2020 has been calculated on the date of grant using the following weighted average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Nine Months</w:t>
            </w: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Nine Months</w:t>
            </w:r>
          </w:p>
        </w:tc>
        <w:tc>
          <w:tcPr>
            <w:tcW w:w="56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2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20" w:type="dxa"/>
            <w:vAlign w:val="bottom"/>
            <w:gridSpan w:val="2"/>
          </w:tcPr>
          <w:p>
            <w:pPr>
              <w:jc w:val="center"/>
              <w:ind w:left="117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620" w:type="dxa"/>
            <w:vAlign w:val="bottom"/>
            <w:gridSpan w:val="2"/>
            <w:shd w:val="clear" w:color="auto" w:fill="CFF0FC"/>
          </w:tcPr>
          <w:p>
            <w:pPr>
              <w:jc w:val="right"/>
              <w:ind w:right="104"/>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75.9%</w:t>
            </w:r>
          </w:p>
        </w:tc>
        <w:tc>
          <w:tcPr>
            <w:tcW w:w="56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20" w:type="dxa"/>
            <w:vAlign w:val="bottom"/>
            <w:gridSpan w:val="2"/>
          </w:tcPr>
          <w:p>
            <w:pPr>
              <w:jc w:val="right"/>
              <w:ind w:right="98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Restricted Stock Grants Outside of the 2016 Plan and the 2019 Plan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Company’s restricted stock activity outside of the 2019 Plan and 2016 Plan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4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42,858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2021</w:t>
            </w:r>
          </w:p>
        </w:tc>
        <w:tc>
          <w:tcPr>
            <w:tcW w:w="14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The aggregate intrinsic value of all restricted stock awards that vested during the three months ended September 30, 2021 and 2020 was $0.3 million and $0.7 million, respectively. The aggregate intrinsic value of all restricted stock awards that vested during the nine months ended September 30, 2021 and 2020 was $1.2 million and $8.3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w w:val="89"/>
              </w:rPr>
              <w:t>2020</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2,950</w:t>
            </w: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2,723</w:t>
            </w: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7,277</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5,673</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382"/>
        <w:spacing w:after="0" w:line="277" w:lineRule="auto"/>
        <w:rPr>
          <w:sz w:val="20"/>
          <w:szCs w:val="20"/>
          <w:color w:val="auto"/>
        </w:rPr>
      </w:pPr>
      <w:r>
        <w:rPr>
          <w:rFonts w:ascii="Arial" w:cs="Arial" w:eastAsia="Arial" w:hAnsi="Arial"/>
          <w:sz w:val="18"/>
          <w:szCs w:val="18"/>
          <w:color w:val="auto"/>
        </w:rPr>
        <w:t>As of September 30, 2021, the Company had an aggregate of $33.2 million of unrecognized stock-based compensation expense, which is expected to be recognized over a weighted average period of 2.85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right="200" w:firstLine="382"/>
        <w:spacing w:after="0" w:line="293" w:lineRule="auto"/>
        <w:rPr>
          <w:sz w:val="20"/>
          <w:szCs w:val="20"/>
          <w:color w:val="auto"/>
        </w:rPr>
      </w:pPr>
      <w:r>
        <w:rPr>
          <w:rFonts w:ascii="Arial" w:cs="Arial" w:eastAsia="Arial" w:hAnsi="Arial"/>
          <w:sz w:val="16"/>
          <w:szCs w:val="16"/>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annually increased on January 1, 2020, and will be increased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2021, the number of shares reserved for issuance under the 2019 ESPP was increased by 280,674 shares. As of September 30, 2021, there were 729,900 shares available for future issuance under the ESPP.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right="20" w:firstLine="382"/>
        <w:spacing w:after="0" w:line="269"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2"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The Company received a non-refundable upfront payment of $10.0 million in December 2019 upon the execution of the Acceleron Collaboration Agreement. The Company is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To date, the Company has achieved $2.0 million of specified research milestones. In addition, the Company is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65"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2" w:lineRule="exact"/>
        <w:rPr>
          <w:sz w:val="20"/>
          <w:szCs w:val="20"/>
          <w:color w:val="auto"/>
        </w:rPr>
      </w:pPr>
    </w:p>
    <w:p>
      <w:pPr>
        <w:ind w:right="120" w:firstLine="382"/>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right="60" w:firstLine="382"/>
        <w:spacing w:after="0" w:line="301"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8" w:name="page19"/>
    <w:bookmarkEnd w:id="18"/>
    <w:p>
      <w:pPr>
        <w:ind w:right="80" w:firstLine="382"/>
        <w:spacing w:after="0" w:line="311"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9" w:lineRule="exact"/>
        <w:rPr>
          <w:sz w:val="20"/>
          <w:szCs w:val="20"/>
          <w:color w:val="auto"/>
        </w:rPr>
      </w:pPr>
    </w:p>
    <w:p>
      <w:pPr>
        <w:ind w:firstLine="382"/>
        <w:spacing w:after="0" w:line="342"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60" w:firstLine="382"/>
        <w:spacing w:after="0" w:line="270" w:lineRule="auto"/>
        <w:rPr>
          <w:sz w:val="20"/>
          <w:szCs w:val="20"/>
          <w:color w:val="auto"/>
        </w:rPr>
      </w:pPr>
      <w:r>
        <w:rPr>
          <w:rFonts w:ascii="Arial" w:cs="Arial" w:eastAsia="Arial" w:hAnsi="Arial"/>
          <w:sz w:val="17"/>
          <w:szCs w:val="17"/>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were previously constrained due to the significant uncertainty regarding whether such research milestones would be achieved. The Company included this amount in the transaction price as of December 31, 2020. Based on the continued uncertainty associated with the achievement of any of the remaining research and development milestone payments that the Company is eligible to receive, the Company has constrained the variable consideration associated with those remaining milestone payments and excluded them from the transaction price. As part of its evaluation of constraining the remaining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also included in the transaction price the expected amount of costs to be reimbursed for the Research Services.</w:t>
      </w:r>
    </w:p>
    <w:p>
      <w:pPr>
        <w:spacing w:after="0" w:line="225" w:lineRule="exact"/>
        <w:rPr>
          <w:sz w:val="20"/>
          <w:szCs w:val="20"/>
          <w:color w:val="auto"/>
        </w:rPr>
      </w:pPr>
    </w:p>
    <w:p>
      <w:pPr>
        <w:ind w:right="860" w:firstLine="382"/>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nine months ended September 30, 2021.</w:t>
      </w:r>
    </w:p>
    <w:p>
      <w:pPr>
        <w:spacing w:after="0" w:line="184"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right="160" w:firstLine="382"/>
        <w:spacing w:after="0" w:line="291" w:lineRule="auto"/>
        <w:rPr>
          <w:sz w:val="20"/>
          <w:szCs w:val="20"/>
          <w:color w:val="auto"/>
        </w:rPr>
      </w:pPr>
      <w:r>
        <w:rPr>
          <w:rFonts w:ascii="Arial" w:cs="Arial" w:eastAsia="Arial" w:hAnsi="Arial"/>
          <w:sz w:val="16"/>
          <w:szCs w:val="16"/>
          <w:color w:val="auto"/>
        </w:rPr>
        <w:t>During the three and nine months ended September 30, 2021, the Company recognized $2.9 million and $7.8 million, respectively, of collaboration revenue associated with the Acceleron Collaboration Agreement, which includes $2.3 million and $6.1 million, respectively, of revenue recognized that was included in deferred revenue as of December 31, 2020. During the three and nine months ended September 30, 2020, the Company recognized $1.5 million and $4.3 million, respectively, of collaboration revenue under the Acceleron Collaboration Agreement. As of September 30, 2021 and December 31, 2020, the Company recorded deferred revenue of $6.1 million and $7.9 million, respectively, associated with the Acceleron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60"/>
        <w:spacing w:after="0" w:line="269" w:lineRule="auto"/>
        <w:rPr>
          <w:sz w:val="20"/>
          <w:szCs w:val="20"/>
          <w:color w:val="auto"/>
        </w:rPr>
      </w:pPr>
      <w:r>
        <w:rPr>
          <w:rFonts w:ascii="Arial" w:cs="Arial" w:eastAsia="Arial" w:hAnsi="Arial"/>
          <w:sz w:val="17"/>
          <w:szCs w:val="17"/>
          <w:color w:val="auto"/>
        </w:rPr>
        <w:t>to the performance obligations that are unsatisfied as of September 30, 2021 and December 31, 2020, respectively. As of September 30, 2021, the Company had received $3.3 million of cost reimbursement payments under the Acceleron Collaboration Agreement and $2.0 million associated with the achievement of specified research milestones. As of December 31, 2020, the Company had received $1.7 million of cost reimbursement payments, and no milestone or royalty payments under the Acceleron Collaboration Agreement. As of September 30, 2021, the Company had recorded no accounts receivable under the Acceleron Collaboration Agreement. As of December 31, 2020, the Company recorded accounts receivable of $2.0 million associated with the achievement of specified research milestones in December 2020. As of September 30, 2021, the Company recorded unbilled accounts receivable of $1.2 million related to reimbursable research and development costs under the Acceleron Collaboration Agreement for activities performed during the three months ended September 30, 2021. As of December 31, 2020, the Company recorded unbilled accounts receivable of $0.5 million related to reimbursable research and development costs under the Acceleron Collaboration Agreement for activities performed during the three months ended December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8"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66" w:lineRule="exact"/>
        <w:rPr>
          <w:sz w:val="20"/>
          <w:szCs w:val="20"/>
          <w:color w:val="auto"/>
        </w:rPr>
      </w:pPr>
    </w:p>
    <w:p>
      <w:pPr>
        <w:ind w:right="80" w:firstLine="382"/>
        <w:spacing w:after="0" w:line="254" w:lineRule="auto"/>
        <w:rPr>
          <w:sz w:val="20"/>
          <w:szCs w:val="20"/>
          <w:color w:val="auto"/>
        </w:rPr>
      </w:pPr>
      <w:r>
        <w:rPr>
          <w:rFonts w:ascii="Arial" w:cs="Arial" w:eastAsia="Arial" w:hAnsi="Arial"/>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95" w:lineRule="exact"/>
        <w:rPr>
          <w:sz w:val="20"/>
          <w:szCs w:val="20"/>
          <w:color w:val="auto"/>
        </w:rPr>
      </w:pPr>
    </w:p>
    <w:p>
      <w:pPr>
        <w:ind w:right="60" w:firstLine="382"/>
        <w:spacing w:after="0" w:line="270" w:lineRule="auto"/>
        <w:rPr>
          <w:sz w:val="20"/>
          <w:szCs w:val="20"/>
          <w:color w:val="auto"/>
        </w:rPr>
      </w:pPr>
      <w:r>
        <w:rPr>
          <w:rFonts w:ascii="Arial" w:cs="Arial" w:eastAsia="Arial" w:hAnsi="Arial"/>
          <w:sz w:val="17"/>
          <w:szCs w:val="17"/>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assessed the MyoKardia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76" w:lineRule="exact"/>
        <w:rPr>
          <w:sz w:val="20"/>
          <w:szCs w:val="20"/>
          <w:color w:val="auto"/>
        </w:rPr>
      </w:pPr>
    </w:p>
    <w:p>
      <w:pPr>
        <w:ind w:right="100" w:firstLine="382"/>
        <w:spacing w:after="0" w:line="279"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1"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The Company received a non-refundable upfront payment of $10.0 million, which the Company included in the transaction price. Based on the uncertainty associated with the achievement of any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92" w:lineRule="exact"/>
        <w:rPr>
          <w:sz w:val="20"/>
          <w:szCs w:val="20"/>
          <w:color w:val="auto"/>
        </w:rPr>
      </w:pPr>
    </w:p>
    <w:p>
      <w:pPr>
        <w:ind w:right="460" w:firstLine="382"/>
        <w:spacing w:after="0" w:line="277"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70" w:lineRule="exact"/>
        <w:rPr>
          <w:sz w:val="20"/>
          <w:szCs w:val="20"/>
          <w:color w:val="auto"/>
        </w:rPr>
      </w:pPr>
    </w:p>
    <w:p>
      <w:pPr>
        <w:ind w:right="860" w:firstLine="382"/>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nine months ended September 30, 2021.</w:t>
      </w:r>
    </w:p>
    <w:p>
      <w:pPr>
        <w:spacing w:after="0" w:line="184" w:lineRule="exact"/>
        <w:rPr>
          <w:sz w:val="20"/>
          <w:szCs w:val="20"/>
          <w:color w:val="auto"/>
        </w:rPr>
      </w:pPr>
    </w:p>
    <w:p>
      <w:pPr>
        <w:ind w:right="40" w:firstLine="382"/>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140" w:firstLine="382"/>
        <w:spacing w:after="0" w:line="293"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64" w:lineRule="exact"/>
        <w:rPr>
          <w:sz w:val="20"/>
          <w:szCs w:val="20"/>
          <w:color w:val="auto"/>
        </w:rPr>
      </w:pPr>
    </w:p>
    <w:p>
      <w:pPr>
        <w:ind w:right="60" w:firstLine="382"/>
        <w:spacing w:after="0" w:line="287" w:lineRule="auto"/>
        <w:rPr>
          <w:sz w:val="20"/>
          <w:szCs w:val="20"/>
          <w:color w:val="auto"/>
        </w:rPr>
      </w:pPr>
      <w:r>
        <w:rPr>
          <w:rFonts w:ascii="Arial" w:cs="Arial" w:eastAsia="Arial" w:hAnsi="Arial"/>
          <w:sz w:val="16"/>
          <w:szCs w:val="16"/>
          <w:color w:val="auto"/>
        </w:rPr>
        <w:t>During the three and nine months ended September 30, 2021, the Company recognized $2.1 million and $6.3 million, respectively, of collaboration revenue associated with the MyoKardia Collaboration Agreement, which includes $1.5 million and $5.6 million, respectively, of revenue recognized that was included in deferred revenue as of December 31, 2020. During the three and nine months ended September 30, 2020, the Company recognized $0.3 million of collaboration revenue associated with the MyoKardia Collaboration Agreement. As of September 30, 2021 and December 31, 2020, the Company recorded $4.4 million and $10.0 million, respectively, of deferred revenue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September 30, 2021. As of September 30, 2021, the Company had received $2.6 million of cost reimbursement payments under the MyoKardia Collaboration Agreement, including the $2.5 million payment as prepaid research funding in July 2020, and no milestone or royalty payments. As of September 30, 2021, the Company recorded unbilled accounts receivable of $0.6 million related to reimbursable MyoKardia Research Services costs under the MyoKardia Collaboration Agreement for activities performed during the three months ended September 30, 2021. As of December 31, 2020, the Company recorded no unbilled accounts receivable under the MyoKardia Collaboration Agreement.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Right of Reference and License Agreement</w:t>
      </w:r>
    </w:p>
    <w:p>
      <w:pPr>
        <w:spacing w:after="0" w:line="229"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4"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Under the GSK Agreement, the Company issued 12,500,000 shares of Series B Preferred Stock to GSK. In addition, the Company may owe GSK up to $37.5 million in certain specified clinical and regulatory milestones, including $2.5 million previously achieved and paid during the third quarter of 2019,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176" w:lineRule="exact"/>
        <w:rPr>
          <w:sz w:val="20"/>
          <w:szCs w:val="20"/>
          <w:color w:val="auto"/>
        </w:rPr>
      </w:pPr>
    </w:p>
    <w:p>
      <w:pPr>
        <w:ind w:right="300" w:firstLine="382"/>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September 30, 2021 and December 31, 2020. Rent expense associated with this lease for each of the three months ended September 30, 2021 and 2020 was approximately $0.5 million. Rent expense associated with this lease for each of the nine months ended September 30, 2021 and 2020 was approximately $1.4 million.</w:t>
      </w:r>
    </w:p>
    <w:p>
      <w:pPr>
        <w:spacing w:after="0" w:line="195"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September 30, 2021,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2021</w:t>
            </w:r>
            <w:r>
              <w:rPr>
                <w:rFonts w:ascii="Arial" w:cs="Arial" w:eastAsia="Arial" w:hAnsi="Arial"/>
                <w:sz w:val="15"/>
                <w:szCs w:val="15"/>
                <w:color w:val="auto"/>
              </w:rPr>
              <w:t>(1)</w:t>
            </w:r>
          </w:p>
        </w:tc>
        <w:tc>
          <w:tcPr>
            <w:tcW w:w="23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r>
      <w:tr>
        <w:trPr>
          <w:trHeight w:val="229"/>
        </w:trPr>
        <w:tc>
          <w:tcPr>
            <w:tcW w:w="226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2022</w:t>
            </w:r>
          </w:p>
        </w:tc>
        <w:tc>
          <w:tcPr>
            <w:tcW w:w="2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2,424</w:t>
            </w:r>
          </w:p>
        </w:tc>
      </w:tr>
      <w:tr>
        <w:trPr>
          <w:trHeight w:val="229"/>
        </w:trPr>
        <w:tc>
          <w:tcPr>
            <w:tcW w:w="226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r>
      <w:tr>
        <w:trPr>
          <w:trHeight w:val="230"/>
        </w:trPr>
        <w:tc>
          <w:tcPr>
            <w:tcW w:w="226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2024</w:t>
            </w:r>
          </w:p>
        </w:tc>
        <w:tc>
          <w:tcPr>
            <w:tcW w:w="2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2,572</w:t>
            </w:r>
          </w:p>
        </w:tc>
      </w:tr>
      <w:tr>
        <w:trPr>
          <w:trHeight w:val="229"/>
        </w:trPr>
        <w:tc>
          <w:tcPr>
            <w:tcW w:w="226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r>
      <w:tr>
        <w:trPr>
          <w:trHeight w:val="229"/>
        </w:trPr>
        <w:tc>
          <w:tcPr>
            <w:tcW w:w="2260" w:type="dxa"/>
            <w:vAlign w:val="bottom"/>
          </w:tcPr>
          <w:p>
            <w:pPr>
              <w:spacing w:after="0"/>
              <w:rPr>
                <w:sz w:val="19"/>
                <w:szCs w:val="19"/>
                <w:color w:val="auto"/>
              </w:rPr>
            </w:pPr>
          </w:p>
        </w:tc>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r>
      <w:tr>
        <w:trPr>
          <w:trHeight w:val="223"/>
        </w:trPr>
        <w:tc>
          <w:tcPr>
            <w:tcW w:w="2260" w:type="dxa"/>
            <w:vAlign w:val="bottom"/>
          </w:tcPr>
          <w:p>
            <w:pPr>
              <w:spacing w:after="0"/>
              <w:rPr>
                <w:sz w:val="19"/>
                <w:szCs w:val="19"/>
                <w:color w:val="auto"/>
              </w:rPr>
            </w:pPr>
          </w:p>
        </w:tc>
        <w:tc>
          <w:tcPr>
            <w:tcW w:w="3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17,705</w:t>
            </w:r>
          </w:p>
        </w:tc>
      </w:tr>
      <w:tr>
        <w:trPr>
          <w:trHeight w:val="20"/>
        </w:trPr>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6"/>
        </w:trPr>
        <w:tc>
          <w:tcPr>
            <w:tcW w:w="2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4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Amounts are for the three months ending December 31,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ind w:right="360" w:firstLine="382"/>
        <w:spacing w:after="0" w:line="263"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September 30, 2021, the Company has not exercised its rights to license such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September 30, 2021 or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nine months ended September 30, 2021 and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229" w:lineRule="exact"/>
        <w:rPr>
          <w:sz w:val="20"/>
          <w:szCs w:val="20"/>
          <w:color w:val="auto"/>
        </w:rPr>
      </w:pPr>
    </w:p>
    <w:p>
      <w:pPr>
        <w:ind w:right="40" w:firstLine="382"/>
        <w:spacing w:after="0" w:line="31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380" w:type="dxa"/>
            <w:vAlign w:val="bottom"/>
            <w:gridSpan w:val="3"/>
          </w:tcPr>
          <w:p>
            <w:pPr>
              <w:jc w:val="right"/>
              <w:ind w:right="535"/>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2380" w:type="dxa"/>
            <w:vAlign w:val="bottom"/>
            <w:gridSpan w:val="3"/>
          </w:tcPr>
          <w:p>
            <w:pPr>
              <w:jc w:val="right"/>
              <w:ind w:right="715"/>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0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4,962,869</w:t>
            </w: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2,868,693</w:t>
            </w: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4,962,869</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2,868,693</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 awards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19,964</w:t>
            </w:r>
          </w:p>
        </w:tc>
        <w:tc>
          <w:tcPr>
            <w:tcW w:w="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181,213</w:t>
            </w:r>
          </w:p>
        </w:tc>
        <w:tc>
          <w:tcPr>
            <w:tcW w:w="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19,964</w:t>
            </w: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181,213</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4,982,833</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3,049,906</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4,982,833</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3,049,906</w:t>
            </w: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31"/>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40" w:type="dxa"/>
            <w:vAlign w:val="bottom"/>
          </w:tcPr>
          <w:p>
            <w:pPr>
              <w:jc w:val="right"/>
              <w:ind w:right="78"/>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filed with the Securities and Exchange Commission, or SEC, on March 4,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80" w:firstLine="382"/>
        <w:spacing w:after="0" w:line="296"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Losmapimod for FSHD</w:t>
      </w:r>
    </w:p>
    <w:p>
      <w:pPr>
        <w:spacing w:after="0" w:line="225" w:lineRule="exact"/>
        <w:rPr>
          <w:sz w:val="20"/>
          <w:szCs w:val="20"/>
          <w:color w:val="auto"/>
        </w:rPr>
      </w:pPr>
    </w:p>
    <w:p>
      <w:pPr>
        <w:ind w:right="180" w:firstLine="382"/>
        <w:spacing w:after="0" w:line="275" w:lineRule="auto"/>
        <w:rPr>
          <w:sz w:val="20"/>
          <w:szCs w:val="20"/>
          <w:color w:val="auto"/>
        </w:rPr>
      </w:pPr>
      <w:r>
        <w:rPr>
          <w:rFonts w:ascii="Arial" w:cs="Arial" w:eastAsia="Arial" w:hAnsi="Arial"/>
          <w:sz w:val="17"/>
          <w:szCs w:val="17"/>
          <w:color w:val="auto"/>
        </w:rPr>
        <w:t>In August 2019, we initiated a Phase 2b clinical trial, or the ReDUX4 trial, and a Phase 2 open label clinical trial of losmapimod, our product candidate for FSHD, to evaluate the efficacy and safety of losmapimod in addressing the underlying cause of FSHD. In April 2021, the FDA granted fast track designation to losmapimod for the treatment of FSHD. We completed the ReDUX4 trial in January 2021 and presented full data from the trial at the FSHD International Research Congress on June 24, 2021. We plan to meet with health authorities, including the U.S. Food and Drug Administration, or FDA, by year-end 2021 and plan to provide an update on losmapimod in the first quarter of 2022.</w:t>
      </w:r>
    </w:p>
    <w:p>
      <w:pPr>
        <w:spacing w:after="0" w:line="176"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As a result of the COVID-19 pandemic, we announced in May 2020 that the ReDUX4 trial had been extended from 24 to 48 weeks to ensure the safety of participants during the pandemic. This extension also enabled the collection of safety and efficacy data, including structural, functional and patient reported data, over a longer time period.</w:t>
      </w:r>
    </w:p>
    <w:p>
      <w:pPr>
        <w:spacing w:after="0" w:line="184" w:lineRule="exact"/>
        <w:rPr>
          <w:sz w:val="20"/>
          <w:szCs w:val="20"/>
          <w:color w:val="auto"/>
        </w:rPr>
      </w:pPr>
    </w:p>
    <w:p>
      <w:pPr>
        <w:ind w:right="100" w:firstLine="382"/>
        <w:spacing w:after="0" w:line="270" w:lineRule="auto"/>
        <w:rPr>
          <w:sz w:val="20"/>
          <w:szCs w:val="20"/>
          <w:color w:val="auto"/>
        </w:rPr>
      </w:pPr>
      <w:r>
        <w:rPr>
          <w:rFonts w:ascii="Arial" w:cs="Arial" w:eastAsia="Arial" w:hAnsi="Arial"/>
          <w:sz w:val="17"/>
          <w:szCs w:val="17"/>
          <w:color w:val="auto"/>
        </w:rPr>
        <w:t>The primary endpoint was the change in DUX4-driven gene expression in affected skeletal muscle at 16 or 36 weeks, which was included as an experimental biomarker. The trial was also designed to capture a wide range of data relating to FSHD progression in addition to safety, target engagement and pharmacokinetic data. The secondary endpoints were evaluation of safety and tolerability in FSHD patients, pharmacokinetics in blood, losmapimod concentration in skeletal muscle biopsies, target engagement in blood and in muscle biopsies, and efficacy based on the whole-body skeletal muscle MRI biomarker. The whole-body MRI scans evaluated changes in muscle fat infiltration, muscle fat fraction and lean muscle volume. The muscles evaluated in the trial were classified as normal appearing (not affected by disease), intermediate (clearly affected by disease but not so severely fat replaced to have lost all function) or end stage (severely fat replaced and have lost most if not all function). The exploratory endpoints included reachable workspace, timed up and go (TUG) test, an optimized timed up and go test for FSHD (FSHD TUG), muscle strength measured by hand-held dynamometry, other muscle function measures and patient reported outcomes.</w:t>
      </w:r>
    </w:p>
    <w:p>
      <w:pPr>
        <w:spacing w:after="0" w:line="181" w:lineRule="exact"/>
        <w:rPr>
          <w:sz w:val="20"/>
          <w:szCs w:val="20"/>
          <w:color w:val="auto"/>
        </w:rPr>
      </w:pPr>
    </w:p>
    <w:p>
      <w:pPr>
        <w:jc w:val="both"/>
        <w:ind w:right="640" w:firstLine="382"/>
        <w:spacing w:after="0" w:line="263" w:lineRule="auto"/>
        <w:rPr>
          <w:sz w:val="20"/>
          <w:szCs w:val="20"/>
          <w:color w:val="auto"/>
        </w:rPr>
      </w:pPr>
      <w:r>
        <w:rPr>
          <w:rFonts w:ascii="Arial" w:cs="Arial" w:eastAsia="Arial" w:hAnsi="Arial"/>
          <w:sz w:val="18"/>
          <w:szCs w:val="18"/>
          <w:color w:val="auto"/>
        </w:rPr>
        <w:t>The trial did not meet the primary endpoint. The data from certain of the secondary and exploratory endpoints showed clinically relevant and nominally statistically significant benefits in the losmapimod treated group versus placebo on multiple measures of structural and functional FSHD progression and patient reported outcomes at 48 weeks.</w:t>
      </w:r>
    </w:p>
    <w:p>
      <w:pPr>
        <w:spacing w:after="0" w:line="184"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Losmapimod was generally well-tolerated in the trial, with no drug-related serious adverse events reported. Over the course of the trial there were three discontinuations, none of which were assessed to be related to losmapimod, and 99% of eligible participants elected to continue to receive treatment with losmapimod in the open label extension of the ReDUX4 trial. We will continue to analyze data from each endpoint to determine their viability for future trials.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FTX-6058 for SCD and ß-thalassemia</w:t>
      </w:r>
    </w:p>
    <w:p>
      <w:pPr>
        <w:spacing w:after="0" w:line="225"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In the fourth quarter of 2020, we initiated a Phase 1 clinical trial of FTX-6058, our product candidate for certain hemoglobinopathies, namely SCD and beta-thalassemia, which is a novel upregulator of fetal hemoglobin. The trial is an ongoing, randomized, double-blind, placebo-controlled trial designed to evaluate the safety, tolerability and pharmacokinetics of FTX-6058 in healthy adult volunteers and patients with SCD. In August 2021, we reported interim data from the initial healthy volunteer cohorts completed in the single ascending dose, or SAD, portion of the trial and the multiple ascending dose, or MAD, portion of the trial.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right="40" w:firstLine="382"/>
        <w:spacing w:after="0" w:line="259" w:lineRule="auto"/>
        <w:rPr>
          <w:sz w:val="20"/>
          <w:szCs w:val="20"/>
          <w:color w:val="auto"/>
        </w:rPr>
      </w:pPr>
      <w:r>
        <w:rPr>
          <w:rFonts w:ascii="Arial" w:cs="Arial" w:eastAsia="Arial" w:hAnsi="Arial"/>
          <w:sz w:val="18"/>
          <w:szCs w:val="18"/>
          <w:color w:val="auto"/>
        </w:rPr>
        <w:t>In the SAD portion of the trial, healthy volunteers received a single oral dose of either placebo or 2, 4, 10, 20, 30 or 40 mg of FTX-6058. In the MAD portion of the trial, healthy volunteers received an oral dose of placebo or 2, 6, or 10 mg of FTX-6058 daily for 14 consecutive days. Subjects were seen 7 to 10 days after the conclusion of study drug or placebo for a safety follow-up. Safety assessments are performed regularly throughout the trial. The primary endpoint of this trial is safety and tolerability.</w:t>
      </w:r>
    </w:p>
    <w:p>
      <w:pPr>
        <w:spacing w:after="0" w:line="18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The trial is also collecting secondary pharmacokinetic measurements, including bioavailability and half-life assessments. Exploratory measures were included to assess target engagement, HBG mRNA changes and F-reticulocyte changes. We assessed target engagement of FTX-6058 as a change from baseline in the ratio of lysine 27 on histone H3, or H3K27me3, to total histone H3 in circulating monocytes. H3K27me3 is a downstream target of polycomb repressive complex 2, or PRC2. FTX-6058 is designed to bind embryonic ectoderm development and inhibit the transcriptional silencing activity of PRC2.</w:t>
      </w:r>
    </w:p>
    <w:p>
      <w:pPr>
        <w:spacing w:after="0" w:line="188" w:lineRule="exact"/>
        <w:rPr>
          <w:sz w:val="20"/>
          <w:szCs w:val="20"/>
          <w:color w:val="auto"/>
        </w:rPr>
      </w:pPr>
    </w:p>
    <w:p>
      <w:pPr>
        <w:ind w:right="580" w:firstLine="382"/>
        <w:spacing w:after="0" w:line="308" w:lineRule="auto"/>
        <w:rPr>
          <w:sz w:val="20"/>
          <w:szCs w:val="20"/>
          <w:color w:val="auto"/>
        </w:rPr>
      </w:pPr>
      <w:r>
        <w:rPr>
          <w:rFonts w:ascii="Arial" w:cs="Arial" w:eastAsia="Arial" w:hAnsi="Arial"/>
          <w:sz w:val="17"/>
          <w:szCs w:val="17"/>
          <w:color w:val="auto"/>
        </w:rPr>
        <w:t>Pharmacodynamic parameters assessed include changes in HBG mRNA, or HBG1/2 mRNA which encodes for γ-globin, a component of fetal hemoglobin, and changes in F-reticulocytes, which are immature red blood cells that contain fetal hemoglobin, or HbF.</w:t>
      </w:r>
    </w:p>
    <w:p>
      <w:pPr>
        <w:spacing w:after="0" w:line="146" w:lineRule="exact"/>
        <w:rPr>
          <w:sz w:val="20"/>
          <w:szCs w:val="20"/>
          <w:color w:val="auto"/>
        </w:rPr>
      </w:pPr>
    </w:p>
    <w:p>
      <w:pPr>
        <w:ind w:right="280" w:firstLine="382"/>
        <w:spacing w:after="0" w:line="279" w:lineRule="auto"/>
        <w:rPr>
          <w:sz w:val="20"/>
          <w:szCs w:val="20"/>
          <w:color w:val="auto"/>
        </w:rPr>
      </w:pPr>
      <w:r>
        <w:rPr>
          <w:rFonts w:ascii="Arial" w:cs="Arial" w:eastAsia="Arial" w:hAnsi="Arial"/>
          <w:sz w:val="17"/>
          <w:szCs w:val="17"/>
          <w:color w:val="auto"/>
        </w:rPr>
        <w:t>FTX-6058 was generally well-tolerated in all cohorts completed. There were no serious adverse events reported and no discontinuations. All treatment-emergent adverse events, or TEAEs, deemed at least possibly related were mild (Grade 1 or 2) in both the SAD and MAD cohorts. There was one Grade 4 TEAE in the 10 mg MAD cohort, which was determined to be unrelated to FTX-6058. No clinically significant changes in safety-related laboratory tests were reported during treatment periods for any of the FTX-6058 dose cohorts included in the analysis.</w:t>
      </w:r>
    </w:p>
    <w:p>
      <w:pPr>
        <w:spacing w:after="0" w:line="171"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The interim data reported from the MAD cohorts in August 2021 showed maximal target engagement as evidenced by 70% – 80% reduction in baseline H3K27me3 levels, which we believe represents proof of mechanism. The 10 mg dose showed a mean 4.5-fold induction in HBG mRNA at day 14 and mean 4.2-fold increases in F-reticulocytes at the safety follow-up, indicating increased HbF protein expression, which we believe represents proof of biology. The kinetics observed across the target engagement and pharmacodynamic endpoints are consistent with the process of erythropoiesis in healthy individuals. These results demonstrated a time- and dose-dependent relationship between target engagement, mRNA induction and F-reticulocyte increases. The increases in F-reticulocytes indicate that the HBG mRNA increases observed with FTX-6058 treatment are translating to HbF protein production.</w:t>
      </w:r>
    </w:p>
    <w:p>
      <w:pPr>
        <w:spacing w:after="0" w:line="195" w:lineRule="exact"/>
        <w:rPr>
          <w:sz w:val="20"/>
          <w:szCs w:val="20"/>
          <w:color w:val="auto"/>
        </w:rPr>
      </w:pPr>
    </w:p>
    <w:p>
      <w:pPr>
        <w:ind w:right="40" w:firstLine="382"/>
        <w:spacing w:after="0" w:line="263" w:lineRule="auto"/>
        <w:rPr>
          <w:sz w:val="20"/>
          <w:szCs w:val="20"/>
          <w:color w:val="auto"/>
        </w:rPr>
      </w:pPr>
      <w:r>
        <w:rPr>
          <w:rFonts w:ascii="Arial" w:cs="Arial" w:eastAsia="Arial" w:hAnsi="Arial"/>
          <w:sz w:val="18"/>
          <w:szCs w:val="18"/>
          <w:color w:val="auto"/>
        </w:rPr>
        <w:t>The table below presents the mean fold induction in HBG mRNA and increases in F-reticulocytes in subjects in the MAD portion of the trial at day 7, day 14 and at a safety follow-up 7 to 10 days after the 14-day treatment period. A total of six subjects were dosed with FTX-6058 in each cohort and two subjects were dosed with placebo in each cohort.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HBG mRNA Mean Fold Induction for FTX-6058 versus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1191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F-Reticulocyte Mean Fold Increase for FTX-6058 Versus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1209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We anticipate presenting additional data from the Phase 1 clinical trial by year-end 2021, including data from healthy volunteers who received an oral dose of placebo, 20 or 30 mg of FTX-6058 daily for 14 consecutive days. Additionally, we have added a cohort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300"/>
        <w:spacing w:after="0" w:line="277" w:lineRule="auto"/>
        <w:rPr>
          <w:sz w:val="20"/>
          <w:szCs w:val="20"/>
          <w:color w:val="auto"/>
        </w:rPr>
      </w:pPr>
      <w:r>
        <w:rPr>
          <w:rFonts w:ascii="Arial" w:cs="Arial" w:eastAsia="Arial" w:hAnsi="Arial"/>
          <w:sz w:val="18"/>
          <w:szCs w:val="18"/>
          <w:color w:val="auto"/>
        </w:rPr>
        <w:t>of sickle cell disease patients to the Phase 1 clinical trial to further inform our pharmacokinetics/pharmacodynamic modeling and our dose selection for future development.</w:t>
      </w:r>
    </w:p>
    <w:p>
      <w:pPr>
        <w:spacing w:after="0" w:line="170" w:lineRule="exact"/>
        <w:rPr>
          <w:sz w:val="20"/>
          <w:szCs w:val="20"/>
          <w:color w:val="auto"/>
        </w:rPr>
      </w:pPr>
    </w:p>
    <w:p>
      <w:pPr>
        <w:ind w:right="120" w:firstLine="382"/>
        <w:spacing w:after="0" w:line="291" w:lineRule="auto"/>
        <w:rPr>
          <w:sz w:val="20"/>
          <w:szCs w:val="20"/>
          <w:color w:val="auto"/>
        </w:rPr>
      </w:pPr>
      <w:r>
        <w:rPr>
          <w:rFonts w:ascii="Arial" w:cs="Arial" w:eastAsia="Arial" w:hAnsi="Arial"/>
          <w:sz w:val="16"/>
          <w:szCs w:val="16"/>
          <w:color w:val="auto"/>
        </w:rPr>
        <w:t>Based on the interim data, we anticipate initiating enrollment in a Phase 1b clinical trial in sickle cell patients by year-end 2021. The trial will be an open-label, multi-dose trial starting at 6 mg once-daily dosing and will include a treatment period of up to three months. This trial will aim to demonstrate the safety, tolerability and pharmacokinetics/pharmacodynamic effects of FTX-6058 in people living with SCD (including induction of HbF protein). We plan to report initial data from the Phase 1b clinical trial in sickle cell patients in the second quarter of 2022. This trial could provide an opportunity to demonstrate HbF protein induction in people living with SCD and will be used to help inform a potential Phase 2/3 trial, which we anticipate initiating in 2023. These interim data presented in August 2021 also support the initiation of a clinical trial in non-SCD hemoglobinopathies, including beta-thalassemia, for which we plan to submit an IND by year-end 2021. We anticipate initiating a clinical trial in non-SCD hemoglobinopathies in 2022.</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common stock in public offerings, a private placement, and in “at-the-market” offerings, or the ATM Offering, through issuances of convertible preferred stock, and from upfront payments received under our collaboration and license agreements.</w:t>
      </w:r>
    </w:p>
    <w:p>
      <w:pPr>
        <w:spacing w:after="0" w:line="192"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In January 2021, we issued and sold 4,600,000 shares of our common stock in a public offering at a public offering price of $11.00 per share, which includes 600,000 shares issued upon the exercise in full by the underwriters of their option to purchase additional shares at the public offering price, less underwriting discounts and commissions. The net proceeds of the offering were $47.4 million, after deducting underwriting discounts and commissions and offering expenses.</w:t>
      </w:r>
    </w:p>
    <w:p>
      <w:pPr>
        <w:spacing w:after="0" w:line="187" w:lineRule="exact"/>
        <w:rPr>
          <w:sz w:val="20"/>
          <w:szCs w:val="20"/>
          <w:color w:val="auto"/>
        </w:rPr>
      </w:pPr>
    </w:p>
    <w:p>
      <w:pPr>
        <w:jc w:val="both"/>
        <w:ind w:right="200" w:firstLine="382"/>
        <w:spacing w:after="0" w:line="259" w:lineRule="auto"/>
        <w:rPr>
          <w:sz w:val="20"/>
          <w:szCs w:val="20"/>
          <w:color w:val="auto"/>
        </w:rPr>
      </w:pPr>
      <w:r>
        <w:rPr>
          <w:rFonts w:ascii="Arial" w:cs="Arial" w:eastAsia="Arial" w:hAnsi="Arial"/>
          <w:sz w:val="18"/>
          <w:szCs w:val="18"/>
          <w:color w:val="auto"/>
        </w:rPr>
        <w:t>In August 2021, we issued and sold 7,590,000 shares of our common stock in a public offering at a public offering price of $19.00 per share, which includes 990,000 shares issued upon the exercise in full by the underwriters of their option to purchase additional shares at the public offering price, less underwriting discounts and commissions. The net proceeds of the offering were $135.5 million, after deducting underwriting discounts and commissions and offering expenses.</w:t>
      </w:r>
    </w:p>
    <w:p>
      <w:pPr>
        <w:spacing w:after="0" w:line="187" w:lineRule="exact"/>
        <w:rPr>
          <w:sz w:val="20"/>
          <w:szCs w:val="20"/>
          <w:color w:val="auto"/>
        </w:rPr>
      </w:pPr>
    </w:p>
    <w:p>
      <w:pPr>
        <w:ind w:right="200" w:firstLine="382"/>
        <w:spacing w:after="0" w:line="273" w:lineRule="auto"/>
        <w:rPr>
          <w:sz w:val="20"/>
          <w:szCs w:val="20"/>
          <w:color w:val="auto"/>
        </w:rPr>
      </w:pPr>
      <w:r>
        <w:rPr>
          <w:rFonts w:ascii="Arial" w:cs="Arial" w:eastAsia="Arial" w:hAnsi="Arial"/>
          <w:sz w:val="17"/>
          <w:szCs w:val="17"/>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$20.7 million and $57.4 million for the three and nine months ended September 30, 2021, respectively, and $19.0 million and $53.1 million for the three and nine months ended September 30, 2020, respectively. As of September 30, 2021, we had an accumulated deficit of $279.0 million. We expect our expenses and operating losses will increase substantially over the next several years in connection with our ongoing activities, as we:</w:t>
      </w:r>
    </w:p>
    <w:p>
      <w:pPr>
        <w:spacing w:after="0" w:line="70" w:lineRule="exact"/>
        <w:rPr>
          <w:sz w:val="20"/>
          <w:szCs w:val="20"/>
          <w:color w:val="auto"/>
        </w:rPr>
      </w:pPr>
    </w:p>
    <w:p>
      <w:pPr>
        <w:ind w:left="660" w:right="240" w:hanging="27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open label extension of our Phase 2b clinical trial for the treatment of FSHD and our ongoing Phase 2 open label clinical trial for the treatment of FSHD;</w:t>
      </w:r>
    </w:p>
    <w:p>
      <w:pPr>
        <w:spacing w:after="0" w:line="62" w:lineRule="exact"/>
        <w:rPr>
          <w:rFonts w:ascii="Arial" w:cs="Arial" w:eastAsia="Arial" w:hAnsi="Arial"/>
          <w:sz w:val="18"/>
          <w:szCs w:val="18"/>
          <w:color w:val="auto"/>
        </w:rPr>
      </w:pPr>
    </w:p>
    <w:p>
      <w:pPr>
        <w:ind w:left="660" w:right="280" w:hanging="27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adult volunteers and patients with SCD and our planned Phase 1b clinical trial of FTX-6058 in patients with SCD;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44" w:lineRule="exact"/>
        <w:rPr>
          <w:rFonts w:ascii="Arial" w:cs="Arial" w:eastAsia="Arial" w:hAnsi="Arial"/>
          <w:sz w:val="18"/>
          <w:szCs w:val="18"/>
          <w:color w:val="auto"/>
        </w:rPr>
      </w:pPr>
    </w:p>
    <w:p>
      <w:pPr>
        <w:ind w:left="660" w:right="760" w:hanging="27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 defined rare diseases and the subsequent development of any resulting product candidates;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44" w:lineRule="exact"/>
        <w:rPr>
          <w:rFonts w:ascii="Arial" w:cs="Arial" w:eastAsia="Arial" w:hAnsi="Arial"/>
          <w:sz w:val="18"/>
          <w:szCs w:val="18"/>
          <w:color w:val="auto"/>
        </w:rPr>
      </w:pPr>
    </w:p>
    <w:p>
      <w:pPr>
        <w:ind w:left="660" w:right="500" w:hanging="274"/>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660" w:hanging="274"/>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44" w:lineRule="exact"/>
        <w:rPr>
          <w:rFonts w:ascii="Arial" w:cs="Arial" w:eastAsia="Arial" w:hAnsi="Arial"/>
          <w:sz w:val="18"/>
          <w:szCs w:val="18"/>
          <w:color w:val="auto"/>
        </w:rPr>
      </w:pPr>
    </w:p>
    <w:p>
      <w:pPr>
        <w:ind w:left="660" w:right="200" w:hanging="27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44" w:lineRule="exact"/>
        <w:rPr>
          <w:rFonts w:ascii="Arial" w:cs="Arial" w:eastAsia="Arial" w:hAnsi="Arial"/>
          <w:sz w:val="18"/>
          <w:szCs w:val="18"/>
          <w:color w:val="auto"/>
        </w:rPr>
      </w:pPr>
    </w:p>
    <w:p>
      <w:pPr>
        <w:ind w:left="660" w:right="460" w:hanging="27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As of September 30, 2021, we had $240.3 million in cash, cash equivalents, and marketable securities. We believe that our existing cash, cash equivalents, and marketable securities as of September 30, 2021 will enable us to fund our operating expenses and capital expenditure requirements into 2024. We have based this estimate on assumptions that may prove to be wrong, and we could exhaust our available capital resources sooner than we expect. See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In December 2019, we entered into a collaboration and license agreement, or the Acceleron Collaboration Agreement, with Acceleron Pharma Inc., or Acceleron, to identify biological targets to modulate specific pathways associated with a targeted indication within the pulmonary disease space. Under the Acceleron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92"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Under the terms of the Acceleron Collaboration Agreement, we received a $10.0 million upfront payment from Acceleron in December 2019. In December 2020, we achieved $2.0 million of specified research milestones associated with the Acceleron Collaboration Agreement. We are also eligible to receive up to $436.5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88" w:lineRule="exact"/>
        <w:rPr>
          <w:sz w:val="20"/>
          <w:szCs w:val="20"/>
          <w:color w:val="auto"/>
        </w:rPr>
      </w:pPr>
    </w:p>
    <w:p>
      <w:pPr>
        <w:ind w:right="40" w:firstLine="382"/>
        <w:spacing w:after="0" w:line="295" w:lineRule="auto"/>
        <w:rPr>
          <w:sz w:val="20"/>
          <w:szCs w:val="20"/>
          <w:color w:val="auto"/>
        </w:rPr>
      </w:pPr>
      <w:r>
        <w:rPr>
          <w:rFonts w:ascii="Arial" w:cs="Arial" w:eastAsia="Arial" w:hAnsi="Arial"/>
          <w:sz w:val="16"/>
          <w:szCs w:val="16"/>
          <w:color w:val="auto"/>
        </w:rPr>
        <w:t>For the three and nine months ended September 30, 2021, we recognized $2.9 million and $7.8 million, respectively, of collaboration revenue under the Acceleron Collaboration Agreement. For the three and nine months ended September 30, 2020, we recognized $1.5 million and $4.3 million, respectively, of collaboration revenue under the Acceleron Collaboration Agreement. As of September 30, 2021 and December 31, 2020, we have recorded $1.8 million and $7.9 million, respectively, of deferred revenue associated with the Acceleron Collaboration Agreement, which is classified as either current or net of current portion in our consolidated balance sheets based on the period over which the revenue is expected to be recognized. As of September 30, 2021, we had received $3.3 million of cost reimbursement payments, $2.0 million of milestone payments, and no royalty payments under the Acceleron Collaboration Agreement. As of September 30, 2021, we recorded unbilled accounts receivable of $0.6 million related to reimbursable research and development costs under the Acceleron Collaboration Agreement for activities performed during the three months ended September 30, 2021.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60" w:firstLine="382"/>
        <w:spacing w:after="0" w:line="255"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and the $2.0 million of specified research milestones achieved in December 2020 as we satisfy our performance obligation, and from reimbursement of costs incurred under the Acceleron Collaboration Agreement. In the future, we may also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92"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On July 20, 2020, we entered into a collaboration and license agreement, or the MyoKardia Collaboration Agreement, with MyoKardia, Inc., or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78"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right="100" w:firstLine="382"/>
        <w:spacing w:after="0" w:line="274" w:lineRule="auto"/>
        <w:rPr>
          <w:sz w:val="20"/>
          <w:szCs w:val="20"/>
          <w:color w:val="auto"/>
        </w:rPr>
      </w:pPr>
      <w:r>
        <w:rPr>
          <w:rFonts w:ascii="Arial" w:cs="Arial" w:eastAsia="Arial" w:hAnsi="Arial"/>
          <w:sz w:val="17"/>
          <w:szCs w:val="17"/>
          <w:color w:val="auto"/>
        </w:rPr>
        <w:t>For the three and nine months ended September 30, 2021, we recognized $2.1 million and $6.3 million, respectively, of collaboration revenue under the MyoKardia Collaboration Agreement. For the three and nine months ended September 30, 2020, we recognized $0.3 million of collaboration revenue under the MyoKardia Collaboration Agreement. As of September 30, 2021 and December 31, 2020, we have recorded $4.4 million and $10.0 million, respectively, of deferred revenue associated with the MyoKardia Collaboration Agreement, which is classified as either current or net of current portion in our consolidated balance sheets based on the period over which the revenue is expected to be recognized. As of September 30, 2021, we had received $2.6 million in cost reimbursement payments, including the $2.5 million payment as prepaid research funding in July 2020, and no milestone or royalty payments under the MyoKardia Collaboration Agreement. As of September 30, 2021, we recorded unbilled accounts receivable of $0.6 million related to reimbursable research and development costs under the MyoKardia Collaboration Agreement for activities performed during the three months ended September 30, 2021.</w:t>
      </w:r>
    </w:p>
    <w:p>
      <w:pPr>
        <w:spacing w:after="0" w:line="179"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In the future, we will recognize additional revenue associated with the $10.0 million upfront payment as we satisfy our performance obligation,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76"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660" w:right="1000" w:hanging="274"/>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contract manufacturing organizations, and consultants;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660" w:right="80" w:hanging="274"/>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three and nine months ended September 30, 2021 and 2020. Pre-development candidate expenses, unallocated expenses and internal research and development expenses are classified separately.</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7,217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15,416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16,983</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2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12,247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10,303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5,203</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13,659</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17,077</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15,640</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50,789</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42,897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 including in light of COVID-19;</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44" w:lineRule="exact"/>
        <w:rPr>
          <w:rFonts w:ascii="Arial" w:cs="Arial" w:eastAsia="Arial" w:hAnsi="Arial"/>
          <w:sz w:val="18"/>
          <w:szCs w:val="18"/>
          <w:color w:val="auto"/>
        </w:rPr>
      </w:pPr>
    </w:p>
    <w:p>
      <w:pPr>
        <w:ind w:left="660" w:right="500" w:hanging="27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operate a manufacturing facility, or secure manufacturing supply through relationships with third parties;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660" w:hanging="27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52"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60" w:firstLine="382"/>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25"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The following summarizes our results of operations for the three months ended September 30, 2021 and 2020, along with the changes in those items in dollars: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Borders>
              <w:bottom w:val="single" w:sz="8" w:color="CFF0FC"/>
            </w:tcBorders>
            <w:vMerge w:val="continue"/>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17,077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15,640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8,628</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25,705</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20,952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Collaboration revenue increased by $3.1 million from $1.8 million for the three months ended September 30, 2020 to $4.9 million for the three months ended September 30, 2021. We recognize revenue under each of the Acceleron Collaboration Agreement and MyoKardia Collaboration Agreement based on our pattern of performance related to the respective identified performance obligation, which is the period over which we will perform research services under each of the Acceleron Collaboration Agreement and MyoKardia Collaboration Agreement. For the three months ended September 30, 2021 and 2020, we recognized $2.9 million and $1.5 million of collaboration revenue under the Acceleron Collaboration Agreement, respectively. For the three months ended September 30, 2021 and 2020, we recognized $2.1 million and $0.3 million of collaboration revenue under the MyoKardia Collaboration Agreement.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September 30, 2021:</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gridSpan w:val="2"/>
            <w:vMerge w:val="continue"/>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9,244</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9,069</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Employee compensation</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Laboratory supplies</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Facility costs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Total research and development expenses</w:t>
            </w:r>
          </w:p>
        </w:tc>
        <w:tc>
          <w:tcPr>
            <w:tcW w:w="16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17,077</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20" w:type="dxa"/>
            <w:vAlign w:val="bottom"/>
            <w:vMerge w:val="restart"/>
          </w:tcPr>
          <w:p>
            <w:pPr>
              <w:jc w:val="right"/>
              <w:ind w:right="63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ind w:firstLine="382"/>
        <w:spacing w:after="0" w:line="286" w:lineRule="auto"/>
        <w:rPr>
          <w:sz w:val="20"/>
          <w:szCs w:val="20"/>
          <w:color w:val="auto"/>
        </w:rPr>
      </w:pPr>
      <w:r>
        <w:rPr>
          <w:rFonts w:ascii="Arial" w:cs="Arial" w:eastAsia="Arial" w:hAnsi="Arial"/>
          <w:sz w:val="17"/>
          <w:szCs w:val="17"/>
          <w:color w:val="auto"/>
        </w:rPr>
        <w:t>Research and development expense increased by $1.4 million from $15.6 million for the three months ended September 30, 2020 to $17.1 million for the three months ended September 30, 2021. The increase in research and development expense was primarily attributable to $1.5 million in increased employee compensation costs, which was primarily due to increased research and development headcount.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 September 30,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Facility costs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5,312</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82"/>
        <w:spacing w:after="0" w:line="342" w:lineRule="auto"/>
        <w:rPr>
          <w:sz w:val="20"/>
          <w:szCs w:val="20"/>
          <w:color w:val="auto"/>
        </w:rPr>
      </w:pPr>
      <w:r>
        <w:rPr>
          <w:rFonts w:ascii="Arial" w:cs="Arial" w:eastAsia="Arial" w:hAnsi="Arial"/>
          <w:sz w:val="16"/>
          <w:szCs w:val="16"/>
          <w:color w:val="auto"/>
        </w:rPr>
        <w:t>General and administrative expenses increased by $3.3 million from $5.3 million for the three months ended September 30, 2020 to $8.6 million for the three months ended September 30, 2021. The increase in general and administrative expenses was primarily attributable to the following:</w:t>
      </w:r>
    </w:p>
    <w:p>
      <w:pPr>
        <w:spacing w:after="0" w:line="16" w:lineRule="exact"/>
        <w:rPr>
          <w:sz w:val="20"/>
          <w:szCs w:val="20"/>
          <w:color w:val="auto"/>
        </w:rPr>
      </w:pPr>
    </w:p>
    <w:p>
      <w:pPr>
        <w:ind w:left="660" w:hanging="27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 million in increased professional services costs, primarily due to increased use of consulting services;</w:t>
      </w:r>
    </w:p>
    <w:p>
      <w:pPr>
        <w:spacing w:after="0" w:line="144" w:lineRule="exact"/>
        <w:rPr>
          <w:rFonts w:ascii="Arial" w:cs="Arial" w:eastAsia="Arial" w:hAnsi="Arial"/>
          <w:sz w:val="18"/>
          <w:szCs w:val="18"/>
          <w:color w:val="auto"/>
        </w:rPr>
      </w:pPr>
    </w:p>
    <w:p>
      <w:pPr>
        <w:ind w:left="660" w:right="320" w:hanging="274"/>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 million in increased employee compensation costs, including stock-based compensation expense, primarily due to increased general and administrative headcount to support the growth of our organization;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$0.1 million in other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Other income, net decreased by $0.1 million from $0.1 million for the three months ended September 30, 2020 to less than $0.1 million for the three months ended September 30, 2021. The decrease in other income, net was primarily attributable to a decrease in investment income on our cash, cash equivalents, and marketable securities as a result of an overall decreased rate of return.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summarizes our results of operations for the nine months ended September 30, 2021, along with the changes in those items in dollars: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bottom w:val="single" w:sz="8" w:color="CFF0FC"/>
            </w:tcBorders>
            <w:vMerge w:val="continue"/>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(53,099)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480" w:firstLine="382"/>
        <w:spacing w:after="0" w:line="277" w:lineRule="auto"/>
        <w:rPr>
          <w:sz w:val="20"/>
          <w:szCs w:val="20"/>
          <w:color w:val="auto"/>
        </w:rPr>
      </w:pPr>
      <w:r>
        <w:rPr>
          <w:rFonts w:ascii="Arial" w:cs="Arial" w:eastAsia="Arial" w:hAnsi="Arial"/>
          <w:sz w:val="18"/>
          <w:szCs w:val="18"/>
          <w:color w:val="auto"/>
        </w:rPr>
        <w:t>Collaboration revenue increased by $9.5 million from $4.6 million for the nine months ended September 30, 2020 to $14.1 million for the nine months ended September 30, 2021. We recognize revenue under each of the Acceleron Collaboration Agreement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33" w:name="page34"/>
    <w:bookmarkEnd w:id="33"/>
    <w:p>
      <w:pPr>
        <w:ind w:right="60"/>
        <w:spacing w:after="0" w:line="257" w:lineRule="auto"/>
        <w:rPr>
          <w:sz w:val="20"/>
          <w:szCs w:val="20"/>
          <w:color w:val="auto"/>
        </w:rPr>
      </w:pPr>
      <w:r>
        <w:rPr>
          <w:rFonts w:ascii="Arial" w:cs="Arial" w:eastAsia="Arial" w:hAnsi="Arial"/>
          <w:sz w:val="18"/>
          <w:szCs w:val="18"/>
          <w:color w:val="auto"/>
        </w:rPr>
        <w:t>and MyoKardia Collaboration Agreement based on our pattern of performance related to the respective identified performance obligation, which is the period over which we will perform research services under each of the Acceleron Collaboration Agreement and MyoKardia Collaboration Agreement. For the nine months ended September 30, 2021 and 2020, we recognized $7.8 million and $4.3 million of collaboration revenue under the Acceleron Collaboration Agreement, respectively. For the nine months ended September 30, 2021 and 2020, we recognized $6.3 million and $0.3 million of collaboration revenue under the MyoKardia Collaboration Agreement,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nine months ended September 30, 2021:</w:t>
      </w:r>
    </w:p>
    <w:p>
      <w:pPr>
        <w:spacing w:after="0" w:line="200" w:lineRule="exact"/>
        <w:rPr>
          <w:sz w:val="20"/>
          <w:szCs w:val="20"/>
          <w:color w:val="auto"/>
        </w:rPr>
      </w:pP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Employee compensation</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13,659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Laboratory supplies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Facility costs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50,789</w:t>
            </w: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82"/>
        <w:spacing w:after="0" w:line="342" w:lineRule="auto"/>
        <w:rPr>
          <w:sz w:val="20"/>
          <w:szCs w:val="20"/>
          <w:color w:val="auto"/>
        </w:rPr>
      </w:pPr>
      <w:r>
        <w:rPr>
          <w:rFonts w:ascii="Arial" w:cs="Arial" w:eastAsia="Arial" w:hAnsi="Arial"/>
          <w:sz w:val="16"/>
          <w:szCs w:val="16"/>
          <w:color w:val="auto"/>
        </w:rPr>
        <w:t>Research and development expense increased by $7.9 million from $42.9 million for the nine months ended September 30, 2020 to $50.8 million for the nine months ended September 30, 2021. The increase in research and development expense was primarily attributable to the following:</w:t>
      </w:r>
    </w:p>
    <w:p>
      <w:pPr>
        <w:spacing w:after="0" w:line="16" w:lineRule="exact"/>
        <w:rPr>
          <w:sz w:val="20"/>
          <w:szCs w:val="20"/>
          <w:color w:val="auto"/>
        </w:rPr>
      </w:pPr>
    </w:p>
    <w:p>
      <w:pPr>
        <w:ind w:left="660" w:hanging="274"/>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$5.9 million in increased external research and development costs, primarily relating to our ongoing open label extension of our Phase 2b clinical trial of losmapimod for the treatment of FSHD, our ongoing Phase 2 open label clinical trial of losmapimod for the treatment of FSHD, our ongoing Phase 1 clinical trial of FTX-6058 in healthy adult volunteers and patients with SCD and our planned Phase 1b clinical trial of FTX-6058 in patients with SCD;</w:t>
      </w:r>
    </w:p>
    <w:p>
      <w:pPr>
        <w:spacing w:after="0" w:line="78" w:lineRule="exact"/>
        <w:rPr>
          <w:rFonts w:ascii="Arial" w:cs="Arial" w:eastAsia="Arial" w:hAnsi="Arial"/>
          <w:sz w:val="18"/>
          <w:szCs w:val="18"/>
          <w:color w:val="auto"/>
        </w:rPr>
      </w:pPr>
    </w:p>
    <w:p>
      <w:pPr>
        <w:ind w:left="660" w:hanging="27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 million in increased employee compensation costs, primarily due to increased research and development headcount;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$0.3 million in increased laboratory supplies costs;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 million in increased facilities costs, partially offset by a $0.2 million decrease in other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general and administrative expenses for the nine months ended September 30, 2021:</w:t>
      </w:r>
    </w:p>
    <w:p>
      <w:pPr>
        <w:spacing w:after="0" w:line="200" w:lineRule="exact"/>
        <w:rPr>
          <w:sz w:val="20"/>
          <w:szCs w:val="20"/>
          <w:color w:val="auto"/>
        </w:rPr>
      </w:pP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8,952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Facility costs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20,811</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15,525</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82"/>
        <w:spacing w:after="0" w:line="342" w:lineRule="auto"/>
        <w:rPr>
          <w:sz w:val="20"/>
          <w:szCs w:val="20"/>
          <w:color w:val="auto"/>
        </w:rPr>
      </w:pPr>
      <w:r>
        <w:rPr>
          <w:rFonts w:ascii="Arial" w:cs="Arial" w:eastAsia="Arial" w:hAnsi="Arial"/>
          <w:sz w:val="16"/>
          <w:szCs w:val="16"/>
          <w:color w:val="auto"/>
        </w:rPr>
        <w:t>General and administrative expenses increased by $5.3 million from $15.5 million for the nine months ended September 30, 2020 to $20.8 million for the nine months ended September 30, 2021. The increase in general and administrative expenses was primarily attributable to the following:</w:t>
      </w:r>
    </w:p>
    <w:p>
      <w:pPr>
        <w:spacing w:after="0" w:line="16" w:lineRule="exact"/>
        <w:rPr>
          <w:sz w:val="20"/>
          <w:szCs w:val="20"/>
          <w:color w:val="auto"/>
        </w:rPr>
      </w:pPr>
    </w:p>
    <w:p>
      <w:pPr>
        <w:ind w:left="660" w:right="360" w:hanging="27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$2.3 million in increased employee compensation costs, including stock-based compensation expense, primarily due to increased general and administrative headcount to support the growth of our organization;</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$2.8 million in increased professional services costs, primarily due to increased use of consulting services;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4" w:name="page35"/>
    <w:bookmarkEnd w:id="34"/>
    <w:p>
      <w:pPr>
        <w:ind w:left="660" w:hanging="27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$0.3 million in other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Other income, net decreased by $0.6 million from $0.7 million for the nine months ended September 30, 2020 to $0.1 million for the nine months ended September 30, 2021. The decrease in other income, net was primarily attributable to a decrease in investment income on our cash, cash equivalents, and marketable securities as a result of an overall decreased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September 30, 2021, we have funded our operations primarily with aggregate gross proceeds of $501.2 million from the sale of shares of our common stock in public offerings, a private placement, and the ATM Offering, through issuances of convertible preferred stock, and from upfront payments received under our collaboration and license agreements. As of September 30, 2021, we had cash, cash equivalents, and marketable securities of $240.3 million.</w:t>
      </w:r>
    </w:p>
    <w:p>
      <w:pPr>
        <w:spacing w:after="0" w:line="178" w:lineRule="exact"/>
        <w:rPr>
          <w:sz w:val="20"/>
          <w:szCs w:val="20"/>
          <w:color w:val="auto"/>
        </w:rPr>
      </w:pPr>
    </w:p>
    <w:p>
      <w:pPr>
        <w:ind w:right="320" w:firstLine="382"/>
        <w:spacing w:after="0" w:line="259" w:lineRule="auto"/>
        <w:rPr>
          <w:sz w:val="20"/>
          <w:szCs w:val="20"/>
          <w:color w:val="auto"/>
        </w:rPr>
      </w:pPr>
      <w:r>
        <w:rPr>
          <w:rFonts w:ascii="Arial" w:cs="Arial" w:eastAsia="Arial" w:hAnsi="Arial"/>
          <w:sz w:val="18"/>
          <w:szCs w:val="18"/>
          <w:color w:val="auto"/>
        </w:rPr>
        <w:t>On July 22, 2019, we completed an initial public offering of our common stock and issued and sold 4,500,000 shares of common stock at a public offering price of $16.00 per share, resulting in net proceeds of $63.9 million after deducting underwriting discounts and commissions and offering expenses. On June 9, 2020, we issued and sold 4,029,411 shares of common stock in a private placement at a price of $17.00 per share, resulting in net proceeds of $64.2 million, after deducting offering costs.</w:t>
      </w:r>
    </w:p>
    <w:p>
      <w:pPr>
        <w:spacing w:after="0" w:line="187" w:lineRule="exact"/>
        <w:rPr>
          <w:sz w:val="20"/>
          <w:szCs w:val="20"/>
          <w:color w:val="auto"/>
        </w:rPr>
      </w:pPr>
    </w:p>
    <w:p>
      <w:pPr>
        <w:ind w:right="140" w:firstLine="382"/>
        <w:spacing w:after="0" w:line="286" w:lineRule="auto"/>
        <w:rPr>
          <w:sz w:val="20"/>
          <w:szCs w:val="20"/>
          <w:color w:val="auto"/>
        </w:rPr>
      </w:pPr>
      <w:r>
        <w:rPr>
          <w:rFonts w:ascii="Arial" w:cs="Arial" w:eastAsia="Arial" w:hAnsi="Arial"/>
          <w:sz w:val="17"/>
          <w:szCs w:val="17"/>
          <w:color w:val="auto"/>
        </w:rPr>
        <w:t>In December 2019, we received a $10.0 million upfront payment upon execution of the Acceleron Collaboration Agreement and in January 2021 we received $2.0 million in specified research milestones under the Acceleron Collaboration Agreement. In July 2020, we received a $10.0 million upfront payment and a $2.5 million payment as prepaid research funding under the MyoKardia Collaboration Agreement.</w:t>
      </w:r>
    </w:p>
    <w:p>
      <w:pPr>
        <w:spacing w:after="0" w:line="165"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On August 11, 2020, we filed a shelf registration statement on Form S-3 with the SEC, which was declared effective on August 17, 2020, or the Shelf Registration Statement. Under the Shelf Registration Statement, we may offer and sell up to $250.0 million of a variety of securities including common stock, preferred stock, warrants, depositary shares, debt securities or units during the three-year period that commenced upon the Shelf Registration Statement becoming effective. In connection with the filing of the Shelf Registration Statement, we entered into an Equity Distribution Agreement with Piper Sandler &amp; Co., or Piper Sandler, as sales agent, pursuant to which we may offer and sell shares of our common stock with an aggregate offering price of up to $75.0 million under the ATM Offering. As of September 30, 2021, we have issued and sold 550,000 shares of common stock under the ATM Offering, resulting in net proceeds of $5.7 million after deducting offering costs.</w:t>
      </w:r>
    </w:p>
    <w:p>
      <w:pPr>
        <w:spacing w:after="0" w:line="177" w:lineRule="exact"/>
        <w:rPr>
          <w:sz w:val="20"/>
          <w:szCs w:val="20"/>
          <w:color w:val="auto"/>
        </w:rPr>
      </w:pPr>
    </w:p>
    <w:p>
      <w:pPr>
        <w:ind w:firstLine="382"/>
        <w:spacing w:after="0" w:line="342" w:lineRule="auto"/>
        <w:rPr>
          <w:sz w:val="20"/>
          <w:szCs w:val="20"/>
          <w:color w:val="auto"/>
        </w:rPr>
      </w:pPr>
      <w:r>
        <w:rPr>
          <w:rFonts w:ascii="Arial" w:cs="Arial" w:eastAsia="Arial" w:hAnsi="Arial"/>
          <w:sz w:val="16"/>
          <w:szCs w:val="16"/>
          <w:color w:val="auto"/>
        </w:rPr>
        <w:t>On January 22, 2021, we completed a public offering of our common stock and issued and sold 4,600,000 shares of common stock at a public offering price of $11.00 per share, resulting in net proceeds of $47.4 million after deducting underwriting discounts and commissions and offering expenses.</w:t>
      </w:r>
    </w:p>
    <w:p>
      <w:pPr>
        <w:spacing w:after="0" w:line="124" w:lineRule="exact"/>
        <w:rPr>
          <w:sz w:val="20"/>
          <w:szCs w:val="20"/>
          <w:color w:val="auto"/>
        </w:rPr>
      </w:pPr>
    </w:p>
    <w:p>
      <w:pPr>
        <w:ind w:right="40" w:firstLine="382"/>
        <w:spacing w:after="0" w:line="342" w:lineRule="auto"/>
        <w:rPr>
          <w:sz w:val="20"/>
          <w:szCs w:val="20"/>
          <w:color w:val="auto"/>
        </w:rPr>
      </w:pPr>
      <w:r>
        <w:rPr>
          <w:rFonts w:ascii="Arial" w:cs="Arial" w:eastAsia="Arial" w:hAnsi="Arial"/>
          <w:sz w:val="16"/>
          <w:szCs w:val="16"/>
          <w:color w:val="auto"/>
        </w:rPr>
        <w:t>On August 16, 2021, we completed a public offering of our common stock and issued and sold 7,590,000 shares of common stock at a public offering price of $19.00 per share, resulting in net proceeds of $135.5 million after deducting underwriting discounts and commissions and offering expenses.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information regarding our cash flows for the nine months ended September 30, 2021 and 2020:</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(33,829)</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(120,575)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185,616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64,877</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w w:val="95"/>
              </w:rPr>
              <w:t>Net increase (decrease)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Net cash used in operating activities was $56.6 million during the nine months ended September 30, 2021 compared to net cash used in operating activities of $33.8 million during the nine months ended September 30, 2020. The increase in net cash used in operating activities of $22.8 million was primarily due to increased external research and development costs as we continue to advance our lead programs, increased employee compensation costs, and increased general and administrative costs to support the growth of our organization.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Net cash used in investing activities was $120.6 million during the nine months ended September 30, 2021 compared to net cash used in investing activities of $42.5 million during the nine months ended September 30, 2020. The increase in net cash used in investing activities of $78.1 million was primarily due to higher net purchases of marketable securities during the nine months ended September 30, 2021, as compared to during the nine months ended September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Net cash provided by financing activities was $185.6 million during the nine months ended September 30, 2021 compared to net cash provided by financing activities of $64.9 million during the nine months ended September 30, 2020. Net cash provided by financing activities during the nine months ended September 30, 2021 primarily consisted of net proceeds of approximately $182.9 million from the completion of the public offerings of our common stock in January 2021 and August 2021. Net cash provided by financing activities during the nine months ended September 30, 2020 primarily consisted of net proceeds of approximately $64.2 million from the issuance of common stock in a private placement in June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right="80" w:firstLine="382"/>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September 30, 2021, will enable us to fund our operating expenses and capital expenditure requirements into 2024. However, we have based this estimate on assumptions that may prove to be wrong and we could exhaust our capital resources sooner than we expect.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660" w:right="260" w:hanging="274"/>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progress, costs and results of our ongoing open label extension of our Phase 2b clinical trial of losmapimod for the treatment of FSHD, our ongoing Phase 2 open label clinical trial of losmapimod for the treatment of FSHD, our ongoing Phase 1 clinical trial of FTX-6058 in healthy adult volunteers and patients with SCD and our planned Phase 1b clinical trial of FTX-6058 in patients with SCD;</w:t>
      </w:r>
    </w:p>
    <w:p>
      <w:pPr>
        <w:spacing w:after="0" w:line="57" w:lineRule="exact"/>
        <w:rPr>
          <w:rFonts w:ascii="Arial" w:cs="Arial" w:eastAsia="Arial" w:hAnsi="Arial"/>
          <w:sz w:val="17"/>
          <w:szCs w:val="17"/>
          <w:color w:val="auto"/>
        </w:rPr>
      </w:pPr>
    </w:p>
    <w:p>
      <w:pPr>
        <w:ind w:left="660" w:right="160" w:hanging="274"/>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6" w:name="page37"/>
    <w:bookmarkEnd w:id="36"/>
    <w:p>
      <w:pPr>
        <w:ind w:left="660" w:hanging="27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44" w:lineRule="exact"/>
        <w:rPr>
          <w:rFonts w:ascii="Arial" w:cs="Arial" w:eastAsia="Arial" w:hAnsi="Arial"/>
          <w:sz w:val="18"/>
          <w:szCs w:val="18"/>
          <w:color w:val="auto"/>
        </w:rPr>
      </w:pPr>
    </w:p>
    <w:p>
      <w:pPr>
        <w:ind w:left="660" w:right="160" w:hanging="27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44" w:lineRule="exact"/>
        <w:rPr>
          <w:rFonts w:ascii="Arial" w:cs="Arial" w:eastAsia="Arial" w:hAnsi="Arial"/>
          <w:sz w:val="18"/>
          <w:szCs w:val="18"/>
          <w:color w:val="auto"/>
        </w:rPr>
      </w:pPr>
    </w:p>
    <w:p>
      <w:pPr>
        <w:ind w:left="660" w:right="880" w:hanging="27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44" w:lineRule="exact"/>
        <w:rPr>
          <w:rFonts w:ascii="Arial" w:cs="Arial" w:eastAsia="Arial" w:hAnsi="Arial"/>
          <w:sz w:val="18"/>
          <w:szCs w:val="18"/>
          <w:color w:val="auto"/>
        </w:rPr>
      </w:pPr>
    </w:p>
    <w:p>
      <w:pPr>
        <w:ind w:left="660" w:right="400" w:hanging="27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67" w:lineRule="exact"/>
        <w:rPr>
          <w:rFonts w:ascii="Arial" w:cs="Arial" w:eastAsia="Arial" w:hAnsi="Arial"/>
          <w:sz w:val="16"/>
          <w:szCs w:val="16"/>
          <w:color w:val="auto"/>
        </w:rPr>
      </w:pPr>
    </w:p>
    <w:p>
      <w:pPr>
        <w:ind w:left="660" w:right="200" w:hanging="27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52"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right="140" w:firstLine="382"/>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80" w:firstLine="382"/>
        <w:spacing w:after="0" w:line="311" w:lineRule="auto"/>
        <w:rPr>
          <w:sz w:val="20"/>
          <w:szCs w:val="20"/>
          <w:color w:val="auto"/>
        </w:rPr>
      </w:pPr>
      <w:r>
        <w:rPr>
          <w:rFonts w:ascii="Arial" w:cs="Arial" w:eastAsia="Arial" w:hAnsi="Arial"/>
          <w:sz w:val="16"/>
          <w:szCs w:val="16"/>
          <w:color w:val="auto"/>
        </w:rPr>
        <w:t>During the three and nine months ended September 30, 2021, there have been no material changes to our contractual obligations and commitments outside the ordinary course of business from those described under the heading “Management’s Discussion and Analysis of Financial Condition and Results of Operations – Contractual Obligations” in our Annual Report on Form 10-K filed with the SEC on March 4,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760" w:firstLine="38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September 30, 2021, there were no material changes to our critical accounting policies from those described in our Annual Report on Form 10-K filed with the SEC on March 4,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60" w:firstLine="382"/>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382"/>
        <w:spacing w:after="0" w:line="255"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our cash equivalents are in the form of corporate bonds, commercial paper, and money market funds that are invested in U.S. Treasury securities and our investments are in short-term marketable securities, such as corporate bonds and commercial paper. As of September 30, 2021, we had cash, cash equivalents, and marketable securities of $240.3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92"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September 30, 2021, we had minimal or no liabilities denominated in foreign currencies.</w:t>
      </w:r>
    </w:p>
    <w:p>
      <w:pPr>
        <w:spacing w:after="0" w:line="187" w:lineRule="exact"/>
        <w:rPr>
          <w:sz w:val="20"/>
          <w:szCs w:val="20"/>
          <w:color w:val="auto"/>
        </w:rPr>
      </w:pPr>
    </w:p>
    <w:p>
      <w:pPr>
        <w:ind w:right="540" w:firstLine="382"/>
        <w:spacing w:after="0" w:line="308"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had a material effect on our business, financial condition or results of operations during the three and nine months ended September 30, 2021 and 2020.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Vice President, Finance and Accounting (our principal executive officer and principal financial officer, respectively), evaluated the effectiveness of our disclosure controls and procedures as of September 30,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2021, our Chief Executive Officer and Vice President, Finance and Accounting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00" w:firstLine="382"/>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Since inception, we have incurred significant operating losses. Our net loss was $70.8 million for the year ended December 31, 2020 and $57.4 million for the nine months ended September 30, 2021. As of September 30, 2021, we had an accumulated deficit of $279.0 million. To date, we have funded our operations primarily from the sale of shares of our common stock in public offerings, a private placement, and in “at-the-market” offerings, through issuances of convertible preferred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0" w:lineRule="exact"/>
        <w:rPr>
          <w:sz w:val="20"/>
          <w:szCs w:val="20"/>
          <w:color w:val="auto"/>
        </w:rPr>
      </w:pPr>
    </w:p>
    <w:p>
      <w:pPr>
        <w:ind w:left="660" w:right="2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open label extension of our Phase 2b clinical trial of losmapimod for the treatment of FSHD and our ongoing Phase 2 open label clinical trial of losmapimod for the treatment of FSHD;</w:t>
      </w:r>
    </w:p>
    <w:p>
      <w:pPr>
        <w:spacing w:after="0" w:line="62" w:lineRule="exact"/>
        <w:rPr>
          <w:rFonts w:ascii="Arial" w:cs="Arial" w:eastAsia="Arial" w:hAnsi="Arial"/>
          <w:sz w:val="18"/>
          <w:szCs w:val="18"/>
          <w:color w:val="auto"/>
        </w:rPr>
      </w:pPr>
    </w:p>
    <w:p>
      <w:pPr>
        <w:ind w:left="660" w:right="28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adult volunteers and patients with SCD and our planned Phase 1b clinical trial of FTX-6058 in patients with sickle cell disease, or SCD;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660" w:right="76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 defined rare diseases and the subsequent development of any resulting product candidates;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500" w:hanging="274"/>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660" w:hanging="274"/>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660" w:right="20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660" w:right="44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0" w:name="page41"/>
    <w:bookmarkEnd w:id="40"/>
    <w:p>
      <w:pPr>
        <w:ind w:right="160" w:firstLine="382"/>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660" w:right="580" w:hanging="274"/>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We expect to devote substantial financial resources to our ongoing and planned activities, particularly as we continue our open label extension of our Phase 2b clinical trial and our phase 2 open label clinical trial of losmapimod for the treatment of FSHD, continue our Phase 1 clinical trial of FTX-6058 in healthy adult volunteers and patients with SCD, prepare for our planned Phase 1b clinical trial of FTX-6058 in patients with SCD,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right="280" w:hanging="274"/>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progress, costs and results of our ongoing open label extension of our Phase 2b clinical trial of losmapimod for the treatment of FSHD, our ongoing Phase 2 open label clinical trial of losmapimod for the treatment of FSHD, our ongoing Phase 1 clinical trial of FTX-6058 in healthy adult volunteers and patients with SCD and our planned Phase 1b clinical trial of FTX-6058 in patients with SCD;</w:t>
      </w:r>
    </w:p>
    <w:p>
      <w:pPr>
        <w:spacing w:after="0" w:line="57" w:lineRule="exact"/>
        <w:rPr>
          <w:rFonts w:ascii="Arial" w:cs="Arial" w:eastAsia="Arial" w:hAnsi="Arial"/>
          <w:sz w:val="17"/>
          <w:szCs w:val="17"/>
          <w:color w:val="auto"/>
        </w:rPr>
      </w:pPr>
    </w:p>
    <w:p>
      <w:pPr>
        <w:ind w:left="660" w:right="180" w:hanging="274"/>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660" w:right="440" w:hanging="274"/>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660" w:right="860" w:hanging="274"/>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660" w:right="380" w:hanging="274"/>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left="660" w:hanging="274"/>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660" w:right="200" w:hanging="274"/>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52" w:lineRule="exact"/>
        <w:rPr>
          <w:sz w:val="20"/>
          <w:szCs w:val="20"/>
          <w:color w:val="auto"/>
        </w:rPr>
      </w:pPr>
    </w:p>
    <w:p>
      <w:pPr>
        <w:ind w:right="160" w:firstLine="382"/>
        <w:spacing w:after="0" w:line="279" w:lineRule="auto"/>
        <w:rPr>
          <w:sz w:val="20"/>
          <w:szCs w:val="20"/>
          <w:color w:val="auto"/>
        </w:rPr>
      </w:pPr>
      <w:r>
        <w:rPr>
          <w:rFonts w:ascii="Arial" w:cs="Arial" w:eastAsia="Arial" w:hAnsi="Arial"/>
          <w:sz w:val="17"/>
          <w:szCs w:val="17"/>
          <w:color w:val="auto"/>
        </w:rPr>
        <w:t>As of September 30, 2021, we had cash, cash equivalents, and marketable securities of approximately $240.3 million. We believe that our cash, cash equivalents, and marketable securities as of September 30, 2021 will enable us to fund our operating expenses and capital expenditure requirements into 2024.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1"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60" w:firstLine="382"/>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jc w:val="both"/>
        <w:ind w:right="20" w:firstLine="382"/>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260"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as our business grows, we may encounter unforeseen expenses, difficulties, complications, delays and other known and unknown factors.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will need to transition at some point from a company with a research and development focus to a company capable of supporting commercial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such a transition.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firstLine="382"/>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5" w:lineRule="exact"/>
        <w:rPr>
          <w:sz w:val="20"/>
          <w:szCs w:val="20"/>
          <w:color w:val="auto"/>
        </w:rPr>
      </w:pPr>
    </w:p>
    <w:p>
      <w:pPr>
        <w:ind w:right="60" w:firstLine="382"/>
        <w:spacing w:after="0" w:line="287" w:lineRule="auto"/>
        <w:rPr>
          <w:sz w:val="20"/>
          <w:szCs w:val="20"/>
          <w:color w:val="auto"/>
        </w:rPr>
      </w:pPr>
      <w:r>
        <w:rPr>
          <w:rFonts w:ascii="Arial" w:cs="Arial" w:eastAsia="Arial" w:hAnsi="Arial"/>
          <w:sz w:val="16"/>
          <w:szCs w:val="16"/>
          <w:color w:val="auto"/>
        </w:rPr>
        <w:t>In light of the COVID-19 pandemic, we and our contract manufacturing organizations, or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outbreak.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the wake of COVID-19, the clinical trial sites for our ReDUX4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outbreak. The response to the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168" w:lineRule="exact"/>
        <w:rPr>
          <w:sz w:val="20"/>
          <w:szCs w:val="20"/>
          <w:color w:val="auto"/>
        </w:rPr>
      </w:pPr>
    </w:p>
    <w:p>
      <w:pPr>
        <w:ind w:right="220" w:firstLine="382"/>
        <w:spacing w:after="0" w:line="290" w:lineRule="auto"/>
        <w:rPr>
          <w:sz w:val="20"/>
          <w:szCs w:val="20"/>
          <w:color w:val="auto"/>
        </w:rPr>
      </w:pPr>
      <w:r>
        <w:rPr>
          <w:rFonts w:ascii="Arial" w:cs="Arial" w:eastAsia="Arial" w:hAnsi="Arial"/>
          <w:sz w:val="16"/>
          <w:szCs w:val="16"/>
          <w:color w:val="auto"/>
        </w:rPr>
        <w:t>Additionally, the impact of the COVID-19 outbreak in Massachusetts resulted in a temporary reduction in workforce presence at our Cambridge research facility. While we increased workforce presence at our facilities starting in the second quarter of 2020, not all employees have returned to our facility and we cannot be certain that we will not be required to close our facilities in the future as a result of the COVID-19 pandemic.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pandemic has on the ability of our CROs to deliver data sets and execute on experimentation could cause substantial delays for our discovery activities and materially impact our ability to fuel our pipeline with new product candidates.</w:t>
      </w:r>
    </w:p>
    <w:p>
      <w:pPr>
        <w:spacing w:after="0" w:line="165"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continue to significantly impact economies worldwide, which could result in adverse effects on our business and operations. We cannot be certain what the overall impact of the COVID-19 pandemic will be on our business. The extent of the impact of COVID-19 on our business, financial condition, results of operations and prospects will depend on future developments that are highly uncertain, including as a result of new information that may emerge concerning COVID-19 or any variant strains of the virus and actions to be taken to contain or mitigate the impact of COVID-19, including the supply, distribution and effectiveness of vaccines.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25"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Recent changes in tax law may adversely affect our business or financial condition. On December 22, 2017, the U.S. government enacted the Tax Cuts and Jobs Act, or the TCJA, which significantly reformed the U.S.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net operating losses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66"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As part of Congress’ response to the COVID-19 pandemic, the Families First Coronavirus Response Act, or FFCR Act, was enacted on March 18, 2020, the CARES Act was enacted on March 27, 2020 and COVID-19 relief provisions were included in the Consolidated Appropriations Act, 2021, or CAA, which was enacted on December 27, 2020. All contain numerous tax provisions. In particular, the CARES Act retroactively and temporarily (for taxable years beginning before January 1, 2021) suspends application of the 80%-of-income limitation on the use of net operating losses, which was enacted as part of the TCJA. It also provides that net operating losses arising in any taxable year beginning after December 31, 2017, and before January 1, 2021 are generally eligible to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80"/>
        <w:spacing w:after="0" w:line="277" w:lineRule="auto"/>
        <w:rPr>
          <w:sz w:val="20"/>
          <w:szCs w:val="20"/>
          <w:color w:val="auto"/>
        </w:rPr>
      </w:pPr>
      <w:r>
        <w:rPr>
          <w:rFonts w:ascii="Arial" w:cs="Arial" w:eastAsia="Arial" w:hAnsi="Arial"/>
          <w:sz w:val="18"/>
          <w:szCs w:val="18"/>
          <w:color w:val="auto"/>
        </w:rPr>
        <w:t>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70"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Regulatory guidance under the TCJA, the FFCR Act, the CARES Act and the CAA is and continues to be forthcoming, and such guidance could ultimately increase or lessen impact of these laws on our business and financial condition. It is also possible that Congress will enact additional legislation in connection with the COVID-19 pandemic, and as a result of the changes in the U.S. presidential administration and control of the U.S. Senate, additional tax legislation may also be enacted; any such additional legislation could have an impact on our company. In addition, it is uncertain if and to what extent various states will conform to the TCJA, the FFCR Act, the CARES Act and the CAA.</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0" w:lineRule="exact"/>
        <w:rPr>
          <w:sz w:val="20"/>
          <w:szCs w:val="20"/>
          <w:color w:val="auto"/>
        </w:rPr>
      </w:pPr>
    </w:p>
    <w:p>
      <w:pPr>
        <w:ind w:right="120" w:firstLine="382"/>
        <w:spacing w:after="0" w:line="275" w:lineRule="auto"/>
        <w:rPr>
          <w:sz w:val="20"/>
          <w:szCs w:val="20"/>
          <w:color w:val="auto"/>
        </w:rPr>
      </w:pPr>
      <w:r>
        <w:rPr>
          <w:rFonts w:ascii="Arial" w:cs="Arial" w:eastAsia="Arial" w:hAnsi="Arial"/>
          <w:sz w:val="17"/>
          <w:szCs w:val="17"/>
          <w:color w:val="auto"/>
        </w:rPr>
        <w:t>As of December 31, 2020, we had federal and state net operating loss carryforwards of $170.7 million and $170.2 million, respectively, which begin to expire in 2035. Approximately $139.7 million of the federal net operating losses can be carried forward indefinitely. As of December 31, 2020, we also had federal orphan drug credits of $3.0 million, which begin to expire in 2040. As of December 31, 2020, we also had federal and state research and development tax credit carryforwards of $4.6 million and $2.8 million, respectively, which begin to expire in 2035 and 2030, respectively. These net operating loss and tax credit carryforwards could expire unused and be unavailable to offset future income tax liabilities.</w:t>
      </w:r>
    </w:p>
    <w:p>
      <w:pPr>
        <w:spacing w:after="0" w:line="176" w:lineRule="exact"/>
        <w:rPr>
          <w:sz w:val="20"/>
          <w:szCs w:val="20"/>
          <w:color w:val="auto"/>
        </w:rPr>
      </w:pPr>
    </w:p>
    <w:p>
      <w:pPr>
        <w:ind w:right="120" w:firstLine="382"/>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24"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177"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above in “Changes in tax laws or in their implementation or interpretation may adversely affect our business and financial condition,” the TCJA,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We are early in our development efforts, and we have advanced only two product candidates into clinical trials, losmapimod for the treatment of FSHD, and FTX-6058 in healthy adult volunteers. We have invested substantially all of our efforts and financial resources in our proprietary product engine to identify and validate cellular drug targets that can potentially modulate gene expression to address the root cause of genetically defined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84" w:lineRule="exact"/>
        <w:rPr>
          <w:sz w:val="20"/>
          <w:szCs w:val="20"/>
          <w:color w:val="auto"/>
        </w:rPr>
      </w:pPr>
    </w:p>
    <w:p>
      <w:pPr>
        <w:ind w:left="660" w:hanging="27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660" w:right="180" w:hanging="274"/>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investigational new drug applications, or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660" w:right="300" w:hanging="274"/>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and maintaining coverage, adequate pricing and adequate reimbursement from third-party payors, including government payors;</w:t>
      </w:r>
    </w:p>
    <w:p>
      <w:pPr>
        <w:spacing w:after="0" w:line="128" w:lineRule="exact"/>
        <w:rPr>
          <w:rFonts w:ascii="Arial" w:cs="Arial" w:eastAsia="Arial" w:hAnsi="Arial"/>
          <w:sz w:val="17"/>
          <w:szCs w:val="17"/>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225" w:lineRule="exact"/>
        <w:rPr>
          <w:sz w:val="20"/>
          <w:szCs w:val="20"/>
          <w:color w:val="auto"/>
        </w:rPr>
      </w:pPr>
    </w:p>
    <w:p>
      <w:pPr>
        <w:ind w:right="20" w:firstLine="382"/>
        <w:spacing w:after="0" w:line="268" w:lineRule="auto"/>
        <w:rPr>
          <w:sz w:val="20"/>
          <w:szCs w:val="20"/>
          <w:color w:val="auto"/>
        </w:rPr>
      </w:pPr>
      <w:r>
        <w:rPr>
          <w:rFonts w:ascii="Arial" w:cs="Arial" w:eastAsia="Arial" w:hAnsi="Arial"/>
          <w:sz w:val="17"/>
          <w:szCs w:val="17"/>
          <w:color w:val="auto"/>
        </w:rPr>
        <w:t>A key element of our strategy is to use our proprietary product engine to identify and validate cellular drug targets that can potentially modulate gene expression to address the root cause of genetically defined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 collaborations with Acceleron and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9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ind w:right="180" w:firstLine="382"/>
        <w:spacing w:after="0" w:line="254" w:lineRule="auto"/>
        <w:rPr>
          <w:sz w:val="20"/>
          <w:szCs w:val="20"/>
          <w:color w:val="auto"/>
        </w:rPr>
      </w:pPr>
      <w:r>
        <w:rPr>
          <w:rFonts w:ascii="Arial" w:cs="Arial" w:eastAsia="Arial" w:hAnsi="Arial"/>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2" w:lineRule="exact"/>
        <w:rPr>
          <w:sz w:val="20"/>
          <w:szCs w:val="20"/>
          <w:color w:val="auto"/>
        </w:rPr>
      </w:pPr>
    </w:p>
    <w:p>
      <w:pPr>
        <w:ind w:right="80" w:firstLine="382"/>
        <w:spacing w:after="0" w:line="290"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5" w:name="page46"/>
    <w:bookmarkEnd w:id="45"/>
    <w:p>
      <w:pPr>
        <w:ind w:firstLine="382"/>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2"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have entered into a right of reference and license agreement, or the GSK Agreement, as amended,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81"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660" w:right="12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660" w:right="16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660" w:right="62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660" w:right="2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660" w:right="620" w:hanging="274"/>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660" w:right="360" w:hanging="274"/>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660" w:right="2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67" w:lineRule="exact"/>
        <w:rPr>
          <w:rFonts w:ascii="Arial" w:cs="Arial" w:eastAsia="Arial" w:hAnsi="Arial"/>
          <w:sz w:val="16"/>
          <w:szCs w:val="16"/>
          <w:color w:val="auto"/>
        </w:rPr>
      </w:pPr>
    </w:p>
    <w:p>
      <w:pPr>
        <w:ind w:left="660" w:right="680" w:hanging="274"/>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left="660" w:right="80" w:hanging="27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44" w:lineRule="exact"/>
        <w:rPr>
          <w:rFonts w:ascii="Arial" w:cs="Arial" w:eastAsia="Arial" w:hAnsi="Arial"/>
          <w:sz w:val="18"/>
          <w:szCs w:val="18"/>
          <w:color w:val="auto"/>
        </w:rPr>
      </w:pPr>
    </w:p>
    <w:p>
      <w:pPr>
        <w:ind w:left="660" w:right="60" w:hanging="27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660" w:right="20" w:hanging="27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660" w:right="40" w:hanging="274"/>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660" w:right="700" w:hanging="27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ind w:right="460" w:firstLine="382"/>
        <w:spacing w:after="0" w:line="308" w:lineRule="auto"/>
        <w:rPr>
          <w:sz w:val="20"/>
          <w:szCs w:val="20"/>
          <w:color w:val="auto"/>
        </w:rPr>
      </w:pPr>
      <w:r>
        <w:rPr>
          <w:rFonts w:ascii="Arial" w:cs="Arial" w:eastAsia="Arial" w:hAnsi="Arial"/>
          <w:sz w:val="17"/>
          <w:szCs w:val="17"/>
          <w:color w:val="auto"/>
        </w:rPr>
        <w:t>For example, in the wake of COVID-19, the clinical trial sites for our ReDUX4 trial temporarily postponed trial-related activities, impacting our clinical trial execution plans, and we cannot be certain that we will not face other postponements or similar difficulties in the future.</w:t>
      </w:r>
    </w:p>
    <w:p>
      <w:pPr>
        <w:spacing w:after="0" w:line="146" w:lineRule="exact"/>
        <w:rPr>
          <w:sz w:val="20"/>
          <w:szCs w:val="20"/>
          <w:color w:val="auto"/>
        </w:rPr>
      </w:pPr>
    </w:p>
    <w:p>
      <w:pPr>
        <w:ind w:right="100" w:firstLine="382"/>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52"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184"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muscle fat infiltration, reachable workspace and patient global impression of change tests we intend to use in our losmapimod clinical trials, none of which have been used in prior trials of drugs to treat FSHD to our knowledge. The FDA or other regulatory authorities may not consider the endpoints of our clinical trials to provide clinically meaningful results, even where we believe such results are clinically meaningful. For example, we intend to meet with regulators to discuss the design of our future clinical trials and registration strategy for losmapimod for FSHD, including our proposed endpoints for these trials, but the FDA may ultimately require that we use endpoints that are different from endpoints measured in our ReDUX4 trial. The FDA may also determine that the measurement interval for our ReDUX4 trial was too short to evaluate the potential clinical benefit of losmapimod for FSHD.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efficacy endpoint we select for evaluation is not sufficiently predictive of clinical benefit to support accelerated approval.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firstLine="382"/>
        <w:spacing w:after="0" w:line="272" w:lineRule="auto"/>
        <w:rPr>
          <w:sz w:val="20"/>
          <w:szCs w:val="20"/>
          <w:color w:val="auto"/>
        </w:rPr>
      </w:pPr>
      <w:r>
        <w:rPr>
          <w:rFonts w:ascii="Arial" w:cs="Arial" w:eastAsia="Arial" w:hAnsi="Arial"/>
          <w:sz w:val="17"/>
          <w:szCs w:val="17"/>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180" w:firstLine="382"/>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 defined rare diseases, we may have difficulty enrolling a sufficient number of eligible patients.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52"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sz w:val="20"/>
          <w:szCs w:val="20"/>
          <w:color w:val="auto"/>
        </w:rPr>
      </w:pPr>
    </w:p>
    <w:p>
      <w:pPr>
        <w:ind w:right="100" w:firstLine="382"/>
        <w:spacing w:after="0" w:line="257"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firstLine="382"/>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8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24" w:lineRule="exact"/>
        <w:rPr>
          <w:sz w:val="20"/>
          <w:szCs w:val="20"/>
          <w:color w:val="auto"/>
        </w:rPr>
      </w:pPr>
    </w:p>
    <w:p>
      <w:pPr>
        <w:ind w:right="320" w:firstLine="382"/>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52" w:lineRule="exact"/>
        <w:rPr>
          <w:sz w:val="20"/>
          <w:szCs w:val="20"/>
          <w:color w:val="auto"/>
        </w:rPr>
      </w:pPr>
    </w:p>
    <w:p>
      <w:pPr>
        <w:ind w:right="460" w:firstLine="382"/>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right="100" w:firstLine="382"/>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right="140"/>
        <w:spacing w:after="0" w:line="342" w:lineRule="auto"/>
        <w:rPr>
          <w:sz w:val="20"/>
          <w:szCs w:val="20"/>
          <w:color w:val="auto"/>
        </w:rPr>
      </w:pPr>
      <w:r>
        <w:rPr>
          <w:rFonts w:ascii="Arial" w:cs="Arial" w:eastAsia="Arial" w:hAnsi="Arial"/>
          <w:sz w:val="16"/>
          <w:szCs w:val="16"/>
          <w:b w:val="1"/>
          <w:bCs w:val="1"/>
          <w:i w:val="1"/>
          <w:iCs w:val="1"/>
          <w:color w:val="auto"/>
        </w:rPr>
        <w:t>We are conducting clinical trials of losmapimod in patients with FSHD in Europe and Canada and currently plan to conduct additional clinical trials for our product candidates at sites outside the United States, and the FDA may not accept data from trials conducted in such locations.</w:t>
      </w:r>
    </w:p>
    <w:p>
      <w:pPr>
        <w:spacing w:after="0" w:line="124"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are currently conducting an open label extension of our Phase 2b clinical trial and a Phase 2 open label clinical trial of losmapimod in patients with FSHD in Europe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84"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660" w:hanging="274"/>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660" w:right="60" w:hanging="274"/>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5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with respect to losmapimod for the treatment of FSHD.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0" w:name="page51"/>
    <w:bookmarkEnd w:id="50"/>
    <w:p>
      <w:pPr>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46"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660" w:right="320" w:hanging="27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44" w:lineRule="exact"/>
        <w:rPr>
          <w:rFonts w:ascii="Arial" w:cs="Arial" w:eastAsia="Arial" w:hAnsi="Arial"/>
          <w:sz w:val="18"/>
          <w:szCs w:val="18"/>
          <w:color w:val="auto"/>
        </w:rPr>
      </w:pPr>
    </w:p>
    <w:p>
      <w:pPr>
        <w:ind w:left="660" w:right="120" w:hanging="27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For example, we are aware of several product candidates in clinical development that could be competitive with product candidates that we may successfully develop and commercialize. bluebird bio, Inc., Aruvant Sciences, Inc., EpiDestiny, Inc., or EpiDestiny (in collaboration with Novo Nordisk A/S), Imara, Inc., Agios Pharmaceuticals, Inc., Forma Therapeutics Holdings, Inc., Takeda Pharmaceutical Company Limited, Pfizer, Inc., CSL Behring, Intellia Therapeutics, Inc., Editas Medicine, Inc., Sangamo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1" w:name="page52"/>
    <w:bookmarkEnd w:id="51"/>
    <w:p>
      <w:pPr>
        <w:ind w:right="120"/>
        <w:spacing w:after="0" w:line="257" w:lineRule="auto"/>
        <w:rPr>
          <w:sz w:val="20"/>
          <w:szCs w:val="20"/>
          <w:color w:val="auto"/>
        </w:rPr>
      </w:pPr>
      <w:r>
        <w:rPr>
          <w:rFonts w:ascii="Arial" w:cs="Arial" w:eastAsia="Arial" w:hAnsi="Arial"/>
          <w:sz w:val="18"/>
          <w:szCs w:val="18"/>
          <w:color w:val="auto"/>
        </w:rPr>
        <w:t>Therapeutics Inc., or Sangamo (in collaboration with Bioverativ Inc.) and CRISPR Therapeutics AG (in collaboration with Vertex Pharmaceuticals, Inc.) are developing therapeutic approaches for patients with sickle cell disease, or SCD. Acceleron (in collaboration with Celgene Corp.), Bellicum Pharmaceuticals, Inc., Kiadis Pharma, Imara Inc., Agios Pharmaceuticals, Inc., Forma Therapeutics Holdings, Inc., Ionis Pharmaceuticals, Inc., Orchard Therapeutics plc, Sangamo (in collaboration with Bioverativ, Inc.) and CRISPR Therapeutics AG (in collaboration with Vertex Pharmaceuticals, Inc.) are developing therapeutic approaches for patients with ß-thalassemia.</w:t>
      </w:r>
    </w:p>
    <w:p>
      <w:pPr>
        <w:spacing w:after="0" w:line="188"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78"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31"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genetically 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179"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84" w:lineRule="exact"/>
        <w:rPr>
          <w:sz w:val="20"/>
          <w:szCs w:val="20"/>
          <w:color w:val="auto"/>
        </w:rPr>
      </w:pPr>
    </w:p>
    <w:p>
      <w:pPr>
        <w:ind w:right="220" w:firstLine="382"/>
        <w:spacing w:after="0" w:line="259" w:lineRule="auto"/>
        <w:rPr>
          <w:sz w:val="20"/>
          <w:szCs w:val="20"/>
          <w:color w:val="auto"/>
        </w:rPr>
      </w:pPr>
      <w:r>
        <w:rPr>
          <w:rFonts w:ascii="Arial" w:cs="Arial" w:eastAsia="Arial" w:hAnsi="Arial"/>
          <w:sz w:val="18"/>
          <w:szCs w:val="18"/>
          <w:color w:val="auto"/>
        </w:rPr>
        <w:t>We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2" w:name="page53"/>
    <w:bookmarkEnd w:id="52"/>
    <w:p>
      <w:pPr>
        <w:ind w:right="40"/>
        <w:spacing w:after="0" w:line="290" w:lineRule="auto"/>
        <w:rPr>
          <w:sz w:val="20"/>
          <w:szCs w:val="20"/>
          <w:color w:val="auto"/>
        </w:rPr>
      </w:pPr>
      <w:r>
        <w:rPr>
          <w:rFonts w:ascii="Arial" w:cs="Arial" w:eastAsia="Arial" w:hAnsi="Arial"/>
          <w:sz w:val="16"/>
          <w:szCs w:val="16"/>
          <w:color w:val="auto"/>
        </w:rPr>
        <w:t>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65" w:lineRule="exact"/>
        <w:rPr>
          <w:sz w:val="20"/>
          <w:szCs w:val="20"/>
          <w:color w:val="auto"/>
        </w:rPr>
      </w:pPr>
    </w:p>
    <w:p>
      <w:pPr>
        <w:ind w:right="40" w:firstLine="382"/>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70"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79"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40"/>
        <w:spacing w:after="0" w:line="257" w:lineRule="auto"/>
        <w:rPr>
          <w:sz w:val="20"/>
          <w:szCs w:val="20"/>
          <w:color w:val="auto"/>
        </w:rPr>
      </w:pPr>
      <w:r>
        <w:rPr>
          <w:rFonts w:ascii="Arial" w:cs="Arial" w:eastAsia="Arial" w:hAnsi="Arial"/>
          <w:sz w:val="18"/>
          <w:szCs w:val="18"/>
          <w:color w:val="auto"/>
        </w:rPr>
        <w:t>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8"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44" w:lineRule="exact"/>
        <w:rPr>
          <w:rFonts w:ascii="Arial" w:cs="Arial" w:eastAsia="Arial" w:hAnsi="Arial"/>
          <w:sz w:val="18"/>
          <w:szCs w:val="18"/>
          <w:color w:val="auto"/>
        </w:rPr>
      </w:pPr>
    </w:p>
    <w:p>
      <w:pPr>
        <w:ind w:left="660" w:right="300" w:hanging="274"/>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trade protection measures, import or export licensing requirements or other restrictive actions by U.S. or foreign governments;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70"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5540" w:right="4780" w:hanging="5154"/>
        <w:spacing w:after="0" w:line="659" w:lineRule="auto"/>
        <w:tabs>
          <w:tab w:leader="none" w:pos="6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decreased demand for any product candidates or products that we may develop;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4" w:name="page55"/>
    <w:bookmarkEnd w:id="54"/>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52"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We currently rely on third-party clinical research organizations to conduct our ongoing open label extension of our Phase 2b clinical trial of losmapimod for the treatment of FSHD, our ongoing Phase 2 open label clinical trial of losmapimod for the treatment of FSHD and our ongoing Phase 1 clinical trial of FTX-6058. We plan to rely on third-party clinical research organizations or third-party research collaboratives to conduct any future clinical trials, including our planned Phase 1b clinical trial of FTX-6058 in patients with SCD.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66" w:lineRule="exact"/>
        <w:rPr>
          <w:sz w:val="20"/>
          <w:szCs w:val="20"/>
          <w:color w:val="auto"/>
        </w:rPr>
      </w:pPr>
    </w:p>
    <w:p>
      <w:pPr>
        <w:ind w:right="140" w:firstLine="382"/>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95" w:lineRule="exact"/>
        <w:rPr>
          <w:sz w:val="20"/>
          <w:szCs w:val="20"/>
          <w:color w:val="auto"/>
        </w:rPr>
      </w:pPr>
    </w:p>
    <w:p>
      <w:pPr>
        <w:ind w:right="80" w:firstLine="382"/>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71"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contract with, and plan to continue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7" w:lineRule="exact"/>
        <w:rPr>
          <w:sz w:val="20"/>
          <w:szCs w:val="20"/>
          <w:color w:val="auto"/>
        </w:rPr>
      </w:pPr>
    </w:p>
    <w:p>
      <w:pPr>
        <w:ind w:right="200" w:firstLine="382"/>
        <w:spacing w:after="0" w:line="263"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ongoing open label extension of our Phase 2b clinical trial of losmapimod for the treatment of FSHD and our ongoing Phase 2 open label clinical trial of losmapimod for the treatment of FSHD and that we have received a sufficient quantity 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5" w:name="page56"/>
    <w:bookmarkEnd w:id="55"/>
    <w:p>
      <w:pPr>
        <w:ind w:right="20"/>
        <w:spacing w:after="0" w:line="259" w:lineRule="auto"/>
        <w:rPr>
          <w:sz w:val="20"/>
          <w:szCs w:val="20"/>
          <w:color w:val="auto"/>
        </w:rPr>
      </w:pPr>
      <w:r>
        <w:rPr>
          <w:rFonts w:ascii="Arial" w:cs="Arial" w:eastAsia="Arial" w:hAnsi="Arial"/>
          <w:sz w:val="18"/>
          <w:szCs w:val="18"/>
          <w:color w:val="auto"/>
        </w:rPr>
        <w:t>losmapimod API to complete further clinical trials in FSHD, we cannot be sure we have correctly estimated our drug product and API requirements or that such drug product or API will not expire before we want to use it. We have also engaged CMOs to prepare our own API and to manufacture losmapimod tablets. While we believe that we have all the necessary information from GSK to enable any required technology transfer to a CMO, there can be no assurances that we will be able to effect such transfer in a timely manner.</w:t>
      </w:r>
    </w:p>
    <w:p>
      <w:pPr>
        <w:spacing w:after="0" w:line="79" w:lineRule="exact"/>
        <w:rPr>
          <w:sz w:val="20"/>
          <w:szCs w:val="20"/>
          <w:color w:val="auto"/>
        </w:rPr>
      </w:pPr>
    </w:p>
    <w:p>
      <w:pPr>
        <w:ind w:right="60" w:firstLine="382"/>
        <w:spacing w:after="0" w:line="342" w:lineRule="auto"/>
        <w:rPr>
          <w:sz w:val="20"/>
          <w:szCs w:val="20"/>
          <w:color w:val="auto"/>
        </w:rPr>
      </w:pPr>
      <w:r>
        <w:rPr>
          <w:rFonts w:ascii="Arial" w:cs="Arial" w:eastAsia="Arial" w:hAnsi="Arial"/>
          <w:sz w:val="16"/>
          <w:szCs w:val="16"/>
          <w:color w:val="auto"/>
        </w:rPr>
        <w:t>In addition, although we believe we have obtained sufficient quantities of FTX-6058 from a CMO for the completion of our ongoing Phase 1 clinical trial, we cannot be sure we have correctly estimated our drug product requirements, which could delay, prevent or impair our development efforts.</w:t>
      </w:r>
    </w:p>
    <w:p>
      <w:pPr>
        <w:spacing w:after="0" w:line="124" w:lineRule="exact"/>
        <w:rPr>
          <w:sz w:val="20"/>
          <w:szCs w:val="20"/>
          <w:color w:val="auto"/>
        </w:rPr>
      </w:pPr>
    </w:p>
    <w:p>
      <w:pPr>
        <w:ind w:right="20" w:firstLine="382"/>
        <w:spacing w:after="0" w:line="305" w:lineRule="auto"/>
        <w:rPr>
          <w:sz w:val="20"/>
          <w:szCs w:val="20"/>
          <w:color w:val="auto"/>
        </w:rPr>
      </w:pPr>
      <w:r>
        <w:rPr>
          <w:rFonts w:ascii="Arial" w:cs="Arial" w:eastAsia="Arial" w:hAnsi="Arial"/>
          <w:sz w:val="16"/>
          <w:szCs w:val="16"/>
          <w:color w:val="auto"/>
        </w:rPr>
        <w:t>We expect to rely on third parties for the manufacture of FTX-6058 for any future clinical trials, including our planned Phase 1b trial in patients with SCD,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54" w:lineRule="exact"/>
        <w:rPr>
          <w:sz w:val="20"/>
          <w:szCs w:val="20"/>
          <w:color w:val="auto"/>
        </w:rPr>
      </w:pPr>
    </w:p>
    <w:p>
      <w:pPr>
        <w:ind w:right="560" w:firstLine="382"/>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100" w:firstLine="382"/>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80" w:firstLine="382"/>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57" w:lineRule="exact"/>
        <w:rPr>
          <w:sz w:val="20"/>
          <w:szCs w:val="20"/>
          <w:color w:val="auto"/>
        </w:rPr>
      </w:pPr>
    </w:p>
    <w:p>
      <w:pPr>
        <w:ind w:right="60" w:firstLine="382"/>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184"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In December 2019, we entered into a collaboration and license agreement with Acceleron to identify biological targets to modulate specific pathways associated with a targeted indication within the pulmonary disease space. In July 2020, we entered into a collaboration and license agreement with MyoKardia to identify and validate potential biological targets for the potential treatment of certain genetically defined cardiomyopathies.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6" w:name="page57"/>
    <w:bookmarkEnd w:id="56"/>
    <w:p>
      <w:pPr>
        <w:ind w:right="220" w:firstLine="382"/>
        <w:spacing w:after="0" w:line="308" w:lineRule="auto"/>
        <w:rPr>
          <w:sz w:val="20"/>
          <w:szCs w:val="20"/>
          <w:color w:val="auto"/>
        </w:rPr>
      </w:pPr>
      <w:r>
        <w:rPr>
          <w:rFonts w:ascii="Arial" w:cs="Arial" w:eastAsia="Arial" w:hAnsi="Arial"/>
          <w:sz w:val="17"/>
          <w:szCs w:val="17"/>
          <w:color w:val="auto"/>
        </w:rPr>
        <w:t>Collaborations that we enter into, including our collaborations with Acceleron and MyoKardia, may not be successful, and any success will depend heavily on the efforts and activities of such collaborators. Collaborations pose a number of risks, including the following:</w:t>
      </w:r>
    </w:p>
    <w:p>
      <w:pPr>
        <w:spacing w:after="0" w:line="38" w:lineRule="exact"/>
        <w:rPr>
          <w:sz w:val="20"/>
          <w:szCs w:val="20"/>
          <w:color w:val="auto"/>
        </w:rPr>
      </w:pPr>
    </w:p>
    <w:p>
      <w:pPr>
        <w:ind w:left="660" w:hanging="274"/>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660" w:right="480" w:hanging="274"/>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660" w:right="60" w:hanging="274"/>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660" w:right="2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60" w:right="360" w:hanging="274"/>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660" w:right="100" w:hanging="274"/>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660" w:right="220" w:hanging="274"/>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660" w:right="6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660" w:right="22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660" w:right="120" w:hanging="274"/>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660" w:right="340" w:hanging="274"/>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660" w:hanging="27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44" w:lineRule="exact"/>
        <w:rPr>
          <w:rFonts w:ascii="Arial" w:cs="Arial" w:eastAsia="Arial" w:hAnsi="Arial"/>
          <w:sz w:val="18"/>
          <w:szCs w:val="18"/>
          <w:color w:val="auto"/>
        </w:rPr>
      </w:pPr>
    </w:p>
    <w:p>
      <w:pPr>
        <w:ind w:left="66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660" w:right="30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firstLine="382"/>
        <w:spacing w:after="0" w:line="273"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one of our collaborators terminates its agreement with us, we may find it more difficult to attract new collaborators and our perception in the business and financial communities could be adversely affected.</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170"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and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67" w:lineRule="exact"/>
        <w:rPr>
          <w:sz w:val="20"/>
          <w:szCs w:val="20"/>
          <w:color w:val="auto"/>
        </w:rPr>
      </w:pPr>
    </w:p>
    <w:p>
      <w:pPr>
        <w:ind w:right="20" w:firstLine="382"/>
        <w:spacing w:after="0" w:line="286" w:lineRule="auto"/>
        <w:rPr>
          <w:sz w:val="20"/>
          <w:szCs w:val="20"/>
          <w:color w:val="auto"/>
        </w:rPr>
      </w:pPr>
      <w:r>
        <w:rPr>
          <w:rFonts w:ascii="Arial" w:cs="Arial" w:eastAsia="Arial" w:hAnsi="Arial"/>
          <w:sz w:val="16"/>
          <w:szCs w:val="16"/>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while we are performing the research activities pursuant to the research plan and for a specified period thereafter.</w:t>
      </w:r>
    </w:p>
    <w:p>
      <w:pPr>
        <w:spacing w:after="0" w:line="174" w:lineRule="exact"/>
        <w:rPr>
          <w:sz w:val="20"/>
          <w:szCs w:val="20"/>
          <w:color w:val="auto"/>
        </w:rPr>
      </w:pPr>
    </w:p>
    <w:p>
      <w:pPr>
        <w:ind w:right="420" w:firstLine="382"/>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4"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9"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2"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2" w:lineRule="exact"/>
        <w:rPr>
          <w:sz w:val="20"/>
          <w:szCs w:val="20"/>
          <w:color w:val="auto"/>
        </w:rPr>
      </w:pPr>
    </w:p>
    <w:p>
      <w:pPr>
        <w:ind w:right="20" w:firstLine="382"/>
        <w:spacing w:after="0" w:line="268" w:lineRule="auto"/>
        <w:rPr>
          <w:sz w:val="20"/>
          <w:szCs w:val="20"/>
          <w:color w:val="auto"/>
        </w:rPr>
      </w:pPr>
      <w:r>
        <w:rPr>
          <w:rFonts w:ascii="Arial" w:cs="Arial" w:eastAsia="Arial" w:hAnsi="Arial"/>
          <w:sz w:val="17"/>
          <w:szCs w:val="17"/>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80"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Currently, our patent portfolio related to FTX-6058 includes one issued U.S. patent that is expected to expire in 2040, two U.S. non-provisional applications and related pending patent applications in Canada and Mexico, Europe, Africa, Australia and New Zealand, South America, and Asia that, if issued, are expected to expire between 2039 and 2040, and three pending U.S. provisional applications, if resulting in an issued patent, would be expected to expire in 2042. Patents may never issue from our patent applications, or the scope of any patent may not be sufficient to provide a competitive advantage.</w:t>
      </w:r>
    </w:p>
    <w:p>
      <w:pPr>
        <w:spacing w:after="0" w:line="188"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With respect to losmapimod, the patents to losmapimod licensed from GSK as a composition of matter and pharmaceutical composition are expected to expire on February 10, 2023. We own one U.S. patent covering the use of losmapimod for the treatment of patients with FSHD and one U.S. patent covering the use of other clinical-stage p38 inhibitors for the treatment of patients with FSHD, each of which are expected to expire in 2038, and related patents and pending patent applications in Canada and Mexico, Europe, Africa, Australia and New Zealand, South America, and Asia with expiration dates in 2038. We also own two related pending U.S. non-provisional applications and one U.S. provisional application that, if resulting in issued patents, are expected to expire between 2038 and 2042. In addition, our owned patents and patent applications pertaining to losmapimod are not to the composition but, rather, are directed to certain methods of treating FSHD. We cannot be certain that our pending patent applications related to the losmapimod program will be granted. Even if such patent applications issue as patents, they will not prevent third parties from commercializing losmapimod for other indications.</w:t>
      </w:r>
    </w:p>
    <w:p>
      <w:pPr>
        <w:spacing w:after="0" w:line="165"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ind w:right="60"/>
        <w:spacing w:after="0" w:line="272" w:lineRule="auto"/>
        <w:rPr>
          <w:sz w:val="20"/>
          <w:szCs w:val="20"/>
          <w:color w:val="auto"/>
        </w:rPr>
      </w:pPr>
      <w:r>
        <w:rPr>
          <w:rFonts w:ascii="Arial" w:cs="Arial" w:eastAsia="Arial" w:hAnsi="Arial"/>
          <w:sz w:val="17"/>
          <w:szCs w:val="17"/>
          <w:color w:val="auto"/>
        </w:rPr>
        <w:t>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77"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As soon as the patents covering the composition of matter expire on February 10, 2023, or are no longer in-force, the GSK-licensed patents will no longer be a barrier to entry for any new uses not covered by our other patents and patent applications.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70"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320" w:firstLine="382"/>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86"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00"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7"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6"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right="44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70" w:lineRule="exact"/>
        <w:rPr>
          <w:sz w:val="20"/>
          <w:szCs w:val="20"/>
          <w:color w:val="auto"/>
        </w:rPr>
      </w:pPr>
    </w:p>
    <w:p>
      <w:pPr>
        <w:ind w:right="20" w:firstLine="382"/>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right="140" w:firstLine="382"/>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70"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72"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right="100" w:firstLine="382"/>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1"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ind w:right="100" w:firstLine="382"/>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70"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7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40" w:firstLine="382"/>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6"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00"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27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4" w:name="page65"/>
    <w:bookmarkEnd w:id="64"/>
    <w:p>
      <w:pPr>
        <w:ind w:left="660" w:hanging="27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660" w:right="200" w:hanging="274"/>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6" w:lineRule="exact"/>
        <w:rPr>
          <w:sz w:val="20"/>
          <w:szCs w:val="20"/>
          <w:color w:val="auto"/>
        </w:rPr>
      </w:pPr>
    </w:p>
    <w:p>
      <w:pPr>
        <w:ind w:right="20" w:firstLine="382"/>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ind w:right="120" w:firstLine="382"/>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120" w:firstLine="382"/>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49"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200" w:firstLine="382"/>
        <w:spacing w:after="0" w:line="296"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60" w:firstLine="382"/>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60" w:right="240" w:hanging="274"/>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660" w:right="16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660" w:right="36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60" w:right="36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660" w:right="32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5" w:lineRule="exact"/>
        <w:rPr>
          <w:rFonts w:ascii="Arial" w:cs="Arial" w:eastAsia="Arial" w:hAnsi="Arial"/>
          <w:sz w:val="17"/>
          <w:szCs w:val="17"/>
          <w:color w:val="auto"/>
        </w:rPr>
      </w:pPr>
    </w:p>
    <w:p>
      <w:pPr>
        <w:ind w:left="660" w:right="18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660" w:right="10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660" w:right="26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44" w:lineRule="exact"/>
        <w:rPr>
          <w:rFonts w:ascii="Arial" w:cs="Arial" w:eastAsia="Arial" w:hAnsi="Arial"/>
          <w:sz w:val="18"/>
          <w:szCs w:val="18"/>
          <w:color w:val="auto"/>
        </w:rPr>
      </w:pPr>
    </w:p>
    <w:p>
      <w:pPr>
        <w:ind w:left="660" w:right="4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44" w:lineRule="exact"/>
        <w:rPr>
          <w:rFonts w:ascii="Arial" w:cs="Arial" w:eastAsia="Arial" w:hAnsi="Arial"/>
          <w:sz w:val="18"/>
          <w:szCs w:val="18"/>
          <w:color w:val="auto"/>
        </w:rPr>
      </w:pPr>
    </w:p>
    <w:p>
      <w:pPr>
        <w:ind w:left="660" w:right="66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7"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right="40" w:firstLine="382"/>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5" w:lineRule="exact"/>
        <w:rPr>
          <w:sz w:val="20"/>
          <w:szCs w:val="20"/>
          <w:color w:val="auto"/>
        </w:rPr>
      </w:pPr>
    </w:p>
    <w:p>
      <w:pPr>
        <w:ind w:right="80" w:firstLine="382"/>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 The Trump Administration also took several executive actions that had the potential to impose significant burdens on, or otherwise materially delay, the FDA’s ability to engage in routine regulatory and oversight activities. Those Executive Orders were rescinded by President Biden, but future executive actions from this or a subsequent administration could impose similar burdens on the FDA.</w:t>
      </w:r>
    </w:p>
    <w:p>
      <w:pPr>
        <w:spacing w:after="0" w:line="192"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170" w:lineRule="exact"/>
        <w:rPr>
          <w:sz w:val="20"/>
          <w:szCs w:val="20"/>
          <w:color w:val="auto"/>
        </w:rPr>
      </w:pPr>
    </w:p>
    <w:p>
      <w:pPr>
        <w:ind w:right="180" w:firstLine="382"/>
        <w:spacing w:after="0" w:line="30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The FDA and EMA have granted orphan drug designation to losmapimod for the treatment of FSHD. We may seek orphan drug designation for our other current and future product candidates.</w:t>
      </w:r>
    </w:p>
    <w:p>
      <w:pPr>
        <w:spacing w:after="0" w:line="157" w:lineRule="exact"/>
        <w:rPr>
          <w:sz w:val="20"/>
          <w:szCs w:val="20"/>
          <w:color w:val="auto"/>
        </w:rPr>
      </w:pPr>
    </w:p>
    <w:p>
      <w:pPr>
        <w:ind w:right="40" w:firstLine="382"/>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4"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effected.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100" w:firstLine="382"/>
        <w:spacing w:after="0" w:line="291"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More recently, under Omnibus legislation signed by President Trump on December 27, 2020, the requirement for a subsequent product to show clinical superiority in order to break the previous product’s orphan drug exclusivity applies to drugs and biologics that received orphan drug designation before enactment of FDARA in 2017, but have not yet been approved or licensed by FDA. The FDA may further reevaluate the Orphan Drug Act and its regulations and policies. We do not know if, when or how the FDA may change the orphan drug regulations and policies in the future, and it is uncertain how any changes might affect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225"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The FDA granted fast track designation to losmapimod for the treatment of FSHD, and we may seek Fast Track designation for some of our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70"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5"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the FDA agrees that we may pursue an accelerated approval NDA submission, that does not guarantee that the NDA will receive an accelerated approval, or a complete response letter, nor does submission of an accelerated approval NDA ensure that the product candidate will receive a faster development or regulatory review process.</w:t>
      </w:r>
    </w:p>
    <w:p>
      <w:pPr>
        <w:spacing w:after="0" w:line="184"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(i.e., an intermediate clinical endpoint). The FDA or other applicable regulatory agency makes the determination regarding whether a biomarker efficacy endpoint is reasonably likely to predict long-term clinical benefit.</w:t>
      </w:r>
    </w:p>
    <w:p>
      <w:pPr>
        <w:spacing w:after="0" w:line="161"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one or more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firstLine="382"/>
        <w:spacing w:after="0" w:line="254" w:lineRule="auto"/>
        <w:rPr>
          <w:sz w:val="20"/>
          <w:szCs w:val="20"/>
          <w:color w:val="auto"/>
        </w:rPr>
      </w:pPr>
      <w:r>
        <w:rPr>
          <w:rFonts w:ascii="Arial" w:cs="Arial" w:eastAsia="Arial" w:hAnsi="Arial"/>
          <w:sz w:val="18"/>
          <w:szCs w:val="18"/>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95"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225"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68" w:lineRule="exact"/>
        <w:rPr>
          <w:sz w:val="20"/>
          <w:szCs w:val="20"/>
          <w:color w:val="auto"/>
        </w:rPr>
      </w:pPr>
    </w:p>
    <w:p>
      <w:pPr>
        <w:ind w:right="20" w:firstLine="382"/>
        <w:spacing w:after="0" w:line="288" w:lineRule="auto"/>
        <w:rPr>
          <w:sz w:val="20"/>
          <w:szCs w:val="20"/>
          <w:color w:val="auto"/>
        </w:rPr>
      </w:pPr>
      <w:r>
        <w:rPr>
          <w:rFonts w:ascii="Arial" w:cs="Arial" w:eastAsia="Arial" w:hAnsi="Arial"/>
          <w:sz w:val="16"/>
          <w:szCs w:val="16"/>
          <w:color w:val="auto"/>
        </w:rPr>
        <w:t>Additionally, we could face heightened risks with respect to seeking marketing approval in the United Kingdom as a result of the recent withdrawal of the United Kingdom from the European Union, commonly referred to as Brexit. The United Kingdom and European Union entered into a Trade and Cooperation Agreement in connection with Brexit, which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the Trade and Cooperation Agreement or otherwise, could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84"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8"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52" w:lineRule="exact"/>
        <w:rPr>
          <w:sz w:val="20"/>
          <w:szCs w:val="20"/>
          <w:color w:val="auto"/>
        </w:rPr>
      </w:pPr>
    </w:p>
    <w:p>
      <w:pPr>
        <w:ind w:right="500" w:firstLine="382"/>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1" w:name="page72"/>
    <w:bookmarkEnd w:id="71"/>
    <w:p>
      <w:pPr>
        <w:ind w:right="140" w:firstLine="382"/>
        <w:spacing w:after="0" w:line="25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30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87"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87" w:lineRule="exact"/>
        <w:rPr>
          <w:sz w:val="20"/>
          <w:szCs w:val="20"/>
          <w:color w:val="auto"/>
        </w:rPr>
      </w:pPr>
    </w:p>
    <w:p>
      <w:pPr>
        <w:ind w:left="660" w:right="60" w:hanging="274"/>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660" w:right="20" w:hanging="274"/>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79" w:lineRule="exact"/>
        <w:rPr>
          <w:rFonts w:ascii="Arial" w:cs="Arial" w:eastAsia="Arial" w:hAnsi="Arial"/>
          <w:sz w:val="18"/>
          <w:szCs w:val="18"/>
          <w:color w:val="auto"/>
        </w:rPr>
      </w:pPr>
    </w:p>
    <w:p>
      <w:pPr>
        <w:ind w:left="660" w:right="100" w:hanging="274"/>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660" w:right="160" w:hanging="274"/>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44" w:lineRule="exact"/>
        <w:rPr>
          <w:rFonts w:ascii="Arial" w:cs="Arial" w:eastAsia="Arial" w:hAnsi="Arial"/>
          <w:sz w:val="18"/>
          <w:szCs w:val="18"/>
          <w:color w:val="auto"/>
        </w:rPr>
      </w:pPr>
    </w:p>
    <w:p>
      <w:pPr>
        <w:ind w:left="660" w:right="160" w:hanging="274"/>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660" w:hanging="274"/>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84" w:lineRule="exact"/>
        <w:rPr>
          <w:sz w:val="20"/>
          <w:szCs w:val="20"/>
          <w:color w:val="auto"/>
        </w:rPr>
      </w:pPr>
    </w:p>
    <w:p>
      <w:pPr>
        <w:ind w:firstLine="382"/>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4" w:lineRule="exact"/>
        <w:rPr>
          <w:sz w:val="20"/>
          <w:szCs w:val="20"/>
          <w:color w:val="auto"/>
        </w:rPr>
      </w:pPr>
    </w:p>
    <w:p>
      <w:pPr>
        <w:ind w:right="100" w:firstLine="382"/>
        <w:spacing w:after="0" w:line="269"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went into effect on January 1, 2020, is creating similar risks and obligations as those created by the GDPR, though the California Consumer Privacy Act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85"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24" w:lineRule="exact"/>
        <w:rPr>
          <w:sz w:val="20"/>
          <w:szCs w:val="20"/>
          <w:color w:val="auto"/>
        </w:rPr>
      </w:pPr>
    </w:p>
    <w:p>
      <w:pPr>
        <w:jc w:val="both"/>
        <w:ind w:right="180" w:firstLine="382"/>
        <w:spacing w:after="0" w:line="293"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right="480" w:firstLine="382"/>
        <w:spacing w:after="0" w:line="277"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of 2010, or collectively the ACA.</w:t>
      </w:r>
    </w:p>
    <w:p>
      <w:pPr>
        <w:spacing w:after="0" w:line="170" w:lineRule="exact"/>
        <w:rPr>
          <w:sz w:val="20"/>
          <w:szCs w:val="20"/>
          <w:color w:val="auto"/>
        </w:rPr>
      </w:pPr>
    </w:p>
    <w:p>
      <w:pPr>
        <w:ind w:right="140" w:firstLine="382"/>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which will stay in effect through 2030 under the Coronavirus Aid, Relief, and Economic Security Act, or the CARES Act. The CARES Act suspended the 2% Medicare sequester from May 1, 2020 through December 31, 2020.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6"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right="80" w:firstLine="382"/>
        <w:spacing w:after="0" w:line="254" w:lineRule="auto"/>
        <w:rPr>
          <w:sz w:val="20"/>
          <w:szCs w:val="20"/>
          <w:color w:val="auto"/>
        </w:rPr>
      </w:pPr>
      <w:r>
        <w:rPr>
          <w:rFonts w:ascii="Arial" w:cs="Arial" w:eastAsia="Arial" w:hAnsi="Arial"/>
          <w:sz w:val="18"/>
          <w:szCs w:val="18"/>
          <w:color w:val="auto"/>
        </w:rPr>
        <w:t>Since the enactment of the ACA, there have been, and continue to be, numerous legal challenges and Congressional actions to repeal and replace provisions of the law. For example, with enactment of the TCJA in 2017, Congress repealed the “individual mandate.” The repeal of this provision, which requires most Americans to carry a minimal level of health insurance, became effective in 2019. On November 10, 2020, the Supreme Court heard oral arguments as to whether the individual mandate portion of the ACA is an essential and inseverable feature of the ACA, and therefore because the mandate was repealed as part of the TCJA, the remaining provisions of the ACA are invalid as well. On February 10, 2021, the Biden Administration withdrew the federal government’s support for overturning the ACA. On June 17, 2021, the Supreme Court rejected this challenge to the ACA after finding that the plaintiffs do not have standing to challenge the constitutionality of the statute. It is unclear how such litigation and other efforts to repeal and replace the ACA will impact the ACA.</w:t>
      </w:r>
    </w:p>
    <w:p>
      <w:pPr>
        <w:spacing w:after="0" w:line="192"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This Executive Order also directs the U.S. Department of Health and Human Services to create a special enrollment period for the Health Insurance Marketplace in response to the COVID-19 pandemic. We cannot predict how federal agencies will respond to such Executive Orders.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Litigation and legislation over the ACA are likely to continue, with unpredictable and uncertain results.</w:t>
      </w:r>
    </w:p>
    <w:p>
      <w:pPr>
        <w:spacing w:after="0" w:line="225"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President Trump issued several executive orders intended to lower the costs of prescription drug products. Certain of these orders are reflected in recently promulgated regulations, including an interim final rule implementing President Trump’s most favored nation model, but such final rule is currently subject to a nationwide preliminary injunction. In August 2021, the Centers for Medicare &amp; Medicaid Services issued a new proposed rule similar to the President Trump’s most favored nation model under which Medicare Part B reimbursement for certain drugs would be based on lower prices in other countries. The Biden Administration has frozen certain of the previous administration’s measures to reform drug prices, pending further review. It remains to be seen how the Biden Administration will address pricing of prescription pharmaceuticals, but under Medicare Part D, the Biden Administration may seek to establish a ceiling for the launch prices of all branded, biologic, and certain generic drugs by referencing the average price of these drugs in other developed countries. At the same time, the Biden Administration may seek to limit Medicare Part D and public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ind w:right="140"/>
        <w:spacing w:after="0" w:line="301" w:lineRule="auto"/>
        <w:rPr>
          <w:sz w:val="20"/>
          <w:szCs w:val="20"/>
          <w:color w:val="auto"/>
        </w:rPr>
      </w:pPr>
      <w:r>
        <w:rPr>
          <w:rFonts w:ascii="Arial" w:cs="Arial" w:eastAsia="Arial" w:hAnsi="Arial"/>
          <w:sz w:val="16"/>
          <w:szCs w:val="16"/>
          <w:color w:val="auto"/>
        </w:rPr>
        <w:t>option drug prices through a tax penalty on manufacturers for increases in the cost of drugs and biologics above the general inflation rate. The American Rescue Plan Act of 2021, comprehensive COVID-19 relief legislation recently enacted under the Biden Administration, includes a number of healthcare-related provisions, such as support to rural health care providers, increased tax subsidies for health insurance purchased through insurance exchange marketplaces, financial incentives to states to expand Medicaid programs and elimination of the Medicaid drug rebate cap effective in 2024.</w:t>
      </w:r>
    </w:p>
    <w:p>
      <w:pPr>
        <w:spacing w:after="0" w:line="15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225"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70" w:lineRule="exact"/>
        <w:rPr>
          <w:sz w:val="20"/>
          <w:szCs w:val="20"/>
          <w:color w:val="auto"/>
        </w:rPr>
      </w:pPr>
    </w:p>
    <w:p>
      <w:pPr>
        <w:ind w:right="40" w:firstLine="382"/>
        <w:spacing w:after="0" w:line="253" w:lineRule="auto"/>
        <w:rPr>
          <w:sz w:val="20"/>
          <w:szCs w:val="20"/>
          <w:color w:val="auto"/>
        </w:rPr>
      </w:pPr>
      <w:r>
        <w:rPr>
          <w:rFonts w:ascii="Arial" w:cs="Arial" w:eastAsia="Arial" w:hAnsi="Arial"/>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96"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71" w:lineRule="exact"/>
        <w:rPr>
          <w:sz w:val="20"/>
          <w:szCs w:val="20"/>
          <w:color w:val="auto"/>
        </w:rPr>
      </w:pPr>
    </w:p>
    <w:p>
      <w:pPr>
        <w:jc w:val="both"/>
        <w:ind w:right="220" w:firstLine="382"/>
        <w:spacing w:after="0" w:line="263"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5" w:name="page76"/>
    <w:bookmarkEnd w:id="75"/>
    <w:p>
      <w:pPr>
        <w:ind w:right="20"/>
        <w:spacing w:after="0" w:line="275" w:lineRule="auto"/>
        <w:rPr>
          <w:sz w:val="20"/>
          <w:szCs w:val="20"/>
          <w:color w:val="auto"/>
        </w:rPr>
      </w:pPr>
      <w:r>
        <w:rPr>
          <w:rFonts w:ascii="Arial" w:cs="Arial" w:eastAsia="Arial" w:hAnsi="Arial"/>
          <w:sz w:val="17"/>
          <w:szCs w:val="17"/>
          <w:color w:val="auto"/>
        </w:rPr>
        <w:t>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6"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6"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140" w:firstLine="382"/>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7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00" w:lineRule="exact"/>
        <w:rPr>
          <w:sz w:val="20"/>
          <w:szCs w:val="20"/>
          <w:color w:val="auto"/>
        </w:rPr>
      </w:pPr>
    </w:p>
    <w:p>
      <w:pPr>
        <w:ind w:right="60" w:firstLine="382"/>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right="100" w:firstLine="382"/>
        <w:spacing w:after="0" w:line="255" w:lineRule="auto"/>
        <w:rPr>
          <w:sz w:val="20"/>
          <w:szCs w:val="20"/>
          <w:color w:val="auto"/>
        </w:rPr>
      </w:pPr>
      <w:r>
        <w:rPr>
          <w:rFonts w:ascii="Arial" w:cs="Arial" w:eastAsia="Arial" w:hAnsi="Arial"/>
          <w:sz w:val="18"/>
          <w:szCs w:val="18"/>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right="100"/>
        <w:spacing w:after="0" w:line="273" w:lineRule="auto"/>
        <w:rPr>
          <w:sz w:val="20"/>
          <w:szCs w:val="20"/>
          <w:color w:val="auto"/>
        </w:rPr>
      </w:pPr>
      <w:r>
        <w:rPr>
          <w:rFonts w:ascii="Arial" w:cs="Arial" w:eastAsia="Arial" w:hAnsi="Arial"/>
          <w:sz w:val="17"/>
          <w:szCs w:val="17"/>
          <w:color w:val="auto"/>
        </w:rPr>
        <w:t>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8" w:lineRule="exact"/>
        <w:rPr>
          <w:sz w:val="20"/>
          <w:szCs w:val="20"/>
          <w:color w:val="auto"/>
        </w:rPr>
      </w:pPr>
    </w:p>
    <w:p>
      <w:pPr>
        <w:ind w:right="60" w:firstLine="382"/>
        <w:spacing w:after="0" w:line="254"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We have had recent executive transitions, including of our chief executive officer and chief scientific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70"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As of October 28, 2021, our executive officers and directors and our stockholders who owned more than 5% of our outstanding common stock in the aggregate beneficially owned shares representing approximately 49.3%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660" w:hanging="27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360" w:lineRule="exact"/>
        <w:rPr>
          <w:sz w:val="20"/>
          <w:szCs w:val="20"/>
          <w:color w:val="auto"/>
        </w:rPr>
      </w:pPr>
    </w:p>
    <w:p>
      <w:pPr>
        <w:jc w:val="both"/>
        <w:ind w:right="32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00"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660" w:hanging="27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44" w:lineRule="exact"/>
        <w:rPr>
          <w:rFonts w:ascii="Arial" w:cs="Arial" w:eastAsia="Arial" w:hAnsi="Arial"/>
          <w:sz w:val="18"/>
          <w:szCs w:val="18"/>
          <w:color w:val="auto"/>
        </w:rPr>
      </w:pPr>
    </w:p>
    <w:p>
      <w:pPr>
        <w:ind w:left="660" w:right="380" w:hanging="274"/>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jc w:val="both"/>
        <w:ind w:left="660" w:right="120" w:hanging="274"/>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660" w:right="420" w:hanging="274"/>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right="260" w:firstLine="382"/>
        <w:spacing w:after="0" w:line="277" w:lineRule="auto"/>
        <w:rPr>
          <w:sz w:val="20"/>
          <w:szCs w:val="20"/>
          <w:color w:val="auto"/>
        </w:rPr>
      </w:pPr>
      <w:r>
        <w:rPr>
          <w:rFonts w:ascii="Arial" w:cs="Arial" w:eastAsia="Arial" w:hAnsi="Arial"/>
          <w:sz w:val="18"/>
          <w:szCs w:val="18"/>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ind w:right="740"/>
        <w:spacing w:after="0" w:line="277" w:lineRule="auto"/>
        <w:rPr>
          <w:sz w:val="20"/>
          <w:szCs w:val="20"/>
          <w:color w:val="auto"/>
        </w:rPr>
      </w:pPr>
      <w:r>
        <w:rPr>
          <w:rFonts w:ascii="Arial" w:cs="Arial" w:eastAsia="Arial" w:hAnsi="Arial"/>
          <w:sz w:val="18"/>
          <w:szCs w:val="18"/>
          <w:color w:val="auto"/>
        </w:rPr>
        <w:t>market for our common stock does not continue to develop or is not sustained, it may be difficult for our stockholders to sell their shares without depressing the market price for the shares, or at all.</w:t>
      </w:r>
    </w:p>
    <w:p>
      <w:pPr>
        <w:spacing w:after="0" w:line="27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24"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237"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660" w:hanging="274"/>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results of or developments in preclinical studies and clinical trials of our product candidates or those of our competitors or potential collaborators;</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44" w:lineRule="exact"/>
        <w:rPr>
          <w:rFonts w:ascii="Arial" w:cs="Arial" w:eastAsia="Arial" w:hAnsi="Arial"/>
          <w:sz w:val="18"/>
          <w:szCs w:val="18"/>
          <w:color w:val="auto"/>
        </w:rPr>
      </w:pPr>
    </w:p>
    <w:p>
      <w:pPr>
        <w:ind w:left="660" w:right="40" w:hanging="274"/>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70"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ind w:right="100" w:firstLine="382"/>
        <w:spacing w:after="0" w:line="308" w:lineRule="auto"/>
        <w:rPr>
          <w:sz w:val="20"/>
          <w:szCs w:val="20"/>
          <w:color w:val="auto"/>
        </w:rPr>
      </w:pPr>
      <w:r>
        <w:rPr>
          <w:rFonts w:ascii="Arial" w:cs="Arial" w:eastAsia="Arial" w:hAnsi="Arial"/>
          <w:sz w:val="17"/>
          <w:szCs w:val="17"/>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46"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87" w:lineRule="exact"/>
        <w:rPr>
          <w:sz w:val="20"/>
          <w:szCs w:val="20"/>
          <w:color w:val="auto"/>
        </w:rPr>
      </w:pPr>
    </w:p>
    <w:p>
      <w:pPr>
        <w:jc w:val="both"/>
        <w:ind w:right="220" w:firstLine="382"/>
        <w:spacing w:after="0" w:line="263" w:lineRule="auto"/>
        <w:rPr>
          <w:sz w:val="20"/>
          <w:szCs w:val="20"/>
          <w:color w:val="auto"/>
        </w:rPr>
      </w:pPr>
      <w:r>
        <w:rPr>
          <w:rFonts w:ascii="Arial" w:cs="Arial" w:eastAsia="Arial" w:hAnsi="Arial"/>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84" w:lineRule="exact"/>
        <w:rPr>
          <w:sz w:val="20"/>
          <w:szCs w:val="20"/>
          <w:color w:val="auto"/>
        </w:rPr>
      </w:pPr>
    </w:p>
    <w:p>
      <w:pPr>
        <w:ind w:right="440" w:firstLine="382"/>
        <w:spacing w:after="0" w:line="263" w:lineRule="auto"/>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ind w:left="660" w:hanging="274"/>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55" w:lineRule="exact"/>
        <w:rPr>
          <w:rFonts w:ascii="Arial" w:cs="Arial" w:eastAsia="Arial" w:hAnsi="Arial"/>
          <w:sz w:val="17"/>
          <w:szCs w:val="17"/>
          <w:color w:val="auto"/>
        </w:rPr>
      </w:pPr>
    </w:p>
    <w:p>
      <w:pPr>
        <w:ind w:left="660" w:right="20" w:hanging="274"/>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 w:lineRule="exact"/>
        <w:rPr>
          <w:rFonts w:ascii="Arial" w:cs="Arial" w:eastAsia="Arial" w:hAnsi="Arial"/>
          <w:sz w:val="16"/>
          <w:szCs w:val="16"/>
          <w:color w:val="auto"/>
        </w:rPr>
      </w:pPr>
    </w:p>
    <w:p>
      <w:pPr>
        <w:ind w:left="660" w:hanging="27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rFonts w:ascii="Arial" w:cs="Arial" w:eastAsia="Arial" w:hAnsi="Arial"/>
          <w:sz w:val="18"/>
          <w:szCs w:val="18"/>
          <w:color w:val="auto"/>
        </w:rPr>
      </w:pPr>
    </w:p>
    <w:p>
      <w:pPr>
        <w:ind w:left="660" w:right="400" w:hanging="274"/>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right="180" w:firstLine="382"/>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right="80" w:firstLine="382"/>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70"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92"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00"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Effective September 7, 2021, we granted one employee an option to purchase 140,000 shares of our common stock at an exercise price of $28.49 per share. Effective September 30, 2021, we granted one employee an option to purchase 58,000 shares of our common stock at an exercise price of $28.21 per share. These options were inducement grants in accordance with Nasdaq Listing Rule 5635(c)(4), which were made outside of our 2019 Stock Incentive Plan. The options have a ten-year term and vest over four years, with 25% of the shares underlying the option grants vesting on the first anniversary of the respective employee’s start date and an additional 6.25% of the shares vesting in equal quarterly installments over the twelve successive quarters following the first anniversary of the respective start date, subject to such employee’s continued service with us through the applicable vesting dates. We intend to file a registration statement on a Form S-8 to register the shares of common stock underlying these options prior to the time at which these options become exercisable.</w:t>
      </w:r>
    </w:p>
    <w:p>
      <w:pPr>
        <w:spacing w:after="0" w:line="192"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No underwriters were involved in the foregoing issuances of securities. The securities were issued pursuant to Section 4(a)(2) under the Securities Act of 1933, as amended, relating to transactions by an issuer not involving any public offering. The recipients either received adequate information about us or had access, through other relationships, to such information.</w:t>
      </w:r>
    </w:p>
    <w:p>
      <w:pPr>
        <w:spacing w:after="0" w:line="184" w:lineRule="exact"/>
        <w:rPr>
          <w:sz w:val="20"/>
          <w:szCs w:val="20"/>
          <w:color w:val="auto"/>
        </w:rPr>
      </w:pPr>
    </w:p>
    <w:p>
      <w:pPr>
        <w:ind w:right="260" w:firstLine="382"/>
        <w:spacing w:after="0" w:line="277" w:lineRule="auto"/>
        <w:rPr>
          <w:sz w:val="20"/>
          <w:szCs w:val="20"/>
          <w:color w:val="auto"/>
        </w:rPr>
      </w:pPr>
      <w:r>
        <w:rPr>
          <w:rFonts w:ascii="Arial" w:cs="Arial" w:eastAsia="Arial" w:hAnsi="Arial"/>
          <w:sz w:val="18"/>
          <w:szCs w:val="18"/>
          <w:color w:val="auto"/>
        </w:rPr>
        <w:t>Other than as stated above, we did not sell any securities during the period covered by this Quarterly Report on Form 10-Q that were not registered under the Securities Act of 1933, as amended.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Issuer Purchases of Equity Securities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(c) Total 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4"/>
              </w:rPr>
              <w:t>(d) Approximate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(a) Total</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 Average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Purchased(1)</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or Programs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July 1, 2021 through July 31, 2021</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August 1, 2021 through August 31, 2021</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September 1, 2021 through September 30, 2021</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right="500" w:hanging="372"/>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certain former employees upon termination of employment in accordance with the terms of the applicable employee's restricted stock agreement. We repurchased the shares from the former employees at the original purchase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2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10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20" w:type="dxa"/>
            <w:vAlign w:val="bottom"/>
            <w:gridSpan w:val="9"/>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Form of Inducement Stock Option Agreement.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2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Pursuant to Section 302 of the Sarbanes-Oxley Act of 2002.</w:t>
              </w:r>
            </w:hyperlink>
          </w:p>
        </w:tc>
        <w:tc>
          <w:tcPr>
            <w:tcW w:w="6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340" w:type="dxa"/>
            <w:vAlign w:val="bottom"/>
            <w:gridSpan w:val="10"/>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3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Act of 2002.</w:t>
              </w:r>
            </w:hyperlink>
          </w:p>
        </w:tc>
        <w:tc>
          <w:tcPr>
            <w:tcW w:w="9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3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of 2002.</w:t>
              </w:r>
            </w:hyperlink>
          </w:p>
        </w:tc>
        <w:tc>
          <w:tcPr>
            <w:tcW w:w="97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w w:val="96"/>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942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49"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38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1760"/>
              <w:spacing w:after="0"/>
              <w:rPr>
                <w:sz w:val="20"/>
                <w:szCs w:val="20"/>
                <w:color w:val="auto"/>
              </w:rPr>
            </w:pPr>
            <w:r>
              <w:rPr>
                <w:rFonts w:ascii="Arial" w:cs="Arial" w:eastAsia="Arial" w:hAnsi="Arial"/>
                <w:sz w:val="18"/>
                <w:szCs w:val="18"/>
                <w:color w:val="auto"/>
              </w:rPr>
              <w:t>FULCRUM THERAPEUTICS, INC.</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November 4, 2021</w:t>
            </w:r>
          </w:p>
        </w:tc>
        <w:tc>
          <w:tcPr>
            <w:tcW w:w="2080" w:type="dxa"/>
            <w:vAlign w:val="bottom"/>
          </w:tcPr>
          <w:p>
            <w:pPr>
              <w:ind w:left="176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Bryan Stuart</w:t>
            </w:r>
          </w:p>
        </w:tc>
      </w:tr>
      <w:tr>
        <w:trPr>
          <w:trHeight w:val="222"/>
        </w:trPr>
        <w:tc>
          <w:tcPr>
            <w:tcW w:w="3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Bryan Stuart</w:t>
            </w:r>
          </w:p>
        </w:tc>
      </w:tr>
      <w:tr>
        <w:trPr>
          <w:trHeight w:val="230"/>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 Director</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November 4, 2021</w:t>
            </w:r>
          </w:p>
        </w:tc>
        <w:tc>
          <w:tcPr>
            <w:tcW w:w="2080" w:type="dxa"/>
            <w:vAlign w:val="bottom"/>
          </w:tcPr>
          <w:p>
            <w:pPr>
              <w:ind w:left="1760"/>
              <w:spacing w:after="0"/>
              <w:rPr>
                <w:sz w:val="20"/>
                <w:szCs w:val="20"/>
                <w:color w:val="auto"/>
              </w:rPr>
            </w:pPr>
            <w:r>
              <w:rPr>
                <w:rFonts w:ascii="Arial" w:cs="Arial" w:eastAsia="Arial" w:hAnsi="Arial"/>
                <w:sz w:val="18"/>
                <w:szCs w:val="18"/>
                <w:color w:val="auto"/>
              </w:rPr>
              <w:t>By:</w:t>
            </w:r>
          </w:p>
        </w:tc>
        <w:tc>
          <w:tcPr>
            <w:tcW w:w="5620" w:type="dxa"/>
            <w:vAlign w:val="bottom"/>
          </w:tcPr>
          <w:p>
            <w:pPr>
              <w:jc w:val="center"/>
              <w:spacing w:after="0"/>
              <w:rPr>
                <w:sz w:val="20"/>
                <w:szCs w:val="20"/>
                <w:color w:val="auto"/>
              </w:rPr>
            </w:pPr>
            <w:r>
              <w:rPr>
                <w:rFonts w:ascii="Arial" w:cs="Arial" w:eastAsia="Arial" w:hAnsi="Arial"/>
                <w:sz w:val="18"/>
                <w:szCs w:val="18"/>
                <w:color w:val="auto"/>
                <w:w w:val="88"/>
              </w:rPr>
              <w:t>/s/ Peter Thomson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7880"/>
        <w:spacing w:after="0"/>
        <w:rPr>
          <w:sz w:val="20"/>
          <w:szCs w:val="20"/>
          <w:color w:val="auto"/>
        </w:rPr>
      </w:pPr>
      <w:r>
        <w:rPr>
          <w:rFonts w:ascii="Arial" w:cs="Arial" w:eastAsia="Arial" w:hAnsi="Arial"/>
          <w:sz w:val="18"/>
          <w:szCs w:val="18"/>
          <w:color w:val="auto"/>
        </w:rPr>
        <w:t>Peter Thomson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Vice President, Finance and Accounting (Principal Financial Officer and</w:t>
      </w:r>
    </w:p>
    <w:p>
      <w:pPr>
        <w:spacing w:after="0" w:line="3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553" w:right="339" w:bottom="1440" w:gutter="0" w:footer="0" w:header="0"/>
        </w:sectPr>
      </w:pPr>
    </w:p>
    <w:bookmarkStart w:id="84" w:name="page85"/>
    <w:bookmarkEnd w:id="84"/>
    <w:p>
      <w:pPr>
        <w:ind w:left="10180"/>
        <w:spacing w:after="0"/>
        <w:rPr>
          <w:sz w:val="20"/>
          <w:szCs w:val="20"/>
          <w:color w:val="auto"/>
        </w:rPr>
      </w:pPr>
      <w:r>
        <w:rPr>
          <w:rFonts w:ascii="Arial" w:cs="Arial" w:eastAsia="Arial" w:hAnsi="Arial"/>
          <w:sz w:val="19"/>
          <w:szCs w:val="19"/>
          <w:color w:val="auto"/>
        </w:rPr>
        <w:t>Exhibit 10.1</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NONSTATUTORY STOCK OPTION AGREEMENT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Fulcrum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the following stock option. The terms and conditions attached hereto are also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hereof.</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Notice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optionee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shares of the Company’s Common Stock</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subject to this option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 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if any, of Shares that vest immediately on the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that are subject to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Start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Final Exercise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17" w:lineRule="exact"/>
        <w:rPr>
          <w:sz w:val="20"/>
          <w:szCs w:val="20"/>
          <w:color w:val="auto"/>
        </w:rPr>
      </w:pPr>
    </w:p>
    <w:p>
      <w:pPr>
        <w:spacing w:after="0"/>
        <w:tabs>
          <w:tab w:leader="none" w:pos="7560" w:val="left"/>
        </w:tabs>
        <w:rPr>
          <w:sz w:val="20"/>
          <w:szCs w:val="20"/>
          <w:color w:val="auto"/>
        </w:rPr>
      </w:pPr>
      <w:r>
        <w:rPr>
          <w:rFonts w:ascii="Arial" w:cs="Arial" w:eastAsia="Arial" w:hAnsi="Arial"/>
          <w:sz w:val="14"/>
          <w:szCs w:val="14"/>
          <w:b w:val="1"/>
          <w:bCs w:val="1"/>
          <w:color w:val="auto"/>
        </w:rPr>
        <w:t>Vesting Date:</w:t>
      </w:r>
      <w:r>
        <w:rPr>
          <w:sz w:val="20"/>
          <w:szCs w:val="20"/>
          <w:color w:val="auto"/>
        </w:rPr>
        <w:tab/>
      </w:r>
      <w:r>
        <w:rPr>
          <w:rFonts w:ascii="Arial" w:cs="Arial" w:eastAsia="Arial" w:hAnsi="Arial"/>
          <w:sz w:val="13"/>
          <w:szCs w:val="13"/>
          <w:b w:val="1"/>
          <w:bCs w:val="1"/>
          <w:color w:val="auto"/>
        </w:rPr>
        <w:t>Number of Options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vesting is dependent on the Participant remaining an Eligible Participant, as provided herein.</w:t>
      </w:r>
    </w:p>
    <w:p>
      <w:pPr>
        <w:spacing w:after="0" w:line="185"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This option satisfies in full all commitments that the Company has to the Participant with respect to the issuance of stock, stock options or other equity securities.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5580" w:type="dxa"/>
            <w:vAlign w:val="bottom"/>
            <w:gridSpan w:val="2"/>
          </w:tcPr>
          <w:p>
            <w:pPr>
              <w:ind w:left="400"/>
              <w:spacing w:after="0"/>
              <w:rPr>
                <w:sz w:val="20"/>
                <w:szCs w:val="20"/>
                <w:color w:val="auto"/>
              </w:rPr>
            </w:pPr>
            <w:r>
              <w:rPr>
                <w:rFonts w:ascii="Arial" w:cs="Arial" w:eastAsia="Arial" w:hAnsi="Arial"/>
                <w:sz w:val="18"/>
                <w:szCs w:val="18"/>
                <w:color w:val="auto"/>
              </w:rPr>
              <w:t>Fulcrum Therapeutics,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8"/>
                <w:szCs w:val="18"/>
                <w:color w:val="auto"/>
              </w:rPr>
              <w:t>Signature of Participant</w:t>
            </w:r>
          </w:p>
        </w:tc>
        <w:tc>
          <w:tcPr>
            <w:tcW w:w="8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60" w:type="dxa"/>
            <w:vAlign w:val="bottom"/>
            <w:tcBorders>
              <w:bottom w:val="single" w:sz="8" w:color="auto"/>
            </w:tcBorders>
          </w:tcPr>
          <w:p>
            <w:pPr>
              <w:spacing w:after="0"/>
              <w:rPr>
                <w:sz w:val="17"/>
                <w:szCs w:val="17"/>
                <w:color w:val="auto"/>
              </w:rPr>
            </w:pPr>
          </w:p>
        </w:tc>
        <w:tc>
          <w:tcPr>
            <w:tcW w:w="5580" w:type="dxa"/>
            <w:vAlign w:val="bottom"/>
            <w:gridSpan w:val="2"/>
            <w:vMerge w:val="restart"/>
          </w:tcPr>
          <w:p>
            <w:pPr>
              <w:ind w:left="4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Street Address</w:t>
            </w:r>
          </w:p>
        </w:tc>
        <w:tc>
          <w:tcPr>
            <w:tcW w:w="5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auto"/>
            </w:tcBorders>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8"/>
                <w:szCs w:val="18"/>
                <w:color w:val="auto"/>
                <w:w w:val="95"/>
              </w:rPr>
              <w:t>Name</w:t>
            </w: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8"/>
                <w:szCs w:val="18"/>
                <w:color w:val="auto"/>
              </w:rPr>
              <w:t>City/State/Zip Code</w:t>
            </w:r>
          </w:p>
        </w:tc>
        <w:tc>
          <w:tcPr>
            <w:tcW w:w="5580" w:type="dxa"/>
            <w:vAlign w:val="bottom"/>
            <w:gridSpan w:val="2"/>
          </w:tcPr>
          <w:p>
            <w:pPr>
              <w:ind w:left="4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5"/>
        </w:trPr>
        <w:tc>
          <w:tcPr>
            <w:tcW w:w="5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Incorporated Terms and Conditions</w:t>
      </w:r>
    </w:p>
    <w:p>
      <w:pPr>
        <w:spacing w:after="0" w:line="386" w:lineRule="exact"/>
        <w:rPr>
          <w:sz w:val="20"/>
          <w:szCs w:val="20"/>
          <w:color w:val="auto"/>
        </w:rPr>
      </w:pPr>
    </w:p>
    <w:p>
      <w:pPr>
        <w:ind w:left="800" w:hanging="792"/>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198" w:lineRule="exact"/>
        <w:rPr>
          <w:sz w:val="20"/>
          <w:szCs w:val="20"/>
          <w:color w:val="auto"/>
        </w:rPr>
      </w:pPr>
    </w:p>
    <w:p>
      <w:pPr>
        <w:ind w:right="100" w:firstLine="864"/>
        <w:spacing w:after="0" w:line="257" w:lineRule="auto"/>
        <w:rPr>
          <w:sz w:val="20"/>
          <w:szCs w:val="20"/>
          <w:color w:val="auto"/>
        </w:rPr>
      </w:pPr>
      <w:r>
        <w:rPr>
          <w:rFonts w:ascii="Arial" w:cs="Arial" w:eastAsia="Arial" w:hAnsi="Arial"/>
          <w:sz w:val="18"/>
          <w:szCs w:val="18"/>
          <w:color w:val="auto"/>
        </w:rPr>
        <w:t xml:space="preserve">This agreement evidences the grant by the Company, on the grant date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xml:space="preserve">) set forth in the Notice of Grant that forms part of this agreement (the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to the Participant of an option to purchase, in whole or in part, on the terms provided herein, the number of Shares set forth in the Notice of Grant of common stock, $0.001 par value per share,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xml:space="preserve">), at the exercise price per Share set forth in the Notice of Grant. Unless earlier terminated, this option shall expire at 5:00 p.m., Eastern time, on the Final Exercise Date set forth in the Notice of Grant (the </w:t>
      </w:r>
      <w:r>
        <w:rPr>
          <w:rFonts w:ascii="Arial" w:cs="Arial" w:eastAsia="Arial" w:hAnsi="Arial"/>
          <w:sz w:val="18"/>
          <w:szCs w:val="18"/>
          <w:b w:val="1"/>
          <w:bCs w:val="1"/>
          <w:i w:val="1"/>
          <w:iCs w:val="1"/>
          <w:color w:val="auto"/>
        </w:rPr>
        <w:t>“Final Exercise Date”</w:t>
      </w:r>
      <w:r>
        <w:rPr>
          <w:rFonts w:ascii="Arial" w:cs="Arial" w:eastAsia="Arial" w:hAnsi="Arial"/>
          <w:sz w:val="18"/>
          <w:szCs w:val="18"/>
          <w:color w:val="auto"/>
        </w:rPr>
        <w:t>).</w:t>
      </w:r>
    </w:p>
    <w:p>
      <w:pPr>
        <w:spacing w:after="0" w:line="147"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color w:val="auto"/>
        </w:rPr>
        <w:t>The option evidenced by this agreement was granted to the Participant pursuant to the inducement grant exception under Nasdaq Stock Market Rule 5635(c)(4) as an inducement that is material to the Participant’s employment with the Company, and not pursuant to the Company’s 2019 Stock Incentive Plan, or any equity incentive plan of the Company.</w:t>
      </w:r>
    </w:p>
    <w:p>
      <w:pPr>
        <w:spacing w:after="0" w:line="143" w:lineRule="exact"/>
        <w:rPr>
          <w:sz w:val="20"/>
          <w:szCs w:val="20"/>
          <w:color w:val="auto"/>
        </w:rPr>
      </w:pPr>
    </w:p>
    <w:p>
      <w:pPr>
        <w:ind w:right="100" w:firstLine="864"/>
        <w:spacing w:after="0" w:line="286" w:lineRule="auto"/>
        <w:rPr>
          <w:sz w:val="20"/>
          <w:szCs w:val="20"/>
          <w:color w:val="auto"/>
        </w:rPr>
      </w:pPr>
      <w:r>
        <w:rPr>
          <w:rFonts w:ascii="Arial" w:cs="Arial" w:eastAsia="Arial" w:hAnsi="Arial"/>
          <w:sz w:val="17"/>
          <w:szCs w:val="17"/>
          <w:color w:val="auto"/>
        </w:rPr>
        <w:t xml:space="preserve">The option evidenced by this agreement shall not be an incentive stock option as defined in Section 422 of the Internal Revenue Code of 1986, as amended, and any regulations promulgated thereunder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xml:space="preserve">). Except as otherwise indicated by the context, the term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as used in this option, shall be deemed to include any person who acquires the right to exercise this option validly under its terms.</w:t>
      </w:r>
    </w:p>
    <w:p>
      <w:pPr>
        <w:spacing w:after="0" w:line="138" w:lineRule="exact"/>
        <w:rPr>
          <w:sz w:val="20"/>
          <w:szCs w:val="20"/>
          <w:color w:val="auto"/>
        </w:rPr>
      </w:pPr>
    </w:p>
    <w:p>
      <w:pPr>
        <w:ind w:left="800" w:hanging="792"/>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i w:val="1"/>
          <w:iCs w:val="1"/>
          <w:color w:val="auto"/>
        </w:rPr>
        <w:t>“vest”</w:t>
      </w:r>
      <w:r>
        <w:rPr>
          <w:rFonts w:ascii="Arial" w:cs="Arial" w:eastAsia="Arial" w:hAnsi="Arial"/>
          <w:sz w:val="18"/>
          <w:szCs w:val="18"/>
          <w:color w:val="auto"/>
        </w:rPr>
        <w:t>) in accordance with the vesting schedule set forth in the Notice of Grant.</w:t>
      </w:r>
    </w:p>
    <w:p>
      <w:pPr>
        <w:spacing w:after="0" w:line="185" w:lineRule="exact"/>
        <w:rPr>
          <w:sz w:val="20"/>
          <w:szCs w:val="20"/>
          <w:color w:val="auto"/>
        </w:rPr>
      </w:pPr>
    </w:p>
    <w:p>
      <w:pPr>
        <w:ind w:right="320" w:firstLine="864"/>
        <w:spacing w:after="0" w:line="263"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w:t>
      </w:r>
    </w:p>
    <w:p>
      <w:pPr>
        <w:spacing w:after="0" w:line="157" w:lineRule="exact"/>
        <w:rPr>
          <w:sz w:val="20"/>
          <w:szCs w:val="20"/>
          <w:color w:val="auto"/>
        </w:rPr>
      </w:pPr>
    </w:p>
    <w:p>
      <w:pPr>
        <w:ind w:left="800" w:hanging="792"/>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872"/>
        <w:spacing w:after="0" w:line="257" w:lineRule="auto"/>
        <w:tabs>
          <w:tab w:leader="none" w:pos="171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xml:space="preserve">. Each election to exercise this option shall be in writing, in the form of the Stock Option Exercise Notice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signed by the Participant, and received by the Company at its principal office, accompanied by this agreement, or in such other form (which may be electronic) as is approved by the Company, together with payment in full in the manner provided in this Section 3(a). The Participant may purchase less than the number of shares covered hereby, provided that no partial exercise of this option may be for any fractional share. Payment shall be made as follows:</w:t>
      </w:r>
    </w:p>
    <w:p>
      <w:pPr>
        <w:spacing w:after="0" w:line="147" w:lineRule="exact"/>
        <w:rPr>
          <w:rFonts w:ascii="Arial" w:cs="Arial" w:eastAsia="Arial" w:hAnsi="Arial"/>
          <w:sz w:val="18"/>
          <w:szCs w:val="18"/>
          <w:color w:val="auto"/>
        </w:rPr>
      </w:pPr>
    </w:p>
    <w:p>
      <w:pPr>
        <w:ind w:left="2600" w:hanging="865"/>
        <w:spacing w:after="0"/>
        <w:tabs>
          <w:tab w:leader="none" w:pos="2600"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98" w:lineRule="exact"/>
        <w:rPr>
          <w:rFonts w:ascii="Arial" w:cs="Arial" w:eastAsia="Arial" w:hAnsi="Arial"/>
          <w:sz w:val="18"/>
          <w:szCs w:val="18"/>
          <w:color w:val="auto"/>
        </w:rPr>
      </w:pPr>
    </w:p>
    <w:p>
      <w:pPr>
        <w:ind w:right="120" w:firstLine="1735"/>
        <w:spacing w:after="0" w:line="259" w:lineRule="auto"/>
        <w:tabs>
          <w:tab w:leader="none" w:pos="2585" w:val="left"/>
        </w:tabs>
        <w:numPr>
          <w:ilvl w:val="2"/>
          <w:numId w:val="50"/>
        </w:numPr>
        <w:rPr>
          <w:rFonts w:ascii="Arial" w:cs="Arial" w:eastAsia="Arial" w:hAnsi="Arial"/>
          <w:sz w:val="18"/>
          <w:szCs w:val="18"/>
          <w:color w:val="auto"/>
        </w:rPr>
      </w:pPr>
      <w:r>
        <w:rPr>
          <w:rFonts w:ascii="Arial" w:cs="Arial" w:eastAsia="Arial" w:hAnsi="Arial"/>
          <w:sz w:val="18"/>
          <w:szCs w:val="18"/>
          <w:color w:val="auto"/>
        </w:rPr>
        <w:t>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ind w:left="-872" w:right="80" w:firstLine="1735"/>
        <w:spacing w:after="0" w:line="255" w:lineRule="auto"/>
        <w:tabs>
          <w:tab w:leader="none" w:pos="17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extent approved by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in its sole discretion, by delivery (either by actual delivery or attestation) of shares of Common Stock owned by the Participant valued at their fair market value (valued in the manner determined by (or in a manner approved by) the Board (the “</w:t>
      </w:r>
      <w:r>
        <w:rPr>
          <w:rFonts w:ascii="Arial" w:cs="Arial" w:eastAsia="Arial" w:hAnsi="Arial"/>
          <w:sz w:val="18"/>
          <w:szCs w:val="18"/>
          <w:u w:val="single" w:color="auto"/>
          <w:color w:val="auto"/>
        </w:rPr>
        <w:t>Fair Market Value</w:t>
      </w:r>
      <w:r>
        <w:rPr>
          <w:rFonts w:ascii="Arial" w:cs="Arial" w:eastAsia="Arial" w:hAnsi="Arial"/>
          <w:sz w:val="18"/>
          <w:szCs w:val="18"/>
          <w:color w:val="auto"/>
        </w:rPr>
        <w:t>”)),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65" w:lineRule="exact"/>
        <w:rPr>
          <w:rFonts w:ascii="Arial" w:cs="Arial" w:eastAsia="Arial" w:hAnsi="Arial"/>
          <w:sz w:val="18"/>
          <w:szCs w:val="18"/>
          <w:color w:val="auto"/>
        </w:rPr>
      </w:pPr>
    </w:p>
    <w:p>
      <w:pPr>
        <w:ind w:left="-872" w:right="60" w:firstLine="1735"/>
        <w:spacing w:after="0" w:line="311" w:lineRule="auto"/>
        <w:tabs>
          <w:tab w:leader="none" w:pos="1713" w:val="left"/>
        </w:tabs>
        <w:numPr>
          <w:ilvl w:val="1"/>
          <w:numId w:val="51"/>
        </w:numPr>
        <w:rPr>
          <w:rFonts w:ascii="Arial" w:cs="Arial" w:eastAsia="Arial" w:hAnsi="Arial"/>
          <w:sz w:val="16"/>
          <w:szCs w:val="16"/>
          <w:color w:val="auto"/>
        </w:rPr>
      </w:pPr>
      <w:r>
        <w:rPr>
          <w:rFonts w:ascii="Arial" w:cs="Arial" w:eastAsia="Arial" w:hAnsi="Arial"/>
          <w:sz w:val="16"/>
          <w:szCs w:val="16"/>
          <w:color w:val="auto"/>
        </w:rPr>
        <w:t>to the extent approved by the Board in its sole discretion,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on the date of exercise;</w:t>
      </w:r>
    </w:p>
    <w:p>
      <w:pPr>
        <w:spacing w:after="0" w:line="108" w:lineRule="exact"/>
        <w:rPr>
          <w:rFonts w:ascii="Arial" w:cs="Arial" w:eastAsia="Arial" w:hAnsi="Arial"/>
          <w:sz w:val="16"/>
          <w:szCs w:val="16"/>
          <w:color w:val="auto"/>
        </w:rPr>
      </w:pPr>
    </w:p>
    <w:p>
      <w:pPr>
        <w:ind w:left="-872" w:right="300" w:firstLine="1735"/>
        <w:spacing w:after="0" w:line="277" w:lineRule="auto"/>
        <w:tabs>
          <w:tab w:leader="none" w:pos="17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extent permitted by applicable law and approved by the Board in its sole discretion, by payment of such other lawful consideration as the Board may determine; or</w:t>
      </w:r>
    </w:p>
    <w:p>
      <w:pPr>
        <w:spacing w:after="0" w:line="129" w:lineRule="exact"/>
        <w:rPr>
          <w:rFonts w:ascii="Arial" w:cs="Arial" w:eastAsia="Arial" w:hAnsi="Arial"/>
          <w:sz w:val="18"/>
          <w:szCs w:val="18"/>
          <w:color w:val="auto"/>
        </w:rPr>
      </w:pPr>
    </w:p>
    <w:p>
      <w:pPr>
        <w:ind w:left="1728" w:hanging="865"/>
        <w:spacing w:after="0"/>
        <w:tabs>
          <w:tab w:leader="none" w:pos="17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98" w:lineRule="exact"/>
        <w:rPr>
          <w:rFonts w:ascii="Arial" w:cs="Arial" w:eastAsia="Arial" w:hAnsi="Arial"/>
          <w:sz w:val="18"/>
          <w:szCs w:val="18"/>
          <w:color w:val="auto"/>
        </w:rPr>
      </w:pPr>
    </w:p>
    <w:p>
      <w:pPr>
        <w:jc w:val="both"/>
        <w:ind w:left="-872" w:right="220" w:firstLine="872"/>
        <w:spacing w:after="0" w:line="259" w:lineRule="auto"/>
        <w:tabs>
          <w:tab w:leader="none" w:pos="85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xml:space="preserve">. Except as otherwise provided in this Section 3, this option may not be exercised unless the Participant, at the time he or she exercises this option, is, and has been at all times since the Grant Date, an employee, director or officer of, or consultant or advisor to, the Company or any other entity the employees, officers, directors, consultants, or advisors of which are eligible to receive option grants under the Plan (an </w:t>
      </w:r>
      <w:r>
        <w:rPr>
          <w:rFonts w:ascii="Arial" w:cs="Arial" w:eastAsia="Arial" w:hAnsi="Arial"/>
          <w:sz w:val="18"/>
          <w:szCs w:val="18"/>
          <w:b w:val="1"/>
          <w:bCs w:val="1"/>
          <w:i w:val="1"/>
          <w:iCs w:val="1"/>
          <w:color w:val="auto"/>
        </w:rPr>
        <w:t>“Eligible Participant”</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left="-872" w:firstLine="872"/>
        <w:spacing w:after="0" w:line="272" w:lineRule="auto"/>
        <w:tabs>
          <w:tab w:leader="none" w:pos="84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with the Company</w:t>
      </w:r>
      <w:r>
        <w:rPr>
          <w:rFonts w:ascii="Arial" w:cs="Arial" w:eastAsia="Arial" w:hAnsi="Arial"/>
          <w:sz w:val="17"/>
          <w:szCs w:val="17"/>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any non-competition, non-solicitation, confidentiality or assignment agreement to which the Participant is a party, or any other agreement between the Participant and the Company, the right to exercise this option shall terminate immediately upon such violation.</w:t>
      </w:r>
    </w:p>
    <w:p>
      <w:pPr>
        <w:spacing w:after="0" w:line="136" w:lineRule="exact"/>
        <w:rPr>
          <w:rFonts w:ascii="Arial" w:cs="Arial" w:eastAsia="Arial" w:hAnsi="Arial"/>
          <w:sz w:val="17"/>
          <w:szCs w:val="17"/>
          <w:color w:val="auto"/>
        </w:rPr>
      </w:pPr>
    </w:p>
    <w:p>
      <w:pPr>
        <w:ind w:left="-872" w:right="160" w:firstLine="872"/>
        <w:spacing w:after="0" w:line="255" w:lineRule="auto"/>
        <w:tabs>
          <w:tab w:leader="none" w:pos="85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65" w:lineRule="exact"/>
        <w:rPr>
          <w:rFonts w:ascii="Arial" w:cs="Arial" w:eastAsia="Arial" w:hAnsi="Arial"/>
          <w:sz w:val="18"/>
          <w:szCs w:val="18"/>
          <w:color w:val="auto"/>
        </w:rPr>
      </w:pPr>
    </w:p>
    <w:p>
      <w:pPr>
        <w:ind w:left="-872" w:right="20" w:firstLine="872"/>
        <w:spacing w:after="0" w:line="269" w:lineRule="auto"/>
        <w:tabs>
          <w:tab w:leader="none" w:pos="84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xml:space="preserve">.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 (ii) the effective date of such termination of employment or other relationship (in which case the right to exercise this option shall, pursuant to the preceding sentence, terminate upon the effective date of such termination of employment or other relationship). If the Participant is subject to an individual employment, consulting or severance agreement with the Company or eligible to participate in a Company severance plan or arrangement, in any case which agreement, plan or arrangement contains a definition of “cause” for termination of employment or other relationship,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shall have the meaning ascribed to such term in such agreement, plan or arrangement. Otherwise,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shall mean willful misconduct by the Participant or willful failure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315595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17" w:right="339" w:bottom="1440" w:gutter="0" w:footer="0" w:header="0"/>
        </w:sectPr>
      </w:pPr>
    </w:p>
    <w:bookmarkStart w:id="87" w:name="page88"/>
    <w:bookmarkEnd w:id="87"/>
    <w:p>
      <w:pPr>
        <w:ind w:right="40"/>
        <w:spacing w:after="0" w:line="301" w:lineRule="auto"/>
        <w:rPr>
          <w:sz w:val="20"/>
          <w:szCs w:val="20"/>
          <w:color w:val="auto"/>
        </w:rPr>
      </w:pPr>
      <w:r>
        <w:rPr>
          <w:rFonts w:ascii="Arial" w:cs="Arial" w:eastAsia="Arial" w:hAnsi="Arial"/>
          <w:sz w:val="16"/>
          <w:szCs w:val="16"/>
          <w:color w:val="auto"/>
        </w:rPr>
        <w:t>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resignation, that termination for Cause was warranted.</w:t>
      </w:r>
    </w:p>
    <w:p>
      <w:pPr>
        <w:spacing w:after="0" w:line="130" w:lineRule="exact"/>
        <w:rPr>
          <w:sz w:val="20"/>
          <w:szCs w:val="20"/>
          <w:color w:val="auto"/>
        </w:rPr>
      </w:pPr>
    </w:p>
    <w:p>
      <w:pPr>
        <w:ind w:firstLine="8"/>
        <w:spacing w:after="0" w:line="287" w:lineRule="auto"/>
        <w:tabs>
          <w:tab w:leader="none" w:pos="78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must satisfy all applicable federal, state, and local or other income and employment tax withholding obligations before the Company will deliver stock certificates or otherwise recognize ownership of Common Stock under this option.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of this option or at the same time as payment of the exercise price, unless the Company determines otherwise. If approved by the Board in its sole discretion, the Participant may satisfy such tax obligations in whole or in part by delivery (either by actual delivery or attestation) of shares of Common Stock underlying this option,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state and local tax purposes, including payroll taxes, that are applicable to such supplemental taxable income). Shares used to satisfy tax withholding requirements cannot be subject to any forfeiture, unfulfilled vesting or other similar requirements.</w:t>
      </w:r>
    </w:p>
    <w:p>
      <w:pPr>
        <w:spacing w:after="0" w:line="131" w:lineRule="exact"/>
        <w:rPr>
          <w:rFonts w:ascii="Arial" w:cs="Arial" w:eastAsia="Arial" w:hAnsi="Arial"/>
          <w:sz w:val="16"/>
          <w:szCs w:val="16"/>
          <w:color w:val="auto"/>
        </w:rPr>
      </w:pPr>
    </w:p>
    <w:p>
      <w:pPr>
        <w:ind w:left="800" w:hanging="792"/>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Transfer Restrictions; Clawback.</w:t>
      </w:r>
    </w:p>
    <w:p>
      <w:pPr>
        <w:spacing w:after="0" w:line="184" w:lineRule="exact"/>
        <w:rPr>
          <w:rFonts w:ascii="Arial" w:cs="Arial" w:eastAsia="Arial" w:hAnsi="Arial"/>
          <w:sz w:val="18"/>
          <w:szCs w:val="18"/>
          <w:color w:val="auto"/>
        </w:rPr>
      </w:pPr>
    </w:p>
    <w:p>
      <w:pPr>
        <w:ind w:right="200" w:firstLine="872"/>
        <w:spacing w:after="0" w:line="263" w:lineRule="auto"/>
        <w:tabs>
          <w:tab w:leader="none" w:pos="171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56" w:lineRule="exact"/>
        <w:rPr>
          <w:rFonts w:ascii="Arial" w:cs="Arial" w:eastAsia="Arial" w:hAnsi="Arial"/>
          <w:sz w:val="18"/>
          <w:szCs w:val="18"/>
          <w:color w:val="auto"/>
        </w:rPr>
      </w:pPr>
    </w:p>
    <w:p>
      <w:pPr>
        <w:ind w:left="1720" w:hanging="848"/>
        <w:spacing w:after="0"/>
        <w:tabs>
          <w:tab w:leader="none" w:pos="17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 accepting this option, the Participant agrees to be bound by any clawback policy that the Company has in place or may adopt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future.</w:t>
      </w:r>
    </w:p>
    <w:p>
      <w:pPr>
        <w:spacing w:after="0" w:line="170" w:lineRule="exact"/>
        <w:rPr>
          <w:rFonts w:ascii="Arial" w:cs="Arial" w:eastAsia="Arial" w:hAnsi="Arial"/>
          <w:sz w:val="16"/>
          <w:szCs w:val="16"/>
          <w:color w:val="auto"/>
        </w:rPr>
      </w:pPr>
    </w:p>
    <w:p>
      <w:pPr>
        <w:ind w:left="800" w:hanging="792"/>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0" w:firstLine="872"/>
        <w:spacing w:after="0" w:line="270" w:lineRule="auto"/>
        <w:tabs>
          <w:tab w:leader="none" w:pos="1711"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the number and class of securities and exercise price per share of this option shall be equitably adjusted by the Company (or substitute options may be granted, if applicable) in the manner determined by the Board. Without limiting the generality of the foregoing, in the event the Company effects a split of the Common Stock by means of a stock dividend and the exercise price of and the number of shares subject to this option are adjusted as of the date of the distribution of the dividend (rather than as of the record date for such dividend), then the Participant, if he or she exercises this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53" w:lineRule="exact"/>
        <w:rPr>
          <w:rFonts w:ascii="Arial" w:cs="Arial" w:eastAsia="Arial" w:hAnsi="Arial"/>
          <w:sz w:val="17"/>
          <w:szCs w:val="17"/>
          <w:color w:val="auto"/>
        </w:rPr>
      </w:pPr>
    </w:p>
    <w:p>
      <w:pPr>
        <w:jc w:val="both"/>
        <w:ind w:right="20" w:firstLine="872"/>
        <w:spacing w:after="0" w:line="259" w:lineRule="auto"/>
        <w:tabs>
          <w:tab w:leader="none" w:pos="1721"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8" w:name="page89"/>
    <w:bookmarkEnd w:id="88"/>
    <w:p>
      <w:pPr>
        <w:ind w:left="1712" w:hanging="848"/>
        <w:spacing w:after="0"/>
        <w:tabs>
          <w:tab w:leader="none" w:pos="1712"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Consequences of a Reorganization Event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 w:right="40" w:firstLine="1735"/>
        <w:spacing w:after="0" w:line="268" w:lineRule="auto"/>
        <w:tabs>
          <w:tab w:leader="none" w:pos="2617" w:val="left"/>
        </w:tabs>
        <w:numPr>
          <w:ilvl w:val="2"/>
          <w:numId w:val="54"/>
        </w:numPr>
        <w:rPr>
          <w:rFonts w:ascii="Arial" w:cs="Arial" w:eastAsia="Arial" w:hAnsi="Arial"/>
          <w:sz w:val="17"/>
          <w:szCs w:val="17"/>
          <w:color w:val="auto"/>
        </w:rPr>
      </w:pPr>
      <w:r>
        <w:rPr>
          <w:rFonts w:ascii="Arial" w:cs="Arial" w:eastAsia="Arial" w:hAnsi="Arial"/>
          <w:sz w:val="17"/>
          <w:szCs w:val="17"/>
          <w:color w:val="auto"/>
        </w:rPr>
        <w:t>In connection with a Reorganization Event, the Board may take any one or more of the following actions with respect to this option (or any portion thereof) on such terms as the Board determines (except to the extent specifically provided otherwise in another agreement between the Company and the Participant): (i) provide that this option shall be assumed, or a substantially equivalent option shall be substituted, by the acquiring or succeeding corporation (or an affiliate thereof), (ii) upon written notice to the Participant, provide that the unvested portion of the option will terminate and/ or the unexercised portion of this option will terminate immediately prior to the consummation of such Reorganization Event unless exercised by the Participant (to the extent then exercisable) within a specified period following the date of such notice, (iii) provide that this option shall become exercisable,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7"/>
          <w:szCs w:val="17"/>
          <w:u w:val="single" w:color="auto"/>
          <w:color w:val="auto"/>
        </w:rPr>
        <w:t>Acquisition Price</w:t>
      </w:r>
      <w:r>
        <w:rPr>
          <w:rFonts w:ascii="Arial" w:cs="Arial" w:eastAsia="Arial" w:hAnsi="Arial"/>
          <w:sz w:val="17"/>
          <w:szCs w:val="17"/>
          <w:color w:val="auto"/>
        </w:rPr>
        <w:t>”), make or provide for a cash payment to the Participant with respect to this option equal to (A) the number of shares of Common Stock subject to the vested portion of this option (after giving effect to any acceleration of vesting that occurs upon or immediately prior to such Reorganization Event) multiplied by (B) the excess, if any, of (I) the Acquisition Price over (II) the exercise price of this option and any applicable tax withholdings, in exchange for the termination of this option, (v) provide that, in connection with a liquidation or dissolution of the Company, this option shall convert into the right to receive liquidation proceeds (if applicable, net of the exercise price hereof and any applicable tax withholdings) and (vi) any combination of the foregoing.</w:t>
      </w:r>
    </w:p>
    <w:p>
      <w:pPr>
        <w:spacing w:after="0" w:line="143" w:lineRule="exact"/>
        <w:rPr>
          <w:rFonts w:ascii="Arial" w:cs="Arial" w:eastAsia="Arial" w:hAnsi="Arial"/>
          <w:sz w:val="17"/>
          <w:szCs w:val="17"/>
          <w:color w:val="auto"/>
        </w:rPr>
      </w:pPr>
    </w:p>
    <w:p>
      <w:pPr>
        <w:ind w:left="-8" w:right="100" w:firstLine="1735"/>
        <w:spacing w:after="0" w:line="288" w:lineRule="auto"/>
        <w:tabs>
          <w:tab w:leader="none" w:pos="2607" w:val="left"/>
        </w:tabs>
        <w:numPr>
          <w:ilvl w:val="2"/>
          <w:numId w:val="54"/>
        </w:numPr>
        <w:rPr>
          <w:rFonts w:ascii="Arial" w:cs="Arial" w:eastAsia="Arial" w:hAnsi="Arial"/>
          <w:sz w:val="16"/>
          <w:szCs w:val="16"/>
          <w:color w:val="auto"/>
        </w:rPr>
      </w:pPr>
      <w:r>
        <w:rPr>
          <w:rFonts w:ascii="Arial" w:cs="Arial" w:eastAsia="Arial" w:hAnsi="Arial"/>
          <w:sz w:val="16"/>
          <w:szCs w:val="16"/>
          <w:color w:val="auto"/>
        </w:rPr>
        <w:t>For purposes of Section 6(c)(A)(i), this option shall be considered assumed if, following consummation of the Reorganization Event, this option confers the right to purchase, for each share of Common Stock subject to this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this option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27" w:lineRule="exact"/>
        <w:rPr>
          <w:rFonts w:ascii="Arial" w:cs="Arial" w:eastAsia="Arial" w:hAnsi="Arial"/>
          <w:sz w:val="16"/>
          <w:szCs w:val="16"/>
          <w:color w:val="auto"/>
        </w:rPr>
      </w:pPr>
    </w:p>
    <w:p>
      <w:pPr>
        <w:ind w:left="792" w:hanging="792"/>
        <w:spacing w:after="0"/>
        <w:tabs>
          <w:tab w:leader="none" w:pos="79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 w:firstLine="872"/>
        <w:spacing w:after="0" w:line="263" w:lineRule="auto"/>
        <w:tabs>
          <w:tab w:leader="none" w:pos="1703"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The grant of this option shall not be construed as giving the Participant the right to continued employment or any other relationship with the Company. The Company expressly reserves the right at any time to dismiss or otherwise terminate its relationship with the Participant free from any liability or claim hereunder.</w:t>
      </w:r>
    </w:p>
    <w:p>
      <w:pPr>
        <w:spacing w:after="0" w:line="143" w:lineRule="exact"/>
        <w:rPr>
          <w:rFonts w:ascii="Arial" w:cs="Arial" w:eastAsia="Arial" w:hAnsi="Arial"/>
          <w:sz w:val="18"/>
          <w:szCs w:val="18"/>
          <w:color w:val="auto"/>
        </w:rPr>
      </w:pPr>
    </w:p>
    <w:p>
      <w:pPr>
        <w:ind w:left="-8" w:right="240" w:firstLine="872"/>
        <w:spacing w:after="0" w:line="308" w:lineRule="auto"/>
        <w:tabs>
          <w:tab w:leader="none" w:pos="1713"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Subject to the provisions of this option, the Participant shall not have any rights as a stockholder with respect to any shares of Common Stock to be distributed with respect to this option until becoming the record holder of such shares.</w:t>
      </w:r>
    </w:p>
    <w:p>
      <w:pPr>
        <w:spacing w:after="0" w:line="105" w:lineRule="exact"/>
        <w:rPr>
          <w:rFonts w:ascii="Arial" w:cs="Arial" w:eastAsia="Arial" w:hAnsi="Arial"/>
          <w:sz w:val="17"/>
          <w:szCs w:val="17"/>
          <w:color w:val="auto"/>
        </w:rPr>
      </w:pPr>
    </w:p>
    <w:p>
      <w:pPr>
        <w:jc w:val="both"/>
        <w:ind w:left="-8" w:right="180" w:firstLine="872"/>
        <w:spacing w:after="0" w:line="311" w:lineRule="auto"/>
        <w:tabs>
          <w:tab w:leader="none" w:pos="1703"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Board may amend, modify or terminate this agreement, including but not limited to, substituting another option of the same or a different type and changing the date of exercise. Notwithstanding the foregoing, the Participant’s consent to such action shall be required unless the Board determines that the action, taking into account any related action, would not materially and adversely affect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296545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17" w:right="339" w:bottom="1440" w:gutter="0" w:footer="0" w:header="0"/>
        </w:sectPr>
      </w:pPr>
    </w:p>
    <w:bookmarkStart w:id="89" w:name="page90"/>
    <w:bookmarkEnd w:id="89"/>
    <w:p>
      <w:pPr>
        <w:ind w:left="1720" w:hanging="848"/>
        <w:spacing w:after="0"/>
        <w:tabs>
          <w:tab w:leader="none" w:pos="172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for under Section 6): (1) amend this option to provide an exercise price per share that is lower than the then-current exercise price per share of the option,</w:t>
      </w:r>
    </w:p>
    <w:p>
      <w:pPr>
        <w:spacing w:after="0" w:line="32" w:lineRule="exact"/>
        <w:rPr>
          <w:rFonts w:ascii="Arial" w:cs="Arial" w:eastAsia="Arial" w:hAnsi="Arial"/>
          <w:sz w:val="16"/>
          <w:szCs w:val="16"/>
          <w:color w:val="auto"/>
        </w:rPr>
      </w:pPr>
    </w:p>
    <w:p>
      <w:pPr>
        <w:ind w:right="40" w:firstLine="8"/>
        <w:spacing w:after="0" w:line="253"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cancel this option and grant in substitution therefor a new option covering the same or a different number of shares of Common Stock and having an exercise price per share lower than the then-current exercise price per share of this option, (3) cancel in exchange for a cash payment this option if its exercise price per share is above the then-current fair market value of the Common Stock (valued in the manner determined by (or in the manner approved by) the Board), or (4) take any other action that constitutes a “repricing” within the meaning of the rules of the Nasdaq Stock Market or any other exchange or marketplace on which the Company stock is listed or traded.</w:t>
      </w:r>
    </w:p>
    <w:p>
      <w:pPr>
        <w:spacing w:after="0" w:line="163" w:lineRule="exact"/>
        <w:rPr>
          <w:rFonts w:ascii="Arial" w:cs="Arial" w:eastAsia="Arial" w:hAnsi="Arial"/>
          <w:sz w:val="18"/>
          <w:szCs w:val="18"/>
          <w:color w:val="auto"/>
        </w:rPr>
      </w:pPr>
    </w:p>
    <w:p>
      <w:pPr>
        <w:ind w:right="120" w:firstLine="872"/>
        <w:spacing w:after="0" w:line="277" w:lineRule="auto"/>
        <w:tabs>
          <w:tab w:leader="none" w:pos="169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The Board may at any time provide that this option shall become immediately exercisable in whole or in part, free of some or all restrictions or conditions, or otherwise realizable in whole or in part, as the case may be.</w:t>
      </w:r>
    </w:p>
    <w:p>
      <w:pPr>
        <w:spacing w:after="0" w:line="129" w:lineRule="exact"/>
        <w:rPr>
          <w:rFonts w:ascii="Arial" w:cs="Arial" w:eastAsia="Arial" w:hAnsi="Arial"/>
          <w:sz w:val="18"/>
          <w:szCs w:val="18"/>
          <w:color w:val="auto"/>
        </w:rPr>
      </w:pPr>
    </w:p>
    <w:p>
      <w:pPr>
        <w:ind w:right="40" w:firstLine="872"/>
        <w:spacing w:after="0" w:line="296" w:lineRule="auto"/>
        <w:tabs>
          <w:tab w:leader="none" w:pos="1721"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this Agreement until (i) all conditions of this Agreement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20" w:lineRule="exact"/>
        <w:rPr>
          <w:rFonts w:ascii="Arial" w:cs="Arial" w:eastAsia="Arial" w:hAnsi="Arial"/>
          <w:sz w:val="16"/>
          <w:szCs w:val="16"/>
          <w:color w:val="auto"/>
        </w:rPr>
      </w:pPr>
    </w:p>
    <w:p>
      <w:pPr>
        <w:jc w:val="both"/>
        <w:ind w:right="120" w:firstLine="872"/>
        <w:spacing w:after="0" w:line="279" w:lineRule="auto"/>
        <w:tabs>
          <w:tab w:leader="none" w:pos="1721"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Administration by Board</w:t>
      </w:r>
      <w:r>
        <w:rPr>
          <w:rFonts w:ascii="Arial" w:cs="Arial" w:eastAsia="Arial" w:hAnsi="Arial"/>
          <w:sz w:val="17"/>
          <w:szCs w:val="17"/>
          <w:color w:val="auto"/>
        </w:rPr>
        <w:t>. The Board will administer this Agreement and may construe and interpret the terms hereof. The Board may correct any defect, supply any omission or reconcile any inconsistency in this Agreement in the manner and to the extent it shall deem expedient to carry the Agreement into effect and it shall be the sole and final judge of such expediency. No director or person acting pursuant to the authority delegated by the Board shall be liable for any action or determination relating to or under this Agreement made in good faith.</w:t>
      </w:r>
    </w:p>
    <w:p>
      <w:pPr>
        <w:spacing w:after="0" w:line="144" w:lineRule="exact"/>
        <w:rPr>
          <w:rFonts w:ascii="Arial" w:cs="Arial" w:eastAsia="Arial" w:hAnsi="Arial"/>
          <w:sz w:val="17"/>
          <w:szCs w:val="17"/>
          <w:color w:val="auto"/>
        </w:rPr>
      </w:pPr>
    </w:p>
    <w:p>
      <w:pPr>
        <w:jc w:val="both"/>
        <w:ind w:right="180" w:firstLine="872"/>
        <w:spacing w:after="0" w:line="263" w:lineRule="auto"/>
        <w:tabs>
          <w:tab w:leader="none" w:pos="168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permitted by applicable law, the Board may delegate any or all of its powers hereunder to one or more committees or subcommittees of the Board (a “</w:t>
      </w:r>
      <w:r>
        <w:rPr>
          <w:rFonts w:ascii="Arial" w:cs="Arial" w:eastAsia="Arial" w:hAnsi="Arial"/>
          <w:sz w:val="18"/>
          <w:szCs w:val="18"/>
          <w:u w:val="single" w:color="auto"/>
          <w:color w:val="auto"/>
        </w:rPr>
        <w:t>Committee</w:t>
      </w:r>
      <w:r>
        <w:rPr>
          <w:rFonts w:ascii="Arial" w:cs="Arial" w:eastAsia="Arial" w:hAnsi="Arial"/>
          <w:sz w:val="18"/>
          <w:szCs w:val="18"/>
          <w:color w:val="auto"/>
        </w:rPr>
        <w:t>”). All references herein to the “Board” shall mean the Board or a Committee to the extent that the Board’s powers or authority hereunder have been delegated to such Committee.</w:t>
      </w:r>
    </w:p>
    <w:p>
      <w:pPr>
        <w:spacing w:after="0" w:line="143" w:lineRule="exact"/>
        <w:rPr>
          <w:rFonts w:ascii="Arial" w:cs="Arial" w:eastAsia="Arial" w:hAnsi="Arial"/>
          <w:sz w:val="18"/>
          <w:szCs w:val="18"/>
          <w:color w:val="auto"/>
        </w:rPr>
      </w:pPr>
    </w:p>
    <w:p>
      <w:pPr>
        <w:ind w:right="300" w:firstLine="872"/>
        <w:spacing w:after="0" w:line="277" w:lineRule="auto"/>
        <w:tabs>
          <w:tab w:leader="none" w:pos="168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hereof shall not affect the validity or enforceability of any other provision hereof, and each such other provision shall be severable and enforceable to the extent permitted by law.</w:t>
      </w:r>
    </w:p>
    <w:p>
      <w:pPr>
        <w:spacing w:after="0" w:line="129" w:lineRule="exact"/>
        <w:rPr>
          <w:rFonts w:ascii="Arial" w:cs="Arial" w:eastAsia="Arial" w:hAnsi="Arial"/>
          <w:sz w:val="18"/>
          <w:szCs w:val="18"/>
          <w:color w:val="auto"/>
        </w:rPr>
      </w:pPr>
    </w:p>
    <w:p>
      <w:pPr>
        <w:ind w:right="100" w:firstLine="872"/>
        <w:spacing w:after="0" w:line="342" w:lineRule="auto"/>
        <w:tabs>
          <w:tab w:leader="none" w:pos="1721"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96" w:lineRule="exact"/>
        <w:rPr>
          <w:rFonts w:ascii="Arial" w:cs="Arial" w:eastAsia="Arial" w:hAnsi="Arial"/>
          <w:sz w:val="16"/>
          <w:szCs w:val="16"/>
          <w:color w:val="auto"/>
        </w:rPr>
      </w:pPr>
    </w:p>
    <w:p>
      <w:pPr>
        <w:ind w:right="60" w:firstLine="872"/>
        <w:spacing w:after="0" w:line="277" w:lineRule="auto"/>
        <w:tabs>
          <w:tab w:leader="none" w:pos="168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in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 Option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hereby irrevocably exercise the right to purchase shares of the Common Stock, $0.001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of Fulcrum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at $ per share pursuant to a nonstatutory stock option agreement with the Company dated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Enclosed herewith is a payment of $ , the aggregate purchase price for the Shares.</w:t>
      </w:r>
    </w:p>
    <w:p>
      <w:pPr>
        <w:spacing w:after="0" w:line="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certificate for the Shares should be registered in my name as it appears below or, if so indicated below, jointly in my name and the name of the person designated below, with right of survivorship.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3111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persons in whose name the Shares are to be jointly registered (if applicable):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557"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82"/>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60" w:firstLine="618"/>
        <w:spacing w:after="0" w:line="263" w:lineRule="auto"/>
        <w:tabs>
          <w:tab w:leader="none" w:pos="7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20" w:right="260" w:firstLine="575"/>
        <w:spacing w:after="0" w:line="263" w:lineRule="auto"/>
        <w:tabs>
          <w:tab w:leader="none" w:pos="145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November 4, 2021</w:t>
            </w:r>
          </w:p>
        </w:tc>
        <w:tc>
          <w:tcPr>
            <w:tcW w:w="6960" w:type="dxa"/>
            <w:vAlign w:val="bottom"/>
            <w:gridSpan w:val="2"/>
          </w:tcPr>
          <w:p>
            <w:pPr>
              <w:ind w:left="2480"/>
              <w:spacing w:after="0"/>
              <w:rPr>
                <w:sz w:val="20"/>
                <w:szCs w:val="20"/>
                <w:color w:val="auto"/>
              </w:rPr>
            </w:pPr>
            <w:r>
              <w:rPr>
                <w:rFonts w:ascii="Arial" w:cs="Arial" w:eastAsia="Arial" w:hAnsi="Arial"/>
                <w:sz w:val="18"/>
                <w:szCs w:val="18"/>
                <w:color w:val="auto"/>
              </w:rPr>
              <w:t>By: /s/ Bryan Stuart</w:t>
            </w:r>
          </w:p>
        </w:tc>
      </w:tr>
      <w:tr>
        <w:trPr>
          <w:trHeight w:val="195"/>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Peter Thomson, certify that:</w:t>
      </w:r>
    </w:p>
    <w:p>
      <w:pPr>
        <w:spacing w:after="0" w:line="117" w:lineRule="exact"/>
        <w:rPr>
          <w:sz w:val="20"/>
          <w:szCs w:val="20"/>
          <w:color w:val="auto"/>
        </w:rPr>
      </w:pPr>
    </w:p>
    <w:p>
      <w:pPr>
        <w:ind w:left="800" w:hanging="182"/>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60" w:firstLine="618"/>
        <w:spacing w:after="0" w:line="263" w:lineRule="auto"/>
        <w:tabs>
          <w:tab w:leader="none" w:pos="7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20" w:right="260" w:firstLine="575"/>
        <w:spacing w:after="0" w:line="263" w:lineRule="auto"/>
        <w:tabs>
          <w:tab w:leader="none" w:pos="14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November 4, 2021</w:t>
            </w:r>
          </w:p>
        </w:tc>
        <w:tc>
          <w:tcPr>
            <w:tcW w:w="6960" w:type="dxa"/>
            <w:vAlign w:val="bottom"/>
            <w:gridSpan w:val="2"/>
          </w:tcPr>
          <w:p>
            <w:pPr>
              <w:ind w:left="2480"/>
              <w:spacing w:after="0"/>
              <w:rPr>
                <w:sz w:val="20"/>
                <w:szCs w:val="20"/>
                <w:color w:val="auto"/>
              </w:rPr>
            </w:pPr>
            <w:r>
              <w:rPr>
                <w:rFonts w:ascii="Arial" w:cs="Arial" w:eastAsia="Arial" w:hAnsi="Arial"/>
                <w:sz w:val="18"/>
                <w:szCs w:val="18"/>
                <w:color w:val="auto"/>
              </w:rPr>
              <w:t>By: /s/ Peter Thomson</w:t>
            </w:r>
          </w:p>
        </w:tc>
      </w:tr>
      <w:tr>
        <w:trPr>
          <w:trHeight w:val="195"/>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Thomson</w:t>
            </w:r>
          </w:p>
        </w:tc>
      </w:tr>
      <w:tr>
        <w:trPr>
          <w:trHeight w:val="216"/>
        </w:trPr>
        <w:tc>
          <w:tcPr>
            <w:tcW w:w="4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Vice President, Finance and Accounting</w:t>
            </w:r>
          </w:p>
        </w:tc>
      </w:tr>
      <w:tr>
        <w:trPr>
          <w:trHeight w:val="230"/>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September 30, 2021, as filed with the Securities and Exchange Commission on the date hereof (the “Report”), the undersigned, Bryan Stuart,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September 30, 2021, as filed with the Securities and Exchange Commission on the date hereof (the “Report”), the undersigned, Peter Thomson, Vice President, Finance and Accounting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Thomson</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Finance and Accounting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2"/>
    </w:lvl>
  </w:abstractNum>
  <w:abstractNum w:abstractNumId="49">
    <w:nsid w:val="649BB77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50">
    <w:nsid w:val="275AC794"/>
    <w:multiLevelType w:val="hybridMultilevel"/>
    <w:lvl w:ilvl="0">
      <w:lvlJc w:val="left"/>
      <w:lvlText w:val="%1"/>
      <w:numFmt w:val="lowerLetter"/>
      <w:start w:val="1"/>
    </w:lvl>
    <w:lvl w:ilvl="1">
      <w:lvlJc w:val="left"/>
      <w:lvlText w:val="(%2)"/>
      <w:numFmt w:val="decimal"/>
      <w:start w:val="3"/>
    </w:lvl>
  </w:abstractNum>
  <w:abstractNum w:abstractNumId="51">
    <w:nsid w:val="39386575"/>
    <w:multiLevelType w:val="hybridMultilevel"/>
    <w:lvl w:ilvl="0">
      <w:lvlJc w:val="left"/>
      <w:lvlText w:val="(%1)"/>
      <w:numFmt w:val="lowerLetter"/>
      <w:start w:val="2"/>
    </w:lvl>
    <w:lvl w:ilvl="1">
      <w:lvlJc w:val="left"/>
      <w:lvlText w:val="%2"/>
      <w:numFmt w:val="decimal"/>
      <w:start w:val="1"/>
    </w:lvl>
  </w:abstractNum>
  <w:abstractNum w:abstractNumId="52">
    <w:nsid w:val="1CF10FD8"/>
    <w:multiLevelType w:val="hybridMultilevel"/>
    <w:lvl w:ilvl="0">
      <w:lvlJc w:val="left"/>
      <w:lvlText w:val="%1."/>
      <w:numFmt w:val="decimal"/>
      <w:start w:val="4"/>
    </w:lvl>
    <w:lvl w:ilvl="1">
      <w:lvlJc w:val="left"/>
      <w:lvlText w:val="(%2)"/>
      <w:numFmt w:val="lowerLetter"/>
      <w:start w:val="1"/>
    </w:lvl>
  </w:abstractNum>
  <w:abstractNum w:abstractNumId="53">
    <w:nsid w:val="180115BE"/>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54">
    <w:nsid w:val="235BA861"/>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55">
    <w:nsid w:val="47398C89"/>
    <w:multiLevelType w:val="hybridMultilevel"/>
    <w:lvl w:ilvl="0">
      <w:lvlJc w:val="left"/>
      <w:lvlText w:val="%1"/>
      <w:numFmt w:val="decimal"/>
      <w:start w:val="1"/>
    </w:lvl>
    <w:lvl w:ilvl="1">
      <w:lvlJc w:val="left"/>
      <w:lvlText w:val="(%2)"/>
      <w:numFmt w:val="lowerLetter"/>
      <w:start w:val="4"/>
    </w:lvl>
  </w:abstractNum>
  <w:abstractNum w:abstractNumId="56">
    <w:nsid w:val="354FE9F9"/>
    <w:multiLevelType w:val="hybridMultilevel"/>
    <w:lvl w:ilvl="0">
      <w:lvlJc w:val="left"/>
      <w:lvlText w:val="(%1)"/>
      <w:numFmt w:val="decimal"/>
      <w:start w:val="2"/>
    </w:lvl>
    <w:lvl w:ilvl="1">
      <w:lvlJc w:val="left"/>
      <w:lvlText w:val="(%2)"/>
      <w:numFmt w:val="lowerLetter"/>
      <w:start w:val="6"/>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2021-11-04T06:19:44Z</dcterms:created>
  <dcterms:modified xsi:type="dcterms:W3CDTF">2021-11-04T06:19:44Z</dcterms:modified>
</cp:coreProperties>
</file>