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July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4" w:type="dxa"/>
        <w:tblCellMar>
          <w:top w:w="0" w:type="dxa"/>
          <w:left w:w="0" w:type="dxa"/>
          <w:bottom w:w="0" w:type="dxa"/>
          <w:right w:w="0" w:type="dxa"/>
        </w:tblCellMar>
      </w:tblPr>
      <w:tr>
        <w:trPr>
          <w:trHeight w:val="216"/>
        </w:trPr>
        <w:tc>
          <w:tcPr>
            <w:tcW w:w="2800" w:type="dxa"/>
            <w:vAlign w:val="bottom"/>
          </w:tcPr>
          <w:p>
            <w:pPr>
              <w:jc w:val="center"/>
              <w:ind w:right="1222"/>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ind w:left="1300"/>
              <w:spacing w:after="0"/>
              <w:rPr>
                <w:sz w:val="20"/>
                <w:szCs w:val="20"/>
                <w:color w:val="auto"/>
              </w:rPr>
            </w:pPr>
            <w:r>
              <w:rPr>
                <w:rFonts w:ascii="Arial" w:cs="Arial" w:eastAsia="Arial" w:hAnsi="Arial"/>
                <w:sz w:val="18"/>
                <w:szCs w:val="18"/>
                <w:b w:val="1"/>
                <w:bCs w:val="1"/>
                <w:color w:val="auto"/>
              </w:rPr>
              <w:t>001-38978</w:t>
            </w:r>
          </w:p>
        </w:tc>
        <w:tc>
          <w:tcPr>
            <w:tcW w:w="2420" w:type="dxa"/>
            <w:vAlign w:val="bottom"/>
          </w:tcPr>
          <w:p>
            <w:pPr>
              <w:jc w:val="center"/>
              <w:ind w:left="1282"/>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2800" w:type="dxa"/>
            <w:vAlign w:val="bottom"/>
          </w:tcPr>
          <w:p>
            <w:pPr>
              <w:jc w:val="center"/>
              <w:ind w:right="1222"/>
              <w:spacing w:after="0" w:line="149" w:lineRule="exact"/>
              <w:rPr>
                <w:sz w:val="20"/>
                <w:szCs w:val="20"/>
                <w:color w:val="auto"/>
              </w:rPr>
            </w:pPr>
            <w:r>
              <w:rPr>
                <w:rFonts w:ascii="Arial" w:cs="Arial" w:eastAsia="Arial" w:hAnsi="Arial"/>
                <w:sz w:val="14"/>
                <w:szCs w:val="14"/>
                <w:color w:val="auto"/>
                <w:w w:val="94"/>
              </w:rPr>
              <w:t>(State or other jurisdiction</w:t>
            </w:r>
          </w:p>
        </w:tc>
        <w:tc>
          <w:tcPr>
            <w:tcW w:w="3440" w:type="dxa"/>
            <w:vAlign w:val="bottom"/>
          </w:tcPr>
          <w:p>
            <w:pPr>
              <w:ind w:left="1300"/>
              <w:spacing w:after="0" w:line="149" w:lineRule="exact"/>
              <w:rPr>
                <w:sz w:val="20"/>
                <w:szCs w:val="20"/>
                <w:color w:val="auto"/>
              </w:rPr>
            </w:pPr>
            <w:r>
              <w:rPr>
                <w:rFonts w:ascii="Arial" w:cs="Arial" w:eastAsia="Arial" w:hAnsi="Arial"/>
                <w:sz w:val="14"/>
                <w:szCs w:val="14"/>
                <w:color w:val="auto"/>
              </w:rPr>
              <w:t>(Commission</w:t>
            </w:r>
          </w:p>
        </w:tc>
        <w:tc>
          <w:tcPr>
            <w:tcW w:w="2420" w:type="dxa"/>
            <w:vAlign w:val="bottom"/>
          </w:tcPr>
          <w:p>
            <w:pPr>
              <w:jc w:val="center"/>
              <w:ind w:left="1282"/>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2800" w:type="dxa"/>
            <w:vAlign w:val="bottom"/>
          </w:tcPr>
          <w:p>
            <w:pPr>
              <w:jc w:val="center"/>
              <w:ind w:right="1222"/>
              <w:spacing w:after="0"/>
              <w:rPr>
                <w:sz w:val="20"/>
                <w:szCs w:val="20"/>
                <w:color w:val="auto"/>
              </w:rPr>
            </w:pPr>
            <w:r>
              <w:rPr>
                <w:rFonts w:ascii="Arial" w:cs="Arial" w:eastAsia="Arial" w:hAnsi="Arial"/>
                <w:sz w:val="14"/>
                <w:szCs w:val="14"/>
                <w:color w:val="auto"/>
                <w:w w:val="96"/>
              </w:rPr>
              <w:t>of incorporation)</w:t>
            </w:r>
          </w:p>
        </w:tc>
        <w:tc>
          <w:tcPr>
            <w:tcW w:w="3440" w:type="dxa"/>
            <w:vAlign w:val="bottom"/>
          </w:tcPr>
          <w:p>
            <w:pPr>
              <w:ind w:left="1300"/>
              <w:spacing w:after="0"/>
              <w:rPr>
                <w:sz w:val="20"/>
                <w:szCs w:val="20"/>
                <w:color w:val="auto"/>
              </w:rPr>
            </w:pPr>
            <w:r>
              <w:rPr>
                <w:rFonts w:ascii="Arial" w:cs="Arial" w:eastAsia="Arial" w:hAnsi="Arial"/>
                <w:sz w:val="14"/>
                <w:szCs w:val="14"/>
                <w:color w:val="auto"/>
              </w:rPr>
              <w:t>File Number)</w:t>
            </w:r>
          </w:p>
        </w:tc>
        <w:tc>
          <w:tcPr>
            <w:tcW w:w="2420" w:type="dxa"/>
            <w:vAlign w:val="bottom"/>
          </w:tcPr>
          <w:p>
            <w:pPr>
              <w:jc w:val="center"/>
              <w:ind w:left="1282"/>
              <w:spacing w:after="0"/>
              <w:rPr>
                <w:sz w:val="20"/>
                <w:szCs w:val="20"/>
                <w:color w:val="auto"/>
              </w:rPr>
            </w:pPr>
            <w:r>
              <w:rPr>
                <w:rFonts w:ascii="Arial" w:cs="Arial" w:eastAsia="Arial" w:hAnsi="Arial"/>
                <w:sz w:val="14"/>
                <w:szCs w:val="14"/>
                <w:color w:val="auto"/>
                <w:w w:val="97"/>
              </w:rPr>
              <w:t>Identification No.)</w:t>
            </w:r>
          </w:p>
        </w:tc>
      </w:tr>
    </w:tbl>
    <w:p>
      <w:pPr>
        <w:spacing w:after="0" w:line="196" w:lineRule="exact"/>
        <w:rPr>
          <w:sz w:val="24"/>
          <w:szCs w:val="24"/>
          <w:color w:val="auto"/>
        </w:rPr>
      </w:pPr>
    </w:p>
    <w:tbl>
      <w:tblPr>
        <w:tblLayout w:type="fixed"/>
        <w:tblInd w:w="724" w:type="dxa"/>
        <w:tblCellMar>
          <w:top w:w="0" w:type="dxa"/>
          <w:left w:w="0" w:type="dxa"/>
          <w:bottom w:w="0" w:type="dxa"/>
          <w:right w:w="0" w:type="dxa"/>
        </w:tblCellMar>
      </w:tblPr>
      <w:tr>
        <w:trPr>
          <w:trHeight w:val="216"/>
        </w:trPr>
        <w:tc>
          <w:tcPr>
            <w:tcW w:w="5280" w:type="dxa"/>
            <w:vAlign w:val="bottom"/>
          </w:tcPr>
          <w:p>
            <w:pPr>
              <w:jc w:val="center"/>
              <w:ind w:right="2896"/>
              <w:spacing w:after="0"/>
              <w:rPr>
                <w:sz w:val="20"/>
                <w:szCs w:val="20"/>
                <w:color w:val="auto"/>
              </w:rPr>
            </w:pPr>
            <w:r>
              <w:rPr>
                <w:rFonts w:ascii="Arial" w:cs="Arial" w:eastAsia="Arial" w:hAnsi="Arial"/>
                <w:sz w:val="18"/>
                <w:szCs w:val="18"/>
                <w:b w:val="1"/>
                <w:bCs w:val="1"/>
                <w:color w:val="auto"/>
                <w:w w:val="88"/>
              </w:rPr>
              <w:t>26 Landsdowne Street</w:t>
            </w:r>
          </w:p>
        </w:tc>
        <w:tc>
          <w:tcPr>
            <w:tcW w:w="3620" w:type="dxa"/>
            <w:vAlign w:val="bottom"/>
          </w:tcPr>
          <w:p>
            <w:pPr>
              <w:spacing w:after="0"/>
              <w:rPr>
                <w:sz w:val="18"/>
                <w:szCs w:val="18"/>
                <w:color w:val="auto"/>
              </w:rPr>
            </w:pPr>
          </w:p>
        </w:tc>
      </w:tr>
      <w:tr>
        <w:trPr>
          <w:trHeight w:val="229"/>
        </w:trPr>
        <w:tc>
          <w:tcPr>
            <w:tcW w:w="5280" w:type="dxa"/>
            <w:vAlign w:val="bottom"/>
          </w:tcPr>
          <w:p>
            <w:pPr>
              <w:jc w:val="center"/>
              <w:ind w:right="2896"/>
              <w:spacing w:after="0"/>
              <w:rPr>
                <w:sz w:val="20"/>
                <w:szCs w:val="20"/>
                <w:color w:val="auto"/>
              </w:rPr>
            </w:pPr>
            <w:r>
              <w:rPr>
                <w:rFonts w:ascii="Arial" w:cs="Arial" w:eastAsia="Arial" w:hAnsi="Arial"/>
                <w:sz w:val="18"/>
                <w:szCs w:val="18"/>
                <w:b w:val="1"/>
                <w:bCs w:val="1"/>
                <w:color w:val="auto"/>
                <w:w w:val="88"/>
              </w:rPr>
              <w:t>Cambridge, Massachusetts</w:t>
            </w:r>
          </w:p>
        </w:tc>
        <w:tc>
          <w:tcPr>
            <w:tcW w:w="3620" w:type="dxa"/>
            <w:vAlign w:val="bottom"/>
          </w:tcPr>
          <w:p>
            <w:pPr>
              <w:jc w:val="right"/>
              <w:ind w:right="19"/>
              <w:spacing w:after="0"/>
              <w:rPr>
                <w:sz w:val="20"/>
                <w:szCs w:val="20"/>
                <w:color w:val="auto"/>
              </w:rPr>
            </w:pPr>
            <w:r>
              <w:rPr>
                <w:rFonts w:ascii="Arial" w:cs="Arial" w:eastAsia="Arial" w:hAnsi="Arial"/>
                <w:sz w:val="18"/>
                <w:szCs w:val="18"/>
                <w:b w:val="1"/>
                <w:bCs w:val="1"/>
                <w:color w:val="auto"/>
              </w:rPr>
              <w:t>02139</w:t>
            </w:r>
          </w:p>
        </w:tc>
      </w:tr>
      <w:tr>
        <w:trPr>
          <w:trHeight w:val="182"/>
        </w:trPr>
        <w:tc>
          <w:tcPr>
            <w:tcW w:w="5280" w:type="dxa"/>
            <w:vAlign w:val="bottom"/>
          </w:tcPr>
          <w:p>
            <w:pPr>
              <w:jc w:val="center"/>
              <w:ind w:right="2916"/>
              <w:spacing w:after="0"/>
              <w:rPr>
                <w:sz w:val="20"/>
                <w:szCs w:val="20"/>
                <w:color w:val="auto"/>
              </w:rPr>
            </w:pPr>
            <w:r>
              <w:rPr>
                <w:rFonts w:ascii="Arial" w:cs="Arial" w:eastAsia="Arial" w:hAnsi="Arial"/>
                <w:sz w:val="14"/>
                <w:szCs w:val="14"/>
                <w:color w:val="auto"/>
                <w:w w:val="95"/>
              </w:rPr>
              <w:t>(Address of principal executive offices)</w:t>
            </w:r>
          </w:p>
        </w:tc>
        <w:tc>
          <w:tcPr>
            <w:tcW w:w="3620" w:type="dxa"/>
            <w:vAlign w:val="bottom"/>
          </w:tcPr>
          <w:p>
            <w:pPr>
              <w:jc w:val="center"/>
              <w:ind w:left="2899"/>
              <w:spacing w:after="0"/>
              <w:rPr>
                <w:sz w:val="20"/>
                <w:szCs w:val="20"/>
                <w:color w:val="auto"/>
              </w:rPr>
            </w:pPr>
            <w:r>
              <w:rPr>
                <w:rFonts w:ascii="Arial" w:cs="Arial" w:eastAsia="Arial" w:hAnsi="Arial"/>
                <w:sz w:val="14"/>
                <w:szCs w:val="14"/>
                <w:color w:val="auto"/>
                <w:w w:val="96"/>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color w:val="auto"/>
                <w:w w:val="96"/>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color w:val="auto"/>
                <w:w w:val="90"/>
              </w:rPr>
              <w:t>Name of each exchange</w:t>
            </w:r>
          </w:p>
        </w:tc>
      </w:tr>
      <w:tr>
        <w:trPr>
          <w:trHeight w:val="18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1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Symbol(s)</w:t>
            </w:r>
          </w:p>
        </w:tc>
        <w:tc>
          <w:tcPr>
            <w:tcW w:w="100" w:type="dxa"/>
            <w:vAlign w:val="bottom"/>
          </w:tcPr>
          <w:p>
            <w:pPr>
              <w:spacing w:after="0"/>
              <w:rPr>
                <w:sz w:val="15"/>
                <w:szCs w:val="15"/>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on which registered</w:t>
            </w:r>
          </w:p>
        </w:tc>
      </w:tr>
      <w:tr>
        <w:trPr>
          <w:trHeight w:val="228"/>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9" w:lineRule="exact"/>
        <w:rPr>
          <w:sz w:val="24"/>
          <w:szCs w:val="24"/>
          <w:color w:val="auto"/>
        </w:rPr>
      </w:pPr>
    </w:p>
    <w:p>
      <w:pPr>
        <w:ind w:left="826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5, 2023, Fulcrum Therapeutics, Inc., or Fulcrum, entered into a license agreement with CAMP4 Therapeutics Corporation, or CAMP4, pursuant to which Fulcrum received a worldwide exclusive license (including the right to sublicense) from CAMP4 to rights under its Diamond Blackfan Anemia, or DBA, program, which includes certain small molecule compounds, composition of matter and method of use patent rights, and know-how for Fulcrum to research, develop, manufacture, use, commercialize or otherwise exploit therapeutic products in any indication, including the grant of a sublicense under certain intellectual property rights that CAMP4 has licensed under an agreement with Children’s Medical Center Corporation, or CMCC.</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Fulcrum agreed to make an undisclosed upfront non-refundable, non-creditable payment to CAMP4 within the timeframe specified in the license agreement. If Fulcrum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of in such country. Fulcrum is responsible for the costs associated with the development and regulatory approvals of licensed products.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Fulcrum will have a fully-paid up, royalty-free and perpetual license to the licensed patent rights and know-how with respect to such licensed product in such country. CAMP4 has the right to terminate the license agreement in the event of Fulcrum’s non-payment (subject to cure periods and tolling for bona fide disputes). CAMP4 may also terminate the license agreement if Fulcrum challenges certain patents sublicensed to Fulcrum by CAMP4. Either party may terminate the license agreement in its entirety for the other party’s material breach if such other party fails to cure the breach. Either party may also terminate the agreement in its entirety upon certain insolvency events involving the other party. Fulcrum has the right to terminate the license agreement with CAMP4 for any or no reason upon prior written notice to CAMP4.</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foregoing description of the material terms of the license agreement is qualified in its entirety by reference to the full text of the agreement, a copy of which Fulcrum intends to file with the Securities and Exchange Commission as an exhibit to its Quarterly Report on Form 10-Q for the quarter ending September 30,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that involve substantial risks and uncertainties. All statements, other than statements of historical facts, contained in this current report on Form 8-K and the materials filed herewith are forward-looking statements, including the potential benefits of Fulcrum’s exclusive license agreement with CAMP4 and potential milestone and royalty payments due to CAMP4 thereunder.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biopharmaceutical development, Fulcrum’s ability to continue to advance its product candidates into and through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obtain, maintain or protect intellectual property rights related to its product candidates; manage expenses; realize the anticipated benefits of the strategic realignment; manage executive and employee turnover; and raise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current report on Form 8-K and the materials filed herewith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ectPr>
          <w:pgSz w:w="11900" w:h="16838" w:orient="portrait"/>
          <w:cols w:equalWidth="0" w:num="1">
            <w:col w:w="11000"/>
          </w:cols>
          <w:pgMar w:left="440" w:top="513"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480" w:val="left"/>
          <w:tab w:leader="none" w:pos="6140" w:val="left"/>
        </w:tabs>
        <w:rPr>
          <w:sz w:val="20"/>
          <w:szCs w:val="20"/>
          <w:color w:val="auto"/>
        </w:rPr>
      </w:pPr>
      <w:r>
        <w:rPr>
          <w:rFonts w:ascii="Arial" w:cs="Arial" w:eastAsia="Arial" w:hAnsi="Arial"/>
          <w:sz w:val="18"/>
          <w:szCs w:val="18"/>
          <w:color w:val="auto"/>
        </w:rPr>
        <w:t>Date: July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Name:</w:t>
        <w:tab/>
        <w:t>Curtis Oltmans</w:t>
      </w:r>
    </w:p>
    <w:p>
      <w:pPr>
        <w:spacing w:after="0" w:line="9"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Legal Officer</w:t>
      </w:r>
    </w:p>
    <w:sectPr>
      <w:pgSz w:w="11900" w:h="16838" w:orient="portrait"/>
      <w:cols w:equalWidth="0" w:num="1">
        <w:col w:w="10700"/>
      </w:cols>
      <w:pgMar w:left="440" w:top="51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2023-07-10T16:14:10Z</dcterms:created>
  <dcterms:modified xsi:type="dcterms:W3CDTF">2023-07-10T16:14:10Z</dcterms:modified>
</cp:coreProperties>
</file>