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Fulcrum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359616109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175895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76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60" w:type="dxa"/>
            <w:vAlign w:val="bottom"/>
          </w:tcPr>
          <w:p>
            <w:pPr>
              <w:ind w:left="1500"/>
              <w:spacing w:after="0"/>
              <w:rPr>
                <w:sz w:val="20"/>
                <w:szCs w:val="20"/>
                <w:color w:val="auto"/>
              </w:rPr>
            </w:pPr>
            <w:r>
              <w:rPr>
                <w:rFonts w:ascii="Arial" w:cs="Arial" w:eastAsia="Arial" w:hAnsi="Arial"/>
                <w:sz w:val="20"/>
                <w:szCs w:val="20"/>
                <w:b w:val="1"/>
                <w:bCs w:val="1"/>
                <w:color w:val="auto"/>
                <w:w w:val="84"/>
              </w:rPr>
              <w:t>Page 2 of 17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6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Third Rock Ventures III, L.P.</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Delaware</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5,962,202</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25.5%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76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60" w:type="dxa"/>
            <w:vAlign w:val="bottom"/>
          </w:tcPr>
          <w:p>
            <w:pPr>
              <w:ind w:left="1500"/>
              <w:spacing w:after="0"/>
              <w:rPr>
                <w:sz w:val="20"/>
                <w:szCs w:val="20"/>
                <w:color w:val="auto"/>
              </w:rPr>
            </w:pPr>
            <w:r>
              <w:rPr>
                <w:rFonts w:ascii="Arial" w:cs="Arial" w:eastAsia="Arial" w:hAnsi="Arial"/>
                <w:sz w:val="20"/>
                <w:szCs w:val="20"/>
                <w:b w:val="1"/>
                <w:bCs w:val="1"/>
                <w:color w:val="auto"/>
                <w:w w:val="84"/>
              </w:rPr>
              <w:t>Page 3 of 17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6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Third Rock Ventures GP III, L.P.</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Delaware</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5,962,202</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25.5%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76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60" w:type="dxa"/>
            <w:vAlign w:val="bottom"/>
          </w:tcPr>
          <w:p>
            <w:pPr>
              <w:ind w:left="1500"/>
              <w:spacing w:after="0"/>
              <w:rPr>
                <w:sz w:val="20"/>
                <w:szCs w:val="20"/>
                <w:color w:val="auto"/>
              </w:rPr>
            </w:pPr>
            <w:r>
              <w:rPr>
                <w:rFonts w:ascii="Arial" w:cs="Arial" w:eastAsia="Arial" w:hAnsi="Arial"/>
                <w:sz w:val="20"/>
                <w:szCs w:val="20"/>
                <w:b w:val="1"/>
                <w:bCs w:val="1"/>
                <w:color w:val="auto"/>
                <w:w w:val="84"/>
              </w:rPr>
              <w:t>Page 4 of 17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6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TRV GP III, LLC</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Delaware</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5,962,202</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25.5%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OO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76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60" w:type="dxa"/>
            <w:vAlign w:val="bottom"/>
          </w:tcPr>
          <w:p>
            <w:pPr>
              <w:ind w:left="1500"/>
              <w:spacing w:after="0"/>
              <w:rPr>
                <w:sz w:val="20"/>
                <w:szCs w:val="20"/>
                <w:color w:val="auto"/>
              </w:rPr>
            </w:pPr>
            <w:r>
              <w:rPr>
                <w:rFonts w:ascii="Arial" w:cs="Arial" w:eastAsia="Arial" w:hAnsi="Arial"/>
                <w:sz w:val="20"/>
                <w:szCs w:val="20"/>
                <w:b w:val="1"/>
                <w:bCs w:val="1"/>
                <w:color w:val="auto"/>
                <w:w w:val="84"/>
              </w:rPr>
              <w:t>Page 5 of 17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6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Mark Levin</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5,962,202</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25.5%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76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60" w:type="dxa"/>
            <w:vAlign w:val="bottom"/>
          </w:tcPr>
          <w:p>
            <w:pPr>
              <w:ind w:left="1500"/>
              <w:spacing w:after="0"/>
              <w:rPr>
                <w:sz w:val="20"/>
                <w:szCs w:val="20"/>
                <w:color w:val="auto"/>
              </w:rPr>
            </w:pPr>
            <w:r>
              <w:rPr>
                <w:rFonts w:ascii="Arial" w:cs="Arial" w:eastAsia="Arial" w:hAnsi="Arial"/>
                <w:sz w:val="20"/>
                <w:szCs w:val="20"/>
                <w:b w:val="1"/>
                <w:bCs w:val="1"/>
                <w:color w:val="auto"/>
                <w:w w:val="84"/>
              </w:rPr>
              <w:t>Page 6 of 17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6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Kevin P. Starr</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5,962,202</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25.5%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76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60" w:type="dxa"/>
            <w:vAlign w:val="bottom"/>
          </w:tcPr>
          <w:p>
            <w:pPr>
              <w:ind w:left="1500"/>
              <w:spacing w:after="0"/>
              <w:rPr>
                <w:sz w:val="20"/>
                <w:szCs w:val="20"/>
                <w:color w:val="auto"/>
              </w:rPr>
            </w:pPr>
            <w:r>
              <w:rPr>
                <w:rFonts w:ascii="Arial" w:cs="Arial" w:eastAsia="Arial" w:hAnsi="Arial"/>
                <w:sz w:val="20"/>
                <w:szCs w:val="20"/>
                <w:b w:val="1"/>
                <w:bCs w:val="1"/>
                <w:color w:val="auto"/>
                <w:w w:val="84"/>
              </w:rPr>
              <w:t>Page 7 of 17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76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Robert I. Tepper</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5,962,202</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5,962,202</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25.5%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CUSIP No. 359616109</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9"/>
          <w:szCs w:val="19"/>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-217805</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Page 8 of 17 Pages</w:t>
      </w:r>
    </w:p>
    <w:p>
      <w:pPr>
        <w:spacing w:after="0" w:line="198" w:lineRule="exact"/>
        <w:rPr>
          <w:sz w:val="20"/>
          <w:szCs w:val="20"/>
          <w:color w:val="auto"/>
        </w:rPr>
      </w:pPr>
    </w:p>
    <w:p>
      <w:pPr>
        <w:sectPr>
          <w:pgSz w:w="11900" w:h="16838" w:orient="portrait"/>
          <w:cols w:equalWidth="0" w:num="3">
            <w:col w:w="4280" w:space="720"/>
            <w:col w:w="3760" w:space="720"/>
            <w:col w:w="1540"/>
          </w:cols>
          <w:pgMar w:left="440" w:top="265" w:right="4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w:t>
      </w:r>
    </w:p>
    <w:p>
      <w:pPr>
        <w:spacing w:after="0" w:line="144" w:lineRule="exact"/>
        <w:rPr>
          <w:sz w:val="20"/>
          <w:szCs w:val="20"/>
          <w:color w:val="auto"/>
        </w:rPr>
      </w:pPr>
    </w:p>
    <w:p>
      <w:pPr>
        <w:sectPr>
          <w:pgSz w:w="11900" w:h="16838" w:orient="portrait"/>
          <w:cols w:equalWidth="0" w:num="2">
            <w:col w:w="1280" w:space="720"/>
            <w:col w:w="9020"/>
          </w:cols>
          <w:pgMar w:left="440" w:top="265" w:right="439" w:bottom="1440" w:gutter="0" w:footer="0" w:header="0"/>
          <w:type w:val="continuous"/>
        </w:sectPr>
      </w:pPr>
    </w:p>
    <w:p>
      <w:pPr>
        <w:ind w:left="2000" w:hanging="1213"/>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Fulcrum Therapeutics,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00" w:hanging="1213"/>
        <w:spacing w:after="0"/>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140" w:lineRule="exact"/>
        <w:rPr>
          <w:rFonts w:ascii="Arial" w:cs="Arial" w:eastAsia="Arial" w:hAnsi="Arial"/>
          <w:sz w:val="16"/>
          <w:szCs w:val="16"/>
          <w:color w:val="auto"/>
        </w:rPr>
      </w:pPr>
    </w:p>
    <w:p>
      <w:pPr>
        <w:ind w:left="2000" w:right="7340"/>
        <w:spacing w:after="0" w:line="342" w:lineRule="auto"/>
        <w:rPr>
          <w:rFonts w:ascii="Arial" w:cs="Arial" w:eastAsia="Arial" w:hAnsi="Arial"/>
          <w:sz w:val="16"/>
          <w:szCs w:val="16"/>
          <w:color w:val="auto"/>
        </w:rPr>
      </w:pPr>
      <w:r>
        <w:rPr>
          <w:rFonts w:ascii="Arial" w:cs="Arial" w:eastAsia="Arial" w:hAnsi="Arial"/>
          <w:sz w:val="16"/>
          <w:szCs w:val="16"/>
          <w:color w:val="auto"/>
        </w:rPr>
        <w:t>26 Landsdowne Street Cambridge, MA 02139</w:t>
      </w:r>
    </w:p>
    <w:p>
      <w:pPr>
        <w:sectPr>
          <w:pgSz w:w="11900" w:h="16838" w:orient="portrait"/>
          <w:cols w:equalWidth="0" w:num="1">
            <w:col w:w="11020"/>
          </w:cols>
          <w:pgMar w:left="440" w:top="265"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Filing Person</w:t>
      </w:r>
    </w:p>
    <w:p>
      <w:pPr>
        <w:spacing w:after="0" w:line="144" w:lineRule="exact"/>
        <w:rPr>
          <w:sz w:val="20"/>
          <w:szCs w:val="20"/>
          <w:color w:val="auto"/>
        </w:rPr>
      </w:pPr>
    </w:p>
    <w:p>
      <w:pPr>
        <w:sectPr>
          <w:pgSz w:w="11900" w:h="16838" w:orient="portrait"/>
          <w:cols w:equalWidth="0" w:num="2">
            <w:col w:w="1280" w:space="720"/>
            <w:col w:w="9020"/>
          </w:cols>
          <w:pgMar w:left="440" w:top="265" w:right="4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(a) –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Persons Filing; Address; Citizenship:</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Third Rock Ventures III, L.P. (“</w:t>
      </w:r>
      <w:r>
        <w:rPr>
          <w:rFonts w:ascii="Arial" w:cs="Arial" w:eastAsia="Arial" w:hAnsi="Arial"/>
          <w:sz w:val="17"/>
          <w:szCs w:val="17"/>
          <w:b w:val="1"/>
          <w:bCs w:val="1"/>
          <w:color w:val="auto"/>
        </w:rPr>
        <w:t>TRV III</w:t>
      </w:r>
      <w:r>
        <w:rPr>
          <w:rFonts w:ascii="Arial" w:cs="Arial" w:eastAsia="Arial" w:hAnsi="Arial"/>
          <w:sz w:val="17"/>
          <w:szCs w:val="17"/>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(ii)  Third Rock Ventures GP III, L.P. (“</w:t>
      </w:r>
      <w:r>
        <w:rPr>
          <w:rFonts w:ascii="Arial" w:cs="Arial" w:eastAsia="Arial" w:hAnsi="Arial"/>
          <w:sz w:val="18"/>
          <w:szCs w:val="18"/>
          <w:b w:val="1"/>
          <w:bCs w:val="1"/>
          <w:color w:val="auto"/>
        </w:rPr>
        <w:t>TRV GP III</w:t>
      </w:r>
      <w:r>
        <w:rPr>
          <w:rFonts w:ascii="Arial" w:cs="Arial" w:eastAsia="Arial" w:hAnsi="Arial"/>
          <w:sz w:val="18"/>
          <w:szCs w:val="18"/>
          <w:color w:val="auto"/>
        </w:rPr>
        <w:t>”), which is the sole general partner of TRV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(iii) TRV GP III, LLC (“</w:t>
      </w:r>
      <w:r>
        <w:rPr>
          <w:rFonts w:ascii="Arial" w:cs="Arial" w:eastAsia="Arial" w:hAnsi="Arial"/>
          <w:sz w:val="18"/>
          <w:szCs w:val="18"/>
          <w:b w:val="1"/>
          <w:bCs w:val="1"/>
          <w:color w:val="auto"/>
        </w:rPr>
        <w:t>TRV GP III LLC</w:t>
      </w:r>
      <w:r>
        <w:rPr>
          <w:rFonts w:ascii="Arial" w:cs="Arial" w:eastAsia="Arial" w:hAnsi="Arial"/>
          <w:sz w:val="18"/>
          <w:szCs w:val="18"/>
          <w:color w:val="auto"/>
        </w:rPr>
        <w:t>”), which is the sole general partner of TRV GP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(iv) Mark Levin (“</w:t>
      </w:r>
      <w:r>
        <w:rPr>
          <w:rFonts w:ascii="Arial" w:cs="Arial" w:eastAsia="Arial" w:hAnsi="Arial"/>
          <w:sz w:val="18"/>
          <w:szCs w:val="18"/>
          <w:b w:val="1"/>
          <w:bCs w:val="1"/>
          <w:color w:val="auto"/>
        </w:rPr>
        <w:t>Levin</w:t>
      </w:r>
      <w:r>
        <w:rPr>
          <w:rFonts w:ascii="Arial" w:cs="Arial" w:eastAsia="Arial" w:hAnsi="Arial"/>
          <w:sz w:val="18"/>
          <w:szCs w:val="18"/>
          <w:color w:val="auto"/>
        </w:rPr>
        <w:t>”), a managing member of TRV GP III LLC;</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Kevin P. Starr (“</w:t>
      </w:r>
      <w:r>
        <w:rPr>
          <w:rFonts w:ascii="Arial" w:cs="Arial" w:eastAsia="Arial" w:hAnsi="Arial"/>
          <w:sz w:val="16"/>
          <w:szCs w:val="16"/>
          <w:b w:val="1"/>
          <w:bCs w:val="1"/>
          <w:color w:val="auto"/>
        </w:rPr>
        <w:t>Starr</w:t>
      </w:r>
      <w:r>
        <w:rPr>
          <w:rFonts w:ascii="Arial" w:cs="Arial" w:eastAsia="Arial" w:hAnsi="Arial"/>
          <w:sz w:val="16"/>
          <w:szCs w:val="16"/>
          <w:color w:val="auto"/>
        </w:rPr>
        <w:t>”), a managing member of TRV GP III LLC; and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(vi) Robert I. Tepper (“</w:t>
      </w:r>
      <w:r>
        <w:rPr>
          <w:rFonts w:ascii="Arial" w:cs="Arial" w:eastAsia="Arial" w:hAnsi="Arial"/>
          <w:sz w:val="17"/>
          <w:szCs w:val="17"/>
          <w:b w:val="1"/>
          <w:bCs w:val="1"/>
          <w:color w:val="auto"/>
        </w:rPr>
        <w:t>Tepper</w:t>
      </w:r>
      <w:r>
        <w:rPr>
          <w:rFonts w:ascii="Arial" w:cs="Arial" w:eastAsia="Arial" w:hAnsi="Arial"/>
          <w:sz w:val="17"/>
          <w:szCs w:val="17"/>
          <w:color w:val="auto"/>
        </w:rPr>
        <w:t>,” and collectively with TRV III, TRV GP III, TRV GP III, Levin and Starr, the “</w:t>
      </w:r>
      <w:r>
        <w:rPr>
          <w:rFonts w:ascii="Arial" w:cs="Arial" w:eastAsia="Arial" w:hAnsi="Arial"/>
          <w:sz w:val="17"/>
          <w:szCs w:val="17"/>
          <w:b w:val="1"/>
          <w:bCs w:val="1"/>
          <w:color w:val="auto"/>
        </w:rPr>
        <w:t>Reporting</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Persons</w:t>
      </w:r>
      <w:r>
        <w:rPr>
          <w:rFonts w:ascii="Arial" w:cs="Arial" w:eastAsia="Arial" w:hAnsi="Arial"/>
          <w:sz w:val="18"/>
          <w:szCs w:val="18"/>
          <w:color w:val="auto"/>
        </w:rPr>
        <w:t>”), a managing member of TRV GP III LLC.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address of the principal business office of each of the Reporting Persons is Third Rock Ventures, LLC, 29 Newbury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Street, 3rd Floor, Boston, MA 02116.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of TRV III and TRV GP III is a Delaware limited partnership. TRV GP III LLC is a Delaware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Levin, Tepper and Starr are United States citizens.</w:t>
      </w:r>
    </w:p>
    <w:p>
      <w:pPr>
        <w:spacing w:after="0" w:line="116" w:lineRule="exact"/>
        <w:rPr>
          <w:sz w:val="20"/>
          <w:szCs w:val="20"/>
          <w:color w:val="auto"/>
        </w:rPr>
      </w:pPr>
    </w:p>
    <w:p>
      <w:pPr>
        <w:sectPr>
          <w:pgSz w:w="11900" w:h="16838" w:orient="portrait"/>
          <w:cols w:equalWidth="0" w:num="2">
            <w:col w:w="1360" w:space="640"/>
            <w:col w:w="9020"/>
          </w:cols>
          <w:pgMar w:left="440" w:top="265" w:right="439" w:bottom="1440" w:gutter="0" w:footer="0" w:header="0"/>
          <w:type w:val="continuous"/>
        </w:sectPr>
      </w:pPr>
    </w:p>
    <w:p>
      <w:pPr>
        <w:ind w:left="2000" w:hanging="1213"/>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00" w:right="7820" w:hanging="1213"/>
        <w:spacing w:after="0" w:line="437" w:lineRule="auto"/>
        <w:tabs>
          <w:tab w:leader="none" w:pos="2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359616109</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320" w:right="200" w:hanging="1533"/>
        <w:spacing w:after="0" w:line="239" w:lineRule="exact"/>
        <w:tabs>
          <w:tab w:leader="none" w:pos="1996"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ectPr>
          <w:pgSz w:w="11900" w:h="16838" w:orient="portrait"/>
          <w:cols w:equalWidth="0" w:num="1">
            <w:col w:w="11020"/>
          </w:cols>
          <w:pgMar w:left="440" w:top="265" w:right="439" w:bottom="1440" w:gutter="0" w:footer="0" w:header="0"/>
          <w:type w:val="continuous"/>
        </w:sectPr>
      </w:pPr>
    </w:p>
    <w:bookmarkStart w:id="8" w:name="page9"/>
    <w:bookmarkEnd w:id="8"/>
    <w:p>
      <w:pPr>
        <w:spacing w:after="0"/>
        <w:tabs>
          <w:tab w:leader="none" w:pos="4980" w:val="left"/>
          <w:tab w:leader="none" w:pos="94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359616109</w:t>
      </w:r>
      <w:r>
        <w:rPr>
          <w:sz w:val="20"/>
          <w:szCs w:val="20"/>
          <w:color w:val="auto"/>
        </w:rPr>
        <w:tab/>
      </w:r>
      <w:r>
        <w:rPr>
          <w:rFonts w:ascii="Arial" w:cs="Arial" w:eastAsia="Arial" w:hAnsi="Arial"/>
          <w:sz w:val="20"/>
          <w:szCs w:val="20"/>
          <w:b w:val="1"/>
          <w:bCs w:val="1"/>
          <w:color w:val="auto"/>
        </w:rPr>
        <w:t>SCHEDULE 13G</w:t>
      </w:r>
      <w:r>
        <w:rPr>
          <w:sz w:val="20"/>
          <w:szCs w:val="20"/>
          <w:color w:val="auto"/>
        </w:rPr>
        <w:tab/>
      </w:r>
      <w:r>
        <w:rPr>
          <w:rFonts w:ascii="Arial" w:cs="Arial" w:eastAsia="Arial" w:hAnsi="Arial"/>
          <w:sz w:val="16"/>
          <w:szCs w:val="16"/>
          <w:b w:val="1"/>
          <w:bCs w:val="1"/>
          <w:color w:val="auto"/>
        </w:rPr>
        <w:t>Page 9 of 17 Pages</w:t>
      </w:r>
    </w:p>
    <w:p>
      <w:pPr>
        <w:spacing w:after="0" w:line="124" w:lineRule="exact"/>
        <w:rPr>
          <w:sz w:val="20"/>
          <w:szCs w:val="20"/>
          <w:color w:val="auto"/>
        </w:rPr>
      </w:pPr>
    </w:p>
    <w:p>
      <w:pPr>
        <w:ind w:left="2220" w:hanging="1433"/>
        <w:spacing w:after="0" w:line="196" w:lineRule="exact"/>
        <w:tabs>
          <w:tab w:leader="none" w:pos="2220" w:val="left"/>
        </w:tabs>
        <w:numPr>
          <w:ilvl w:val="0"/>
          <w:numId w:val="1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Group, in accordance with Rule 240.13d-1(b)(1)(ii)(K). If filing as a non-U.S. institution in accordance with Rule</w:t>
      </w:r>
    </w:p>
    <w:p>
      <w:pPr>
        <w:spacing w:after="0" w:line="69" w:lineRule="exact"/>
        <w:rPr>
          <w:rFonts w:ascii="Arial" w:cs="Arial" w:eastAsia="Arial" w:hAnsi="Arial"/>
          <w:sz w:val="17"/>
          <w:szCs w:val="17"/>
          <w:color w:val="auto"/>
        </w:rPr>
      </w:pPr>
    </w:p>
    <w:p>
      <w:pPr>
        <w:ind w:left="2540"/>
        <w:spacing w:after="0"/>
        <w:rPr>
          <w:rFonts w:ascii="Arial" w:cs="Arial" w:eastAsia="Arial" w:hAnsi="Arial"/>
          <w:sz w:val="17"/>
          <w:szCs w:val="17"/>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w:t>
      </w:r>
    </w:p>
    <w:p>
      <w:pPr>
        <w:spacing w:after="0" w:line="3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03"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18"/>
          <w:szCs w:val="18"/>
          <w:color w:val="auto"/>
        </w:rPr>
        <w:t>(a) and (b)</w:t>
      </w:r>
      <w:r>
        <w:rPr>
          <w:sz w:val="20"/>
          <w:szCs w:val="20"/>
          <w:color w:val="auto"/>
        </w:rPr>
        <w:tab/>
      </w:r>
      <w:r>
        <w:rPr>
          <w:rFonts w:ascii="Arial" w:cs="Arial" w:eastAsia="Arial" w:hAnsi="Arial"/>
          <w:sz w:val="16"/>
          <w:szCs w:val="16"/>
          <w:color w:val="auto"/>
        </w:rPr>
        <w:t>Amount beneficially owned:</w:t>
      </w:r>
    </w:p>
    <w:p>
      <w:pPr>
        <w:spacing w:after="0" w:line="113" w:lineRule="exact"/>
        <w:rPr>
          <w:sz w:val="20"/>
          <w:szCs w:val="20"/>
          <w:color w:val="auto"/>
        </w:rPr>
      </w:pPr>
    </w:p>
    <w:p>
      <w:pPr>
        <w:ind w:left="3020" w:right="300" w:hanging="356"/>
        <w:spacing w:after="0" w:line="282" w:lineRule="auto"/>
        <w:tabs>
          <w:tab w:leader="none" w:pos="30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TRV III directly owns 5,962,202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which represents approximately 25.5% of the outstanding shares of Common Stock.</w:t>
      </w:r>
    </w:p>
    <w:p>
      <w:pPr>
        <w:spacing w:after="0" w:line="57" w:lineRule="exact"/>
        <w:rPr>
          <w:rFonts w:ascii="Arial" w:cs="Arial" w:eastAsia="Arial" w:hAnsi="Arial"/>
          <w:sz w:val="18"/>
          <w:szCs w:val="18"/>
          <w:color w:val="auto"/>
        </w:rPr>
      </w:pPr>
    </w:p>
    <w:p>
      <w:pPr>
        <w:ind w:left="3000" w:hanging="336"/>
        <w:spacing w:after="0"/>
        <w:tabs>
          <w:tab w:leader="none" w:pos="3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TRV GP III is the general partner of TRV III and may be deemed to beneficially own the Shares.</w:t>
      </w:r>
    </w:p>
    <w:p>
      <w:pPr>
        <w:spacing w:after="0" w:line="117" w:lineRule="exact"/>
        <w:rPr>
          <w:rFonts w:ascii="Arial" w:cs="Arial" w:eastAsia="Arial" w:hAnsi="Arial"/>
          <w:sz w:val="18"/>
          <w:szCs w:val="18"/>
          <w:color w:val="auto"/>
        </w:rPr>
      </w:pPr>
    </w:p>
    <w:p>
      <w:pPr>
        <w:ind w:left="3000" w:hanging="336"/>
        <w:spacing w:after="0"/>
        <w:tabs>
          <w:tab w:leader="none" w:pos="3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TRV GP III LLC is the general partner of TRV GP III and may be deemed to beneficially own the Shares.</w:t>
      </w:r>
    </w:p>
    <w:p>
      <w:pPr>
        <w:spacing w:after="0" w:line="128" w:lineRule="exact"/>
        <w:rPr>
          <w:rFonts w:ascii="Arial" w:cs="Arial" w:eastAsia="Arial" w:hAnsi="Arial"/>
          <w:sz w:val="17"/>
          <w:szCs w:val="17"/>
          <w:color w:val="auto"/>
        </w:rPr>
      </w:pPr>
    </w:p>
    <w:p>
      <w:pPr>
        <w:ind w:left="3000" w:hanging="336"/>
        <w:spacing w:after="0"/>
        <w:tabs>
          <w:tab w:leader="none" w:pos="3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managing member of TRV GP III LLC, Levin may be deemed to beneficially own the Shares.</w:t>
      </w:r>
    </w:p>
    <w:p>
      <w:pPr>
        <w:spacing w:after="0" w:line="117" w:lineRule="exact"/>
        <w:rPr>
          <w:rFonts w:ascii="Arial" w:cs="Arial" w:eastAsia="Arial" w:hAnsi="Arial"/>
          <w:sz w:val="18"/>
          <w:szCs w:val="18"/>
          <w:color w:val="auto"/>
        </w:rPr>
      </w:pPr>
    </w:p>
    <w:p>
      <w:pPr>
        <w:ind w:left="3000" w:hanging="336"/>
        <w:spacing w:after="0"/>
        <w:tabs>
          <w:tab w:leader="none" w:pos="3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managing member of TRV GP III LLC, Tepper may be deemed to beneficially own the Shares.</w:t>
      </w:r>
    </w:p>
    <w:p>
      <w:pPr>
        <w:spacing w:after="0" w:line="117" w:lineRule="exact"/>
        <w:rPr>
          <w:rFonts w:ascii="Arial" w:cs="Arial" w:eastAsia="Arial" w:hAnsi="Arial"/>
          <w:sz w:val="18"/>
          <w:szCs w:val="18"/>
          <w:color w:val="auto"/>
        </w:rPr>
      </w:pPr>
    </w:p>
    <w:p>
      <w:pPr>
        <w:ind w:left="3000" w:hanging="336"/>
        <w:spacing w:after="0"/>
        <w:tabs>
          <w:tab w:leader="none" w:pos="3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managing member of TRV GP III LLC, Starr may be deemed to beneficially own the Shares.</w:t>
      </w:r>
    </w:p>
    <w:p>
      <w:pPr>
        <w:spacing w:after="0" w:line="11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(c)</w:t>
            </w:r>
          </w:p>
        </w:tc>
        <w:tc>
          <w:tcPr>
            <w:tcW w:w="4880" w:type="dxa"/>
            <w:vAlign w:val="bottom"/>
            <w:gridSpan w:val="3"/>
          </w:tcPr>
          <w:p>
            <w:pPr>
              <w:jc w:val="right"/>
              <w:ind w:right="1199"/>
              <w:spacing w:after="0"/>
              <w:rPr>
                <w:sz w:val="20"/>
                <w:szCs w:val="20"/>
                <w:color w:val="auto"/>
              </w:rPr>
            </w:pPr>
            <w:r>
              <w:rPr>
                <w:rFonts w:ascii="Arial" w:cs="Arial" w:eastAsia="Arial" w:hAnsi="Arial"/>
                <w:sz w:val="18"/>
                <w:szCs w:val="18"/>
                <w:color w:val="auto"/>
                <w:w w:val="94"/>
              </w:rPr>
              <w:t>Number of shares as to which such person has: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Reporting Person</w:t>
            </w: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Number of Shares of Common Stock</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gridSpan w:val="2"/>
            <w:vMerge w:val="continue"/>
          </w:tcPr>
          <w:p>
            <w:pPr>
              <w:spacing w:after="0"/>
              <w:rPr>
                <w:sz w:val="12"/>
                <w:szCs w:val="12"/>
                <w:color w:val="auto"/>
              </w:rPr>
            </w:pPr>
          </w:p>
        </w:tc>
        <w:tc>
          <w:tcPr>
            <w:tcW w:w="3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219"/>
              <w:spacing w:after="0" w:line="142" w:lineRule="exact"/>
              <w:rPr>
                <w:sz w:val="20"/>
                <w:szCs w:val="20"/>
                <w:color w:val="auto"/>
              </w:rPr>
            </w:pPr>
            <w:r>
              <w:rPr>
                <w:rFonts w:ascii="Arial" w:cs="Arial" w:eastAsia="Arial" w:hAnsi="Arial"/>
                <w:sz w:val="14"/>
                <w:szCs w:val="14"/>
                <w:color w:val="auto"/>
              </w:rPr>
              <w:t>(i)</w:t>
            </w:r>
          </w:p>
        </w:tc>
        <w:tc>
          <w:tcPr>
            <w:tcW w:w="420" w:type="dxa"/>
            <w:vAlign w:val="bottom"/>
          </w:tcPr>
          <w:p>
            <w:pPr>
              <w:spacing w:after="0"/>
              <w:rPr>
                <w:sz w:val="12"/>
                <w:szCs w:val="12"/>
                <w:color w:val="auto"/>
              </w:rPr>
            </w:pPr>
          </w:p>
        </w:tc>
        <w:tc>
          <w:tcPr>
            <w:tcW w:w="1220" w:type="dxa"/>
            <w:vAlign w:val="bottom"/>
            <w:gridSpan w:val="2"/>
          </w:tcPr>
          <w:p>
            <w:pPr>
              <w:ind w:left="300"/>
              <w:spacing w:after="0" w:line="142" w:lineRule="exact"/>
              <w:rPr>
                <w:sz w:val="20"/>
                <w:szCs w:val="20"/>
                <w:color w:val="auto"/>
              </w:rPr>
            </w:pPr>
            <w:r>
              <w:rPr>
                <w:rFonts w:ascii="Arial" w:cs="Arial" w:eastAsia="Arial" w:hAnsi="Arial"/>
                <w:sz w:val="14"/>
                <w:szCs w:val="14"/>
                <w:color w:val="auto"/>
              </w:rPr>
              <w:t>(ii)</w:t>
            </w:r>
          </w:p>
        </w:tc>
        <w:tc>
          <w:tcPr>
            <w:tcW w:w="122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(iii)</w:t>
            </w:r>
          </w:p>
        </w:tc>
        <w:tc>
          <w:tcPr>
            <w:tcW w:w="800" w:type="dxa"/>
            <w:vAlign w:val="bottom"/>
          </w:tcPr>
          <w:p>
            <w:pPr>
              <w:jc w:val="right"/>
              <w:ind w:right="213"/>
              <w:spacing w:after="0" w:line="142" w:lineRule="exact"/>
              <w:rPr>
                <w:sz w:val="20"/>
                <w:szCs w:val="20"/>
                <w:color w:val="auto"/>
              </w:rPr>
            </w:pPr>
            <w:r>
              <w:rPr>
                <w:rFonts w:ascii="Arial" w:cs="Arial" w:eastAsia="Arial" w:hAnsi="Arial"/>
                <w:sz w:val="14"/>
                <w:szCs w:val="14"/>
                <w:color w:val="auto"/>
              </w:rPr>
              <w:t>(iv)</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TRV III</w:t>
            </w:r>
          </w:p>
        </w:tc>
        <w:tc>
          <w:tcPr>
            <w:tcW w:w="38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5,962,202</w:t>
            </w:r>
          </w:p>
        </w:tc>
        <w:tc>
          <w:tcPr>
            <w:tcW w:w="44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44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5,962,202</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00"/>
              <w:spacing w:after="0"/>
              <w:rPr>
                <w:sz w:val="20"/>
                <w:szCs w:val="20"/>
                <w:color w:val="auto"/>
              </w:rPr>
            </w:pPr>
            <w:r>
              <w:rPr>
                <w:rFonts w:ascii="Arial" w:cs="Arial" w:eastAsia="Arial" w:hAnsi="Arial"/>
                <w:sz w:val="18"/>
                <w:szCs w:val="18"/>
                <w:color w:val="auto"/>
              </w:rPr>
              <w:t>TRV GP III</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5,962,202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5,962,202</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00"/>
              <w:spacing w:after="0"/>
              <w:rPr>
                <w:sz w:val="20"/>
                <w:szCs w:val="20"/>
                <w:color w:val="auto"/>
              </w:rPr>
            </w:pPr>
            <w:r>
              <w:rPr>
                <w:rFonts w:ascii="Arial" w:cs="Arial" w:eastAsia="Arial" w:hAnsi="Arial"/>
                <w:sz w:val="18"/>
                <w:szCs w:val="18"/>
                <w:color w:val="auto"/>
              </w:rPr>
              <w:t>TRV GP III LLC</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5,962,202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5,962,202</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00"/>
              <w:spacing w:after="0"/>
              <w:rPr>
                <w:sz w:val="20"/>
                <w:szCs w:val="20"/>
                <w:color w:val="auto"/>
              </w:rPr>
            </w:pPr>
            <w:r>
              <w:rPr>
                <w:rFonts w:ascii="Arial" w:cs="Arial" w:eastAsia="Arial" w:hAnsi="Arial"/>
                <w:sz w:val="18"/>
                <w:szCs w:val="18"/>
                <w:color w:val="auto"/>
              </w:rPr>
              <w:t>Levin</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5,962,202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5,962,202</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00"/>
              <w:spacing w:after="0"/>
              <w:rPr>
                <w:sz w:val="20"/>
                <w:szCs w:val="20"/>
                <w:color w:val="auto"/>
              </w:rPr>
            </w:pPr>
            <w:r>
              <w:rPr>
                <w:rFonts w:ascii="Arial" w:cs="Arial" w:eastAsia="Arial" w:hAnsi="Arial"/>
                <w:sz w:val="18"/>
                <w:szCs w:val="18"/>
                <w:color w:val="auto"/>
              </w:rPr>
              <w:t>Starr</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5,962,202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5,962,202</w:t>
            </w:r>
          </w:p>
        </w:tc>
        <w:tc>
          <w:tcPr>
            <w:tcW w:w="0" w:type="dxa"/>
            <w:vAlign w:val="bottom"/>
          </w:tcPr>
          <w:p>
            <w:pPr>
              <w:spacing w:after="0"/>
              <w:rPr>
                <w:sz w:val="1"/>
                <w:szCs w:val="1"/>
                <w:color w:val="auto"/>
              </w:rPr>
            </w:pPr>
          </w:p>
        </w:tc>
      </w:tr>
      <w:tr>
        <w:trPr>
          <w:trHeight w:val="230"/>
        </w:trPr>
        <w:tc>
          <w:tcPr>
            <w:tcW w:w="1560" w:type="dxa"/>
            <w:vAlign w:val="bottom"/>
            <w:gridSpan w:val="2"/>
          </w:tcPr>
          <w:p>
            <w:pPr>
              <w:ind w:left="100"/>
              <w:spacing w:after="0"/>
              <w:rPr>
                <w:sz w:val="20"/>
                <w:szCs w:val="20"/>
                <w:color w:val="auto"/>
              </w:rPr>
            </w:pPr>
            <w:r>
              <w:rPr>
                <w:rFonts w:ascii="Arial" w:cs="Arial" w:eastAsia="Arial" w:hAnsi="Arial"/>
                <w:sz w:val="18"/>
                <w:szCs w:val="18"/>
                <w:color w:val="auto"/>
              </w:rPr>
              <w:t>Tepper</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5,962,202</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5,962,202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60" w:hanging="349"/>
        <w:spacing w:after="0"/>
        <w:tabs>
          <w:tab w:leader="none" w:pos="2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17" w:lineRule="exact"/>
        <w:rPr>
          <w:rFonts w:ascii="Arial" w:cs="Arial" w:eastAsia="Arial" w:hAnsi="Arial"/>
          <w:sz w:val="18"/>
          <w:szCs w:val="18"/>
          <w:color w:val="auto"/>
        </w:rPr>
      </w:pPr>
    </w:p>
    <w:p>
      <w:pPr>
        <w:ind w:left="2460" w:hanging="349"/>
        <w:spacing w:after="0"/>
        <w:tabs>
          <w:tab w:leader="none" w:pos="2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2460" w:hanging="349"/>
        <w:spacing w:after="0"/>
        <w:tabs>
          <w:tab w:leader="none" w:pos="2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2460" w:hanging="349"/>
        <w:spacing w:after="0"/>
        <w:tabs>
          <w:tab w:leader="none" w:pos="2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900" w:right="540"/>
        <w:spacing w:after="0" w:line="308" w:lineRule="auto"/>
        <w:rPr>
          <w:sz w:val="20"/>
          <w:szCs w:val="20"/>
          <w:color w:val="auto"/>
        </w:rPr>
      </w:pPr>
      <w:r>
        <w:rPr>
          <w:rFonts w:ascii="Arial" w:cs="Arial" w:eastAsia="Arial" w:hAnsi="Arial"/>
          <w:sz w:val="17"/>
          <w:szCs w:val="17"/>
          <w:color w:val="auto"/>
        </w:rPr>
        <w:t>The percent of class was calculated based on 23,340,544 shares of common stock issued and outstanding as of November 8, 2019, as disclosed in the Issuer’s 10-Q filed with the Securities and Exchange Commission on November 14, 2019.</w:t>
      </w:r>
    </w:p>
    <w:p>
      <w:pPr>
        <w:spacing w:after="0" w:line="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65" w:right="439" w:bottom="1440" w:gutter="0" w:footer="0" w:header="0"/>
        </w:sectPr>
      </w:pPr>
    </w:p>
    <w:bookmarkStart w:id="9" w:name="page10"/>
    <w:bookmarkEnd w:id="9"/>
    <w:p>
      <w:pPr>
        <w:spacing w:after="0"/>
        <w:tabs>
          <w:tab w:leader="none" w:pos="4980" w:val="left"/>
          <w:tab w:leader="none" w:pos="93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359616109</w:t>
      </w:r>
      <w:r>
        <w:rPr>
          <w:sz w:val="20"/>
          <w:szCs w:val="20"/>
          <w:color w:val="auto"/>
        </w:rPr>
        <w:tab/>
      </w:r>
      <w:r>
        <w:rPr>
          <w:rFonts w:ascii="Arial" w:cs="Arial" w:eastAsia="Arial" w:hAnsi="Arial"/>
          <w:sz w:val="20"/>
          <w:szCs w:val="20"/>
          <w:b w:val="1"/>
          <w:bCs w:val="1"/>
          <w:color w:val="auto"/>
        </w:rPr>
        <w:t>SCHEDULE 13G</w:t>
      </w:r>
      <w:r>
        <w:rPr>
          <w:sz w:val="20"/>
          <w:szCs w:val="20"/>
          <w:color w:val="auto"/>
        </w:rPr>
        <w:tab/>
      </w:r>
      <w:r>
        <w:rPr>
          <w:rFonts w:ascii="Arial" w:cs="Arial" w:eastAsia="Arial" w:hAnsi="Arial"/>
          <w:sz w:val="16"/>
          <w:szCs w:val="16"/>
          <w:b w:val="1"/>
          <w:bCs w:val="1"/>
          <w:color w:val="auto"/>
        </w:rPr>
        <w:t>Page 10 of 17 Pages</w:t>
      </w:r>
    </w:p>
    <w:p>
      <w:pPr>
        <w:spacing w:after="0" w:line="261" w:lineRule="exact"/>
        <w:rPr>
          <w:sz w:val="20"/>
          <w:szCs w:val="20"/>
          <w:color w:val="auto"/>
        </w:rPr>
      </w:pPr>
    </w:p>
    <w:p>
      <w:pPr>
        <w:ind w:left="900" w:right="780" w:hanging="904"/>
        <w:spacing w:after="0" w:line="282" w:lineRule="auto"/>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65" w:right="439" w:bottom="1440" w:gutter="0" w:footer="0" w:header="0"/>
        </w:sectPr>
      </w:pPr>
    </w:p>
    <w:bookmarkStart w:id="10" w:name="page11"/>
    <w:bookmarkEnd w:id="10"/>
    <w:p>
      <w:pPr>
        <w:spacing w:after="0"/>
        <w:tabs>
          <w:tab w:leader="none" w:pos="4980" w:val="left"/>
          <w:tab w:leader="none" w:pos="93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359616109</w:t>
      </w:r>
      <w:r>
        <w:rPr>
          <w:sz w:val="20"/>
          <w:szCs w:val="20"/>
          <w:color w:val="auto"/>
        </w:rPr>
        <w:tab/>
      </w:r>
      <w:r>
        <w:rPr>
          <w:rFonts w:ascii="Arial" w:cs="Arial" w:eastAsia="Arial" w:hAnsi="Arial"/>
          <w:sz w:val="20"/>
          <w:szCs w:val="20"/>
          <w:b w:val="1"/>
          <w:bCs w:val="1"/>
          <w:color w:val="auto"/>
        </w:rPr>
        <w:t>SCHEDULE 13G</w:t>
      </w:r>
      <w:r>
        <w:rPr>
          <w:sz w:val="20"/>
          <w:szCs w:val="20"/>
          <w:color w:val="auto"/>
        </w:rPr>
        <w:tab/>
      </w:r>
      <w:r>
        <w:rPr>
          <w:rFonts w:ascii="Arial" w:cs="Arial" w:eastAsia="Arial" w:hAnsi="Arial"/>
          <w:sz w:val="16"/>
          <w:szCs w:val="16"/>
          <w:b w:val="1"/>
          <w:bCs w:val="1"/>
          <w:color w:val="auto"/>
        </w:rPr>
        <w:t>Page 11 of 17 Pages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III,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III,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MARK LEVIN</w:t>
      </w: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KEVIN P. STARR</w:t>
      </w: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I. TEPPER</w:t>
      </w: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11020"/>
          </w:cols>
          <w:pgMar w:left="440" w:top="265"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KNOW ALL MEN BY THESE PRESENTS, that the undersigned hereby constitutes and appoints Kevin Gillis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w:t>
      </w:r>
    </w:p>
    <w:p>
      <w:pPr>
        <w:spacing w:after="0" w:line="182"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Each of the undersigned may execute this power of attorney in separate counterparts, and each counterpart shall be deemed to be an original instrument. This agreement shall be effective as to each of the undersigned as of the date signed by that signatory.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16th day of January, 2014.</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11020"/>
          </w:cols>
          <w:pgMar w:left="440" w:top="270"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III,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III,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MARK LEVIN</w:t>
      </w: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KEVIN P. STARR</w:t>
      </w: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I. TEPPER</w:t>
      </w:r>
    </w:p>
    <w:p>
      <w:pPr>
        <w:spacing w:after="0" w:line="2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2020-02-05T15:38:01Z</dcterms:created>
  <dcterms:modified xsi:type="dcterms:W3CDTF">2020-02-05T15:38:01Z</dcterms:modified>
</cp:coreProperties>
</file>