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Haviland Kate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06/19/2028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23,571</w:t>
            </w:r>
          </w:p>
        </w:tc>
        <w:tc>
          <w:tcPr>
            <w:tcW w:w="880" w:type="dxa"/>
            <w:vAlign w:val="bottom"/>
          </w:tcPr>
          <w:p>
            <w:pPr>
              <w:ind w:left="280"/>
              <w:spacing w:after="0"/>
              <w:rPr>
                <w:sz w:val="20"/>
                <w:szCs w:val="20"/>
                <w:color w:val="auto"/>
              </w:rPr>
            </w:pPr>
            <w:r>
              <w:rPr>
                <w:rFonts w:ascii="Arial" w:cs="Arial" w:eastAsia="Arial" w:hAnsi="Arial"/>
                <w:sz w:val="18"/>
                <w:szCs w:val="18"/>
                <w:color w:val="0000FF"/>
              </w:rPr>
              <w:t>4.83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760" w:type="dxa"/>
            <w:vAlign w:val="bottom"/>
            <w:gridSpan w:val="7"/>
          </w:tcPr>
          <w:p>
            <w:pPr>
              <w:ind w:left="20"/>
              <w:spacing w:after="0"/>
              <w:rPr>
                <w:sz w:val="20"/>
                <w:szCs w:val="20"/>
                <w:color w:val="auto"/>
              </w:rPr>
            </w:pPr>
            <w:r>
              <w:rPr>
                <w:rFonts w:ascii="Arial" w:cs="Arial" w:eastAsia="Arial" w:hAnsi="Arial"/>
                <w:sz w:val="14"/>
                <w:szCs w:val="14"/>
                <w:color w:val="008000"/>
                <w:w w:val="89"/>
              </w:rPr>
              <w:t>1. The option was granted on June 20, 2018. The shares underlying the option are scheduled to vest in equal quarterly installments from June 20, 2018 through June 19, 2022.</w:t>
            </w: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Index: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4"/>
          <w:szCs w:val="34"/>
          <w:color w:val="0000FF"/>
          <w:vertAlign w:val="subscript"/>
        </w:rPr>
        <w:t>07/17/2019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Kate Haviland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23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Gould, Bryan Stuart and Peter Thomson, signing singly and each acting individually, as the undersigned’s true and lawful attorney-in-fact with full power and authority as hereinafter described to:</w:t>
      </w:r>
    </w:p>
    <w:p>
      <w:pPr>
        <w:spacing w:after="0" w:line="181" w:lineRule="exact"/>
        <w:rPr>
          <w:sz w:val="20"/>
          <w:szCs w:val="20"/>
          <w:color w:val="auto"/>
        </w:rPr>
      </w:pPr>
    </w:p>
    <w:p>
      <w:pPr>
        <w:ind w:right="220" w:firstLine="656"/>
        <w:spacing w:after="0" w:line="264"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Fulcrum Therapeutics, Inc. (the “Company”), Forms 3, 4, and 5 (including any amendments thereto) in accordance with Section 16(a) of the Securities Exchange Act of 1934, as amended, and the rules thereunder (the “Exchange Act”);</w:t>
      </w:r>
    </w:p>
    <w:p>
      <w:pPr>
        <w:spacing w:after="0" w:line="181" w:lineRule="exact"/>
        <w:rPr>
          <w:rFonts w:ascii="Arial" w:cs="Arial" w:eastAsia="Arial" w:hAnsi="Arial"/>
          <w:sz w:val="18"/>
          <w:szCs w:val="18"/>
          <w:color w:val="auto"/>
        </w:rPr>
      </w:pPr>
    </w:p>
    <w:p>
      <w:pPr>
        <w:ind w:right="20" w:firstLine="656"/>
        <w:spacing w:after="0" w:line="25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Arial" w:cs="Arial" w:eastAsia="Arial" w:hAnsi="Arial"/>
          <w:sz w:val="18"/>
          <w:szCs w:val="18"/>
          <w:color w:val="auto"/>
        </w:rPr>
      </w:pPr>
    </w:p>
    <w:p>
      <w:pPr>
        <w:jc w:val="both"/>
        <w:ind w:right="160" w:firstLine="656"/>
        <w:spacing w:after="0" w:line="286"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65" w:lineRule="exact"/>
        <w:rPr>
          <w:rFonts w:ascii="Arial" w:cs="Arial" w:eastAsia="Arial" w:hAnsi="Arial"/>
          <w:sz w:val="17"/>
          <w:szCs w:val="17"/>
          <w:color w:val="auto"/>
        </w:rPr>
      </w:pPr>
    </w:p>
    <w:p>
      <w:pPr>
        <w:ind w:right="2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2019.</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Kate Haviland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663022"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2019-12-23T20:29:51Z</dcterms:created>
  <dcterms:modified xsi:type="dcterms:W3CDTF">2019-12-23T20:29:51Z</dcterms:modified>
</cp:coreProperties>
</file>