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333-260754</w:t>
      </w:r>
    </w:p>
    <w:p>
      <w:pPr>
        <w:spacing w:after="0" w:line="131" w:lineRule="exact"/>
        <w:rPr>
          <w:sz w:val="24"/>
          <w:szCs w:val="24"/>
          <w:color w:val="auto"/>
        </w:rPr>
      </w:pPr>
    </w:p>
    <w:p>
      <w:pPr>
        <w:ind w:left="120" w:right="180"/>
        <w:spacing w:after="0" w:line="263" w:lineRule="auto"/>
        <w:rPr>
          <w:sz w:val="20"/>
          <w:szCs w:val="20"/>
          <w:color w:val="auto"/>
        </w:rPr>
      </w:pPr>
      <w:r>
        <w:rPr>
          <w:rFonts w:ascii="Arial" w:cs="Arial" w:eastAsia="Arial" w:hAnsi="Arial"/>
          <w:sz w:val="18"/>
          <w:szCs w:val="18"/>
          <w:color w:val="DE1A1E"/>
        </w:rPr>
        <w:t>The information in this preliminary prospectus supplement is not complete and may be changed. A registration statement has been filed with the Securities and Exchange Commission and is effective. This prospectus supplement is not an offer to sell these securities and it is not soliciting an offer to buy these securities in any jurisdiction where the offer or sale is not permitted.</w:t>
      </w:r>
    </w:p>
    <w:p>
      <w:pPr>
        <w:spacing w:after="0" w:line="130" w:lineRule="exact"/>
        <w:rPr>
          <w:sz w:val="24"/>
          <w:szCs w:val="24"/>
          <w:color w:val="auto"/>
        </w:rPr>
      </w:pPr>
    </w:p>
    <w:p>
      <w:pPr>
        <w:ind w:left="3780"/>
        <w:spacing w:after="0"/>
        <w:rPr>
          <w:sz w:val="20"/>
          <w:szCs w:val="20"/>
          <w:color w:val="auto"/>
        </w:rPr>
      </w:pPr>
      <w:r>
        <w:rPr>
          <w:rFonts w:ascii="Arial" w:cs="Arial" w:eastAsia="Arial" w:hAnsi="Arial"/>
          <w:sz w:val="18"/>
          <w:szCs w:val="18"/>
          <w:color w:val="DE1A1E"/>
        </w:rPr>
        <w:t>Subject to Completion, dated August 15, 2022</w:t>
      </w:r>
    </w:p>
    <w:p>
      <w:pPr>
        <w:spacing w:after="0" w:line="163"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PRELIMINARY PROSPECTUS SUPPLEMENT</w:t>
      </w:r>
    </w:p>
    <w:p>
      <w:pPr>
        <w:spacing w:after="0" w:line="18"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April 28, 2022)</w:t>
      </w:r>
    </w:p>
    <w:p>
      <w:pPr>
        <w:spacing w:after="0" w:line="173" w:lineRule="exact"/>
        <w:rPr>
          <w:sz w:val="24"/>
          <w:szCs w:val="24"/>
          <w:color w:val="auto"/>
        </w:rPr>
      </w:pPr>
    </w:p>
    <w:p>
      <w:pPr>
        <w:jc w:val="center"/>
        <w:ind w:right="-99"/>
        <w:spacing w:after="0"/>
        <w:rPr>
          <w:sz w:val="20"/>
          <w:szCs w:val="20"/>
          <w:color w:val="auto"/>
        </w:rPr>
      </w:pPr>
      <w:r>
        <w:rPr>
          <w:rFonts w:ascii="Arial" w:cs="Arial" w:eastAsia="Arial" w:hAnsi="Arial"/>
          <w:sz w:val="25"/>
          <w:szCs w:val="25"/>
          <w:color w:val="auto"/>
        </w:rPr>
        <w:t>$75,000,000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142240</wp:posOffset>
            </wp:positionV>
            <wp:extent cx="2905760" cy="720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0576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99"/>
        <w:spacing w:after="0"/>
        <w:rPr>
          <w:sz w:val="20"/>
          <w:szCs w:val="20"/>
          <w:color w:val="auto"/>
        </w:rPr>
      </w:pPr>
      <w:r>
        <w:rPr>
          <w:rFonts w:ascii="Arial" w:cs="Arial" w:eastAsia="Arial" w:hAnsi="Arial"/>
          <w:sz w:val="25"/>
          <w:szCs w:val="25"/>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210820</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We are offering $75.0 million of shares of our common stock.</w:t>
      </w:r>
    </w:p>
    <w:p>
      <w:pPr>
        <w:spacing w:after="0" w:line="171" w:lineRule="exact"/>
        <w:rPr>
          <w:sz w:val="24"/>
          <w:szCs w:val="24"/>
          <w:color w:val="auto"/>
        </w:rPr>
      </w:pPr>
    </w:p>
    <w:p>
      <w:pPr>
        <w:ind w:left="120" w:right="260" w:firstLine="551"/>
        <w:spacing w:after="0" w:line="246" w:lineRule="auto"/>
        <w:rPr>
          <w:sz w:val="20"/>
          <w:szCs w:val="20"/>
          <w:color w:val="auto"/>
        </w:rPr>
      </w:pPr>
      <w:r>
        <w:rPr>
          <w:rFonts w:ascii="Arial" w:cs="Arial" w:eastAsia="Arial" w:hAnsi="Arial"/>
          <w:sz w:val="18"/>
          <w:szCs w:val="18"/>
          <w:color w:val="auto"/>
        </w:rPr>
        <w:t>Our common stock is listed on The Nasdaq Global Market under the symbol “FULC”. The last reported sale price of our common stock on The Nasdaq Global Market on August 12, 2022 was $8.41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194310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120" w:right="140" w:firstLine="551"/>
        <w:spacing w:after="0" w:line="250" w:lineRule="auto"/>
        <w:rPr>
          <w:sz w:val="20"/>
          <w:szCs w:val="20"/>
          <w:color w:val="auto"/>
        </w:rPr>
      </w:pPr>
      <w:r>
        <w:rPr>
          <w:rFonts w:ascii="Arial" w:cs="Arial" w:eastAsia="Arial" w:hAnsi="Arial"/>
          <w:sz w:val="18"/>
          <w:szCs w:val="18"/>
          <w:i w:val="1"/>
          <w:iCs w:val="1"/>
          <w:color w:val="auto"/>
        </w:rPr>
        <w:t>Investing in our common stock involves significant risks. See “</w:t>
      </w:r>
      <w:r>
        <w:rPr>
          <w:rFonts w:ascii="Arial" w:cs="Arial" w:eastAsia="Arial" w:hAnsi="Arial"/>
          <w:sz w:val="18"/>
          <w:szCs w:val="18"/>
          <w:i w:val="1"/>
          <w:iCs w:val="1"/>
          <w:u w:val="single" w:color="auto"/>
          <w:color w:val="0000EE"/>
        </w:rPr>
        <w:t>Risk Factors</w:t>
      </w:r>
      <w:r>
        <w:rPr>
          <w:rFonts w:ascii="Arial" w:cs="Arial" w:eastAsia="Arial" w:hAnsi="Arial"/>
          <w:sz w:val="18"/>
          <w:szCs w:val="18"/>
          <w:i w:val="1"/>
          <w:iCs w:val="1"/>
          <w:color w:val="auto"/>
        </w:rPr>
        <w:t>” beginning on page S-9 of this prospectus supplement, page 2 of the accompanying base prospectus and in the documents incorporated by reference in this prospectus supplement for a discussion of the factors you should carefully consider before deciding to purchase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193040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120" w:right="280" w:firstLine="551"/>
        <w:spacing w:after="0" w:line="253"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198755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tbl>
      <w:tblPr>
        <w:tblLayout w:type="fixed"/>
        <w:tblInd w:w="120" w:type="dxa"/>
        <w:tblCellMar>
          <w:top w:w="0" w:type="dxa"/>
          <w:left w:w="0" w:type="dxa"/>
          <w:bottom w:w="0" w:type="dxa"/>
          <w:right w:w="0" w:type="dxa"/>
        </w:tblCellMar>
      </w:tblPr>
      <w:tr>
        <w:trPr>
          <w:trHeight w:val="207"/>
        </w:trPr>
        <w:tc>
          <w:tcPr>
            <w:tcW w:w="62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6"/>
              </w:rPr>
              <w:t>Per Share</w:t>
            </w:r>
          </w:p>
        </w:tc>
        <w:tc>
          <w:tcPr>
            <w:tcW w:w="46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Total</w:t>
            </w:r>
          </w:p>
        </w:tc>
      </w:tr>
      <w:tr>
        <w:trPr>
          <w:trHeight w:val="196"/>
        </w:trPr>
        <w:tc>
          <w:tcPr>
            <w:tcW w:w="6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Public offering price</w:t>
            </w:r>
          </w:p>
        </w:tc>
        <w:tc>
          <w:tcPr>
            <w:tcW w:w="27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3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59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 (1)</w:t>
            </w:r>
          </w:p>
        </w:tc>
        <w:tc>
          <w:tcPr>
            <w:tcW w:w="3520" w:type="dxa"/>
            <w:vAlign w:val="bottom"/>
            <w:gridSpan w:val="2"/>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Fulcrum, before expenses</w:t>
            </w:r>
          </w:p>
        </w:tc>
        <w:tc>
          <w:tcPr>
            <w:tcW w:w="3520" w:type="dxa"/>
            <w:vAlign w:val="bottom"/>
            <w:gridSpan w:val="2"/>
            <w:shd w:val="clear" w:color="auto" w:fill="CCEEFF"/>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4"/>
          <w:szCs w:val="24"/>
          <w:color w:val="auto"/>
        </w:rPr>
      </w:pPr>
    </w:p>
    <w:p>
      <w:pPr>
        <w:ind w:left="660" w:right="280" w:hanging="544"/>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agreed to reimburse the underwriters for certain FINRA-related expenses. See “Underwriting” for additional information regarding the compensation payable to the underwriters.</w:t>
      </w:r>
    </w:p>
    <w:p>
      <w:pPr>
        <w:spacing w:after="0" w:line="152" w:lineRule="exact"/>
        <w:rPr>
          <w:sz w:val="24"/>
          <w:szCs w:val="24"/>
          <w:color w:val="auto"/>
        </w:rPr>
      </w:pPr>
    </w:p>
    <w:p>
      <w:pPr>
        <w:ind w:left="660"/>
        <w:spacing w:after="0"/>
        <w:tabs>
          <w:tab w:leader="none" w:pos="9300" w:val="left"/>
        </w:tabs>
        <w:rPr>
          <w:sz w:val="20"/>
          <w:szCs w:val="20"/>
          <w:color w:val="auto"/>
        </w:rPr>
      </w:pPr>
      <w:r>
        <w:rPr>
          <w:rFonts w:ascii="Arial" w:cs="Arial" w:eastAsia="Arial" w:hAnsi="Arial"/>
          <w:sz w:val="18"/>
          <w:szCs w:val="18"/>
          <w:color w:val="auto"/>
        </w:rPr>
        <w:t>We have granted the underwriters an option for a period of 30 days to purchase up to an additional</w:t>
      </w:r>
      <w:r>
        <w:rPr>
          <w:sz w:val="20"/>
          <w:szCs w:val="20"/>
          <w:color w:val="auto"/>
        </w:rPr>
        <w:tab/>
      </w:r>
      <w:r>
        <w:rPr>
          <w:rFonts w:ascii="Arial" w:cs="Arial" w:eastAsia="Arial" w:hAnsi="Arial"/>
          <w:sz w:val="17"/>
          <w:szCs w:val="17"/>
          <w:color w:val="auto"/>
        </w:rPr>
        <w:t>shares of our common</w:t>
      </w:r>
    </w:p>
    <w:p>
      <w:pPr>
        <w:ind w:left="120"/>
        <w:spacing w:after="0"/>
        <w:rPr>
          <w:sz w:val="20"/>
          <w:szCs w:val="20"/>
          <w:color w:val="auto"/>
        </w:rPr>
      </w:pPr>
      <w:r>
        <w:rPr>
          <w:rFonts w:ascii="Arial" w:cs="Arial" w:eastAsia="Arial" w:hAnsi="Arial"/>
          <w:sz w:val="18"/>
          <w:szCs w:val="18"/>
          <w:color w:val="auto"/>
        </w:rPr>
        <w:t>stock at the public offering price less the underwriting discount.</w:t>
      </w:r>
    </w:p>
    <w:p>
      <w:pPr>
        <w:spacing w:after="0" w:line="171" w:lineRule="exact"/>
        <w:rPr>
          <w:sz w:val="24"/>
          <w:szCs w:val="24"/>
          <w:color w:val="auto"/>
        </w:rPr>
      </w:pPr>
    </w:p>
    <w:p>
      <w:pPr>
        <w:ind w:left="660"/>
        <w:spacing w:after="0"/>
        <w:tabs>
          <w:tab w:leader="none" w:pos="7420" w:val="left"/>
        </w:tabs>
        <w:rPr>
          <w:sz w:val="20"/>
          <w:szCs w:val="20"/>
          <w:color w:val="auto"/>
        </w:rPr>
      </w:pPr>
      <w:r>
        <w:rPr>
          <w:rFonts w:ascii="Arial" w:cs="Arial" w:eastAsia="Arial" w:hAnsi="Arial"/>
          <w:sz w:val="18"/>
          <w:szCs w:val="18"/>
          <w:color w:val="auto"/>
        </w:rPr>
        <w:t>The underwriters expect to deliver the shares of common stock on or about</w:t>
      </w:r>
      <w:r>
        <w:rPr>
          <w:sz w:val="20"/>
          <w:szCs w:val="20"/>
          <w:color w:val="auto"/>
        </w:rPr>
        <w:tab/>
      </w:r>
      <w:r>
        <w:rPr>
          <w:rFonts w:ascii="Arial" w:cs="Arial" w:eastAsia="Arial" w:hAnsi="Arial"/>
          <w:sz w:val="17"/>
          <w:szCs w:val="17"/>
          <w:color w:val="auto"/>
        </w:rPr>
        <w:t>, 2022.</w:t>
      </w:r>
    </w:p>
    <w:p>
      <w:pPr>
        <w:spacing w:after="0" w:line="167" w:lineRule="exact"/>
        <w:rPr>
          <w:sz w:val="24"/>
          <w:szCs w:val="24"/>
          <w:color w:val="auto"/>
        </w:rPr>
      </w:pPr>
    </w:p>
    <w:p>
      <w:pPr>
        <w:jc w:val="center"/>
        <w:ind w:right="-99"/>
        <w:spacing w:after="0"/>
        <w:rPr>
          <w:sz w:val="20"/>
          <w:szCs w:val="20"/>
          <w:color w:val="auto"/>
        </w:rPr>
      </w:pPr>
      <w:r>
        <w:rPr>
          <w:rFonts w:ascii="Arial" w:cs="Arial" w:eastAsia="Arial" w:hAnsi="Arial"/>
          <w:sz w:val="18"/>
          <w:szCs w:val="18"/>
          <w:i w:val="1"/>
          <w:iCs w:val="1"/>
          <w:color w:val="auto"/>
        </w:rPr>
        <w:t>Joint Book-Running Managers</w:t>
      </w:r>
    </w:p>
    <w:p>
      <w:pPr>
        <w:spacing w:after="0" w:line="198" w:lineRule="exact"/>
        <w:rPr>
          <w:sz w:val="24"/>
          <w:szCs w:val="24"/>
          <w:color w:val="auto"/>
        </w:rPr>
      </w:pPr>
    </w:p>
    <w:p>
      <w:pPr>
        <w:ind w:left="120"/>
        <w:spacing w:after="0"/>
        <w:tabs>
          <w:tab w:leader="none" w:pos="9580" w:val="left"/>
        </w:tabs>
        <w:rPr>
          <w:sz w:val="20"/>
          <w:szCs w:val="20"/>
          <w:color w:val="auto"/>
        </w:rPr>
      </w:pPr>
      <w:r>
        <w:rPr>
          <w:rFonts w:ascii="Arial" w:cs="Arial" w:eastAsia="Arial" w:hAnsi="Arial"/>
          <w:sz w:val="22"/>
          <w:szCs w:val="22"/>
          <w:b w:val="1"/>
          <w:bCs w:val="1"/>
          <w:color w:val="auto"/>
        </w:rPr>
        <w:t>Goldman Sachs &amp; Co. LLC</w:t>
      </w:r>
      <w:r>
        <w:rPr>
          <w:sz w:val="20"/>
          <w:szCs w:val="20"/>
          <w:color w:val="auto"/>
        </w:rPr>
        <w:tab/>
      </w:r>
      <w:r>
        <w:rPr>
          <w:rFonts w:ascii="Arial" w:cs="Arial" w:eastAsia="Arial" w:hAnsi="Arial"/>
          <w:sz w:val="21"/>
          <w:szCs w:val="21"/>
          <w:b w:val="1"/>
          <w:bCs w:val="1"/>
          <w:color w:val="auto"/>
        </w:rPr>
        <w:t>SVB Securities</w:t>
      </w:r>
    </w:p>
    <w:p>
      <w:pPr>
        <w:spacing w:after="0" w:line="121"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Stifel</w:t>
      </w:r>
    </w:p>
    <w:p>
      <w:pPr>
        <w:spacing w:after="0" w:line="180" w:lineRule="exact"/>
        <w:rPr>
          <w:sz w:val="24"/>
          <w:szCs w:val="24"/>
          <w:color w:val="auto"/>
        </w:rPr>
      </w:pPr>
    </w:p>
    <w:p>
      <w:pPr>
        <w:jc w:val="center"/>
        <w:ind w:right="-99"/>
        <w:spacing w:after="0"/>
        <w:rPr>
          <w:sz w:val="20"/>
          <w:szCs w:val="20"/>
          <w:color w:val="auto"/>
        </w:rPr>
      </w:pPr>
      <w:r>
        <w:rPr>
          <w:rFonts w:ascii="Arial" w:cs="Arial" w:eastAsia="Arial" w:hAnsi="Arial"/>
          <w:sz w:val="16"/>
          <w:szCs w:val="16"/>
          <w:i w:val="1"/>
          <w:iCs w:val="1"/>
          <w:color w:val="auto"/>
        </w:rPr>
        <w:t>Lead Manager</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Oppenheimer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226060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p>
      <w:pPr>
        <w:spacing w:after="0" w:line="200" w:lineRule="exact"/>
        <w:rPr>
          <w:sz w:val="24"/>
          <w:szCs w:val="24"/>
          <w:color w:val="auto"/>
        </w:rPr>
      </w:pPr>
    </w:p>
    <w:p>
      <w:pPr>
        <w:spacing w:after="0" w:line="385" w:lineRule="exact"/>
        <w:rPr>
          <w:sz w:val="24"/>
          <w:szCs w:val="24"/>
          <w:color w:val="auto"/>
        </w:rPr>
      </w:pPr>
    </w:p>
    <w:p>
      <w:pPr>
        <w:ind w:left="3680"/>
        <w:spacing w:after="0"/>
        <w:tabs>
          <w:tab w:leader="none" w:pos="7040" w:val="left"/>
        </w:tabs>
        <w:rPr>
          <w:sz w:val="20"/>
          <w:szCs w:val="20"/>
          <w:color w:val="auto"/>
        </w:rPr>
      </w:pPr>
      <w:r>
        <w:rPr>
          <w:rFonts w:ascii="Arial" w:cs="Arial" w:eastAsia="Arial" w:hAnsi="Arial"/>
          <w:sz w:val="18"/>
          <w:szCs w:val="18"/>
          <w:color w:val="auto"/>
        </w:rPr>
        <w:t>Prospectus supplement dated</w:t>
      </w:r>
      <w:r>
        <w:rPr>
          <w:sz w:val="20"/>
          <w:szCs w:val="20"/>
          <w:color w:val="auto"/>
        </w:rPr>
        <w:tab/>
      </w:r>
      <w:r>
        <w:rPr>
          <w:rFonts w:ascii="Arial" w:cs="Arial" w:eastAsia="Arial" w:hAnsi="Arial"/>
          <w:sz w:val="17"/>
          <w:szCs w:val="17"/>
          <w:color w:val="auto"/>
        </w:rPr>
        <w:t>, 2022</w:t>
      </w:r>
    </w:p>
    <w:p>
      <w:pPr>
        <w:sectPr>
          <w:pgSz w:w="11900" w:h="16838" w:orient="portrait"/>
          <w:cols w:equalWidth="0" w:num="1">
            <w:col w:w="11140"/>
          </w:cols>
          <w:pgMar w:left="320" w:top="230"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060" w:type="dxa"/>
            <w:vAlign w:val="bottom"/>
            <w:gridSpan w:val="24"/>
          </w:tcPr>
          <w:p>
            <w:pPr>
              <w:spacing w:after="0"/>
              <w:rPr>
                <w:sz w:val="20"/>
                <w:szCs w:val="20"/>
                <w:color w:val="auto"/>
              </w:rPr>
            </w:pPr>
            <w:r>
              <w:rPr>
                <w:rFonts w:ascii="Arial" w:cs="Arial" w:eastAsia="Arial" w:hAnsi="Arial"/>
                <w:sz w:val="18"/>
                <w:szCs w:val="18"/>
                <w:b w:val="1"/>
                <w:bCs w:val="1"/>
                <w:color w:val="0000EE"/>
              </w:rPr>
              <w:t>Table of Contents</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40" w:type="dxa"/>
            <w:vAlign w:val="bottom"/>
            <w:gridSpan w:val="4"/>
          </w:tcPr>
          <w:p>
            <w:pPr>
              <w:jc w:val="center"/>
              <w:ind w:right="2840"/>
              <w:spacing w:after="0"/>
              <w:rPr>
                <w:sz w:val="20"/>
                <w:szCs w:val="20"/>
                <w:color w:val="auto"/>
              </w:rPr>
            </w:pPr>
            <w:r>
              <w:rPr>
                <w:rFonts w:ascii="Arial" w:cs="Arial" w:eastAsia="Arial" w:hAnsi="Arial"/>
                <w:sz w:val="18"/>
                <w:szCs w:val="18"/>
                <w:b w:val="1"/>
                <w:bCs w:val="1"/>
                <w:color w:val="auto"/>
                <w:w w:val="98"/>
              </w:rPr>
              <w:t>TABLE OF CONTENTS</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40" w:type="dxa"/>
            <w:vAlign w:val="bottom"/>
            <w:gridSpan w:val="4"/>
          </w:tcPr>
          <w:p>
            <w:pPr>
              <w:jc w:val="center"/>
              <w:ind w:right="2820"/>
              <w:spacing w:after="0"/>
              <w:rPr>
                <w:sz w:val="20"/>
                <w:szCs w:val="20"/>
                <w:color w:val="auto"/>
              </w:rPr>
            </w:pPr>
            <w:r>
              <w:rPr>
                <w:rFonts w:ascii="Arial" w:cs="Arial" w:eastAsia="Arial" w:hAnsi="Arial"/>
                <w:sz w:val="18"/>
                <w:szCs w:val="18"/>
                <w:b w:val="1"/>
                <w:bCs w:val="1"/>
                <w:color w:val="auto"/>
                <w:w w:val="99"/>
              </w:rPr>
              <w:t>Prospectus Supplement</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0" w:type="dxa"/>
            <w:vAlign w:val="bottom"/>
          </w:tcPr>
          <w:p>
            <w:pPr>
              <w:spacing w:after="0"/>
              <w:rPr>
                <w:sz w:val="24"/>
                <w:szCs w:val="24"/>
                <w:color w:val="auto"/>
              </w:rPr>
            </w:pPr>
          </w:p>
        </w:tc>
        <w:tc>
          <w:tcPr>
            <w:tcW w:w="364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ABOUT THIS PROSPECTUS SUPPLEMENT</w:t>
            </w:r>
          </w:p>
        </w:tc>
        <w:tc>
          <w:tcPr>
            <w:tcW w:w="630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480" w:type="dxa"/>
            <w:vAlign w:val="bottom"/>
            <w:tcBorders>
              <w:bottom w:val="single" w:sz="8" w:color="0000EE"/>
            </w:tcBorders>
            <w:gridSpan w:val="16"/>
          </w:tcPr>
          <w:p>
            <w:pPr>
              <w:spacing w:after="0" w:line="182" w:lineRule="exact"/>
              <w:rPr>
                <w:sz w:val="20"/>
                <w:szCs w:val="20"/>
                <w:color w:val="auto"/>
              </w:rPr>
            </w:pPr>
            <w:r>
              <w:rPr>
                <w:rFonts w:ascii="Arial" w:cs="Arial" w:eastAsia="Arial" w:hAnsi="Arial"/>
                <w:sz w:val="18"/>
                <w:szCs w:val="18"/>
                <w:color w:val="0000EE"/>
                <w:w w:val="99"/>
              </w:rPr>
              <w:t>PROSPECTUS SUPPLEMENT SUMMARY</w:t>
            </w:r>
          </w:p>
        </w:tc>
        <w:tc>
          <w:tcPr>
            <w:tcW w:w="6460" w:type="dxa"/>
            <w:vAlign w:val="bottom"/>
            <w:gridSpan w:val="7"/>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340" w:type="dxa"/>
            <w:vAlign w:val="bottom"/>
            <w:tcBorders>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8"/>
              </w:rPr>
              <w:t>THE OFFERING</w:t>
            </w:r>
          </w:p>
        </w:tc>
        <w:tc>
          <w:tcPr>
            <w:tcW w:w="8600" w:type="dxa"/>
            <w:vAlign w:val="bottom"/>
            <w:gridSpan w:val="18"/>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320" w:type="dxa"/>
            <w:vAlign w:val="bottom"/>
            <w:tcBorders>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7"/>
              </w:rPr>
              <w:t>RISK FACTORS</w:t>
            </w:r>
          </w:p>
        </w:tc>
        <w:tc>
          <w:tcPr>
            <w:tcW w:w="8620" w:type="dxa"/>
            <w:vAlign w:val="bottom"/>
            <w:gridSpan w:val="19"/>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7840" w:type="dxa"/>
            <w:vAlign w:val="bottom"/>
            <w:tcBorders>
              <w:bottom w:val="single" w:sz="8" w:color="0000EE"/>
            </w:tcBorders>
            <w:gridSpan w:val="21"/>
          </w:tcPr>
          <w:p>
            <w:pPr>
              <w:spacing w:after="0" w:line="182" w:lineRule="exact"/>
              <w:rPr>
                <w:sz w:val="20"/>
                <w:szCs w:val="20"/>
                <w:color w:val="auto"/>
              </w:rPr>
            </w:pPr>
            <w:r>
              <w:rPr>
                <w:rFonts w:ascii="Arial" w:cs="Arial" w:eastAsia="Arial" w:hAnsi="Arial"/>
                <w:sz w:val="18"/>
                <w:szCs w:val="18"/>
                <w:color w:val="0000EE"/>
                <w:w w:val="98"/>
              </w:rPr>
              <w:t>CAUTIONARY NOTE REGARDING FORWARD-LOOKING STATEMENTS AND INDUSTRY DATA</w:t>
            </w:r>
          </w:p>
        </w:tc>
        <w:tc>
          <w:tcPr>
            <w:tcW w:w="2100" w:type="dxa"/>
            <w:vAlign w:val="bottom"/>
            <w:gridSpan w:val="2"/>
          </w:tcPr>
          <w:p>
            <w:pPr>
              <w:spacing w:after="0"/>
              <w:rPr>
                <w:sz w:val="15"/>
                <w:szCs w:val="15"/>
                <w:color w:val="auto"/>
              </w:rPr>
            </w:pP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9940" w:type="dxa"/>
            <w:vAlign w:val="bottom"/>
            <w:gridSpan w:val="23"/>
          </w:tcPr>
          <w:p>
            <w:pPr>
              <w:spacing w:after="0" w:line="182" w:lineRule="exact"/>
              <w:rPr>
                <w:sz w:val="20"/>
                <w:szCs w:val="20"/>
                <w:color w:val="auto"/>
              </w:rPr>
            </w:pPr>
            <w:r>
              <w:rPr>
                <w:rFonts w:ascii="Arial" w:cs="Arial" w:eastAsia="Arial" w:hAnsi="Arial"/>
                <w:sz w:val="18"/>
                <w:szCs w:val="18"/>
                <w:color w:val="0000EE"/>
              </w:rPr>
              <w:t>USE OF PROCEEDS</w:t>
            </w: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86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DILUTION</w:t>
            </w:r>
          </w:p>
        </w:tc>
        <w:tc>
          <w:tcPr>
            <w:tcW w:w="860" w:type="dxa"/>
            <w:vAlign w:val="bottom"/>
            <w:tcBorders>
              <w:top w:val="single" w:sz="8" w:color="0000EE"/>
            </w:tcBorders>
            <w:gridSpan w:val="6"/>
          </w:tcPr>
          <w:p>
            <w:pPr>
              <w:spacing w:after="0"/>
              <w:rPr>
                <w:sz w:val="15"/>
                <w:szCs w:val="15"/>
                <w:color w:val="auto"/>
              </w:rPr>
            </w:pPr>
          </w:p>
        </w:tc>
        <w:tc>
          <w:tcPr>
            <w:tcW w:w="8220" w:type="dxa"/>
            <w:vAlign w:val="bottom"/>
            <w:gridSpan w:val="15"/>
          </w:tcPr>
          <w:p>
            <w:pPr>
              <w:spacing w:after="0"/>
              <w:rPr>
                <w:sz w:val="15"/>
                <w:szCs w:val="15"/>
                <w:color w:val="auto"/>
              </w:rPr>
            </w:pP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9320" w:type="dxa"/>
            <w:vAlign w:val="bottom"/>
            <w:tcBorders>
              <w:bottom w:val="single" w:sz="8" w:color="0000EE"/>
            </w:tcBorders>
            <w:gridSpan w:val="22"/>
          </w:tcPr>
          <w:p>
            <w:pPr>
              <w:spacing w:after="0" w:line="182" w:lineRule="exact"/>
              <w:rPr>
                <w:sz w:val="20"/>
                <w:szCs w:val="20"/>
                <w:color w:val="auto"/>
              </w:rPr>
            </w:pPr>
            <w:r>
              <w:rPr>
                <w:rFonts w:ascii="Arial" w:cs="Arial" w:eastAsia="Arial" w:hAnsi="Arial"/>
                <w:sz w:val="18"/>
                <w:szCs w:val="18"/>
                <w:color w:val="0000EE"/>
                <w:w w:val="99"/>
              </w:rPr>
              <w:t>MATERIAL U.S. INCOME AND ESTATE TAX CONSIDERATIONS FOR NON-U.S. HOLDERS OF COMMON STOCK</w:t>
            </w:r>
          </w:p>
        </w:tc>
        <w:tc>
          <w:tcPr>
            <w:tcW w:w="620" w:type="dxa"/>
            <w:vAlign w:val="bottom"/>
          </w:tcPr>
          <w:p>
            <w:pPr>
              <w:spacing w:after="0"/>
              <w:rPr>
                <w:sz w:val="15"/>
                <w:szCs w:val="15"/>
                <w:color w:val="auto"/>
              </w:rPr>
            </w:pP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420" w:type="dxa"/>
            <w:vAlign w:val="bottom"/>
            <w:tcBorders>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8"/>
              </w:rPr>
              <w:t>UNDERWRITING</w:t>
            </w:r>
          </w:p>
        </w:tc>
        <w:tc>
          <w:tcPr>
            <w:tcW w:w="8520" w:type="dxa"/>
            <w:vAlign w:val="bottom"/>
            <w:gridSpan w:val="17"/>
          </w:tcPr>
          <w:p>
            <w:pPr>
              <w:spacing w:after="0"/>
              <w:rPr>
                <w:sz w:val="15"/>
                <w:szCs w:val="15"/>
                <w:color w:val="auto"/>
              </w:rPr>
            </w:pP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S-20</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480" w:type="dxa"/>
            <w:vAlign w:val="bottom"/>
            <w:tcBorders>
              <w:bottom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7"/>
              </w:rPr>
              <w:t>LEGAL MATTERS</w:t>
            </w:r>
          </w:p>
        </w:tc>
        <w:tc>
          <w:tcPr>
            <w:tcW w:w="8460" w:type="dxa"/>
            <w:vAlign w:val="bottom"/>
            <w:gridSpan w:val="16"/>
          </w:tcPr>
          <w:p>
            <w:pPr>
              <w:spacing w:after="0"/>
              <w:rPr>
                <w:sz w:val="15"/>
                <w:szCs w:val="15"/>
                <w:color w:val="auto"/>
              </w:rPr>
            </w:pP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S-27</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84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7"/>
              </w:rPr>
              <w:t>EXPERTS</w:t>
            </w:r>
          </w:p>
        </w:tc>
        <w:tc>
          <w:tcPr>
            <w:tcW w:w="9100" w:type="dxa"/>
            <w:vAlign w:val="bottom"/>
            <w:gridSpan w:val="22"/>
          </w:tcPr>
          <w:p>
            <w:pPr>
              <w:spacing w:after="0"/>
              <w:rPr>
                <w:sz w:val="15"/>
                <w:szCs w:val="15"/>
                <w:color w:val="auto"/>
              </w:rPr>
            </w:pP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S-27</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900" w:type="dxa"/>
            <w:vAlign w:val="bottom"/>
            <w:tcBorders>
              <w:bottom w:val="single" w:sz="8" w:color="0000EE"/>
            </w:tcBorders>
            <w:gridSpan w:val="19"/>
          </w:tcPr>
          <w:p>
            <w:pPr>
              <w:spacing w:after="0" w:line="182" w:lineRule="exact"/>
              <w:rPr>
                <w:sz w:val="20"/>
                <w:szCs w:val="20"/>
                <w:color w:val="auto"/>
              </w:rPr>
            </w:pPr>
            <w:r>
              <w:rPr>
                <w:rFonts w:ascii="Arial" w:cs="Arial" w:eastAsia="Arial" w:hAnsi="Arial"/>
                <w:sz w:val="18"/>
                <w:szCs w:val="18"/>
                <w:color w:val="0000EE"/>
                <w:w w:val="99"/>
              </w:rPr>
              <w:t>WHERE YOU CAN FIND MORE INFORMATION</w:t>
            </w:r>
          </w:p>
        </w:tc>
        <w:tc>
          <w:tcPr>
            <w:tcW w:w="6040" w:type="dxa"/>
            <w:vAlign w:val="bottom"/>
            <w:gridSpan w:val="4"/>
          </w:tcPr>
          <w:p>
            <w:pPr>
              <w:spacing w:after="0"/>
              <w:rPr>
                <w:sz w:val="15"/>
                <w:szCs w:val="15"/>
                <w:color w:val="auto"/>
              </w:rPr>
            </w:pP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S-27</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9940" w:type="dxa"/>
            <w:vAlign w:val="bottom"/>
            <w:gridSpan w:val="23"/>
          </w:tcPr>
          <w:p>
            <w:pPr>
              <w:spacing w:after="0" w:line="182" w:lineRule="exact"/>
              <w:rPr>
                <w:sz w:val="20"/>
                <w:szCs w:val="20"/>
                <w:color w:val="auto"/>
              </w:rPr>
            </w:pPr>
            <w:r>
              <w:rPr>
                <w:rFonts w:ascii="Arial" w:cs="Arial" w:eastAsia="Arial" w:hAnsi="Arial"/>
                <w:sz w:val="18"/>
                <w:szCs w:val="18"/>
                <w:color w:val="0000EE"/>
              </w:rPr>
              <w:t>INCORPORATION OF CERTAIN DOCUMENTS BY REFERENCE</w:t>
            </w: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S-28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40" w:type="dxa"/>
            <w:vAlign w:val="bottom"/>
            <w:gridSpan w:val="4"/>
          </w:tcPr>
          <w:p>
            <w:pPr>
              <w:jc w:val="center"/>
              <w:ind w:right="2820"/>
              <w:spacing w:after="0"/>
              <w:rPr>
                <w:sz w:val="20"/>
                <w:szCs w:val="20"/>
                <w:color w:val="auto"/>
              </w:rPr>
            </w:pPr>
            <w:r>
              <w:rPr>
                <w:rFonts w:ascii="Arial" w:cs="Arial" w:eastAsia="Arial" w:hAnsi="Arial"/>
                <w:sz w:val="18"/>
                <w:szCs w:val="18"/>
                <w:b w:val="1"/>
                <w:bCs w:val="1"/>
                <w:color w:val="auto"/>
                <w:w w:val="99"/>
              </w:rPr>
              <w:t>Prospectus</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0" w:type="dxa"/>
            <w:vAlign w:val="bottom"/>
          </w:tcPr>
          <w:p>
            <w:pPr>
              <w:spacing w:after="0"/>
              <w:rPr>
                <w:sz w:val="24"/>
                <w:szCs w:val="24"/>
                <w:color w:val="auto"/>
              </w:rPr>
            </w:pPr>
          </w:p>
        </w:tc>
        <w:tc>
          <w:tcPr>
            <w:tcW w:w="9940" w:type="dxa"/>
            <w:vAlign w:val="bottom"/>
            <w:gridSpan w:val="23"/>
            <w:vMerge w:val="restart"/>
          </w:tcPr>
          <w:p>
            <w:pPr>
              <w:spacing w:after="0"/>
              <w:rPr>
                <w:sz w:val="20"/>
                <w:szCs w:val="20"/>
                <w:color w:val="auto"/>
              </w:rPr>
            </w:pPr>
            <w:r>
              <w:rPr>
                <w:rFonts w:ascii="Arial" w:cs="Arial" w:eastAsia="Arial" w:hAnsi="Arial"/>
                <w:sz w:val="18"/>
                <w:szCs w:val="18"/>
                <w:color w:val="0000EE"/>
              </w:rPr>
              <w:t>ABOUT THIS PROSPECTUS</w:t>
            </w:r>
          </w:p>
        </w:tc>
        <w:tc>
          <w:tcPr>
            <w:tcW w:w="66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9940" w:type="dxa"/>
            <w:vAlign w:val="bottom"/>
            <w:gridSpan w:val="23"/>
            <w:vMerge w:val="continue"/>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7"/>
              </w:rPr>
              <w:t>RISK FACTORS</w:t>
            </w:r>
          </w:p>
        </w:tc>
        <w:tc>
          <w:tcPr>
            <w:tcW w:w="1040" w:type="dxa"/>
            <w:vAlign w:val="bottom"/>
            <w:tcBorders>
              <w:top w:val="single" w:sz="8" w:color="0000EE"/>
            </w:tcBorders>
            <w:gridSpan w:val="7"/>
          </w:tcPr>
          <w:p>
            <w:pPr>
              <w:spacing w:after="0"/>
              <w:rPr>
                <w:sz w:val="17"/>
                <w:szCs w:val="17"/>
                <w:color w:val="auto"/>
              </w:rPr>
            </w:pPr>
          </w:p>
        </w:tc>
        <w:tc>
          <w:tcPr>
            <w:tcW w:w="7580" w:type="dxa"/>
            <w:vAlign w:val="bottom"/>
            <w:gridSpan w:val="12"/>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90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9"/>
              </w:rPr>
              <w:t>WHERE YOU CAN FIND MORE INFORMATION</w:t>
            </w:r>
          </w:p>
        </w:tc>
        <w:tc>
          <w:tcPr>
            <w:tcW w:w="6040" w:type="dxa"/>
            <w:vAlign w:val="bottom"/>
            <w:gridSpan w:val="4"/>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940" w:type="dxa"/>
            <w:vAlign w:val="bottom"/>
            <w:gridSpan w:val="23"/>
          </w:tcPr>
          <w:p>
            <w:pPr>
              <w:spacing w:after="0" w:line="196" w:lineRule="exact"/>
              <w:rPr>
                <w:sz w:val="20"/>
                <w:szCs w:val="20"/>
                <w:color w:val="auto"/>
              </w:rPr>
            </w:pPr>
            <w:r>
              <w:rPr>
                <w:rFonts w:ascii="Arial" w:cs="Arial" w:eastAsia="Arial" w:hAnsi="Arial"/>
                <w:sz w:val="18"/>
                <w:szCs w:val="18"/>
                <w:color w:val="0000EE"/>
              </w:rPr>
              <w:t>INCORPORATION OF CERTAIN DOCUMENTS BY REFERENCE</w:t>
            </w: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720" w:type="dxa"/>
            <w:vAlign w:val="bottom"/>
            <w:gridSpan w:val="8"/>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20" w:type="dxa"/>
            <w:vAlign w:val="bottom"/>
            <w:gridSpan w:val="3"/>
            <w:vMerge w:val="restart"/>
          </w:tcPr>
          <w:p>
            <w:pPr>
              <w:jc w:val="right"/>
              <w:ind w:right="20"/>
              <w:spacing w:after="0" w:line="216" w:lineRule="exact"/>
              <w:rPr>
                <w:sz w:val="20"/>
                <w:szCs w:val="20"/>
                <w:color w:val="auto"/>
              </w:rPr>
            </w:pPr>
            <w:r>
              <w:rPr>
                <w:rFonts w:ascii="Arial" w:cs="Arial" w:eastAsia="Arial" w:hAnsi="Arial"/>
                <w:sz w:val="20"/>
                <w:szCs w:val="20"/>
                <w:color w:val="auto"/>
              </w:rPr>
              <w:t>4</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940" w:type="dxa"/>
            <w:vAlign w:val="bottom"/>
            <w:gridSpan w:val="23"/>
          </w:tcPr>
          <w:p>
            <w:pPr>
              <w:spacing w:after="0" w:line="196" w:lineRule="exact"/>
              <w:rPr>
                <w:sz w:val="20"/>
                <w:szCs w:val="20"/>
                <w:color w:val="auto"/>
              </w:rPr>
            </w:pPr>
            <w:r>
              <w:rPr>
                <w:rFonts w:ascii="Arial" w:cs="Arial" w:eastAsia="Arial" w:hAnsi="Arial"/>
                <w:sz w:val="18"/>
                <w:szCs w:val="18"/>
                <w:color w:val="0000EE"/>
              </w:rPr>
              <w:t>CAUTIONARY NOTE REGARDING FORWARD-LOOKING STATEMENTS AND INDUSTRY DATA</w:t>
            </w:r>
          </w:p>
        </w:tc>
        <w:tc>
          <w:tcPr>
            <w:tcW w:w="10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84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8"/>
                <w:szCs w:val="18"/>
                <w:color w:val="0000EE"/>
              </w:rPr>
              <w:t>ABOUT FULCRUM THERAPEUTICS, INC.</w:t>
            </w:r>
          </w:p>
        </w:tc>
        <w:tc>
          <w:tcPr>
            <w:tcW w:w="2100" w:type="dxa"/>
            <w:vAlign w:val="bottom"/>
            <w:gridSpan w:val="2"/>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440" w:type="dxa"/>
            <w:vAlign w:val="bottom"/>
            <w:tcBorders>
              <w:top w:val="single" w:sz="8" w:color="0000EE"/>
            </w:tcBorders>
            <w:gridSpan w:val="15"/>
          </w:tcPr>
          <w:p>
            <w:pPr>
              <w:spacing w:after="0" w:line="196" w:lineRule="exact"/>
              <w:rPr>
                <w:sz w:val="20"/>
                <w:szCs w:val="20"/>
                <w:color w:val="auto"/>
              </w:rPr>
            </w:pPr>
            <w:r>
              <w:rPr>
                <w:rFonts w:ascii="Arial" w:cs="Arial" w:eastAsia="Arial" w:hAnsi="Arial"/>
                <w:sz w:val="18"/>
                <w:szCs w:val="18"/>
                <w:color w:val="0000EE"/>
              </w:rPr>
              <w:t>USE OF PROCEEDS</w:t>
            </w:r>
          </w:p>
        </w:tc>
        <w:tc>
          <w:tcPr>
            <w:tcW w:w="6500" w:type="dxa"/>
            <w:vAlign w:val="bottom"/>
            <w:gridSpan w:val="8"/>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720" w:type="dxa"/>
            <w:vAlign w:val="bottom"/>
            <w:gridSpan w:val="8"/>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440" w:type="dxa"/>
            <w:vAlign w:val="bottom"/>
            <w:gridSpan w:val="6"/>
          </w:tcPr>
          <w:p>
            <w:pPr>
              <w:spacing w:after="0" w:line="20" w:lineRule="exact"/>
              <w:rPr>
                <w:sz w:val="1"/>
                <w:szCs w:val="1"/>
                <w:color w:val="auto"/>
              </w:rPr>
            </w:pPr>
          </w:p>
        </w:tc>
        <w:tc>
          <w:tcPr>
            <w:tcW w:w="1020" w:type="dxa"/>
            <w:vAlign w:val="bottom"/>
            <w:gridSpan w:val="3"/>
            <w:vMerge w:val="restart"/>
          </w:tcPr>
          <w:p>
            <w:pPr>
              <w:jc w:val="right"/>
              <w:ind w:right="20"/>
              <w:spacing w:after="0" w:line="216" w:lineRule="exact"/>
              <w:rPr>
                <w:sz w:val="20"/>
                <w:szCs w:val="20"/>
                <w:color w:val="auto"/>
              </w:rPr>
            </w:pPr>
            <w:r>
              <w:rPr>
                <w:rFonts w:ascii="Arial" w:cs="Arial" w:eastAsia="Arial" w:hAnsi="Arial"/>
                <w:sz w:val="20"/>
                <w:szCs w:val="20"/>
                <w:color w:val="auto"/>
              </w:rPr>
              <w:t>7</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940" w:type="dxa"/>
            <w:vAlign w:val="bottom"/>
            <w:gridSpan w:val="23"/>
          </w:tcPr>
          <w:p>
            <w:pPr>
              <w:spacing w:after="0" w:line="196" w:lineRule="exact"/>
              <w:rPr>
                <w:sz w:val="20"/>
                <w:szCs w:val="20"/>
                <w:color w:val="auto"/>
              </w:rPr>
            </w:pPr>
            <w:r>
              <w:rPr>
                <w:rFonts w:ascii="Arial" w:cs="Arial" w:eastAsia="Arial" w:hAnsi="Arial"/>
                <w:sz w:val="18"/>
                <w:szCs w:val="18"/>
                <w:color w:val="0000EE"/>
              </w:rPr>
              <w:t>DESCRIPTION OF DEBT SECURITIES</w:t>
            </w:r>
          </w:p>
        </w:tc>
        <w:tc>
          <w:tcPr>
            <w:tcW w:w="10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8"/>
              </w:rPr>
              <w:t>DESCRIPTION OF CAPITAL STOCK</w:t>
            </w:r>
          </w:p>
        </w:tc>
        <w:tc>
          <w:tcPr>
            <w:tcW w:w="200" w:type="dxa"/>
            <w:vAlign w:val="bottom"/>
            <w:tcBorders>
              <w:top w:val="single" w:sz="8" w:color="0000EE"/>
            </w:tcBorders>
          </w:tcPr>
          <w:p>
            <w:pPr>
              <w:spacing w:after="0"/>
              <w:rPr>
                <w:sz w:val="17"/>
                <w:szCs w:val="17"/>
                <w:color w:val="auto"/>
              </w:rPr>
            </w:pPr>
          </w:p>
        </w:tc>
        <w:tc>
          <w:tcPr>
            <w:tcW w:w="6760" w:type="dxa"/>
            <w:vAlign w:val="bottom"/>
            <w:gridSpan w:val="9"/>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940" w:type="dxa"/>
            <w:vAlign w:val="bottom"/>
            <w:gridSpan w:val="23"/>
          </w:tcPr>
          <w:p>
            <w:pPr>
              <w:spacing w:after="0" w:line="196" w:lineRule="exact"/>
              <w:rPr>
                <w:sz w:val="20"/>
                <w:szCs w:val="20"/>
                <w:color w:val="auto"/>
              </w:rPr>
            </w:pPr>
            <w:r>
              <w:rPr>
                <w:rFonts w:ascii="Arial" w:cs="Arial" w:eastAsia="Arial" w:hAnsi="Arial"/>
                <w:sz w:val="18"/>
                <w:szCs w:val="18"/>
                <w:color w:val="0000EE"/>
              </w:rPr>
              <w:t>DESCRIPTION OF DEPOSITARY SHARES</w:t>
            </w: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9"/>
              </w:rPr>
              <w:t>DESCRIPTION OF UNITS</w:t>
            </w:r>
          </w:p>
        </w:tc>
        <w:tc>
          <w:tcPr>
            <w:tcW w:w="1380" w:type="dxa"/>
            <w:vAlign w:val="bottom"/>
            <w:tcBorders>
              <w:top w:val="single" w:sz="8" w:color="0000EE"/>
            </w:tcBorders>
            <w:gridSpan w:val="7"/>
          </w:tcPr>
          <w:p>
            <w:pPr>
              <w:spacing w:after="0"/>
              <w:rPr>
                <w:sz w:val="17"/>
                <w:szCs w:val="17"/>
                <w:color w:val="auto"/>
              </w:rPr>
            </w:pPr>
          </w:p>
        </w:tc>
        <w:tc>
          <w:tcPr>
            <w:tcW w:w="6440" w:type="dxa"/>
            <w:vAlign w:val="bottom"/>
            <w:gridSpan w:val="6"/>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60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8"/>
              </w:rPr>
              <w:t>DESCRIPTION OF WARRANTS</w:t>
            </w:r>
          </w:p>
        </w:tc>
        <w:tc>
          <w:tcPr>
            <w:tcW w:w="7340" w:type="dxa"/>
            <w:vAlign w:val="bottom"/>
            <w:gridSpan w:val="11"/>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08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9"/>
              </w:rPr>
              <w:t>FORMS OF SECURITIES</w:t>
            </w:r>
          </w:p>
        </w:tc>
        <w:tc>
          <w:tcPr>
            <w:tcW w:w="7860" w:type="dxa"/>
            <w:vAlign w:val="bottom"/>
            <w:gridSpan w:val="14"/>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940" w:type="dxa"/>
            <w:vAlign w:val="bottom"/>
            <w:gridSpan w:val="23"/>
          </w:tcPr>
          <w:p>
            <w:pPr>
              <w:spacing w:after="0" w:line="196" w:lineRule="exact"/>
              <w:rPr>
                <w:sz w:val="20"/>
                <w:szCs w:val="20"/>
                <w:color w:val="auto"/>
              </w:rPr>
            </w:pPr>
            <w:r>
              <w:rPr>
                <w:rFonts w:ascii="Arial" w:cs="Arial" w:eastAsia="Arial" w:hAnsi="Arial"/>
                <w:sz w:val="18"/>
                <w:szCs w:val="18"/>
                <w:color w:val="0000EE"/>
              </w:rPr>
              <w:t>PLAN OF DISTRIBUTION</w:t>
            </w: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7"/>
              </w:rPr>
              <w:t>LEGAL MATTERS</w:t>
            </w:r>
          </w:p>
        </w:tc>
        <w:tc>
          <w:tcPr>
            <w:tcW w:w="600" w:type="dxa"/>
            <w:vAlign w:val="bottom"/>
            <w:tcBorders>
              <w:top w:val="single" w:sz="8" w:color="0000EE"/>
            </w:tcBorders>
            <w:gridSpan w:val="2"/>
          </w:tcPr>
          <w:p>
            <w:pPr>
              <w:spacing w:after="0"/>
              <w:rPr>
                <w:sz w:val="17"/>
                <w:szCs w:val="17"/>
                <w:color w:val="auto"/>
              </w:rPr>
            </w:pPr>
          </w:p>
        </w:tc>
        <w:tc>
          <w:tcPr>
            <w:tcW w:w="7860" w:type="dxa"/>
            <w:vAlign w:val="bottom"/>
            <w:gridSpan w:val="14"/>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4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7"/>
              </w:rPr>
              <w:t>EXPERTS</w:t>
            </w:r>
          </w:p>
        </w:tc>
        <w:tc>
          <w:tcPr>
            <w:tcW w:w="9100" w:type="dxa"/>
            <w:vAlign w:val="bottom"/>
            <w:gridSpan w:val="22"/>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60"/>
          </w:cols>
          <w:pgMar w:left="320" w:top="446" w:right="5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 SUPPLEMENT</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This document is part of a registration statement that we filed with the Securities and Exchange Commission, or the SEC, utilizing a “shelf” registration process and consists of two parts. The first part is this prospectus supplement, which describes the specific terms of this common stock offering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206" w:lineRule="exact"/>
        <w:rPr>
          <w:sz w:val="20"/>
          <w:szCs w:val="20"/>
          <w:color w:val="auto"/>
        </w:rPr>
      </w:pPr>
    </w:p>
    <w:p>
      <w:pPr>
        <w:ind w:left="120" w:right="180" w:firstLine="551"/>
        <w:spacing w:after="0" w:line="237"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205"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Neither we nor the underwriters have authorized anyone to provide any information other than that contained or incorporated by reference into this prospectus supplement, the accompanying prospectus or in any free writing prospectus prepared by or on behalf of us or to which we have referred you. We and the underwriters take no responsibility for, and can provide no assurance as to the reliability of, any other information that others may give you. This prospectus supplement and the accompanying prospectus do not constitute an offer to sell, or a solicitation of an offer to purchase, the securities offered by this prospectus supplement and the accompanying prospectus in any jurisdiction to or from any person to whom or from whom it is unlawful to make such offer or solicitation of an offer in such jurisdiction. The information contained in this prospectus supplement or the accompanying prospectus, or incorporated by reference herein or therein is accurate only as of the respective dates thereof, regardless of the time of delivery of this prospectus supplement and the accompanying prospectus or of any sale of our common stock. It is important for you to read and consider all information contained in this prospectus supplement and the accompanying prospectus,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of Certain Information By Reference” in this prospectus supplement and in the accompanying prospectus.</w:t>
      </w:r>
    </w:p>
    <w:p>
      <w:pPr>
        <w:spacing w:after="0" w:line="203"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We are offering to sell, and seeking offers to buy, shares of our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208"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Unless the context otherwise indicates, references in this prospectus supplement to “Fulcrum” “we,” “our,” “us” and “the Company” refer, collectively, to Fulcrum Therapeutics, Inc., a Delaware corporation and its consolidated subsidiary.</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00"/>
          </w:cols>
          <w:pgMar w:left="320" w:top="459"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56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7562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SUPPLEMENT SUMMARY</w:t>
      </w:r>
    </w:p>
    <w:p>
      <w:pPr>
        <w:spacing w:after="0" w:line="216" w:lineRule="exact"/>
        <w:rPr>
          <w:sz w:val="20"/>
          <w:szCs w:val="20"/>
          <w:color w:val="auto"/>
        </w:rPr>
      </w:pPr>
    </w:p>
    <w:p>
      <w:pPr>
        <w:ind w:left="300" w:right="40" w:firstLine="532"/>
        <w:spacing w:after="0"/>
        <w:rPr>
          <w:sz w:val="20"/>
          <w:szCs w:val="20"/>
          <w:color w:val="auto"/>
        </w:rPr>
      </w:pPr>
      <w:r>
        <w:rPr>
          <w:rFonts w:ascii="Arial" w:cs="Arial" w:eastAsia="Arial" w:hAnsi="Arial"/>
          <w:sz w:val="18"/>
          <w:szCs w:val="18"/>
          <w:i w:val="1"/>
          <w:iCs w:val="1"/>
          <w:color w:val="auto"/>
        </w:rPr>
        <w:t>This summary highlights certain information about us, this offering and selected information contained elsewhere in this prospectus supplement, the accompanying base prospectus and in the documents we incorporate by reference. This summary is not complete and does not contain all of the information that you should consider before making an investment decision. You should read this entire prospectus carefully, especially the risks of investing in our common stock discussed under “Risk Factors” beginning on page S-9 of this prospectus supplement and page 2 of the accompanying base prospectus, along with our consolidated financial statements and notes to those consolidated financial statements and the other documents incorporated by reference in this prospectus supplement, along with any free writing prospectus that we have authorized for use in connection with this offering.</w:t>
      </w:r>
    </w:p>
    <w:p>
      <w:pPr>
        <w:spacing w:after="0" w:line="28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Company Overview</w:t>
      </w:r>
    </w:p>
    <w:p>
      <w:pPr>
        <w:spacing w:after="0" w:line="234" w:lineRule="exact"/>
        <w:rPr>
          <w:sz w:val="20"/>
          <w:szCs w:val="20"/>
          <w:color w:val="auto"/>
        </w:rPr>
      </w:pPr>
    </w:p>
    <w:p>
      <w:pPr>
        <w:ind w:left="300" w:firstLine="532"/>
        <w:spacing w:after="0" w:line="237" w:lineRule="auto"/>
        <w:rPr>
          <w:sz w:val="20"/>
          <w:szCs w:val="20"/>
          <w:color w:val="auto"/>
        </w:rPr>
      </w:pPr>
      <w:r>
        <w:rPr>
          <w:rFonts w:ascii="Arial" w:cs="Arial" w:eastAsia="Arial" w:hAnsi="Arial"/>
          <w:sz w:val="18"/>
          <w:szCs w:val="18"/>
          <w:color w:val="auto"/>
        </w:rPr>
        <w:t>We are a clinical-stage biopharmaceutical company focused on improving the lives of patients with genetically defined rare diseases in areas of high unmet medical need. Our most advanced product candidate, losmapimod, is in development to treat the root cause of facioscapulohumeral muscular dystrophy, or FSHD. We initiated REACH, a randomized, double-blind, placebo-controlled, multi-national Phase 3 clinical trial of losmapimod, our product candidate for FSHD, in the second quarter of 2022 and in July 2022 announced enrollment of the first patient in REACH. Our other clinical product candidate is FTX-6058, which is being developed for the treatment of certain hemoglobinopathies, including sickle cell disease, or SCD. In June 2022, we announced clinical proof-of-concept data from the ongoing Phase 1b trial of FTX-6058 for the treatment of SCD.</w:t>
      </w:r>
    </w:p>
    <w:p>
      <w:pPr>
        <w:spacing w:after="0" w:line="203" w:lineRule="exact"/>
        <w:rPr>
          <w:sz w:val="20"/>
          <w:szCs w:val="20"/>
          <w:color w:val="auto"/>
        </w:rPr>
      </w:pPr>
    </w:p>
    <w:p>
      <w:pPr>
        <w:ind w:left="300" w:right="100" w:firstLine="532"/>
        <w:spacing w:after="0" w:line="236" w:lineRule="auto"/>
        <w:rPr>
          <w:sz w:val="20"/>
          <w:szCs w:val="20"/>
          <w:color w:val="auto"/>
        </w:rPr>
      </w:pPr>
      <w:r>
        <w:rPr>
          <w:rFonts w:ascii="Arial" w:cs="Arial" w:eastAsia="Arial" w:hAnsi="Arial"/>
          <w:sz w:val="18"/>
          <w:szCs w:val="18"/>
          <w:color w:val="auto"/>
        </w:rPr>
        <w:t>We have developed a proprietary product engine, FulcrumSeek, that we employ to systematically identify and validate cellular drug targets that can potentially modulate gene expression to treat known root causes of genetically defined diseases. Our product engine integrates patient-derived tissue and disease-relevant cell models that we interrogate with our pharmacologically diverse and highly annotated small-molecule compound library as well as with our customized CRISPR and RNAi libraries. These screens generate tens of millions of data points and high-content imaging which we then apply computational biology and analytics to identify targets with specificity and selectivity accompanied by a comprehensive data set that significantly accelerates development. This approach led to the identification of both losmapimod for FSHD and FTX-6058 for hemoglobinopathies, as well as a robust discovery pipeline. We expect to nominate our next development candidate this year to support our fourth investigational new drug application by the end of the first quarter of 2023.</w:t>
      </w:r>
    </w:p>
    <w:p>
      <w:pPr>
        <w:spacing w:after="0" w:line="207" w:lineRule="exact"/>
        <w:rPr>
          <w:sz w:val="20"/>
          <w:szCs w:val="20"/>
          <w:color w:val="auto"/>
        </w:rPr>
      </w:pPr>
    </w:p>
    <w:p>
      <w:pPr>
        <w:ind w:left="300" w:right="200" w:firstLine="532"/>
        <w:spacing w:after="0" w:line="238" w:lineRule="auto"/>
        <w:rPr>
          <w:sz w:val="20"/>
          <w:szCs w:val="20"/>
          <w:color w:val="auto"/>
        </w:rPr>
      </w:pPr>
      <w:r>
        <w:rPr>
          <w:rFonts w:ascii="Arial" w:cs="Arial" w:eastAsia="Arial" w:hAnsi="Arial"/>
          <w:sz w:val="18"/>
          <w:szCs w:val="18"/>
          <w:color w:val="auto"/>
        </w:rPr>
        <w:t>In August 2022, we announced a strategic plan to realign internal investments and operations to prioritize our two clinical programs, which we believe will extend our cash runway into mid-2024. In connection with this decision, we announced a workforce reduction of 25% of our planned headcount that we expect to complete in August 2022. This restructuring will result in cumulative savings of approximately $40 million to $50 million into mid-2024.</w:t>
      </w:r>
    </w:p>
    <w:p>
      <w:pPr>
        <w:spacing w:after="0" w:line="20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have incurred significant operating losses since our inception and we expect to continue to incur significant operating</w:t>
      </w:r>
    </w:p>
    <w:p>
      <w:pPr>
        <w:ind w:left="300"/>
        <w:spacing w:after="0" w:line="234" w:lineRule="auto"/>
        <w:rPr>
          <w:sz w:val="20"/>
          <w:szCs w:val="20"/>
          <w:color w:val="auto"/>
        </w:rPr>
      </w:pPr>
      <w:r>
        <w:rPr>
          <w:rFonts w:ascii="Arial" w:cs="Arial" w:eastAsia="Arial" w:hAnsi="Arial"/>
          <w:sz w:val="18"/>
          <w:szCs w:val="18"/>
          <w:color w:val="auto"/>
        </w:rPr>
        <w:t>losses for the foreseeable future. Our ability to generate product revenue sufficient to achieve profitability, if ever, will depend heavily</w:t>
      </w:r>
    </w:p>
    <w:p>
      <w:pPr>
        <w:ind w:left="300"/>
        <w:spacing w:after="0" w:line="235" w:lineRule="auto"/>
        <w:rPr>
          <w:sz w:val="20"/>
          <w:szCs w:val="20"/>
          <w:color w:val="auto"/>
        </w:rPr>
      </w:pPr>
      <w:r>
        <w:rPr>
          <w:rFonts w:ascii="Arial" w:cs="Arial" w:eastAsia="Arial" w:hAnsi="Arial"/>
          <w:sz w:val="18"/>
          <w:szCs w:val="18"/>
          <w:color w:val="auto"/>
        </w:rPr>
        <w:t>on the successful development and eventual commercialization of one or more of our product candidates. Our net losses were</w:t>
      </w:r>
    </w:p>
    <w:p>
      <w:pPr>
        <w:ind w:left="300"/>
        <w:spacing w:after="0" w:line="235" w:lineRule="auto"/>
        <w:rPr>
          <w:sz w:val="20"/>
          <w:szCs w:val="20"/>
          <w:color w:val="auto"/>
        </w:rPr>
      </w:pPr>
      <w:r>
        <w:rPr>
          <w:rFonts w:ascii="Arial" w:cs="Arial" w:eastAsia="Arial" w:hAnsi="Arial"/>
          <w:sz w:val="18"/>
          <w:szCs w:val="18"/>
          <w:color w:val="auto"/>
        </w:rPr>
        <w:t>$34.1 million and $60.0 million for the three and six months ended June 30, 2022, respectively, and $19.6 million and $36.6 million for</w:t>
      </w:r>
    </w:p>
    <w:p>
      <w:pPr>
        <w:ind w:left="300"/>
        <w:spacing w:after="0" w:line="235" w:lineRule="auto"/>
        <w:rPr>
          <w:sz w:val="20"/>
          <w:szCs w:val="20"/>
          <w:color w:val="auto"/>
        </w:rPr>
      </w:pPr>
      <w:r>
        <w:rPr>
          <w:rFonts w:ascii="Arial" w:cs="Arial" w:eastAsia="Arial" w:hAnsi="Arial"/>
          <w:sz w:val="18"/>
          <w:szCs w:val="18"/>
          <w:color w:val="auto"/>
        </w:rPr>
        <w:t>the three and six months ended June 30, 2021, respectively. As of June 30, 2022, we had an accumulated deficit of $362.5 million.</w:t>
      </w:r>
    </w:p>
    <w:p>
      <w:pPr>
        <w:ind w:left="300"/>
        <w:spacing w:after="0" w:line="235" w:lineRule="auto"/>
        <w:rPr>
          <w:sz w:val="20"/>
          <w:szCs w:val="20"/>
          <w:color w:val="auto"/>
        </w:rPr>
      </w:pPr>
      <w:r>
        <w:rPr>
          <w:rFonts w:ascii="Arial" w:cs="Arial" w:eastAsia="Arial" w:hAnsi="Arial"/>
          <w:sz w:val="18"/>
          <w:szCs w:val="18"/>
          <w:color w:val="auto"/>
        </w:rPr>
        <w:t>We expect our expenses and operating losses will increase substantially over the next several years in connection with our ongoing</w:t>
      </w:r>
    </w:p>
    <w:p>
      <w:pPr>
        <w:ind w:left="300"/>
        <w:spacing w:after="0"/>
        <w:rPr>
          <w:sz w:val="20"/>
          <w:szCs w:val="20"/>
          <w:color w:val="auto"/>
        </w:rPr>
      </w:pPr>
      <w:r>
        <w:rPr>
          <w:rFonts w:ascii="Arial" w:cs="Arial" w:eastAsia="Arial" w:hAnsi="Arial"/>
          <w:sz w:val="18"/>
          <w:szCs w:val="18"/>
          <w:color w:val="auto"/>
        </w:rPr>
        <w:t>activities.</w:t>
      </w:r>
    </w:p>
    <w:p>
      <w:pPr>
        <w:spacing w:after="0" w:line="3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40"/>
          </w:cols>
          <w:pgMar w:left="320" w:top="459" w:right="6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36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Product Candidates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Losmapimod</w:t>
      </w:r>
    </w:p>
    <w:p>
      <w:pPr>
        <w:spacing w:after="0" w:line="126" w:lineRule="exact"/>
        <w:rPr>
          <w:sz w:val="20"/>
          <w:szCs w:val="20"/>
          <w:color w:val="auto"/>
        </w:rPr>
      </w:pPr>
    </w:p>
    <w:p>
      <w:pPr>
        <w:ind w:left="300" w:right="100" w:firstLine="532"/>
        <w:spacing w:after="0" w:line="239" w:lineRule="auto"/>
        <w:rPr>
          <w:sz w:val="20"/>
          <w:szCs w:val="20"/>
          <w:color w:val="auto"/>
        </w:rPr>
      </w:pPr>
      <w:r>
        <w:rPr>
          <w:rFonts w:ascii="Arial" w:cs="Arial" w:eastAsia="Arial" w:hAnsi="Arial"/>
          <w:sz w:val="18"/>
          <w:szCs w:val="18"/>
          <w:color w:val="auto"/>
        </w:rPr>
        <w:t>Our most advanced product candidate, losmapimod, is a small molecule that we are developing for the treatment of FSHD, a rare, progressive and disabling disorder characterized by muscle degeneration and fat infiltration. Disease progression results in the accumulation of disability with many patients ultimately becoming dependent on wheelchairs and losing independence as their ability to perform activities of daily living decreases. The aberrant expression of the DUX4 gene is the known root cause of FSHD. We utilized our product engine to discover that inhibition of p38a/ß reduced expression of the DUX4 gene in muscle cells derived from patients with FSHD. Our losmapimod selectively targets and inhibits activity of p38a/ß mitogen activated protein kinase, or p38a/ß. There are no approved therapies for FSHD, one of the most common forms of muscular dystrophy, with an estimated patient population of 16,000 to 38,000 in the United States and 300,000 to 780,000 globally. Losmapimod has received orphan drug designation from both the U.S. Food and Drug Administration, or FDA, and the European Medicines Agency, or EMA, for the treatment of FSHD, and in April 2021, received fast track designation from the FDA.</w:t>
      </w:r>
    </w:p>
    <w:p>
      <w:pPr>
        <w:spacing w:after="0" w:line="193" w:lineRule="exact"/>
        <w:rPr>
          <w:sz w:val="20"/>
          <w:szCs w:val="20"/>
          <w:color w:val="auto"/>
        </w:rPr>
      </w:pPr>
    </w:p>
    <w:p>
      <w:pPr>
        <w:ind w:left="300" w:right="100" w:firstLine="532"/>
        <w:spacing w:after="0"/>
        <w:rPr>
          <w:sz w:val="20"/>
          <w:szCs w:val="20"/>
          <w:color w:val="auto"/>
        </w:rPr>
      </w:pPr>
      <w:r>
        <w:rPr>
          <w:rFonts w:ascii="Arial" w:cs="Arial" w:eastAsia="Arial" w:hAnsi="Arial"/>
          <w:sz w:val="18"/>
          <w:szCs w:val="18"/>
          <w:color w:val="auto"/>
        </w:rPr>
        <w:t>Following our discovery of the role of p38a/ß inhibitors in the reduction of DUX4 expression in preclinical models of FSHD, we performed an extensive review of known compounds. As a result of our evaluation, we identified losmapimod as the preferred developmental candidate based on the substantial and attractive preclinical and clinical data. We in-licensed losmapimod from affiliates of GlaxoSmithKline plc, or GSK, in February 2019. GSK had previously administered losmapimod to nearly 3,500 subjects across multiple clinical trials, including one Phase 3 clinical trial, and losmapimod was generally well-tolerated across these studies. GSK did not conduct a clinical trial of losmapimod in patients with FSHD or any other muscle disorder. We conducted extensive preclinical testing of losmapimod in patient-derived, tissue-relevant cell models and observed that losmapimod selectively reduced DUX4-driven gene expression and restored a healthy gene expression signature with minimal impact on healthy human muscle cells or other cell types.</w:t>
      </w:r>
    </w:p>
    <w:p>
      <w:pPr>
        <w:spacing w:after="0" w:line="203" w:lineRule="exact"/>
        <w:rPr>
          <w:sz w:val="20"/>
          <w:szCs w:val="20"/>
          <w:color w:val="auto"/>
        </w:rPr>
      </w:pPr>
    </w:p>
    <w:p>
      <w:pPr>
        <w:ind w:left="300" w:right="60" w:firstLine="532"/>
        <w:spacing w:after="0" w:line="253" w:lineRule="auto"/>
        <w:rPr>
          <w:sz w:val="20"/>
          <w:szCs w:val="20"/>
          <w:color w:val="auto"/>
        </w:rPr>
      </w:pPr>
      <w:r>
        <w:rPr>
          <w:rFonts w:ascii="Arial" w:cs="Arial" w:eastAsia="Arial" w:hAnsi="Arial"/>
          <w:sz w:val="17"/>
          <w:szCs w:val="17"/>
          <w:color w:val="auto"/>
        </w:rPr>
        <w:t>We conducted a randomized, double-blind, placebo-controlled, multicenter, international Phase 2b clinical trial, referred to as ReDUX4, to evaluate losmapimod in 80 patients with FSHD. In this Phase 2b clinical trial, the primary endpoint was change in DUX4-driven gene expression, an experimental molecular biomarker. Secondary endpoints included evaluation of safety and tolerability, pharmacokinetics in blood, as well as measures of muscle health, structure and function, including muscle fat infiltration, or MFI, reachable workspace, or RWS, and patient-reported outcomes. Concurrently, we initiated a single-center open label Phase 2 clinical trial to investigate the safety and tolerability of chronic treatment with losmapimod in patients with FSHD. In the ongoing extension of the open label trial, we are also evaluating measures of muscle function, muscle strength, and patient reported quality of life.</w:t>
      </w:r>
    </w:p>
    <w:p>
      <w:pPr>
        <w:spacing w:after="0" w:line="191" w:lineRule="exact"/>
        <w:rPr>
          <w:sz w:val="20"/>
          <w:szCs w:val="20"/>
          <w:color w:val="auto"/>
        </w:rPr>
      </w:pPr>
    </w:p>
    <w:p>
      <w:pPr>
        <w:ind w:left="300" w:firstLine="532"/>
        <w:spacing w:after="0" w:line="251" w:lineRule="auto"/>
        <w:rPr>
          <w:sz w:val="20"/>
          <w:szCs w:val="20"/>
          <w:color w:val="auto"/>
        </w:rPr>
      </w:pPr>
      <w:r>
        <w:rPr>
          <w:rFonts w:ascii="Arial" w:cs="Arial" w:eastAsia="Arial" w:hAnsi="Arial"/>
          <w:sz w:val="17"/>
          <w:szCs w:val="17"/>
          <w:color w:val="auto"/>
        </w:rPr>
        <w:t>We presented the full data from the ReDUX4 trial in June 2021. While the primary endpoint was not met, results demonstrated clinically relevant benefits versus placebo on multiple measures of muscle health and function as well as patient reported outcomes at 48 weeks. Losmapimod-treated participants showed decreased progression of MFI as measured in intermediate muscles, which are muscles already affected by disease and most likely to show signs of disease progression. Normal appearing muscles appeared to be preserved in the losmapimod group versus placebo. Treatment with losmapimod was shown to slow the rate of decline and improve accessible surface area in RWS, which is a measure of function that assesses upper extremity range of motion and has been shown to be an important measure of independence. Additionally, patients reported feeling better when treated with losmapimod compared to placebo through the Patient Global Impression of Change, or PGIC, assessment. PGIC is a measure of self-reported change in how a patient feels and functions. Losmapimod was generally well-tolerated, with no drug-related serious adverse events reported.</w:t>
      </w:r>
    </w:p>
    <w:p>
      <w:pPr>
        <w:spacing w:after="0" w:line="30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40"/>
          </w:cols>
          <w:pgMar w:left="320" w:top="459" w:right="6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38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43877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firstLine="532"/>
        <w:spacing w:after="0" w:line="234" w:lineRule="auto"/>
        <w:rPr>
          <w:sz w:val="20"/>
          <w:szCs w:val="20"/>
          <w:color w:val="auto"/>
        </w:rPr>
      </w:pPr>
      <w:r>
        <w:rPr>
          <w:rFonts w:ascii="Arial" w:cs="Arial" w:eastAsia="Arial" w:hAnsi="Arial"/>
          <w:sz w:val="18"/>
          <w:szCs w:val="18"/>
          <w:color w:val="auto"/>
        </w:rPr>
        <w:t>Based on the ReDUX4 data, we engaged with external experts, U.S. and EU regulatory agencies, including FDA, to address key aspects of the design of a Phase 3 trial. We initiated our Phase 3 trial, REACH, in the second quarter of 2022. REACH is a randomized, double-blind, placebo-controlled, multi-national trial to evaluate the efficacy and safety of losmapimod for the treatment of FSHD. The trial is expected to enroll approximately 230 adults with FSHD and enrolled its first patient in June 2022. Patients will be randomized 1:1 to receive either losmapimod, administered orally as a 15 mg tablet twice a day, or placebo, and evaluated over a</w:t>
      </w:r>
    </w:p>
    <w:p>
      <w:pPr>
        <w:spacing w:after="0" w:line="3" w:lineRule="exact"/>
        <w:rPr>
          <w:sz w:val="20"/>
          <w:szCs w:val="20"/>
          <w:color w:val="auto"/>
        </w:rPr>
      </w:pPr>
    </w:p>
    <w:p>
      <w:pPr>
        <w:ind w:left="300" w:right="20"/>
        <w:spacing w:after="0" w:line="238" w:lineRule="auto"/>
        <w:rPr>
          <w:sz w:val="20"/>
          <w:szCs w:val="20"/>
          <w:color w:val="auto"/>
        </w:rPr>
      </w:pPr>
      <w:r>
        <w:rPr>
          <w:rFonts w:ascii="Arial" w:cs="Arial" w:eastAsia="Arial" w:hAnsi="Arial"/>
          <w:sz w:val="18"/>
          <w:szCs w:val="18"/>
          <w:color w:val="auto"/>
        </w:rPr>
        <w:t>48-week treatment period. The primary endpoint is RWS, which is the absolute change from baseline in total RSA Q1-Q5 with 500 g wrist weight in the dominant arm at Week 48. Secondary endpoints include MFI, PGIC, Quality of Life in Neurological Disorders of the upper extremity, or Neuro QoL UE and safety and tolerability, based on assessment of adverse events, serious adverse events, clinically significant laboratory test abnormalities, electrocardiograms and vital signs. The trial will also include patient-reported assessments of healthcare utilization.</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FTX-6058</w:t>
      </w:r>
    </w:p>
    <w:p>
      <w:pPr>
        <w:spacing w:after="0" w:line="126" w:lineRule="exact"/>
        <w:rPr>
          <w:sz w:val="20"/>
          <w:szCs w:val="20"/>
          <w:color w:val="auto"/>
        </w:rPr>
      </w:pPr>
    </w:p>
    <w:p>
      <w:pPr>
        <w:ind w:left="300" w:right="20" w:firstLine="532"/>
        <w:spacing w:after="0" w:line="238" w:lineRule="auto"/>
        <w:rPr>
          <w:sz w:val="20"/>
          <w:szCs w:val="20"/>
          <w:color w:val="auto"/>
        </w:rPr>
      </w:pPr>
      <w:r>
        <w:rPr>
          <w:rFonts w:ascii="Arial" w:cs="Arial" w:eastAsia="Arial" w:hAnsi="Arial"/>
          <w:sz w:val="18"/>
          <w:szCs w:val="18"/>
          <w:color w:val="auto"/>
        </w:rPr>
        <w:t>Our product candidate, FTX-6058, is an investigational oral fetal hemoglobin, or HbF, inducer that is in development for SCD and select other hemoglobinopathies, including ß-thalassemia. FTX-6058 is designed to bind to embryonic ectoderm development, or EED, and inhibit the transcriptional silencing activity of the polycomb repressive complex 2, or PRC2. By doing so, preclinical studies have shown that FTX-6058 downregulates key HbF repressors, including BCL11A and MYB, and upregulates HbF.</w:t>
      </w:r>
    </w:p>
    <w:p>
      <w:pPr>
        <w:spacing w:after="0" w:line="205"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 xml:space="preserve">SCD is a genetic blood disorder caused by a mutation in the ß-subunit gene, or HBB gene. This mutation results in the formation of abnormal hemoglobin, or HbS, which causes red blood cells, or RBCs, to change from a round shape into a sickle shape that significantly impairs their function. ß-thalassemia is a rare blood disorder caused by various genetic mutations in the HBB gene that can significantly impair the production of hemoglobin and RBCs. We designed FTX-6058 to compensate for the root cause of these hemoglobinopathies by inducing the expression of the two g-globin genes, HBG1/2, whose expression is normally silenced shortly after birth. The HBG1/2 genes encode for g-globin, a component of HbF, which is known to repair the abnormal RBC shape in SCD and to compensate for the presence of HbS in SCD and ß-thalassemia. We have observed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activation of the HBG1/2 genes in preclinical studies with FTX-6058. We have also observed that FTX-6058 demonstrated robust levels of HbF elevation with no adverse effects on important cellular health markers. We conducted additional pre-clinical profiling in CD34+ derived cells and observed that treatment with FTX-6058 increased HbF levels to approximately 30% of total hemoglobin, as measured by mass spectrometry, high performance liquid chromatography, and fast protein liquid chromatography techniques. The elevation of HbF was significantly greater than we observed with hydroxyurea in the cell models.</w:t>
      </w:r>
    </w:p>
    <w:p>
      <w:pPr>
        <w:spacing w:after="0" w:line="210" w:lineRule="exact"/>
        <w:rPr>
          <w:sz w:val="20"/>
          <w:szCs w:val="20"/>
          <w:color w:val="auto"/>
        </w:rPr>
      </w:pPr>
    </w:p>
    <w:p>
      <w:pPr>
        <w:ind w:left="300" w:right="100" w:firstLine="532"/>
        <w:spacing w:after="0" w:line="238" w:lineRule="auto"/>
        <w:rPr>
          <w:sz w:val="20"/>
          <w:szCs w:val="20"/>
          <w:color w:val="auto"/>
        </w:rPr>
      </w:pPr>
      <w:r>
        <w:rPr>
          <w:rFonts w:ascii="Arial" w:cs="Arial" w:eastAsia="Arial" w:hAnsi="Arial"/>
          <w:sz w:val="18"/>
          <w:szCs w:val="18"/>
          <w:color w:val="auto"/>
        </w:rPr>
        <w:t>We initiated a Phase 1b clinical trial of FTX-6058 in people with SCD in the fourth quarter of 2021, with the aim of establishing early proof of concept in SCD. The open label trial is designed to assess safety, tolerability and pharmacokinetics and pharmacodynamic effects, including HbF protein induction of up to three doses, starting with 6 mg once daily dose, to inform dose selection for future development. Each dose cohort will have up to 10 patients who will be treated for up to three months.</w:t>
      </w:r>
    </w:p>
    <w:p>
      <w:pPr>
        <w:spacing w:after="0" w:line="205" w:lineRule="exact"/>
        <w:rPr>
          <w:sz w:val="20"/>
          <w:szCs w:val="20"/>
          <w:color w:val="auto"/>
        </w:rPr>
      </w:pPr>
    </w:p>
    <w:p>
      <w:pPr>
        <w:ind w:left="300" w:right="100" w:firstLine="532"/>
        <w:spacing w:after="0" w:line="238" w:lineRule="auto"/>
        <w:rPr>
          <w:sz w:val="20"/>
          <w:szCs w:val="20"/>
          <w:color w:val="auto"/>
        </w:rPr>
      </w:pPr>
      <w:r>
        <w:rPr>
          <w:rFonts w:ascii="Arial" w:cs="Arial" w:eastAsia="Arial" w:hAnsi="Arial"/>
          <w:sz w:val="18"/>
          <w:szCs w:val="18"/>
          <w:color w:val="auto"/>
        </w:rPr>
        <w:t>In June 2022, we announced clinical proof-of-concept data from the ongoing Phase 1b trial of FTX-6058 for the treatment of SCD. The first cohort of the Phase 1b study enrolled six of up to ten subjects. These six subjects (none on background hydroxyurea) received at least one 6 mg dose of FTX-6058 and all were included in the safety analyses. As of the data cut-off on May 25, 2022, three</w:t>
      </w:r>
    </w:p>
    <w:p>
      <w:pPr>
        <w:spacing w:after="0" w:line="31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20"/>
          </w:cols>
          <w:pgMar w:left="320" w:top="459" w:right="6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93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1931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420"/>
        <w:spacing w:after="0" w:line="246" w:lineRule="auto"/>
        <w:rPr>
          <w:sz w:val="20"/>
          <w:szCs w:val="20"/>
          <w:color w:val="auto"/>
        </w:rPr>
      </w:pPr>
      <w:r>
        <w:rPr>
          <w:rFonts w:ascii="Arial" w:cs="Arial" w:eastAsia="Arial" w:hAnsi="Arial"/>
          <w:sz w:val="18"/>
          <w:szCs w:val="18"/>
          <w:color w:val="auto"/>
        </w:rPr>
        <w:t>subjects were evaluable at day 28 and beyond for increases in HbF. Three subjects were not evaluated due to non-adherence or protocol deviation, as specified in the statistical analysis plan.</w:t>
      </w:r>
    </w:p>
    <w:p>
      <w:pPr>
        <w:spacing w:after="0" w:line="211"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16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Absolute HbF (%)</w:t>
            </w:r>
          </w:p>
        </w:tc>
        <w:tc>
          <w:tcPr>
            <w:tcW w:w="9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Increase from</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66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rPr>
              <w:t>Baseline</w:t>
            </w:r>
          </w:p>
        </w:tc>
        <w:tc>
          <w:tcPr>
            <w:tcW w:w="380" w:type="dxa"/>
            <w:vAlign w:val="bottom"/>
          </w:tcPr>
          <w:p>
            <w:pPr>
              <w:spacing w:after="0"/>
              <w:rPr>
                <w:sz w:val="15"/>
                <w:szCs w:val="15"/>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Day 14</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Day 28</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Day 42</w:t>
            </w: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Day 56</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Day 70</w:t>
            </w: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Day 84 (EOS)</w:t>
            </w: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Post Tx + 7D</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baseline</w:t>
            </w:r>
          </w:p>
        </w:tc>
        <w:tc>
          <w:tcPr>
            <w:tcW w:w="0" w:type="dxa"/>
            <w:vAlign w:val="bottom"/>
          </w:tcPr>
          <w:p>
            <w:pPr>
              <w:spacing w:after="0"/>
              <w:rPr>
                <w:sz w:val="1"/>
                <w:szCs w:val="1"/>
                <w:color w:val="auto"/>
              </w:rPr>
            </w:pPr>
          </w:p>
        </w:tc>
      </w:tr>
      <w:tr>
        <w:trPr>
          <w:trHeight w:val="20"/>
        </w:trPr>
        <w:tc>
          <w:tcPr>
            <w:tcW w:w="16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Subject 1</w:t>
            </w: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60" w:type="dxa"/>
            <w:vAlign w:val="bottom"/>
            <w:vMerge w:val="continue"/>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9.2%</w:t>
            </w:r>
          </w:p>
        </w:tc>
        <w:tc>
          <w:tcPr>
            <w:tcW w:w="8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9.8%</w:t>
            </w:r>
          </w:p>
        </w:tc>
        <w:tc>
          <w:tcPr>
            <w:tcW w:w="8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10.9%</w:t>
            </w:r>
          </w:p>
        </w:tc>
        <w:tc>
          <w:tcPr>
            <w:tcW w:w="8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13.5%</w:t>
            </w:r>
          </w:p>
        </w:tc>
        <w:tc>
          <w:tcPr>
            <w:tcW w:w="88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14.0%</w:t>
            </w:r>
          </w:p>
        </w:tc>
        <w:tc>
          <w:tcPr>
            <w:tcW w:w="86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13.7%</w:t>
            </w:r>
          </w:p>
        </w:tc>
        <w:tc>
          <w:tcPr>
            <w:tcW w:w="13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13.7%</w:t>
            </w:r>
          </w:p>
        </w:tc>
        <w:tc>
          <w:tcPr>
            <w:tcW w:w="12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14.4%</w:t>
            </w:r>
          </w:p>
        </w:tc>
        <w:tc>
          <w:tcPr>
            <w:tcW w:w="11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1660" w:type="dxa"/>
            <w:vAlign w:val="bottom"/>
          </w:tcPr>
          <w:p>
            <w:pPr>
              <w:spacing w:after="0" w:line="202" w:lineRule="exact"/>
              <w:rPr>
                <w:sz w:val="20"/>
                <w:szCs w:val="20"/>
                <w:color w:val="auto"/>
              </w:rPr>
            </w:pPr>
            <w:r>
              <w:rPr>
                <w:rFonts w:ascii="Arial" w:cs="Arial" w:eastAsia="Arial" w:hAnsi="Arial"/>
                <w:sz w:val="18"/>
                <w:szCs w:val="18"/>
                <w:color w:val="auto"/>
              </w:rPr>
              <w:t>Subject 2</w:t>
            </w: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w:t>
            </w: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5.0%</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7.8%</w:t>
            </w: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9.6%</w:t>
            </w:r>
          </w:p>
        </w:tc>
        <w:tc>
          <w:tcPr>
            <w:tcW w:w="8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10.0%</w:t>
            </w: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Subject 3</w:t>
            </w: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6.2%</w:t>
            </w: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6.5%</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7.3%</w:t>
            </w: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8.3%</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00" w:right="300" w:firstLine="532"/>
        <w:spacing w:after="0" w:line="255" w:lineRule="auto"/>
        <w:rPr>
          <w:sz w:val="20"/>
          <w:szCs w:val="20"/>
          <w:color w:val="auto"/>
        </w:rPr>
      </w:pPr>
      <w:r>
        <w:rPr>
          <w:rFonts w:ascii="Arial" w:cs="Arial" w:eastAsia="Arial" w:hAnsi="Arial"/>
          <w:sz w:val="17"/>
          <w:szCs w:val="17"/>
          <w:color w:val="auto"/>
        </w:rPr>
        <w:t>Increases in HbF have been shown to reduce the frequency or severity of a broad range of SCD symptoms, including vaso-occlusive crises, or VOC, anemia, pain, infection, stroke and others. Based on a large body of genetic, clinical, and observational evidence showing the effects of higher levels of HbF in people with SCD, the induction of HbF by 5-10% over baseline could be associated with reduced disease burden and improved clinical outcomes. We believe these initial data showing that FTX-6058 increases HbF levels by up to 6.3% support its potential to become a transformative therapy for people living with SCD.</w:t>
      </w:r>
    </w:p>
    <w:p>
      <w:pPr>
        <w:spacing w:after="0" w:line="190" w:lineRule="exact"/>
        <w:rPr>
          <w:sz w:val="20"/>
          <w:szCs w:val="20"/>
          <w:color w:val="auto"/>
        </w:rPr>
      </w:pPr>
    </w:p>
    <w:p>
      <w:pPr>
        <w:jc w:val="both"/>
        <w:ind w:left="300" w:right="300" w:firstLine="532"/>
        <w:spacing w:after="0"/>
        <w:rPr>
          <w:sz w:val="20"/>
          <w:szCs w:val="20"/>
          <w:color w:val="auto"/>
        </w:rPr>
      </w:pPr>
      <w:r>
        <w:rPr>
          <w:rFonts w:ascii="Arial" w:cs="Arial" w:eastAsia="Arial" w:hAnsi="Arial"/>
          <w:sz w:val="18"/>
          <w:szCs w:val="18"/>
          <w:color w:val="auto"/>
        </w:rPr>
        <w:t>FTX-6058 was generally well-tolerated in the initial cohort. No serious treatment emergent adverse effects, or TEAEs, were reported, and there were no discontinuations due to TEAEs. All non-serious TEAEs were transient and deemed unrelated to study drug.</w:t>
      </w:r>
    </w:p>
    <w:p>
      <w:pPr>
        <w:spacing w:after="0" w:line="203" w:lineRule="exact"/>
        <w:rPr>
          <w:sz w:val="20"/>
          <w:szCs w:val="20"/>
          <w:color w:val="auto"/>
        </w:rPr>
      </w:pPr>
    </w:p>
    <w:p>
      <w:pPr>
        <w:ind w:left="300" w:right="120" w:firstLine="532"/>
        <w:spacing w:after="0"/>
        <w:rPr>
          <w:sz w:val="20"/>
          <w:szCs w:val="20"/>
          <w:color w:val="auto"/>
        </w:rPr>
      </w:pPr>
      <w:r>
        <w:rPr>
          <w:rFonts w:ascii="Arial" w:cs="Arial" w:eastAsia="Arial" w:hAnsi="Arial"/>
          <w:sz w:val="18"/>
          <w:szCs w:val="18"/>
          <w:color w:val="auto"/>
        </w:rPr>
        <w:t>We are currently enrolling additional patients at the 6 mg and 2 mg dose cohorts, including patients both on and off hydroxyurea, and plan to initiate an additional cohort at a higher dose. We expect to complete enrollment of three cohorts by the end of 2022 and currently plan to initiate a registrational trial in 2023.</w:t>
      </w:r>
    </w:p>
    <w:p>
      <w:pPr>
        <w:spacing w:after="0" w:line="28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Discovery and Collaborations</w:t>
      </w:r>
    </w:p>
    <w:p>
      <w:pPr>
        <w:spacing w:after="0" w:line="234" w:lineRule="exact"/>
        <w:rPr>
          <w:sz w:val="20"/>
          <w:szCs w:val="20"/>
          <w:color w:val="auto"/>
        </w:rPr>
      </w:pPr>
    </w:p>
    <w:p>
      <w:pPr>
        <w:ind w:left="300" w:firstLine="532"/>
        <w:spacing w:after="0" w:line="252" w:lineRule="auto"/>
        <w:rPr>
          <w:sz w:val="20"/>
          <w:szCs w:val="20"/>
          <w:color w:val="auto"/>
        </w:rPr>
      </w:pPr>
      <w:r>
        <w:rPr>
          <w:rFonts w:ascii="Arial" w:cs="Arial" w:eastAsia="Arial" w:hAnsi="Arial"/>
          <w:sz w:val="17"/>
          <w:szCs w:val="17"/>
          <w:color w:val="auto"/>
        </w:rPr>
        <w:t>According to the National Institutes of Health, or NIH, there are approximately 7,000 rare, genetically defined human diseases, many of which have inadequate or no approved treatments. Our current drug target identification and development efforts are focused on rare muscular, hematologic and neurologic, disorders. We also anticipate utilizing FulcrumSeek to discover drug targets for genetically defined diseases in other therapeutic areas and for other disorders. In addition to drug targets that we prioritize for internal development, we may identify other drug targets that we would consider for development through partnerships. For example, we are currently utilizing FulcrumSeek to discover drug targets for the potential treatment of certain genetically defined cardiomyopathies under our collaboration and license agreement with MyoKardia, Inc., or MyoKardia, a wholly-owned subsidiary of Bristol-Myers Squibb Company, and have entered into other collaboration and license agreements in the past and may do so in the future.</w:t>
      </w:r>
    </w:p>
    <w:p>
      <w:pPr>
        <w:spacing w:after="0" w:line="28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Corporate Information</w:t>
      </w:r>
    </w:p>
    <w:p>
      <w:pPr>
        <w:spacing w:after="0" w:line="234" w:lineRule="exact"/>
        <w:rPr>
          <w:sz w:val="20"/>
          <w:szCs w:val="20"/>
          <w:color w:val="auto"/>
        </w:rPr>
      </w:pPr>
    </w:p>
    <w:p>
      <w:pPr>
        <w:ind w:left="300" w:right="60" w:firstLine="532"/>
        <w:spacing w:after="0" w:line="238" w:lineRule="auto"/>
        <w:rPr>
          <w:sz w:val="20"/>
          <w:szCs w:val="20"/>
          <w:color w:val="auto"/>
        </w:rPr>
      </w:pPr>
      <w:r>
        <w:rPr>
          <w:rFonts w:ascii="Arial" w:cs="Arial" w:eastAsia="Arial" w:hAnsi="Arial"/>
          <w:sz w:val="18"/>
          <w:szCs w:val="18"/>
          <w:color w:val="auto"/>
        </w:rPr>
        <w:t>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supplement. We have included our website address in this prospectus supplement solely as an inactive textual reference.</w:t>
      </w:r>
    </w:p>
    <w:p>
      <w:pPr>
        <w:spacing w:after="0" w:line="202" w:lineRule="exact"/>
        <w:rPr>
          <w:sz w:val="20"/>
          <w:szCs w:val="20"/>
          <w:color w:val="auto"/>
        </w:rPr>
      </w:pPr>
    </w:p>
    <w:p>
      <w:pPr>
        <w:ind w:left="300" w:right="180" w:firstLine="532"/>
        <w:spacing w:after="0" w:line="246" w:lineRule="auto"/>
        <w:rPr>
          <w:sz w:val="20"/>
          <w:szCs w:val="20"/>
          <w:color w:val="auto"/>
        </w:rPr>
      </w:pPr>
      <w:r>
        <w:rPr>
          <w:rFonts w:ascii="Arial" w:cs="Arial" w:eastAsia="Arial" w:hAnsi="Arial"/>
          <w:sz w:val="18"/>
          <w:szCs w:val="18"/>
          <w:color w:val="auto"/>
        </w:rPr>
        <w:t>We own or have rights to, or have applied for, trademarks, service marks and trade names that we use in connection with the operation of our business, including our corporate name, logos and</w:t>
      </w:r>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459" w:right="6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676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56768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160"/>
        <w:spacing w:after="0" w:line="226" w:lineRule="auto"/>
        <w:rPr>
          <w:sz w:val="20"/>
          <w:szCs w:val="20"/>
          <w:color w:val="auto"/>
        </w:rPr>
      </w:pPr>
      <w:r>
        <w:rPr>
          <w:rFonts w:ascii="Arial" w:cs="Arial" w:eastAsia="Arial" w:hAnsi="Arial"/>
          <w:sz w:val="17"/>
          <w:szCs w:val="17"/>
          <w:color w:val="auto"/>
        </w:rPr>
        <w:t xml:space="preserve">website names. Other trademarks, service marks and trade names appearing in this prospectus supplement and the accompanying base prospectus are the property of their respective owners. Solely for convenience, some of the trademarks, service marks and trade names referred to in this prospectus supplement and the accompanying base prospectus are listed without the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symbols, but we will assert, to the fullest extent under applicable law, our rights to our trademarks, service marks and trade names.</w:t>
      </w: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Risks Associated with Our Business</w:t>
      </w:r>
    </w:p>
    <w:p>
      <w:pPr>
        <w:spacing w:after="0" w:line="234" w:lineRule="exact"/>
        <w:rPr>
          <w:sz w:val="20"/>
          <w:szCs w:val="20"/>
          <w:color w:val="auto"/>
        </w:rPr>
      </w:pPr>
    </w:p>
    <w:p>
      <w:pPr>
        <w:ind w:left="300" w:right="140" w:firstLine="532"/>
        <w:spacing w:after="0"/>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common stock. These risks are more fully described in the section titled “Risk Factors” immediately following this prospectus supplement summary. These risks include, among others, the following:</w:t>
      </w:r>
    </w:p>
    <w:p>
      <w:pPr>
        <w:spacing w:after="0" w:line="108" w:lineRule="exact"/>
        <w:rPr>
          <w:sz w:val="20"/>
          <w:szCs w:val="20"/>
          <w:color w:val="auto"/>
        </w:rPr>
      </w:pPr>
    </w:p>
    <w:p>
      <w:pPr>
        <w:ind w:left="1020" w:right="160" w:hanging="19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Our net loss was $80.8 million for the year ended December 31, 2021 and $60.0 million for the six months ended June 30, 2022. We expect to incur losses over the next several years and may never achieve or maintain profitability. As of June 30, 2022, we had an accumulated deficit of $362.5 million.</w:t>
      </w:r>
    </w:p>
    <w:p>
      <w:pPr>
        <w:spacing w:after="0" w:line="108" w:lineRule="exact"/>
        <w:rPr>
          <w:rFonts w:ascii="Arial" w:cs="Arial" w:eastAsia="Arial" w:hAnsi="Arial"/>
          <w:sz w:val="18"/>
          <w:szCs w:val="18"/>
          <w:color w:val="auto"/>
        </w:rPr>
      </w:pPr>
    </w:p>
    <w:p>
      <w:pPr>
        <w:ind w:left="1020" w:right="140" w:hanging="195"/>
        <w:spacing w:after="0" w:line="23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will need substantial additional funding. If we are unable to raise capital when needed, we could be forced to delay, reduce or eliminate our product development programs or commercialization efforts. We expect to devote substantial financial resources to our ongoing and planned activities, particularly as we continue our clinical trials of losmapimod and FTX-6058 and continue research and development and initiate additional clinical trials of, and seek regulatory approval for, these and other product candidates.</w:t>
      </w:r>
    </w:p>
    <w:p>
      <w:pPr>
        <w:spacing w:after="0" w:line="107" w:lineRule="exact"/>
        <w:rPr>
          <w:rFonts w:ascii="Arial" w:cs="Arial" w:eastAsia="Arial" w:hAnsi="Arial"/>
          <w:sz w:val="18"/>
          <w:szCs w:val="18"/>
          <w:color w:val="auto"/>
        </w:rPr>
      </w:pPr>
    </w:p>
    <w:p>
      <w:pPr>
        <w:ind w:left="1020" w:right="180" w:hanging="195"/>
        <w:spacing w:after="0" w:line="274" w:lineRule="auto"/>
        <w:tabs>
          <w:tab w:leader="none" w:pos="102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are early in our development efforts, and we only have two product candidates in clinical trials. If we are unable to commercialize our product candidates or experience significant delays in doing so, our business will be materially harmed.</w:t>
      </w:r>
    </w:p>
    <w:p>
      <w:pPr>
        <w:spacing w:after="0" w:line="80" w:lineRule="exact"/>
        <w:rPr>
          <w:rFonts w:ascii="Arial" w:cs="Arial" w:eastAsia="Arial" w:hAnsi="Arial"/>
          <w:sz w:val="17"/>
          <w:szCs w:val="17"/>
          <w:color w:val="auto"/>
        </w:rPr>
      </w:pPr>
    </w:p>
    <w:p>
      <w:pPr>
        <w:ind w:left="1020" w:right="100" w:hanging="195"/>
        <w:spacing w:after="0" w:line="23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not be successful in our efforts to use FulcrumSeek, our proprietary product engine to build a pipeline of product candidates. A key element of our strategy is to use FulcrumSeek to identify and validate cellular drug targets that can potentially modulate gene expression to address the root cause of genetically-defined rare diseases, with an initial focus on identifying small molecules specific to the identified cellular target.</w:t>
      </w:r>
    </w:p>
    <w:p>
      <w:pPr>
        <w:spacing w:after="0" w:line="110" w:lineRule="exact"/>
        <w:rPr>
          <w:rFonts w:ascii="Arial" w:cs="Arial" w:eastAsia="Arial" w:hAnsi="Arial"/>
          <w:sz w:val="18"/>
          <w:szCs w:val="18"/>
          <w:color w:val="auto"/>
        </w:rPr>
      </w:pPr>
    </w:p>
    <w:p>
      <w:pPr>
        <w:ind w:left="1020" w:right="60" w:hanging="19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108" w:lineRule="exact"/>
        <w:rPr>
          <w:rFonts w:ascii="Arial" w:cs="Arial" w:eastAsia="Arial" w:hAnsi="Arial"/>
          <w:sz w:val="18"/>
          <w:szCs w:val="18"/>
          <w:color w:val="auto"/>
        </w:rPr>
      </w:pPr>
    </w:p>
    <w:p>
      <w:pPr>
        <w:jc w:val="both"/>
        <w:ind w:left="1020" w:right="280" w:hanging="19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Because we are developing some of our product candidates for the treatment of diseases in which there is limited clinical experience and, in some cases, using new endpoints or methodologies, the FDA, or other regulatory authorities may not consider the endpoints of our clinical trials to predict or provide clinically meaningful results.</w:t>
      </w:r>
    </w:p>
    <w:p>
      <w:pPr>
        <w:spacing w:after="0" w:line="108" w:lineRule="exact"/>
        <w:rPr>
          <w:rFonts w:ascii="Arial" w:cs="Arial" w:eastAsia="Arial" w:hAnsi="Arial"/>
          <w:sz w:val="18"/>
          <w:szCs w:val="18"/>
          <w:color w:val="auto"/>
        </w:rPr>
      </w:pPr>
    </w:p>
    <w:p>
      <w:pPr>
        <w:ind w:left="1020" w:hanging="195"/>
        <w:spacing w:after="0" w:line="23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ongoing COVID-19 pandemic has affected and may continue to affect our ability to initiate and complete current or future preclinical studies or clinical trials, disrupt regulatory activities or have other adverse effects on our business and operations. In addition, this pandemic may continue to adversely impact economies worldwide, which could result in adverse effects on our business and operations.</w:t>
      </w:r>
    </w:p>
    <w:p>
      <w:pPr>
        <w:spacing w:after="0" w:line="110" w:lineRule="exact"/>
        <w:rPr>
          <w:rFonts w:ascii="Arial" w:cs="Arial" w:eastAsia="Arial" w:hAnsi="Arial"/>
          <w:sz w:val="18"/>
          <w:szCs w:val="18"/>
          <w:color w:val="auto"/>
        </w:rPr>
      </w:pPr>
    </w:p>
    <w:p>
      <w:pPr>
        <w:ind w:left="1020" w:right="180" w:hanging="195"/>
        <w:spacing w:after="0" w:line="246"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serious adverse events or unacceptable side effects are identified during the development of our product candidates, we may need to abandon or limit our development of some of our product candidates.</w:t>
      </w: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00"/>
          </w:cols>
          <w:pgMar w:left="320" w:top="459" w:right="6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447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34479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020" w:right="220" w:hanging="195"/>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102" w:lineRule="exact"/>
        <w:rPr>
          <w:rFonts w:ascii="Arial" w:cs="Arial" w:eastAsia="Arial" w:hAnsi="Arial"/>
          <w:sz w:val="18"/>
          <w:szCs w:val="18"/>
          <w:color w:val="auto"/>
        </w:rPr>
      </w:pPr>
    </w:p>
    <w:p>
      <w:pPr>
        <w:jc w:val="both"/>
        <w:ind w:left="1020" w:right="260" w:hanging="19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and expect to continue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108" w:lineRule="exact"/>
        <w:rPr>
          <w:rFonts w:ascii="Arial" w:cs="Arial" w:eastAsia="Arial" w:hAnsi="Arial"/>
          <w:sz w:val="18"/>
          <w:szCs w:val="18"/>
          <w:color w:val="auto"/>
        </w:rPr>
      </w:pPr>
    </w:p>
    <w:p>
      <w:pPr>
        <w:ind w:left="1020" w:right="160" w:hanging="195"/>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102" w:lineRule="exact"/>
        <w:rPr>
          <w:rFonts w:ascii="Arial" w:cs="Arial" w:eastAsia="Arial" w:hAnsi="Arial"/>
          <w:sz w:val="18"/>
          <w:szCs w:val="18"/>
          <w:color w:val="auto"/>
        </w:rPr>
      </w:pPr>
    </w:p>
    <w:p>
      <w:pPr>
        <w:ind w:left="1020" w:right="20" w:hanging="195"/>
        <w:spacing w:after="0" w:line="23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entered into, and may in the future enter into, collaborations with third parties for the discovery, development or commercialization of product candidates, including our collaboration with MyoKardia. If our collaborations are not successful, we may not be able to capitalize on the market potential of these product candidates and our business could be adversely affected.</w:t>
      </w:r>
    </w:p>
    <w:p>
      <w:pPr>
        <w:spacing w:after="0" w:line="110" w:lineRule="exact"/>
        <w:rPr>
          <w:rFonts w:ascii="Arial" w:cs="Arial" w:eastAsia="Arial" w:hAnsi="Arial"/>
          <w:sz w:val="18"/>
          <w:szCs w:val="18"/>
          <w:color w:val="auto"/>
        </w:rPr>
      </w:pPr>
    </w:p>
    <w:p>
      <w:pPr>
        <w:ind w:left="1020" w:right="20" w:hanging="195"/>
        <w:spacing w:after="0" w:line="23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110" w:lineRule="exact"/>
        <w:rPr>
          <w:rFonts w:ascii="Arial" w:cs="Arial" w:eastAsia="Arial" w:hAnsi="Arial"/>
          <w:sz w:val="18"/>
          <w:szCs w:val="18"/>
          <w:color w:val="auto"/>
        </w:rPr>
      </w:pPr>
    </w:p>
    <w:p>
      <w:pPr>
        <w:jc w:val="both"/>
        <w:ind w:left="1020" w:right="240" w:hanging="19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28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234" w:lineRule="exact"/>
        <w:rPr>
          <w:sz w:val="20"/>
          <w:szCs w:val="20"/>
          <w:color w:val="auto"/>
        </w:rPr>
      </w:pPr>
    </w:p>
    <w:p>
      <w:pPr>
        <w:ind w:left="300" w:firstLine="532"/>
        <w:spacing w:after="0" w:line="237"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of 2012, or the JOBS Act, and we may remain an emerging growth company until December 31, 2024 or until such earlier time as we have more than $1.07 billion in annual revenue, the market value of our stock held by non-affiliates is more than $700 million or we issue more than $1 billion of non-convertible debt over a three-year period. For so long as we remain an emerging growth company, we are permitted and intend to rely on exemptions from certain disclosure and other requirements that are applicable to public companies that are not emerging growth companies.</w:t>
      </w:r>
    </w:p>
    <w:p>
      <w:pPr>
        <w:spacing w:after="0" w:line="20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w:t>
      </w:r>
    </w:p>
    <w:p>
      <w:pPr>
        <w:ind w:left="300"/>
        <w:spacing w:after="0" w:line="234" w:lineRule="auto"/>
        <w:rPr>
          <w:sz w:val="20"/>
          <w:szCs w:val="20"/>
          <w:color w:val="auto"/>
        </w:rPr>
      </w:pPr>
      <w:r>
        <w:rPr>
          <w:rFonts w:ascii="Arial" w:cs="Arial" w:eastAsia="Arial" w:hAnsi="Arial"/>
          <w:sz w:val="18"/>
          <w:szCs w:val="18"/>
          <w:color w:val="auto"/>
        </w:rPr>
        <w:t>$700 million as of our most recently completed second fiscal quarter and our annual revenue was less than $100 million during our</w:t>
      </w:r>
    </w:p>
    <w:p>
      <w:pPr>
        <w:ind w:left="300"/>
        <w:spacing w:after="0" w:line="235" w:lineRule="auto"/>
        <w:rPr>
          <w:sz w:val="20"/>
          <w:szCs w:val="20"/>
          <w:color w:val="auto"/>
        </w:rPr>
      </w:pPr>
      <w:r>
        <w:rPr>
          <w:rFonts w:ascii="Arial" w:cs="Arial" w:eastAsia="Arial" w:hAnsi="Arial"/>
          <w:sz w:val="18"/>
          <w:szCs w:val="18"/>
          <w:color w:val="auto"/>
        </w:rPr>
        <w:t>most recently completed fiscal year. We may continue to be a smaller reporting company if either (i) the market value of our stock</w:t>
      </w:r>
    </w:p>
    <w:p>
      <w:pPr>
        <w:ind w:left="300"/>
        <w:spacing w:after="0" w:line="235" w:lineRule="auto"/>
        <w:rPr>
          <w:sz w:val="20"/>
          <w:szCs w:val="20"/>
          <w:color w:val="auto"/>
        </w:rPr>
      </w:pPr>
      <w:r>
        <w:rPr>
          <w:rFonts w:ascii="Arial" w:cs="Arial" w:eastAsia="Arial" w:hAnsi="Arial"/>
          <w:sz w:val="18"/>
          <w:szCs w:val="18"/>
          <w:color w:val="auto"/>
        </w:rPr>
        <w:t>held by non-affiliates is less than $250 million as of our most recently completed second fiscal quarter or (ii) our annual revenue was</w:t>
      </w:r>
    </w:p>
    <w:p>
      <w:pPr>
        <w:ind w:left="300"/>
        <w:spacing w:after="0" w:line="235" w:lineRule="auto"/>
        <w:rPr>
          <w:sz w:val="20"/>
          <w:szCs w:val="20"/>
          <w:color w:val="auto"/>
        </w:rPr>
      </w:pPr>
      <w:r>
        <w:rPr>
          <w:rFonts w:ascii="Arial" w:cs="Arial" w:eastAsia="Arial" w:hAnsi="Arial"/>
          <w:sz w:val="18"/>
          <w:szCs w:val="18"/>
          <w:color w:val="auto"/>
        </w:rPr>
        <w:t>less than $100 million during the most recently completed fiscal year and the market value of our stock held by non-affiliates is less</w:t>
      </w:r>
    </w:p>
    <w:p>
      <w:pPr>
        <w:ind w:left="300"/>
        <w:spacing w:after="0" w:line="235" w:lineRule="auto"/>
        <w:rPr>
          <w:sz w:val="20"/>
          <w:szCs w:val="20"/>
          <w:color w:val="auto"/>
        </w:rPr>
      </w:pPr>
      <w:r>
        <w:rPr>
          <w:rFonts w:ascii="Arial" w:cs="Arial" w:eastAsia="Arial" w:hAnsi="Arial"/>
          <w:sz w:val="18"/>
          <w:szCs w:val="18"/>
          <w:color w:val="auto"/>
        </w:rPr>
        <w:t>than $700 million as of our most recently completed second fiscal quarter. If we are a smaller reporting company at the time we cease</w:t>
      </w:r>
    </w:p>
    <w:p>
      <w:pPr>
        <w:ind w:left="300"/>
        <w:spacing w:after="0" w:line="234" w:lineRule="auto"/>
        <w:rPr>
          <w:sz w:val="20"/>
          <w:szCs w:val="20"/>
          <w:color w:val="auto"/>
        </w:rPr>
      </w:pPr>
      <w:r>
        <w:rPr>
          <w:rFonts w:ascii="Arial" w:cs="Arial" w:eastAsia="Arial" w:hAnsi="Arial"/>
          <w:sz w:val="18"/>
          <w:szCs w:val="18"/>
          <w:color w:val="auto"/>
        </w:rPr>
        <w:t>to be an emerging growth company, we may continue to rely on exemptions from certain disclosure requirements that are available to</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smaller reporting companies.</w:t>
      </w:r>
    </w:p>
    <w:p>
      <w:pPr>
        <w:spacing w:after="0" w:line="3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940"/>
          </w:cols>
          <w:pgMar w:left="320" w:top="459" w:right="6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848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6120" w:type="dxa"/>
            <w:vAlign w:val="bottom"/>
            <w:gridSpan w:val="2"/>
          </w:tcPr>
          <w:p>
            <w:pPr>
              <w:ind w:left="4660"/>
              <w:spacing w:after="0"/>
              <w:rPr>
                <w:sz w:val="20"/>
                <w:szCs w:val="20"/>
                <w:color w:val="auto"/>
              </w:rPr>
            </w:pPr>
            <w:r>
              <w:rPr>
                <w:rFonts w:ascii="Arial" w:cs="Arial" w:eastAsia="Arial" w:hAnsi="Arial"/>
                <w:sz w:val="18"/>
                <w:szCs w:val="18"/>
                <w:b w:val="1"/>
                <w:bCs w:val="1"/>
                <w:color w:val="auto"/>
              </w:rPr>
              <w:t>THE OFFERING</w:t>
            </w:r>
          </w:p>
        </w:tc>
        <w:tc>
          <w:tcPr>
            <w:tcW w:w="84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446"/>
        </w:trPr>
        <w:tc>
          <w:tcPr>
            <w:tcW w:w="5500" w:type="dxa"/>
            <w:vAlign w:val="bottom"/>
          </w:tcPr>
          <w:p>
            <w:pPr>
              <w:spacing w:after="0"/>
              <w:rPr>
                <w:sz w:val="20"/>
                <w:szCs w:val="20"/>
                <w:color w:val="auto"/>
              </w:rPr>
            </w:pPr>
            <w:r>
              <w:rPr>
                <w:rFonts w:ascii="Arial" w:cs="Arial" w:eastAsia="Arial" w:hAnsi="Arial"/>
                <w:sz w:val="18"/>
                <w:szCs w:val="18"/>
                <w:b w:val="1"/>
                <w:bCs w:val="1"/>
                <w:color w:val="auto"/>
              </w:rPr>
              <w:t>Common stock offered by us</w:t>
            </w:r>
          </w:p>
        </w:tc>
        <w:tc>
          <w:tcPr>
            <w:tcW w:w="62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shares of our common stock.</w:t>
            </w:r>
          </w:p>
        </w:tc>
      </w:tr>
      <w:tr>
        <w:trPr>
          <w:trHeight w:val="323"/>
        </w:trPr>
        <w:tc>
          <w:tcPr>
            <w:tcW w:w="5500" w:type="dxa"/>
            <w:vAlign w:val="bottom"/>
          </w:tcPr>
          <w:p>
            <w:pPr>
              <w:spacing w:after="0"/>
              <w:rPr>
                <w:sz w:val="20"/>
                <w:szCs w:val="20"/>
                <w:color w:val="auto"/>
              </w:rPr>
            </w:pPr>
            <w:r>
              <w:rPr>
                <w:rFonts w:ascii="Arial" w:cs="Arial" w:eastAsia="Arial" w:hAnsi="Arial"/>
                <w:sz w:val="18"/>
                <w:szCs w:val="18"/>
                <w:b w:val="1"/>
                <w:bCs w:val="1"/>
                <w:color w:val="auto"/>
              </w:rPr>
              <w:t>Option to purchase additional shares</w:t>
            </w: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The underwriters have a 30-day option to purchase up to an</w:t>
            </w:r>
          </w:p>
        </w:tc>
      </w:tr>
      <w:tr>
        <w:trPr>
          <w:trHeight w:val="217"/>
        </w:trPr>
        <w:tc>
          <w:tcPr>
            <w:tcW w:w="550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color w:val="auto"/>
              </w:rPr>
              <w:t>additional</w:t>
            </w:r>
          </w:p>
        </w:tc>
        <w:tc>
          <w:tcPr>
            <w:tcW w:w="3680" w:type="dxa"/>
            <w:vAlign w:val="bottom"/>
          </w:tcPr>
          <w:p>
            <w:pPr>
              <w:ind w:left="180"/>
              <w:spacing w:after="0"/>
              <w:rPr>
                <w:sz w:val="20"/>
                <w:szCs w:val="20"/>
                <w:color w:val="auto"/>
              </w:rPr>
            </w:pPr>
            <w:r>
              <w:rPr>
                <w:rFonts w:ascii="Arial" w:cs="Arial" w:eastAsia="Arial" w:hAnsi="Arial"/>
                <w:sz w:val="18"/>
                <w:szCs w:val="18"/>
                <w:color w:val="auto"/>
              </w:rPr>
              <w:t>shares of common stock.</w:t>
            </w:r>
          </w:p>
        </w:tc>
      </w:tr>
      <w:tr>
        <w:trPr>
          <w:trHeight w:val="310"/>
        </w:trPr>
        <w:tc>
          <w:tcPr>
            <w:tcW w:w="5500" w:type="dxa"/>
            <w:vAlign w:val="bottom"/>
          </w:tcPr>
          <w:p>
            <w:pPr>
              <w:spacing w:after="0"/>
              <w:rPr>
                <w:sz w:val="20"/>
                <w:szCs w:val="20"/>
                <w:color w:val="auto"/>
              </w:rPr>
            </w:pPr>
            <w:r>
              <w:rPr>
                <w:rFonts w:ascii="Arial" w:cs="Arial" w:eastAsia="Arial" w:hAnsi="Arial"/>
                <w:sz w:val="18"/>
                <w:szCs w:val="18"/>
                <w:b w:val="1"/>
                <w:bCs w:val="1"/>
                <w:color w:val="auto"/>
                <w:w w:val="99"/>
              </w:rPr>
              <w:t>Common stock to be outstanding immediately after this offering</w:t>
            </w:r>
          </w:p>
        </w:tc>
        <w:tc>
          <w:tcPr>
            <w:tcW w:w="62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shares (</w:t>
            </w:r>
          </w:p>
        </w:tc>
        <w:tc>
          <w:tcPr>
            <w:tcW w:w="3680" w:type="dxa"/>
            <w:vAlign w:val="bottom"/>
          </w:tcPr>
          <w:p>
            <w:pPr>
              <w:ind w:left="660"/>
              <w:spacing w:after="0"/>
              <w:rPr>
                <w:sz w:val="20"/>
                <w:szCs w:val="20"/>
                <w:color w:val="auto"/>
              </w:rPr>
            </w:pPr>
            <w:r>
              <w:rPr>
                <w:rFonts w:ascii="Arial" w:cs="Arial" w:eastAsia="Arial" w:hAnsi="Arial"/>
                <w:sz w:val="18"/>
                <w:szCs w:val="18"/>
                <w:color w:val="auto"/>
              </w:rPr>
              <w:t>shares if the underwriters exercise</w:t>
            </w:r>
          </w:p>
        </w:tc>
      </w:tr>
      <w:tr>
        <w:trPr>
          <w:trHeight w:val="217"/>
        </w:trPr>
        <w:tc>
          <w:tcPr>
            <w:tcW w:w="5500" w:type="dxa"/>
            <w:vAlign w:val="bottom"/>
          </w:tcPr>
          <w:p>
            <w:pPr>
              <w:spacing w:after="0"/>
              <w:rPr>
                <w:sz w:val="18"/>
                <w:szCs w:val="18"/>
                <w:color w:val="auto"/>
              </w:rPr>
            </w:pP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their option to purchase additional shares in full).</w:t>
            </w:r>
          </w:p>
        </w:tc>
      </w:tr>
      <w:tr>
        <w:trPr>
          <w:trHeight w:val="310"/>
        </w:trPr>
        <w:tc>
          <w:tcPr>
            <w:tcW w:w="550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5140" w:type="dxa"/>
            <w:vAlign w:val="bottom"/>
            <w:gridSpan w:val="3"/>
          </w:tcPr>
          <w:p>
            <w:pPr>
              <w:ind w:left="20"/>
              <w:spacing w:after="0"/>
              <w:rPr>
                <w:sz w:val="20"/>
                <w:szCs w:val="20"/>
                <w:color w:val="auto"/>
              </w:rPr>
            </w:pPr>
            <w:r>
              <w:rPr>
                <w:rFonts w:ascii="Arial" w:cs="Arial" w:eastAsia="Arial" w:hAnsi="Arial"/>
                <w:sz w:val="18"/>
                <w:szCs w:val="18"/>
                <w:color w:val="auto"/>
                <w:w w:val="99"/>
              </w:rPr>
              <w:t>We estimate that the net proceeds to us from this offering will be</w:t>
            </w:r>
          </w:p>
        </w:tc>
      </w:tr>
      <w:tr>
        <w:trPr>
          <w:trHeight w:val="203"/>
        </w:trPr>
        <w:tc>
          <w:tcPr>
            <w:tcW w:w="5500" w:type="dxa"/>
            <w:vAlign w:val="bottom"/>
          </w:tcPr>
          <w:p>
            <w:pPr>
              <w:spacing w:after="0"/>
              <w:rPr>
                <w:sz w:val="17"/>
                <w:szCs w:val="17"/>
                <w:color w:val="auto"/>
              </w:rPr>
            </w:pPr>
          </w:p>
        </w:tc>
        <w:tc>
          <w:tcPr>
            <w:tcW w:w="14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approximately $</w:t>
            </w:r>
          </w:p>
        </w:tc>
        <w:tc>
          <w:tcPr>
            <w:tcW w:w="3680" w:type="dxa"/>
            <w:vAlign w:val="bottom"/>
          </w:tcPr>
          <w:p>
            <w:pPr>
              <w:ind w:left="640"/>
              <w:spacing w:after="0" w:line="202" w:lineRule="exact"/>
              <w:rPr>
                <w:sz w:val="20"/>
                <w:szCs w:val="20"/>
                <w:color w:val="auto"/>
              </w:rPr>
            </w:pPr>
            <w:r>
              <w:rPr>
                <w:rFonts w:ascii="Arial" w:cs="Arial" w:eastAsia="Arial" w:hAnsi="Arial"/>
                <w:sz w:val="18"/>
                <w:szCs w:val="18"/>
                <w:color w:val="auto"/>
              </w:rPr>
              <w:t>million, or approximately</w:t>
            </w:r>
          </w:p>
        </w:tc>
      </w:tr>
      <w:tr>
        <w:trPr>
          <w:trHeight w:val="203"/>
        </w:trPr>
        <w:tc>
          <w:tcPr>
            <w:tcW w:w="5500" w:type="dxa"/>
            <w:vAlign w:val="bottom"/>
          </w:tcPr>
          <w:p>
            <w:pPr>
              <w:spacing w:after="0"/>
              <w:rPr>
                <w:sz w:val="17"/>
                <w:szCs w:val="17"/>
                <w:color w:val="auto"/>
              </w:rPr>
            </w:pPr>
          </w:p>
        </w:tc>
        <w:tc>
          <w:tcPr>
            <w:tcW w:w="62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452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million if the underwriters exercise their option to</w:t>
            </w:r>
          </w:p>
        </w:tc>
      </w:tr>
      <w:tr>
        <w:trPr>
          <w:trHeight w:val="217"/>
        </w:trPr>
        <w:tc>
          <w:tcPr>
            <w:tcW w:w="5500" w:type="dxa"/>
            <w:vAlign w:val="bottom"/>
          </w:tcPr>
          <w:p>
            <w:pPr>
              <w:spacing w:after="0"/>
              <w:rPr>
                <w:sz w:val="18"/>
                <w:szCs w:val="18"/>
                <w:color w:val="auto"/>
              </w:rPr>
            </w:pP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purchase additional shares in full.</w:t>
            </w:r>
          </w:p>
        </w:tc>
      </w:tr>
      <w:tr>
        <w:trPr>
          <w:trHeight w:val="310"/>
        </w:trPr>
        <w:tc>
          <w:tcPr>
            <w:tcW w:w="5500" w:type="dxa"/>
            <w:vAlign w:val="bottom"/>
          </w:tcPr>
          <w:p>
            <w:pPr>
              <w:spacing w:after="0"/>
              <w:rPr>
                <w:sz w:val="24"/>
                <w:szCs w:val="24"/>
                <w:color w:val="auto"/>
              </w:rPr>
            </w:pP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We currently intend to use the net proceeds from the sale of</w:t>
            </w:r>
          </w:p>
        </w:tc>
      </w:tr>
      <w:tr>
        <w:trPr>
          <w:trHeight w:val="203"/>
        </w:trPr>
        <w:tc>
          <w:tcPr>
            <w:tcW w:w="5500" w:type="dxa"/>
            <w:vAlign w:val="bottom"/>
          </w:tcPr>
          <w:p>
            <w:pPr>
              <w:spacing w:after="0"/>
              <w:rPr>
                <w:sz w:val="17"/>
                <w:szCs w:val="17"/>
                <w:color w:val="auto"/>
              </w:rPr>
            </w:pPr>
          </w:p>
        </w:tc>
        <w:tc>
          <w:tcPr>
            <w:tcW w:w="5140" w:type="dxa"/>
            <w:vAlign w:val="bottom"/>
            <w:gridSpan w:val="3"/>
          </w:tcPr>
          <w:p>
            <w:pPr>
              <w:ind w:left="20"/>
              <w:spacing w:after="0" w:line="202" w:lineRule="exact"/>
              <w:rPr>
                <w:sz w:val="20"/>
                <w:szCs w:val="20"/>
                <w:color w:val="auto"/>
              </w:rPr>
            </w:pPr>
            <w:r>
              <w:rPr>
                <w:rFonts w:ascii="Arial" w:cs="Arial" w:eastAsia="Arial" w:hAnsi="Arial"/>
                <w:sz w:val="18"/>
                <w:szCs w:val="18"/>
                <w:color w:val="auto"/>
                <w:w w:val="99"/>
              </w:rPr>
              <w:t>securities offered under this prospectus supplement primarily for</w:t>
            </w:r>
          </w:p>
        </w:tc>
      </w:tr>
      <w:tr>
        <w:trPr>
          <w:trHeight w:val="203"/>
        </w:trPr>
        <w:tc>
          <w:tcPr>
            <w:tcW w:w="5500" w:type="dxa"/>
            <w:vAlign w:val="bottom"/>
          </w:tcPr>
          <w:p>
            <w:pPr>
              <w:spacing w:after="0"/>
              <w:rPr>
                <w:sz w:val="17"/>
                <w:szCs w:val="17"/>
                <w:color w:val="auto"/>
              </w:rPr>
            </w:pPr>
          </w:p>
        </w:tc>
        <w:tc>
          <w:tcPr>
            <w:tcW w:w="51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general corporate purposes, which may include working capital</w:t>
            </w:r>
          </w:p>
        </w:tc>
      </w:tr>
      <w:tr>
        <w:trPr>
          <w:trHeight w:val="203"/>
        </w:trPr>
        <w:tc>
          <w:tcPr>
            <w:tcW w:w="5500" w:type="dxa"/>
            <w:vAlign w:val="bottom"/>
          </w:tcPr>
          <w:p>
            <w:pPr>
              <w:spacing w:after="0"/>
              <w:rPr>
                <w:sz w:val="17"/>
                <w:szCs w:val="17"/>
                <w:color w:val="auto"/>
              </w:rPr>
            </w:pPr>
          </w:p>
        </w:tc>
        <w:tc>
          <w:tcPr>
            <w:tcW w:w="51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and capital expenditures, research and development expenses,</w:t>
            </w:r>
          </w:p>
        </w:tc>
      </w:tr>
      <w:tr>
        <w:trPr>
          <w:trHeight w:val="203"/>
        </w:trPr>
        <w:tc>
          <w:tcPr>
            <w:tcW w:w="5500" w:type="dxa"/>
            <w:vAlign w:val="bottom"/>
          </w:tcPr>
          <w:p>
            <w:pPr>
              <w:spacing w:after="0"/>
              <w:rPr>
                <w:sz w:val="17"/>
                <w:szCs w:val="17"/>
                <w:color w:val="auto"/>
              </w:rPr>
            </w:pPr>
          </w:p>
        </w:tc>
        <w:tc>
          <w:tcPr>
            <w:tcW w:w="51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including to fund clinical trials, regulatory submissions,</w:t>
            </w:r>
          </w:p>
        </w:tc>
      </w:tr>
      <w:tr>
        <w:trPr>
          <w:trHeight w:val="203"/>
        </w:trPr>
        <w:tc>
          <w:tcPr>
            <w:tcW w:w="5500" w:type="dxa"/>
            <w:vAlign w:val="bottom"/>
          </w:tcPr>
          <w:p>
            <w:pPr>
              <w:spacing w:after="0"/>
              <w:rPr>
                <w:sz w:val="17"/>
                <w:szCs w:val="17"/>
                <w:color w:val="auto"/>
              </w:rPr>
            </w:pPr>
          </w:p>
        </w:tc>
        <w:tc>
          <w:tcPr>
            <w:tcW w:w="51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commercialization, discovery and additional preclinical research</w:t>
            </w:r>
          </w:p>
        </w:tc>
      </w:tr>
      <w:tr>
        <w:trPr>
          <w:trHeight w:val="203"/>
        </w:trPr>
        <w:tc>
          <w:tcPr>
            <w:tcW w:w="5500" w:type="dxa"/>
            <w:vAlign w:val="bottom"/>
          </w:tcPr>
          <w:p>
            <w:pPr>
              <w:spacing w:after="0"/>
              <w:rPr>
                <w:sz w:val="17"/>
                <w:szCs w:val="17"/>
                <w:color w:val="auto"/>
              </w:rPr>
            </w:pPr>
          </w:p>
        </w:tc>
        <w:tc>
          <w:tcPr>
            <w:tcW w:w="51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and development of additional product candidates and platform</w:t>
            </w:r>
          </w:p>
        </w:tc>
      </w:tr>
      <w:tr>
        <w:trPr>
          <w:trHeight w:val="203"/>
        </w:trPr>
        <w:tc>
          <w:tcPr>
            <w:tcW w:w="5500" w:type="dxa"/>
            <w:vAlign w:val="bottom"/>
          </w:tcPr>
          <w:p>
            <w:pPr>
              <w:spacing w:after="0"/>
              <w:rPr>
                <w:sz w:val="17"/>
                <w:szCs w:val="17"/>
                <w:color w:val="auto"/>
              </w:rPr>
            </w:pPr>
          </w:p>
        </w:tc>
        <w:tc>
          <w:tcPr>
            <w:tcW w:w="51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enhancement, general and administrative expenses, and</w:t>
            </w:r>
          </w:p>
        </w:tc>
      </w:tr>
      <w:tr>
        <w:trPr>
          <w:trHeight w:val="203"/>
        </w:trPr>
        <w:tc>
          <w:tcPr>
            <w:tcW w:w="5500" w:type="dxa"/>
            <w:vAlign w:val="bottom"/>
          </w:tcPr>
          <w:p>
            <w:pPr>
              <w:spacing w:after="0"/>
              <w:rPr>
                <w:sz w:val="17"/>
                <w:szCs w:val="17"/>
                <w:color w:val="auto"/>
              </w:rPr>
            </w:pPr>
          </w:p>
        </w:tc>
        <w:tc>
          <w:tcPr>
            <w:tcW w:w="51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potential acquisitions of, or investments in, companies,</w:t>
            </w:r>
          </w:p>
        </w:tc>
      </w:tr>
      <w:tr>
        <w:trPr>
          <w:trHeight w:val="203"/>
        </w:trPr>
        <w:tc>
          <w:tcPr>
            <w:tcW w:w="5500" w:type="dxa"/>
            <w:vAlign w:val="bottom"/>
          </w:tcPr>
          <w:p>
            <w:pPr>
              <w:spacing w:after="0"/>
              <w:rPr>
                <w:sz w:val="17"/>
                <w:szCs w:val="17"/>
                <w:color w:val="auto"/>
              </w:rPr>
            </w:pPr>
          </w:p>
        </w:tc>
        <w:tc>
          <w:tcPr>
            <w:tcW w:w="51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technologies, products or assets that complement our business.</w:t>
            </w:r>
          </w:p>
        </w:tc>
      </w:tr>
      <w:tr>
        <w:trPr>
          <w:trHeight w:val="203"/>
        </w:trPr>
        <w:tc>
          <w:tcPr>
            <w:tcW w:w="5500" w:type="dxa"/>
            <w:vAlign w:val="bottom"/>
          </w:tcPr>
          <w:p>
            <w:pPr>
              <w:spacing w:after="0"/>
              <w:rPr>
                <w:sz w:val="17"/>
                <w:szCs w:val="17"/>
                <w:color w:val="auto"/>
              </w:rPr>
            </w:pPr>
          </w:p>
        </w:tc>
        <w:tc>
          <w:tcPr>
            <w:tcW w:w="51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See “Use of Proceeds” in this prospectus supplement for more</w:t>
            </w:r>
          </w:p>
        </w:tc>
      </w:tr>
      <w:tr>
        <w:trPr>
          <w:trHeight w:val="217"/>
        </w:trPr>
        <w:tc>
          <w:tcPr>
            <w:tcW w:w="550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color w:val="auto"/>
              </w:rPr>
              <w:t>information.</w:t>
            </w:r>
          </w:p>
        </w:tc>
        <w:tc>
          <w:tcPr>
            <w:tcW w:w="3680" w:type="dxa"/>
            <w:vAlign w:val="bottom"/>
          </w:tcPr>
          <w:p>
            <w:pPr>
              <w:spacing w:after="0"/>
              <w:rPr>
                <w:sz w:val="18"/>
                <w:szCs w:val="18"/>
                <w:color w:val="auto"/>
              </w:rPr>
            </w:pPr>
          </w:p>
        </w:tc>
      </w:tr>
      <w:tr>
        <w:trPr>
          <w:trHeight w:val="310"/>
        </w:trPr>
        <w:tc>
          <w:tcPr>
            <w:tcW w:w="550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You should read the “Risk Factors” in this prospectus</w:t>
            </w:r>
          </w:p>
        </w:tc>
      </w:tr>
      <w:tr>
        <w:trPr>
          <w:trHeight w:val="203"/>
        </w:trPr>
        <w:tc>
          <w:tcPr>
            <w:tcW w:w="5500" w:type="dxa"/>
            <w:vAlign w:val="bottom"/>
          </w:tcPr>
          <w:p>
            <w:pPr>
              <w:spacing w:after="0"/>
              <w:rPr>
                <w:sz w:val="17"/>
                <w:szCs w:val="17"/>
                <w:color w:val="auto"/>
              </w:rPr>
            </w:pPr>
          </w:p>
        </w:tc>
        <w:tc>
          <w:tcPr>
            <w:tcW w:w="51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supplement, the accompanying base prospectus, and the risks</w:t>
            </w:r>
          </w:p>
        </w:tc>
      </w:tr>
      <w:tr>
        <w:trPr>
          <w:trHeight w:val="202"/>
        </w:trPr>
        <w:tc>
          <w:tcPr>
            <w:tcW w:w="5500" w:type="dxa"/>
            <w:vAlign w:val="bottom"/>
          </w:tcPr>
          <w:p>
            <w:pPr>
              <w:spacing w:after="0"/>
              <w:rPr>
                <w:sz w:val="17"/>
                <w:szCs w:val="17"/>
                <w:color w:val="auto"/>
              </w:rPr>
            </w:pPr>
          </w:p>
        </w:tc>
        <w:tc>
          <w:tcPr>
            <w:tcW w:w="51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set forth under the caption “Item 1A. Risk Factors” included in</w:t>
            </w:r>
          </w:p>
        </w:tc>
      </w:tr>
      <w:tr>
        <w:trPr>
          <w:trHeight w:val="203"/>
        </w:trPr>
        <w:tc>
          <w:tcPr>
            <w:tcW w:w="5500" w:type="dxa"/>
            <w:vAlign w:val="bottom"/>
          </w:tcPr>
          <w:p>
            <w:pPr>
              <w:spacing w:after="0"/>
              <w:rPr>
                <w:sz w:val="17"/>
                <w:szCs w:val="17"/>
                <w:color w:val="auto"/>
              </w:rPr>
            </w:pPr>
          </w:p>
        </w:tc>
        <w:tc>
          <w:tcPr>
            <w:tcW w:w="51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our Annual Report on Form 10-K for the fiscal year ended</w:t>
            </w:r>
          </w:p>
        </w:tc>
      </w:tr>
      <w:tr>
        <w:trPr>
          <w:trHeight w:val="203"/>
        </w:trPr>
        <w:tc>
          <w:tcPr>
            <w:tcW w:w="5500" w:type="dxa"/>
            <w:vAlign w:val="bottom"/>
          </w:tcPr>
          <w:p>
            <w:pPr>
              <w:spacing w:after="0"/>
              <w:rPr>
                <w:sz w:val="17"/>
                <w:szCs w:val="17"/>
                <w:color w:val="auto"/>
              </w:rPr>
            </w:pPr>
          </w:p>
        </w:tc>
        <w:tc>
          <w:tcPr>
            <w:tcW w:w="51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December 31, 2021 and the other documents incorporated by</w:t>
            </w:r>
          </w:p>
        </w:tc>
      </w:tr>
      <w:tr>
        <w:trPr>
          <w:trHeight w:val="203"/>
        </w:trPr>
        <w:tc>
          <w:tcPr>
            <w:tcW w:w="5500" w:type="dxa"/>
            <w:vAlign w:val="bottom"/>
          </w:tcPr>
          <w:p>
            <w:pPr>
              <w:spacing w:after="0"/>
              <w:rPr>
                <w:sz w:val="17"/>
                <w:szCs w:val="17"/>
                <w:color w:val="auto"/>
              </w:rPr>
            </w:pPr>
          </w:p>
        </w:tc>
        <w:tc>
          <w:tcPr>
            <w:tcW w:w="51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reference into this prospectus supplement for a discussion of</w:t>
            </w:r>
          </w:p>
        </w:tc>
      </w:tr>
      <w:tr>
        <w:trPr>
          <w:trHeight w:val="203"/>
        </w:trPr>
        <w:tc>
          <w:tcPr>
            <w:tcW w:w="5500" w:type="dxa"/>
            <w:vAlign w:val="bottom"/>
          </w:tcPr>
          <w:p>
            <w:pPr>
              <w:spacing w:after="0"/>
              <w:rPr>
                <w:sz w:val="17"/>
                <w:szCs w:val="17"/>
                <w:color w:val="auto"/>
              </w:rPr>
            </w:pPr>
          </w:p>
        </w:tc>
        <w:tc>
          <w:tcPr>
            <w:tcW w:w="51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factors to consider carefully before deciding to purchase shares</w:t>
            </w:r>
          </w:p>
        </w:tc>
      </w:tr>
      <w:tr>
        <w:trPr>
          <w:trHeight w:val="217"/>
        </w:trPr>
        <w:tc>
          <w:tcPr>
            <w:tcW w:w="5500" w:type="dxa"/>
            <w:vAlign w:val="bottom"/>
          </w:tcPr>
          <w:p>
            <w:pPr>
              <w:spacing w:after="0"/>
              <w:rPr>
                <w:sz w:val="18"/>
                <w:szCs w:val="18"/>
                <w:color w:val="auto"/>
              </w:rPr>
            </w:pP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of our common stock.</w:t>
            </w:r>
          </w:p>
        </w:tc>
      </w:tr>
      <w:tr>
        <w:trPr>
          <w:trHeight w:val="324"/>
        </w:trPr>
        <w:tc>
          <w:tcPr>
            <w:tcW w:w="5500" w:type="dxa"/>
            <w:vAlign w:val="bottom"/>
          </w:tcPr>
          <w:p>
            <w:pPr>
              <w:spacing w:after="0"/>
              <w:rPr>
                <w:sz w:val="20"/>
                <w:szCs w:val="20"/>
                <w:color w:val="auto"/>
              </w:rPr>
            </w:pPr>
            <w:r>
              <w:rPr>
                <w:rFonts w:ascii="Arial" w:cs="Arial" w:eastAsia="Arial" w:hAnsi="Arial"/>
                <w:sz w:val="18"/>
                <w:szCs w:val="18"/>
                <w:b w:val="1"/>
                <w:bCs w:val="1"/>
                <w:color w:val="auto"/>
              </w:rPr>
              <w:t>Nasdaq Global Market Symbol</w:t>
            </w:r>
          </w:p>
        </w:tc>
        <w:tc>
          <w:tcPr>
            <w:tcW w:w="620" w:type="dxa"/>
            <w:vAlign w:val="bottom"/>
          </w:tcPr>
          <w:p>
            <w:pPr>
              <w:ind w:left="20"/>
              <w:spacing w:after="0"/>
              <w:rPr>
                <w:sz w:val="20"/>
                <w:szCs w:val="20"/>
                <w:color w:val="auto"/>
              </w:rPr>
            </w:pPr>
            <w:r>
              <w:rPr>
                <w:rFonts w:ascii="Arial" w:cs="Arial" w:eastAsia="Arial" w:hAnsi="Arial"/>
                <w:sz w:val="18"/>
                <w:szCs w:val="18"/>
                <w:color w:val="auto"/>
                <w:w w:val="98"/>
              </w:rPr>
              <w:t>“FULC”</w:t>
            </w:r>
          </w:p>
        </w:tc>
        <w:tc>
          <w:tcPr>
            <w:tcW w:w="840" w:type="dxa"/>
            <w:vAlign w:val="bottom"/>
          </w:tcPr>
          <w:p>
            <w:pPr>
              <w:spacing w:after="0"/>
              <w:rPr>
                <w:sz w:val="24"/>
                <w:szCs w:val="24"/>
                <w:color w:val="auto"/>
              </w:rPr>
            </w:pPr>
          </w:p>
        </w:tc>
        <w:tc>
          <w:tcPr>
            <w:tcW w:w="3680" w:type="dxa"/>
            <w:vAlign w:val="bottom"/>
          </w:tcPr>
          <w:p>
            <w:pPr>
              <w:spacing w:after="0"/>
              <w:rPr>
                <w:sz w:val="24"/>
                <w:szCs w:val="24"/>
                <w:color w:val="auto"/>
              </w:rPr>
            </w:pPr>
          </w:p>
        </w:tc>
      </w:tr>
    </w:tbl>
    <w:p>
      <w:pPr>
        <w:spacing w:after="0" w:line="215" w:lineRule="exact"/>
        <w:rPr>
          <w:sz w:val="20"/>
          <w:szCs w:val="20"/>
          <w:color w:val="auto"/>
        </w:rPr>
      </w:pPr>
    </w:p>
    <w:p>
      <w:pPr>
        <w:ind w:left="300" w:right="720" w:firstLine="532"/>
        <w:spacing w:after="0" w:line="246" w:lineRule="auto"/>
        <w:rPr>
          <w:sz w:val="20"/>
          <w:szCs w:val="20"/>
          <w:color w:val="auto"/>
        </w:rPr>
      </w:pPr>
      <w:r>
        <w:rPr>
          <w:rFonts w:ascii="Arial" w:cs="Arial" w:eastAsia="Arial" w:hAnsi="Arial"/>
          <w:sz w:val="18"/>
          <w:szCs w:val="18"/>
          <w:color w:val="auto"/>
        </w:rPr>
        <w:t>The number of shares of our common stock shown above to be outstanding immediately after this offering is based on 41,008,205 shares of common stock outstanding as of June 30, 2022 and excludes the following:</w:t>
      </w:r>
    </w:p>
    <w:p>
      <w:pPr>
        <w:spacing w:after="0" w:line="102" w:lineRule="exact"/>
        <w:rPr>
          <w:sz w:val="20"/>
          <w:szCs w:val="20"/>
          <w:color w:val="auto"/>
        </w:rPr>
      </w:pPr>
    </w:p>
    <w:p>
      <w:pPr>
        <w:ind w:left="1020" w:right="220" w:hanging="195"/>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6,137,740 shares of common stock issuable upon exercise of stock options outstanding as of June 30, 2022 at a weighted average exercise price of $13.42 per share;</w:t>
      </w:r>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40"/>
          </w:cols>
          <w:pgMar w:left="320" w:top="459" w:right="6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3533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235331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020" w:right="80" w:hanging="195"/>
        <w:spacing w:after="0" w:line="24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115,189 shares of common stock issuable upon vesting of restricted stock units, or RSUs, outstanding as of June 30, 2022; and</w:t>
      </w:r>
    </w:p>
    <w:p>
      <w:pPr>
        <w:spacing w:after="0" w:line="102" w:lineRule="exact"/>
        <w:rPr>
          <w:rFonts w:ascii="Arial" w:cs="Arial" w:eastAsia="Arial" w:hAnsi="Arial"/>
          <w:sz w:val="18"/>
          <w:szCs w:val="18"/>
          <w:color w:val="auto"/>
        </w:rPr>
      </w:pPr>
    </w:p>
    <w:p>
      <w:pPr>
        <w:ind w:left="1020" w:right="200" w:hanging="195"/>
        <w:spacing w:after="0" w:line="261"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1,249,233, 1,381,360, and 1,091,085 shares of our common stock available for future issuance as of June 30, 2022 under our 2019 Stock Incentive Plan, our 2022 Inducement Stock Incentive Plan and our 2019 Employee Stock Purchase Plan, respectively, as well as any automatic increases in the number of shares of common stock reserved under these plans.</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Unless otherwise indicated, all information in this prospectus supplement:</w:t>
      </w:r>
    </w:p>
    <w:p>
      <w:pPr>
        <w:spacing w:after="0" w:line="117" w:lineRule="exact"/>
        <w:rPr>
          <w:sz w:val="20"/>
          <w:szCs w:val="20"/>
          <w:color w:val="auto"/>
        </w:rPr>
      </w:pPr>
    </w:p>
    <w:p>
      <w:pPr>
        <w:ind w:left="1020" w:hanging="19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assumes no exercise of the outstanding stock options or settlement of the RSUs described above;</w:t>
      </w:r>
    </w:p>
    <w:p>
      <w:pPr>
        <w:spacing w:after="0" w:line="117" w:lineRule="exact"/>
        <w:rPr>
          <w:rFonts w:ascii="Arial" w:cs="Arial" w:eastAsia="Arial" w:hAnsi="Arial"/>
          <w:sz w:val="18"/>
          <w:szCs w:val="18"/>
          <w:color w:val="auto"/>
        </w:rPr>
      </w:pPr>
    </w:p>
    <w:p>
      <w:pPr>
        <w:ind w:left="1020" w:right="140" w:hanging="195"/>
        <w:spacing w:after="0" w:line="24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assumes no exercise by the underwriters of their option to purchase additional shares of our common stock in this offering; and</w:t>
      </w:r>
    </w:p>
    <w:p>
      <w:pPr>
        <w:spacing w:after="0" w:line="102" w:lineRule="exact"/>
        <w:rPr>
          <w:rFonts w:ascii="Arial" w:cs="Arial" w:eastAsia="Arial" w:hAnsi="Arial"/>
          <w:sz w:val="18"/>
          <w:szCs w:val="18"/>
          <w:color w:val="auto"/>
        </w:rPr>
      </w:pPr>
    </w:p>
    <w:p>
      <w:pPr>
        <w:ind w:left="1020" w:hanging="195"/>
        <w:spacing w:after="0" w:line="23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does not reflect the potential issuance of shares of our common stock that remain available for sale as of the date of this prospectus supplement under our “at-the-market” offering program, pursuant to which we may sell common stock for remaining gross proceeds of up to $50 million from time to time under our equity distribution agreement with Piper Sandler &amp; Co.</w:t>
      </w:r>
    </w:p>
    <w:p>
      <w:pPr>
        <w:spacing w:after="0" w:line="31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900"/>
          </w:cols>
          <w:pgMar w:left="320" w:top="459" w:right="6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left="120" w:right="160" w:firstLine="551"/>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together with all of the other information contained in this prospectus supplement and the accompanying base prospectus and the risk factors in our most recent Annual Report on Form 10-K, our most recent Quarterly Report on Form 10-Q, together with other information in this prospectus supplement, the accompanying base prospectus and the information and documents incorporated by reference in this prospectus supplement and the accompanying base prospectus, and in any prospectus supplement or free writing prospectus that we authorize for use in connection with this offering. If any of the following risks actually occur, our business, prospects, operating results and financial condition could suffer materially. In such event, the trading price of our common stock could decline and you might lose all or part of your investment.</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Risks Related to This Offering</w:t>
      </w:r>
    </w:p>
    <w:p>
      <w:pPr>
        <w:spacing w:after="0" w:line="212" w:lineRule="exact"/>
        <w:rPr>
          <w:sz w:val="20"/>
          <w:szCs w:val="20"/>
          <w:color w:val="auto"/>
        </w:rPr>
      </w:pPr>
    </w:p>
    <w:p>
      <w:pPr>
        <w:ind w:left="120" w:right="440"/>
        <w:spacing w:after="0" w:line="271" w:lineRule="auto"/>
        <w:rPr>
          <w:sz w:val="20"/>
          <w:szCs w:val="20"/>
          <w:color w:val="auto"/>
        </w:rPr>
      </w:pPr>
      <w:r>
        <w:rPr>
          <w:rFonts w:ascii="Arial" w:cs="Arial" w:eastAsia="Arial" w:hAnsi="Arial"/>
          <w:sz w:val="18"/>
          <w:szCs w:val="18"/>
          <w:b w:val="1"/>
          <w:bCs w:val="1"/>
          <w:i w:val="1"/>
          <w:iCs w:val="1"/>
          <w:color w:val="auto"/>
        </w:rPr>
        <w:t>Sale of a substantial number of shares of our common stock, including by us, could cause the market price of our common stock to drop significantly, even if our business is doing well.</w:t>
      </w:r>
    </w:p>
    <w:p>
      <w:pPr>
        <w:spacing w:after="0" w:line="68" w:lineRule="exact"/>
        <w:rPr>
          <w:sz w:val="20"/>
          <w:szCs w:val="20"/>
          <w:color w:val="auto"/>
        </w:rPr>
      </w:pPr>
    </w:p>
    <w:p>
      <w:pPr>
        <w:ind w:left="120" w:firstLine="551"/>
        <w:spacing w:after="0" w:line="257"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189"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Moreover, holders of a substantial number of shares of our common stock have rights, subject to specified conditions, to require us to file registration statements covering their shares or to include their shares in registration statements that we may file for ourselves or other stockholders.</w:t>
      </w:r>
    </w:p>
    <w:p>
      <w:pPr>
        <w:spacing w:after="0" w:line="20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have filed a registration statement covering the resale of 4,029,411 shares of our common stock that we sold to purchasers in a private placement and have agreed to keep such registration statement effective until the date the shares covered by the registration statement have been sold or can be resold without restriction under Rule 144 of the Securities Act.</w:t>
      </w:r>
    </w:p>
    <w:p>
      <w:pPr>
        <w:spacing w:after="0" w:line="203"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In addition, we have filed or intend to file registration statements registering all shares of common stock that we may issue under our equity compensation plans or pursuant to equity awards made to newly hired employees outside of equity compensation plans. These shares can be freely sold in the public market upon issuance, subject to volume limitations applicable to affiliates.</w:t>
      </w:r>
    </w:p>
    <w:p>
      <w:pPr>
        <w:spacing w:after="0" w:line="289"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i w:val="1"/>
          <w:iCs w:val="1"/>
          <w:color w:val="auto"/>
        </w:rPr>
        <w:t>Our management may invest or spend the proceeds of this offering in ways with which you may not agree or in ways that may not yield a return.</w:t>
      </w:r>
    </w:p>
    <w:p>
      <w:pPr>
        <w:spacing w:after="0" w:line="68"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our product candidates. Pending their use, we may invest the net proceeds from this offering in a manner that does not produce income or that loses value.</w:t>
      </w:r>
    </w:p>
    <w:p>
      <w:pPr>
        <w:spacing w:after="0" w:line="202" w:lineRule="exact"/>
        <w:rPr>
          <w:sz w:val="20"/>
          <w:szCs w:val="20"/>
          <w:color w:val="auto"/>
        </w:rPr>
      </w:pPr>
    </w:p>
    <w:p>
      <w:pPr>
        <w:jc w:val="both"/>
        <w:ind w:left="120" w:right="400" w:firstLine="551"/>
        <w:spacing w:after="0"/>
        <w:rPr>
          <w:sz w:val="20"/>
          <w:szCs w:val="20"/>
          <w:color w:val="auto"/>
        </w:rPr>
      </w:pPr>
      <w:r>
        <w:rPr>
          <w:rFonts w:ascii="Arial" w:cs="Arial" w:eastAsia="Arial" w:hAnsi="Arial"/>
          <w:sz w:val="18"/>
          <w:szCs w:val="18"/>
          <w:color w:val="auto"/>
        </w:rPr>
        <w:t>In addition, the issuance from time to time of shares of our common stock in this offering, or our ability to issue these shares of common stock in this offering, could result in resales of our common stock by our current stockholders concerned about the potential dilution of their holdings. In turn, these resales could have the effect of depressing the market price for our common stock.</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00"/>
          </w:cols>
          <w:pgMar w:left="320" w:top="459" w:right="4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Purchasers will experience immediate dilution in the book value per share of the common stock purchased in the offering.</w:t>
      </w:r>
    </w:p>
    <w:p>
      <w:pPr>
        <w:spacing w:after="0" w:line="126" w:lineRule="exact"/>
        <w:rPr>
          <w:sz w:val="20"/>
          <w:szCs w:val="20"/>
          <w:color w:val="auto"/>
        </w:rPr>
      </w:pPr>
    </w:p>
    <w:p>
      <w:pPr>
        <w:jc w:val="both"/>
        <w:ind w:left="120" w:right="300" w:firstLine="551"/>
        <w:spacing w:after="0" w:line="248" w:lineRule="auto"/>
        <w:rPr>
          <w:sz w:val="20"/>
          <w:szCs w:val="20"/>
          <w:color w:val="auto"/>
        </w:rPr>
      </w:pPr>
      <w:r>
        <w:rPr>
          <w:rFonts w:ascii="Arial" w:cs="Arial" w:eastAsia="Arial" w:hAnsi="Arial"/>
          <w:sz w:val="17"/>
          <w:szCs w:val="17"/>
          <w:color w:val="auto"/>
        </w:rPr>
        <w:t>The price of our common stock to be sold in this offering is substantially higher than the net tangible book value per share of our common stock. Therefore, if you purchase shares of our common stock in this offering, you will pay a price per share that substantially exceeds our net tangible book value per share after this offering. After giving effect to the sale of shares of our common stock in the</w:t>
      </w:r>
    </w:p>
    <w:p>
      <w:pPr>
        <w:spacing w:after="0" w:line="2" w:lineRule="exact"/>
        <w:rPr>
          <w:sz w:val="20"/>
          <w:szCs w:val="20"/>
          <w:color w:val="auto"/>
        </w:rPr>
      </w:pPr>
    </w:p>
    <w:p>
      <w:pPr>
        <w:ind w:left="120" w:right="140"/>
        <w:spacing w:after="0" w:line="234" w:lineRule="auto"/>
        <w:rPr>
          <w:sz w:val="20"/>
          <w:szCs w:val="20"/>
          <w:color w:val="auto"/>
        </w:rPr>
      </w:pPr>
      <w:r>
        <w:rPr>
          <w:rFonts w:ascii="Arial" w:cs="Arial" w:eastAsia="Arial" w:hAnsi="Arial"/>
          <w:sz w:val="18"/>
          <w:szCs w:val="18"/>
          <w:color w:val="auto"/>
        </w:rPr>
        <w:t>aggregate amount of $ at the public offering price of $ per share of common stock, and after deducting underwriting discounts and commissions and estimated offering expenses payable by us, our as adjusted net tangible book value as of June 30, 2022</w:t>
      </w:r>
    </w:p>
    <w:p>
      <w:pPr>
        <w:spacing w:after="0" w:line="1"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would have been approximately $ million, or approximately $ per share. This represents an immediate increase in as adjusted net tangible book value of approximately $ per share to our existing stockholders and an immediate dilution in as adjusted net tangible book value of approximately $ per share to purchasers of our common stock in this offering. See “Dilution” in this prospectus supplement for more information.</w:t>
      </w:r>
    </w:p>
    <w:p>
      <w:pPr>
        <w:spacing w:after="0" w:line="291"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our stockholders.</w:t>
      </w:r>
    </w:p>
    <w:p>
      <w:pPr>
        <w:spacing w:after="0" w:line="68"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The trading price of our common stock has been, and is likely to continue to be, volatile and could be subject to wide fluctuations in response to various factors, some of which are beyond our control. During the period from July 18, 2019 to August 12, 2022, the closing price of our common stock ranged from a high of $ 30.97 per share to a low of $ 4.46 per share. The stock market in general and the market for smaller biopharmaceutical companies in particular have experienced extreme volatility that has often been unrelated to the operating performance of particular companies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126"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any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any investors in this offering.</w:t>
      </w:r>
    </w:p>
    <w:p>
      <w:pPr>
        <w:spacing w:after="0" w:line="291"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We do not anticipate paying any cash dividends on our common stock in the foreseeable future. Accordingly, stockholders must rely on capital appreciation, if any, for any return on their investment.</w:t>
      </w:r>
    </w:p>
    <w:p>
      <w:pPr>
        <w:spacing w:after="0" w:line="68"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have never declared or paid cash dividends on our common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This prospectus supplement, the accompanying base prospectus and the documents incorporated by reference in each of this prospectus supplement and the accompanying base prospectus include “forward-looking statements” within the meaning of Section 27A of the Securities Act of 1933, as amended, or the Securities Act, and Section 21E of the Securities Exchange Act of 1934, as amended, or the Exchange Act. All statements, other than statements of historical fact, contained or incorporated by reference in this prospectus supplement and the accompanying base prospectus, including statements regarding our strategy, future operations, future financial position, future revenue, projected costs, prospects, plans and objectives of management, are forward-looking statements. The words “anticipate,” “believe,” “estimate,” “expect,” “intend,” “may,” “might,” “plan,” “predict,” “project,” “target,” “potential,” “would,” “could,” “should,” “continue” and similar expressions are intended to identify forward-looking statements, although not all forward-looking statements contain these identifying words.</w:t>
      </w:r>
    </w:p>
    <w:p>
      <w:pPr>
        <w:spacing w:after="0" w:line="207"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The forward-looking statements in this prospectus supplement, the accompanying prospectus and the information incorporated by reference herein and therein include, among other things, statements about:</w:t>
      </w:r>
    </w:p>
    <w:p>
      <w:pPr>
        <w:spacing w:after="0" w:line="102" w:lineRule="exact"/>
        <w:rPr>
          <w:sz w:val="20"/>
          <w:szCs w:val="20"/>
          <w:color w:val="auto"/>
        </w:rPr>
      </w:pPr>
    </w:p>
    <w:p>
      <w:pPr>
        <w:ind w:left="880" w:hanging="224"/>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ongoing clinical trials of losmapimod and FTX-6058;</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our organizational streamlining and realignment of resources, including our anticipated cash runway;</w:t>
      </w:r>
    </w:p>
    <w:p>
      <w:pPr>
        <w:spacing w:after="0" w:line="117" w:lineRule="exact"/>
        <w:rPr>
          <w:rFonts w:ascii="Arial" w:cs="Arial" w:eastAsia="Arial" w:hAnsi="Arial"/>
          <w:sz w:val="18"/>
          <w:szCs w:val="18"/>
          <w:color w:val="auto"/>
        </w:rPr>
      </w:pPr>
    </w:p>
    <w:p>
      <w:pPr>
        <w:ind w:left="880" w:right="380" w:hanging="224"/>
        <w:spacing w:after="0" w:line="246"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ongoing COVID-19 pandemic on our business and operations, including our clinical trials and development plans, as well as our future financial results;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drug target discovery screening programs;</w:t>
      </w:r>
    </w:p>
    <w:p>
      <w:pPr>
        <w:spacing w:after="0" w:line="117" w:lineRule="exact"/>
        <w:rPr>
          <w:rFonts w:ascii="Arial" w:cs="Arial" w:eastAsia="Arial" w:hAnsi="Arial"/>
          <w:sz w:val="18"/>
          <w:szCs w:val="18"/>
          <w:color w:val="auto"/>
        </w:rPr>
      </w:pPr>
    </w:p>
    <w:p>
      <w:pPr>
        <w:ind w:left="880" w:right="400" w:hanging="224"/>
        <w:spacing w:after="0" w:line="246"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current and future preclinical studies and clinical trials and our research and development programs;</w:t>
      </w:r>
    </w:p>
    <w:p>
      <w:pPr>
        <w:spacing w:after="0" w:line="102" w:lineRule="exact"/>
        <w:rPr>
          <w:rFonts w:ascii="Arial" w:cs="Arial" w:eastAsia="Arial" w:hAnsi="Arial"/>
          <w:sz w:val="18"/>
          <w:szCs w:val="18"/>
          <w:color w:val="auto"/>
        </w:rPr>
      </w:pPr>
    </w:p>
    <w:p>
      <w:pPr>
        <w:ind w:left="880" w:right="240" w:hanging="224"/>
        <w:spacing w:after="0" w:line="246"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losmapimod, FTX-6058 and any other product candidates, including in combination with other drugs and therapies;</w:t>
      </w:r>
    </w:p>
    <w:p>
      <w:pPr>
        <w:spacing w:after="0" w:line="102" w:lineRule="exact"/>
        <w:rPr>
          <w:rFonts w:ascii="Arial" w:cs="Arial" w:eastAsia="Arial" w:hAnsi="Arial"/>
          <w:sz w:val="18"/>
          <w:szCs w:val="18"/>
          <w:color w:val="auto"/>
        </w:rPr>
      </w:pPr>
    </w:p>
    <w:p>
      <w:pPr>
        <w:ind w:left="880" w:right="180" w:hanging="224"/>
        <w:spacing w:after="0" w:line="246"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for, and obtain and maintain regulatory approvals for losmapimod, FTX-6058 and any other product candidates;</w:t>
      </w:r>
    </w:p>
    <w:p>
      <w:pPr>
        <w:spacing w:after="0" w:line="102" w:lineRule="exact"/>
        <w:rPr>
          <w:rFonts w:ascii="Arial" w:cs="Arial" w:eastAsia="Arial" w:hAnsi="Arial"/>
          <w:sz w:val="18"/>
          <w:szCs w:val="18"/>
          <w:color w:val="auto"/>
        </w:rPr>
      </w:pPr>
    </w:p>
    <w:p>
      <w:pPr>
        <w:ind w:left="880" w:right="160" w:hanging="224"/>
        <w:spacing w:after="0" w:line="246"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operating expenses and capital expenditure requirements with our cash, cash equivalents, and marketable securities;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 if our product candidates are approved;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progress and results of our collaboration with MyoKardia;</w:t>
      </w:r>
    </w:p>
    <w:p>
      <w:pPr>
        <w:spacing w:after="0" w:line="117" w:lineRule="exact"/>
        <w:rPr>
          <w:rFonts w:ascii="Arial" w:cs="Arial" w:eastAsia="Arial" w:hAnsi="Arial"/>
          <w:sz w:val="18"/>
          <w:szCs w:val="18"/>
          <w:color w:val="auto"/>
        </w:rPr>
      </w:pPr>
    </w:p>
    <w:p>
      <w:pPr>
        <w:ind w:left="880" w:right="620" w:hanging="224"/>
        <w:spacing w:after="0" w:line="246"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102"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estimates regarding expenses, future revenue, timing of any future revenue, capital requirements and needs for additional financing;</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9"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 and</w:t>
      </w:r>
    </w:p>
    <w:p>
      <w:pPr>
        <w:spacing w:after="0" w:line="117" w:lineRule="exact"/>
        <w:rPr>
          <w:rFonts w:ascii="Arial" w:cs="Arial" w:eastAsia="Arial" w:hAnsi="Arial"/>
          <w:sz w:val="18"/>
          <w:szCs w:val="18"/>
          <w:color w:val="auto"/>
        </w:rPr>
      </w:pPr>
    </w:p>
    <w:p>
      <w:pPr>
        <w:ind w:left="880" w:right="340" w:hanging="224"/>
        <w:spacing w:after="0" w:line="246"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or a smaller reporting company as defined under the federal securities laws.</w:t>
      </w:r>
    </w:p>
    <w:p>
      <w:pPr>
        <w:spacing w:after="0" w:line="197" w:lineRule="exact"/>
        <w:rPr>
          <w:sz w:val="20"/>
          <w:szCs w:val="20"/>
          <w:color w:val="auto"/>
        </w:rPr>
      </w:pPr>
    </w:p>
    <w:p>
      <w:pPr>
        <w:ind w:left="120" w:right="120" w:firstLine="551"/>
        <w:spacing w:after="0" w:line="236"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or incorporated by reference, in this prospectus supplement, particularly in the “Risk Factors” section, that we believe could cause actual results or events to differ materially from the forward-looking statements that we make.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joint ventures or investments we may make.</w:t>
      </w:r>
    </w:p>
    <w:p>
      <w:pPr>
        <w:spacing w:after="0" w:line="207"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You should read this prospectus supplement, the accompanying base prospectus, the documents incorporated by reference in this prospectus supplement and the documents that we have filed as exhibits to the registration statement of which this prospectus supplement is a part completely and with the understanding that our actual future results may be materially different from what we expect. The forward-looking statements contained in this prospectus supplement and the accompanying base prospectus and incorporated by reference herein are made as of the date hereof, and we do not assume any obligation to update any forward-looking statements except as required by applicable law.</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This prospectus supplement includes or incorporates by reference certain statistical and other industry and market data that we obtained from industry publications and research, surveys and studies conducted by third parties as well as our own estimates of potential market opportunities.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1820" w:type="dxa"/>
            <w:vAlign w:val="bottom"/>
            <w:gridSpan w:val="2"/>
          </w:tcPr>
          <w:p>
            <w:pPr>
              <w:spacing w:after="0"/>
              <w:rPr>
                <w:sz w:val="20"/>
                <w:szCs w:val="20"/>
                <w:color w:val="auto"/>
              </w:rPr>
            </w:pPr>
            <w:r>
              <w:rPr>
                <w:rFonts w:ascii="Arial" w:cs="Arial" w:eastAsia="Arial" w:hAnsi="Arial"/>
                <w:sz w:val="18"/>
                <w:szCs w:val="18"/>
                <w:b w:val="1"/>
                <w:bCs w:val="1"/>
                <w:color w:val="0000EE"/>
              </w:rPr>
              <w:t>Table of Contents</w:t>
            </w:r>
          </w:p>
        </w:tc>
        <w:tc>
          <w:tcPr>
            <w:tcW w:w="24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406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560" w:type="dxa"/>
            <w:vAlign w:val="bottom"/>
          </w:tcPr>
          <w:p>
            <w:pPr>
              <w:ind w:left="520"/>
              <w:spacing w:after="0"/>
              <w:rPr>
                <w:sz w:val="20"/>
                <w:szCs w:val="20"/>
                <w:color w:val="auto"/>
              </w:rPr>
            </w:pPr>
            <w:r>
              <w:rPr>
                <w:rFonts w:ascii="Arial" w:cs="Arial" w:eastAsia="Arial" w:hAnsi="Arial"/>
                <w:sz w:val="18"/>
                <w:szCs w:val="18"/>
                <w:b w:val="1"/>
                <w:bCs w:val="1"/>
                <w:color w:val="auto"/>
              </w:rPr>
              <w:t>USE OF PROCEEDS</w:t>
            </w:r>
          </w:p>
        </w:tc>
        <w:tc>
          <w:tcPr>
            <w:tcW w:w="4060" w:type="dxa"/>
            <w:vAlign w:val="bottom"/>
          </w:tcPr>
          <w:p>
            <w:pPr>
              <w:spacing w:after="0"/>
              <w:rPr>
                <w:sz w:val="24"/>
                <w:szCs w:val="24"/>
                <w:color w:val="auto"/>
              </w:rPr>
            </w:pPr>
          </w:p>
        </w:tc>
      </w:tr>
      <w:tr>
        <w:trPr>
          <w:trHeight w:val="404"/>
        </w:trPr>
        <w:tc>
          <w:tcPr>
            <w:tcW w:w="6800" w:type="dxa"/>
            <w:vAlign w:val="bottom"/>
            <w:gridSpan w:val="4"/>
          </w:tcPr>
          <w:p>
            <w:pPr>
              <w:ind w:left="660"/>
              <w:spacing w:after="0"/>
              <w:rPr>
                <w:sz w:val="20"/>
                <w:szCs w:val="20"/>
                <w:color w:val="auto"/>
              </w:rPr>
            </w:pPr>
            <w:r>
              <w:rPr>
                <w:rFonts w:ascii="Arial" w:cs="Arial" w:eastAsia="Arial" w:hAnsi="Arial"/>
                <w:sz w:val="18"/>
                <w:szCs w:val="18"/>
                <w:color w:val="auto"/>
              </w:rPr>
              <w:t>We estimate that the net proceeds to us from the issuance and sale of</w:t>
            </w:r>
          </w:p>
        </w:tc>
        <w:tc>
          <w:tcPr>
            <w:tcW w:w="4060" w:type="dxa"/>
            <w:vAlign w:val="bottom"/>
          </w:tcPr>
          <w:p>
            <w:pPr>
              <w:ind w:left="300"/>
              <w:spacing w:after="0"/>
              <w:rPr>
                <w:sz w:val="20"/>
                <w:szCs w:val="20"/>
                <w:color w:val="auto"/>
              </w:rPr>
            </w:pPr>
            <w:r>
              <w:rPr>
                <w:rFonts w:ascii="Arial" w:cs="Arial" w:eastAsia="Arial" w:hAnsi="Arial"/>
                <w:sz w:val="18"/>
                <w:szCs w:val="18"/>
                <w:color w:val="auto"/>
              </w:rPr>
              <w:t>shares of common stock in this offering will be</w:t>
            </w:r>
          </w:p>
        </w:tc>
      </w:tr>
      <w:tr>
        <w:trPr>
          <w:trHeight w:val="203"/>
        </w:trPr>
        <w:tc>
          <w:tcPr>
            <w:tcW w:w="18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approximately $</w:t>
            </w:r>
          </w:p>
        </w:tc>
        <w:tc>
          <w:tcPr>
            <w:tcW w:w="2420" w:type="dxa"/>
            <w:vAlign w:val="bottom"/>
          </w:tcPr>
          <w:p>
            <w:pPr>
              <w:ind w:left="420"/>
              <w:spacing w:after="0" w:line="202" w:lineRule="exact"/>
              <w:rPr>
                <w:sz w:val="20"/>
                <w:szCs w:val="20"/>
                <w:color w:val="auto"/>
              </w:rPr>
            </w:pPr>
            <w:r>
              <w:rPr>
                <w:rFonts w:ascii="Arial" w:cs="Arial" w:eastAsia="Arial" w:hAnsi="Arial"/>
                <w:sz w:val="18"/>
                <w:szCs w:val="18"/>
                <w:color w:val="auto"/>
              </w:rPr>
              <w:t>, or approximately $</w:t>
            </w:r>
          </w:p>
        </w:tc>
        <w:tc>
          <w:tcPr>
            <w:tcW w:w="6620" w:type="dxa"/>
            <w:vAlign w:val="bottom"/>
            <w:gridSpan w:val="2"/>
          </w:tcPr>
          <w:p>
            <w:pPr>
              <w:ind w:left="420"/>
              <w:spacing w:after="0" w:line="202" w:lineRule="exact"/>
              <w:rPr>
                <w:sz w:val="20"/>
                <w:szCs w:val="20"/>
                <w:color w:val="auto"/>
              </w:rPr>
            </w:pPr>
            <w:r>
              <w:rPr>
                <w:rFonts w:ascii="Arial" w:cs="Arial" w:eastAsia="Arial" w:hAnsi="Arial"/>
                <w:sz w:val="18"/>
                <w:szCs w:val="18"/>
                <w:color w:val="auto"/>
                <w:w w:val="99"/>
              </w:rPr>
              <w:t>if the underwriters exercise their option to purchase additional shares in full, in</w:t>
            </w:r>
          </w:p>
        </w:tc>
      </w:tr>
    </w:tbl>
    <w:p>
      <w:pPr>
        <w:ind w:left="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case after deducting underwriting discounts and commissions and estimated offering expenses payable to us.</w:t>
      </w:r>
    </w:p>
    <w:p>
      <w:pPr>
        <w:spacing w:after="0" w:line="21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We currently anticipate that we will use the net proceeds from this offering, together with our existing cash, cash equivalents and marketable securities, primarily for general corporate purposes, which may include working capital and capital expenditures, research and development expenses, including to fund clinical trials, regulatory submissions, commercialization, discovery and additional preclinical research and development of additional product candidates and platform enhancement, general and administrative expenses, and potential acquisitions of, or investments in, companies, technologies, products or assets that complement our business.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2022, we had cash, cash equivalents and marketable securities of $169.0 million.</w:t>
      </w:r>
    </w:p>
    <w:p>
      <w:pPr>
        <w:spacing w:after="0" w:line="212"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This expected use of net proceeds from this offering represents our intentions based upon our current plans and business conditions, which could change in the future as our plans and business conditions evolve. The amounts and timing of our actual use of the net proceeds may vary significantly depending on numerous factors, including the actual net proceeds from this offering, the progress of our development, the status of and results from clinical trials, the timing of regulatory submissions and the outcome of regulatory review,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205"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Pending the use of proceeds described above, we intend to invest the net proceeds in a variety of capital preservation investments, including short-term, investment-grade, interest-bearing instruments and U.S. government securities.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00"/>
          </w:cols>
          <w:pgMar w:left="320" w:top="446" w:right="4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jc w:val="both"/>
        <w:ind w:left="120" w:right="160" w:firstLine="551"/>
        <w:spacing w:after="0"/>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public offering price per share of our common stock you will pay in this offering and the as adjusted net tangible book value per share of our common stock immediately after this offering.</w:t>
      </w:r>
    </w:p>
    <w:p>
      <w:pPr>
        <w:spacing w:after="0" w:line="203"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Our historical net tangible book value as of June 30, 2022 was approximately $160.8 million, or $3.92 per share of our common stock. Our historical net tangible book value is the amount of our total tangible assets less our total liabilities. Historical net tangible book value per share represents historical net tangible book value divided by the 41,008,205 shares of our common stock outstanding as of June 30, 2022.</w:t>
      </w:r>
    </w:p>
    <w:p>
      <w:pPr>
        <w:spacing w:after="0" w:line="205" w:lineRule="exact"/>
        <w:rPr>
          <w:sz w:val="20"/>
          <w:szCs w:val="20"/>
          <w:color w:val="auto"/>
        </w:rPr>
      </w:pPr>
    </w:p>
    <w:p>
      <w:pPr>
        <w:jc w:val="both"/>
        <w:ind w:left="120" w:right="60" w:firstLine="551"/>
        <w:spacing w:after="0" w:line="234" w:lineRule="auto"/>
        <w:rPr>
          <w:sz w:val="20"/>
          <w:szCs w:val="20"/>
          <w:color w:val="auto"/>
        </w:rPr>
      </w:pPr>
      <w:r>
        <w:rPr>
          <w:rFonts w:ascii="Arial" w:cs="Arial" w:eastAsia="Arial" w:hAnsi="Arial"/>
          <w:sz w:val="18"/>
          <w:szCs w:val="18"/>
          <w:color w:val="auto"/>
        </w:rPr>
        <w:t>After giving effect to the issuance and sale of shares of our common stock that we are offering at the public offering price of $ per share, and after deducting the underwriting discounts and commissions and estimated offering expenses payable by us, our as adjusted net tangible book value at June 30, 2022 would have been approximately $ million, or $ per share. This represents an immediate increase in as adjusted net tangible book value of $ per share to existing stockholders and an immediate dilution of $ per share to investors in this offering. Dilution per share to new investors is determined by subtracting as</w:t>
      </w:r>
    </w:p>
    <w:p>
      <w:pPr>
        <w:spacing w:after="0" w:line="3"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adjusted net tangible book value per share after this offering from the public offering price per share paid by new investors. The following table illustrates this per share dilution.</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3100" w:type="dxa"/>
            <w:vAlign w:val="bottom"/>
            <w:shd w:val="clear" w:color="auto" w:fill="CCEEFF"/>
          </w:tcPr>
          <w:p>
            <w:pPr>
              <w:spacing w:after="0"/>
              <w:rPr>
                <w:sz w:val="17"/>
                <w:szCs w:val="17"/>
                <w:color w:val="auto"/>
              </w:rPr>
            </w:pPr>
          </w:p>
        </w:tc>
        <w:tc>
          <w:tcPr>
            <w:tcW w:w="3160" w:type="dxa"/>
            <w:vAlign w:val="bottom"/>
            <w:gridSpan w:val="4"/>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3"/>
        </w:trPr>
        <w:tc>
          <w:tcPr>
            <w:tcW w:w="78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Historical net tangible book value per share as of June 30, 2022</w:t>
            </w:r>
          </w:p>
        </w:tc>
        <w:tc>
          <w:tcPr>
            <w:tcW w:w="2380" w:type="dxa"/>
            <w:vAlign w:val="bottom"/>
            <w:gridSpan w:val="3"/>
          </w:tcPr>
          <w:p>
            <w:pPr>
              <w:ind w:left="1560"/>
              <w:spacing w:after="0" w:line="202" w:lineRule="exact"/>
              <w:rPr>
                <w:sz w:val="20"/>
                <w:szCs w:val="20"/>
                <w:color w:val="auto"/>
              </w:rPr>
            </w:pPr>
            <w:r>
              <w:rPr>
                <w:rFonts w:ascii="Arial" w:cs="Arial" w:eastAsia="Arial" w:hAnsi="Arial"/>
                <w:sz w:val="18"/>
                <w:szCs w:val="18"/>
                <w:color w:val="auto"/>
              </w:rPr>
              <w:t>$3.92</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8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Increase in net tangible book value per share attributable to this offering</w:t>
            </w:r>
          </w:p>
        </w:tc>
        <w:tc>
          <w:tcPr>
            <w:tcW w:w="2020" w:type="dxa"/>
            <w:vAlign w:val="bottom"/>
            <w:gridSpan w:val="2"/>
            <w:shd w:val="clear" w:color="auto" w:fill="CCEEFF"/>
          </w:tcPr>
          <w:p>
            <w:pPr>
              <w:ind w:left="156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780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after giving effect to this offering</w:t>
            </w:r>
          </w:p>
        </w:tc>
        <w:tc>
          <w:tcPr>
            <w:tcW w:w="15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r>
      <w:tr>
        <w:trPr>
          <w:trHeight w:val="203"/>
        </w:trPr>
        <w:tc>
          <w:tcPr>
            <w:tcW w:w="78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Dilution per share to new investors purchasing shares in this offering</w:t>
            </w:r>
          </w:p>
        </w:tc>
        <w:tc>
          <w:tcPr>
            <w:tcW w:w="2380" w:type="dxa"/>
            <w:vAlign w:val="bottom"/>
            <w:gridSpan w:val="3"/>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7"/>
                <w:szCs w:val="17"/>
                <w:color w:val="auto"/>
              </w:rPr>
            </w:pPr>
          </w:p>
        </w:tc>
      </w:tr>
      <w:tr>
        <w:trPr>
          <w:trHeight w:val="20"/>
        </w:trPr>
        <w:tc>
          <w:tcPr>
            <w:tcW w:w="10180" w:type="dxa"/>
            <w:vAlign w:val="bottom"/>
            <w:gridSpan w:val="5"/>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1020" w:type="dxa"/>
            <w:vAlign w:val="bottom"/>
            <w:gridSpan w:val="7"/>
          </w:tcPr>
          <w:p>
            <w:pPr>
              <w:ind w:left="540"/>
              <w:spacing w:after="0"/>
              <w:rPr>
                <w:sz w:val="20"/>
                <w:szCs w:val="20"/>
                <w:color w:val="auto"/>
              </w:rPr>
            </w:pPr>
            <w:r>
              <w:rPr>
                <w:rFonts w:ascii="Arial" w:cs="Arial" w:eastAsia="Arial" w:hAnsi="Arial"/>
                <w:sz w:val="18"/>
                <w:szCs w:val="18"/>
                <w:color w:val="auto"/>
              </w:rPr>
              <w:t>If the underwriters exercise their option to purchase additional shares in full the immediate dilution in as adjusted net tangible book</w:t>
            </w:r>
          </w:p>
        </w:tc>
      </w:tr>
      <w:tr>
        <w:trPr>
          <w:trHeight w:val="217"/>
        </w:trPr>
        <w:tc>
          <w:tcPr>
            <w:tcW w:w="4700" w:type="dxa"/>
            <w:vAlign w:val="bottom"/>
          </w:tcPr>
          <w:p>
            <w:pPr>
              <w:spacing w:after="0"/>
              <w:rPr>
                <w:sz w:val="20"/>
                <w:szCs w:val="20"/>
                <w:color w:val="auto"/>
              </w:rPr>
            </w:pPr>
            <w:r>
              <w:rPr>
                <w:rFonts w:ascii="Arial" w:cs="Arial" w:eastAsia="Arial" w:hAnsi="Arial"/>
                <w:sz w:val="18"/>
                <w:szCs w:val="18"/>
                <w:color w:val="auto"/>
              </w:rPr>
              <w:t>value per share to investors in this offering would be $</w:t>
            </w:r>
          </w:p>
        </w:tc>
        <w:tc>
          <w:tcPr>
            <w:tcW w:w="3100" w:type="dxa"/>
            <w:vAlign w:val="bottom"/>
          </w:tcPr>
          <w:p>
            <w:pPr>
              <w:ind w:left="400"/>
              <w:spacing w:after="0"/>
              <w:rPr>
                <w:sz w:val="20"/>
                <w:szCs w:val="20"/>
                <w:color w:val="auto"/>
              </w:rPr>
            </w:pPr>
            <w:r>
              <w:rPr>
                <w:rFonts w:ascii="Arial" w:cs="Arial" w:eastAsia="Arial" w:hAnsi="Arial"/>
                <w:sz w:val="18"/>
                <w:szCs w:val="18"/>
                <w:color w:val="auto"/>
              </w:rPr>
              <w:t>per share.</w:t>
            </w: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left="120" w:right="580" w:firstLine="551"/>
        <w:spacing w:after="0" w:line="246" w:lineRule="auto"/>
        <w:rPr>
          <w:sz w:val="20"/>
          <w:szCs w:val="20"/>
          <w:color w:val="auto"/>
        </w:rPr>
      </w:pPr>
      <w:r>
        <w:rPr>
          <w:rFonts w:ascii="Arial" w:cs="Arial" w:eastAsia="Arial" w:hAnsi="Arial"/>
          <w:sz w:val="18"/>
          <w:szCs w:val="18"/>
          <w:color w:val="auto"/>
        </w:rPr>
        <w:t>The table and discussion above are based on 41,008,205 shares of our common stock outstanding as of June 30, 2022, and exclude:</w:t>
      </w:r>
    </w:p>
    <w:p>
      <w:pPr>
        <w:spacing w:after="0" w:line="102" w:lineRule="exact"/>
        <w:rPr>
          <w:sz w:val="20"/>
          <w:szCs w:val="20"/>
          <w:color w:val="auto"/>
        </w:rPr>
      </w:pPr>
    </w:p>
    <w:p>
      <w:pPr>
        <w:ind w:left="880" w:right="560" w:hanging="224"/>
        <w:spacing w:after="0" w:line="246"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6,137,740 shares of common stock issuable upon exercise of stock options outstanding as of June 30, 2022 at a weighted average exercise price of $13.42 per share;</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115,189 shares of common stock issuable upon vesting of restricted stock units outstanding as of June 30, 2022; and</w:t>
      </w:r>
    </w:p>
    <w:p>
      <w:pPr>
        <w:spacing w:after="0" w:line="117" w:lineRule="exact"/>
        <w:rPr>
          <w:rFonts w:ascii="Arial" w:cs="Arial" w:eastAsia="Arial" w:hAnsi="Arial"/>
          <w:sz w:val="18"/>
          <w:szCs w:val="18"/>
          <w:color w:val="auto"/>
        </w:rPr>
      </w:pPr>
    </w:p>
    <w:p>
      <w:pPr>
        <w:ind w:left="880" w:right="26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1,249,233, 1,381,360, and 1,091,085 shares of our common stock available for future issuance as of June 30, 2022 under our 2019 Stock Incentive Plan, our 2022 Inducement Stock Incentive Plan and our 2019 Employee Stock Purchase Plan, respectively, as well as any automatic increases in the number of shares of common stock reserved under these plans.</w:t>
      </w:r>
    </w:p>
    <w:p>
      <w:pPr>
        <w:spacing w:after="0" w:line="203"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To the extent that outstanding stock options are exercised, new stock options are issued, or we issue additional shares of common stock in the future, including pursuant to our equity distribution agreement with Piper Sandler &amp; Co., there will be further dilution to investors purchasing shares of common stock in this offering. The as adjusted information discussed above will be based on the actual number of shares, the offering price and other terms determined at pricing of this offering.</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40"/>
          </w:cols>
          <w:pgMar w:left="320" w:top="459"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MATERIAL U.S. FEDERAL INCOME AND ESTATE TAX CONSIDERATIONS FOR NON U.S. HOLDERS OF COMMON STOCK</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following is a discussion of material U.S. federal income and estate tax considerations relating to the ownership and disposition of shares of our common stock acquired in this offering by a non-U.S. holder. For purposes of this discussion, the term “non-U.S. holder” means a beneficial owner (other than a partnership or other pass-through entity) of our common stock that is not, for U.S. federal income tax purposes:</w:t>
      </w:r>
    </w:p>
    <w:p>
      <w:pPr>
        <w:spacing w:after="0" w:line="110" w:lineRule="exact"/>
        <w:rPr>
          <w:sz w:val="20"/>
          <w:szCs w:val="20"/>
          <w:color w:val="auto"/>
        </w:rPr>
      </w:pPr>
    </w:p>
    <w:p>
      <w:pPr>
        <w:ind w:left="880" w:hanging="224"/>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880" w:right="120" w:hanging="224"/>
        <w:spacing w:after="0" w:line="246"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of any political subdivision of the United States;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administration of the trust and one or more U.S. persons has authority to control all substantial decisions of the trust or (2) the trust has a valid election in effect under applicable U.S. Treasury Regulations to be treated as a U.S. person.</w:t>
      </w:r>
    </w:p>
    <w:p>
      <w:pPr>
        <w:spacing w:after="0" w:line="203"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This discussion does not address the tax treatment of partnerships or other entities that are pass-through entities for U.S. federal income tax purposes or persons who hold shares of our common stock through partnerships or such other pass-through entities. The tax treatment of a partner in a partnership or other entity that is treated as a pass-through entity for U.S. federal income tax purposes generally will depend upon the status of the partner and the activities of the partnership. A partner in a partnership or other pass-through entity that will hold our common stock should consult his, her or its own tax advisor regarding the tax consequences of the purchase, ownership and disposition of our common stock through a partnership or other pass-through entity, as applicable.</w:t>
      </w:r>
    </w:p>
    <w:p>
      <w:pPr>
        <w:spacing w:after="0" w:line="205"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supplement and all of which are subject to change or to differing interpretation, possibly with retroactive effect. Any change or differing interpretation could alter the tax consequences to non-U.S. holders described in this prospectus supplement. There can be no assurance that the Internal Revenue Service, or the IRS, will not challenge one or more of the tax consequences described in this prospectus supplement.</w:t>
      </w:r>
    </w:p>
    <w:p>
      <w:pPr>
        <w:spacing w:after="0" w:line="205"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This discussion addresses only non-U.S. holders that hold shares of our common stock as a capital asset (generally, property held for investment) for U.S. federal income tax purposes. This discussion does not address all aspects of U.S. federal income and estate taxation that may be relevant to a particular non-U.S. holder in light of that non-U.S. holder’s individual circumstances nor does it address any aspects of U.S. state, local or non-U.S. taxes, the alternative minimum tax, or the Medicare tax on net investment income. This discussion also does not consider any specific facts or circumstances that may apply to a non-U.S. holder and does not address the special tax rules applicable to particular non-U.S. holders, such as:</w:t>
      </w:r>
    </w:p>
    <w:p>
      <w:pPr>
        <w:spacing w:after="0" w:line="232" w:lineRule="exact"/>
        <w:rPr>
          <w:sz w:val="20"/>
          <w:szCs w:val="20"/>
          <w:color w:val="auto"/>
        </w:rPr>
      </w:pPr>
    </w:p>
    <w:p>
      <w:pPr>
        <w:ind w:left="880" w:hanging="224"/>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17"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owners that hold our common stock as part of a straddle, hedge, conversion transaction, synthetic security or other integrated investment or who have elected to mark securities to market;</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non-U.S. governments;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passive foreign investment companies;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190" w:lineRule="exact"/>
        <w:rPr>
          <w:sz w:val="20"/>
          <w:szCs w:val="20"/>
          <w:color w:val="auto"/>
        </w:rPr>
      </w:pPr>
    </w:p>
    <w:p>
      <w:pPr>
        <w:ind w:left="120" w:right="160" w:firstLine="551"/>
        <w:spacing w:after="0" w:line="247" w:lineRule="auto"/>
        <w:rPr>
          <w:sz w:val="20"/>
          <w:szCs w:val="20"/>
          <w:color w:val="auto"/>
        </w:rPr>
      </w:pPr>
      <w:r>
        <w:rPr>
          <w:rFonts w:ascii="Arial" w:cs="Arial" w:eastAsia="Arial" w:hAnsi="Arial"/>
          <w:sz w:val="18"/>
          <w:szCs w:val="18"/>
          <w:b w:val="1"/>
          <w:bCs w:val="1"/>
          <w:color w:val="auto"/>
        </w:rPr>
        <w:t>THIS DISCUSSION IS FOR INFORMATION ONLY AND IS NOT, AND IS NOT INTENDED TO BE, LEGAL OR TAX ADVICE. PROSPECTIVE INVESTORS SHOULD CONSULT THEIR OWN TAX ADVISORS REGARDING THE U.S. FEDERAL, STATE, LOCAL, ESTATE AND NON-U.S. INCOME AND OTHER TAX CONSIDERATIONS OF ACQUIRING, HOLDING AND DISPOSING OF OUR COMMON STOCK, INCLUDING THE CONSEQUENCES OF ANY PROPOSED CHANGES IN APPLICABLE LAWS.</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Distributions</w:t>
      </w:r>
    </w:p>
    <w:p>
      <w:pPr>
        <w:spacing w:after="0" w:line="234"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7"/>
          <w:szCs w:val="17"/>
          <w:color w:val="auto"/>
        </w:rPr>
        <w:t>We do not expect to pay cash dividends to holders of our common stock in the foreseeable future. If we make distributions in respect of our common stock, those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the non-U.S. holder’s tax basis in the common stock. Any remaining excess will be treated as capital gain, subject to the tax treatment described below under the heading “Gain on Sale, Exchange or Other Taxable Disposition of Our Common Stock.” Any such distributions will also be subject to the discussions below under the headings “Information Reporting and Backup Withholding” and “FATCA.”</w:t>
      </w:r>
    </w:p>
    <w:p>
      <w:pPr>
        <w:spacing w:after="0" w:line="191"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9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properly executed IRS Form W-8ECI (or applicable successor form) certifying that the dividends are effectively connected with the non-U.S. holder’s conduct of a trade or business within the United States). However, such U.S. effectively connected income is taxed on a net income basis at the same U.S. federal income tax rates applicable to U.S. persons (as defined in the Code). Any U.S. effectively connected income received by a non-U.S. holder that is classified as a corporation for U.S. federal income tax purposes may also, under certain circumstances, be subject to an additional “branch profits tax” at a 30% rate or such lower rate as may be specified by an applicable income tax treaty between the United States and such holder’s country of residence.</w:t>
      </w:r>
    </w:p>
    <w:p>
      <w:pPr>
        <w:spacing w:after="0" w:line="206" w:lineRule="exact"/>
        <w:rPr>
          <w:sz w:val="20"/>
          <w:szCs w:val="20"/>
          <w:color w:val="auto"/>
        </w:rPr>
      </w:pPr>
    </w:p>
    <w:p>
      <w:pPr>
        <w:ind w:left="120" w:right="240" w:firstLine="551"/>
        <w:spacing w:after="0" w:line="246" w:lineRule="auto"/>
        <w:rPr>
          <w:sz w:val="20"/>
          <w:szCs w:val="20"/>
          <w:color w:val="auto"/>
        </w:rPr>
      </w:pPr>
      <w:r>
        <w:rPr>
          <w:rFonts w:ascii="Arial" w:cs="Arial" w:eastAsia="Arial" w:hAnsi="Arial"/>
          <w:sz w:val="18"/>
          <w:szCs w:val="18"/>
          <w:color w:val="auto"/>
        </w:rPr>
        <w:t>A non-U.S. holder of our common stock who claims the benefit of an applicable income tax treaty between the United States and such holder’s country of residence generally will be required to provide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properly executed IRS Form W-8BEN or W-8BEN-E (or successor form) and satisfy applicable certification and other requirements.</w:t>
      </w:r>
    </w:p>
    <w:p>
      <w:pPr>
        <w:spacing w:after="0" w:line="212" w:lineRule="exact"/>
        <w:rPr>
          <w:sz w:val="20"/>
          <w:szCs w:val="20"/>
          <w:color w:val="auto"/>
        </w:rPr>
      </w:pPr>
    </w:p>
    <w:p>
      <w:pPr>
        <w:ind w:left="120" w:right="340" w:firstLine="551"/>
        <w:spacing w:after="0" w:line="246" w:lineRule="auto"/>
        <w:rPr>
          <w:sz w:val="20"/>
          <w:szCs w:val="20"/>
          <w:color w:val="auto"/>
        </w:rPr>
      </w:pPr>
      <w:r>
        <w:rPr>
          <w:rFonts w:ascii="Arial" w:cs="Arial" w:eastAsia="Arial" w:hAnsi="Arial"/>
          <w:sz w:val="18"/>
          <w:szCs w:val="18"/>
          <w:color w:val="auto"/>
        </w:rPr>
        <w:t>Non-U.S. holders are urged to consult their own tax advisors regarding their entitlement to benefits under a relevant income tax treaty and the specific methods available to them to satisfy these requirements.</w:t>
      </w:r>
    </w:p>
    <w:p>
      <w:pPr>
        <w:spacing w:after="0" w:line="197"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18"/>
          <w:szCs w:val="18"/>
          <w:color w:val="auto"/>
        </w:rPr>
        <w:t>A non-U.S. holder that is eligible for a reduced rate of U.S. withholding tax under an income tax treaty may obtain a refund or credit of any excess amounts withheld by timely filing an appropriate claim with the IRS.</w:t>
      </w: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Gain on Sale, Exchange or Other Taxable Disposition of Our Common Stock</w:t>
      </w:r>
    </w:p>
    <w:p>
      <w:pPr>
        <w:spacing w:after="0" w:line="234" w:lineRule="exact"/>
        <w:rPr>
          <w:sz w:val="20"/>
          <w:szCs w:val="20"/>
          <w:color w:val="auto"/>
        </w:rPr>
      </w:pPr>
    </w:p>
    <w:p>
      <w:pPr>
        <w:ind w:left="120" w:right="1300" w:firstLine="551"/>
        <w:spacing w:after="0"/>
        <w:rPr>
          <w:sz w:val="20"/>
          <w:szCs w:val="20"/>
          <w:color w:val="auto"/>
        </w:rPr>
      </w:pPr>
      <w:r>
        <w:rPr>
          <w:rFonts w:ascii="Arial" w:cs="Arial" w:eastAsia="Arial" w:hAnsi="Arial"/>
          <w:sz w:val="18"/>
          <w:szCs w:val="18"/>
          <w:color w:val="auto"/>
        </w:rPr>
        <w:t>Subject to the discussion below under the headings “Information Reporting and Backup Withholding” and “FATCA,” a non-U.S. holder generally will not be subject to U.S. federal income tax or withholding tax on any gain realized upon such non-U.S. holder’s sale, exchange or other disposition of our common stock unless:</w:t>
      </w:r>
    </w:p>
    <w:p>
      <w:pPr>
        <w:spacing w:after="0" w:line="108" w:lineRule="exact"/>
        <w:rPr>
          <w:sz w:val="20"/>
          <w:szCs w:val="20"/>
          <w:color w:val="auto"/>
        </w:rPr>
      </w:pPr>
    </w:p>
    <w:p>
      <w:pPr>
        <w:ind w:left="880" w:right="80" w:hanging="224"/>
        <w:spacing w:after="0" w:line="23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which case, the non-U.S. holder generally will be taxed on a net income basis at the U.S. federal income tax rates applicable to U.S. persons with respect to the gain, and, if the non-U.S. holder is a foreign corporation, an additional branch profits tax at a rate of 30% (or a lower rate as may be specified by an applicable income tax treaty between the United States and such holder’s country of residence) may also apply;</w:t>
      </w:r>
    </w:p>
    <w:p>
      <w:pPr>
        <w:spacing w:after="0" w:line="110" w:lineRule="exact"/>
        <w:rPr>
          <w:rFonts w:ascii="Arial" w:cs="Arial" w:eastAsia="Arial" w:hAnsi="Arial"/>
          <w:sz w:val="18"/>
          <w:szCs w:val="18"/>
          <w:color w:val="auto"/>
        </w:rPr>
      </w:pPr>
    </w:p>
    <w:p>
      <w:pPr>
        <w:ind w:left="880" w:right="20" w:hanging="224"/>
        <w:spacing w:after="0" w:line="238"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non-U.S. holder is a non-resident alien present in the United States for 183 days or more in the taxable year of the disposition and certain other requirements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non-U.S. holder, if any; or</w:t>
      </w:r>
    </w:p>
    <w:p>
      <w:pPr>
        <w:spacing w:after="0" w:line="107" w:lineRule="exact"/>
        <w:rPr>
          <w:rFonts w:ascii="Arial" w:cs="Arial" w:eastAsia="Arial" w:hAnsi="Arial"/>
          <w:sz w:val="18"/>
          <w:szCs w:val="18"/>
          <w:color w:val="auto"/>
        </w:rPr>
      </w:pPr>
    </w:p>
    <w:p>
      <w:pPr>
        <w:ind w:left="880" w:hanging="224"/>
        <w:spacing w:after="0" w:line="234"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or have been, at any time during the five-year period preceding such disposition (or the non-U.S. holder’s holding period, if shorter) a “U.S. real property holding corporation,” unless our common stock is regularly traded on an established securities market and the non-U.S. holder held no more than 5% of our outstanding common stock, directly or indirectly, during the shorter of the five-year period ending on the date of the disposition or the period that the non-U.S. holder held our common stock. If we are determined to be a “U.S. real property holding corporation” and the foregoing exception does not apply, then</w:t>
      </w:r>
    </w:p>
    <w:p>
      <w:pPr>
        <w:spacing w:after="0" w:line="3" w:lineRule="exact"/>
        <w:rPr>
          <w:rFonts w:ascii="Arial" w:cs="Arial" w:eastAsia="Arial" w:hAnsi="Arial"/>
          <w:sz w:val="18"/>
          <w:szCs w:val="18"/>
          <w:color w:val="auto"/>
        </w:rPr>
      </w:pPr>
    </w:p>
    <w:p>
      <w:pPr>
        <w:ind w:left="880"/>
        <w:spacing w:after="0" w:line="253" w:lineRule="auto"/>
        <w:rPr>
          <w:rFonts w:ascii="Arial" w:cs="Arial" w:eastAsia="Arial" w:hAnsi="Arial"/>
          <w:sz w:val="18"/>
          <w:szCs w:val="18"/>
          <w:color w:val="auto"/>
        </w:rPr>
      </w:pPr>
      <w:r>
        <w:rPr>
          <w:rFonts w:ascii="Arial" w:cs="Arial" w:eastAsia="Arial" w:hAnsi="Arial"/>
          <w:sz w:val="17"/>
          <w:szCs w:val="17"/>
          <w:color w:val="auto"/>
        </w:rPr>
        <w:t>the non-U.S. holder generally will be taxed on its net gain derived from the disposition at the U.S. federal income tax rates applicable to U.S. persons. Generally, a corporation is a “U.S. real property holding corporation” only if the fair market value of its “U.S. real property interests” (as defined in the Code and applicable Treasury Regulations)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for U.S. federal income tax purposes, or that we are likely to become one in the future. No assurance can be provided that our common stock will be regularly traded on an established securities market for purposes of the rule described above.</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00"/>
          </w:cols>
          <w:pgMar w:left="320" w:top="459" w:right="4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 Federal Estate Tax</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Shares of our common stock that are owned or treated as owned by an individual who is a non-U.S. holder (as specially defined for U.S. federal estate tax purposes) at the time of death are considered U.S.-situs assets and will be included in the individual’s gross estate for U.S. federal estate tax purposes. Such shares, therefore, may be subject to U.S. federal estate tax, unless an applicable estate tax or other treaty provides otherwise.</w:t>
      </w: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4" w:lineRule="exact"/>
        <w:rPr>
          <w:sz w:val="20"/>
          <w:szCs w:val="20"/>
          <w:color w:val="auto"/>
        </w:rPr>
      </w:pPr>
    </w:p>
    <w:p>
      <w:pPr>
        <w:ind w:left="120" w:firstLine="551"/>
        <w:spacing w:after="0" w:line="234" w:lineRule="auto"/>
        <w:rPr>
          <w:sz w:val="20"/>
          <w:szCs w:val="20"/>
          <w:color w:val="auto"/>
        </w:rPr>
      </w:pPr>
      <w:r>
        <w:rPr>
          <w:rFonts w:ascii="Arial" w:cs="Arial" w:eastAsia="Arial" w:hAnsi="Arial"/>
          <w:sz w:val="18"/>
          <w:szCs w:val="18"/>
          <w:color w:val="auto"/>
        </w:rPr>
        <w:t>We must report annually to the IRS and to each non-U.S. holder the gross amount of the distributions on our common stock paid to such holder and the tax withheld, if any, with respect to such distributions. Non-U.S. holders generally will have to comply with specific certification procedures to establish that the holder is not a U.S. person (as defined in the Code) in order to avoid backup withholding at the applicable rate with respect to dividends on our common stock. Generally, a non-U.S. holder will comply with such procedures if it provides a properly executed IRS Form W-8BEN or W-8BEN-E (or other applicable IRS Form W-8), or otherwise meets documentary evidence requirements for establishing that it is a non-U.S. holder, or otherwise establishes an exemption. Dividends paid</w:t>
      </w:r>
    </w:p>
    <w:p>
      <w:pPr>
        <w:spacing w:after="0" w:line="4" w:lineRule="exact"/>
        <w:rPr>
          <w:sz w:val="20"/>
          <w:szCs w:val="20"/>
          <w:color w:val="auto"/>
        </w:rPr>
      </w:pPr>
    </w:p>
    <w:p>
      <w:pPr>
        <w:ind w:left="120" w:right="680"/>
        <w:spacing w:after="0" w:line="246" w:lineRule="auto"/>
        <w:rPr>
          <w:sz w:val="20"/>
          <w:szCs w:val="20"/>
          <w:color w:val="auto"/>
        </w:rPr>
      </w:pPr>
      <w:r>
        <w:rPr>
          <w:rFonts w:ascii="Arial" w:cs="Arial" w:eastAsia="Arial" w:hAnsi="Arial"/>
          <w:sz w:val="18"/>
          <w:szCs w:val="18"/>
          <w:color w:val="auto"/>
        </w:rPr>
        <w:t>to non-U.S. holders subject to withholding of U.S. federal income tax, as described above under the heading “—Distributions,” will generally be exempt from U.S. backup withholding.</w:t>
      </w:r>
    </w:p>
    <w:p>
      <w:pPr>
        <w:spacing w:after="0" w:line="197" w:lineRule="exact"/>
        <w:rPr>
          <w:sz w:val="20"/>
          <w:szCs w:val="20"/>
          <w:color w:val="auto"/>
        </w:rPr>
      </w:pPr>
    </w:p>
    <w:p>
      <w:pPr>
        <w:ind w:left="120" w:right="760" w:firstLine="551"/>
        <w:spacing w:after="0" w:line="248" w:lineRule="auto"/>
        <w:rPr>
          <w:sz w:val="20"/>
          <w:szCs w:val="20"/>
          <w:color w:val="auto"/>
        </w:rPr>
      </w:pPr>
      <w:r>
        <w:rPr>
          <w:rFonts w:ascii="Arial" w:cs="Arial" w:eastAsia="Arial" w:hAnsi="Arial"/>
          <w:sz w:val="17"/>
          <w:szCs w:val="17"/>
          <w:color w:val="auto"/>
        </w:rPr>
        <w:t>Information reporting and backup withholding generally will apply to the proceeds of a disposition of our common stock by a non-U.S. holder effected by or through the U.S. office of any broker, U.S. or non-U.S., unless the holder certifies its status as</w:t>
      </w:r>
    </w:p>
    <w:p>
      <w:pPr>
        <w:spacing w:after="0" w:line="1" w:lineRule="exact"/>
        <w:rPr>
          <w:sz w:val="20"/>
          <w:szCs w:val="20"/>
          <w:color w:val="auto"/>
        </w:rPr>
      </w:pPr>
    </w:p>
    <w:p>
      <w:pPr>
        <w:jc w:val="both"/>
        <w:ind w:left="120" w:right="140"/>
        <w:spacing w:after="0" w:line="234" w:lineRule="auto"/>
        <w:rPr>
          <w:sz w:val="20"/>
          <w:szCs w:val="20"/>
          <w:color w:val="auto"/>
        </w:rPr>
      </w:pPr>
      <w:r>
        <w:rPr>
          <w:rFonts w:ascii="Arial" w:cs="Arial" w:eastAsia="Arial" w:hAnsi="Arial"/>
          <w:sz w:val="18"/>
          <w:szCs w:val="18"/>
          <w:color w:val="auto"/>
        </w:rPr>
        <w:t>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w:t>
      </w:r>
    </w:p>
    <w:p>
      <w:pPr>
        <w:spacing w:after="0" w:line="2" w:lineRule="exact"/>
        <w:rPr>
          <w:sz w:val="20"/>
          <w:szCs w:val="20"/>
          <w:color w:val="auto"/>
        </w:rPr>
      </w:pPr>
    </w:p>
    <w:p>
      <w:pPr>
        <w:ind w:left="120" w:right="360"/>
        <w:spacing w:after="0"/>
        <w:rPr>
          <w:sz w:val="20"/>
          <w:szCs w:val="20"/>
          <w:color w:val="auto"/>
        </w:rPr>
      </w:pPr>
      <w:r>
        <w:rPr>
          <w:rFonts w:ascii="Arial" w:cs="Arial" w:eastAsia="Arial" w:hAnsi="Arial"/>
          <w:sz w:val="18"/>
          <w:szCs w:val="18"/>
          <w:color w:val="auto"/>
        </w:rPr>
        <w:t>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203"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w:t>
      </w:r>
    </w:p>
    <w:p>
      <w:pPr>
        <w:ind w:left="120" w:right="520"/>
        <w:spacing w:after="0" w:line="246" w:lineRule="auto"/>
        <w:rPr>
          <w:sz w:val="20"/>
          <w:szCs w:val="20"/>
          <w:color w:val="auto"/>
        </w:rPr>
      </w:pPr>
      <w:r>
        <w:rPr>
          <w:rFonts w:ascii="Arial" w:cs="Arial" w:eastAsia="Arial" w:hAnsi="Arial"/>
          <w:sz w:val="18"/>
          <w:szCs w:val="18"/>
          <w:color w:val="auto"/>
        </w:rPr>
        <w:t>a non-U.S. holder can be refunded or credited against the non-U.S. holder’s U.S. federal income tax liability, if any, provided that an appropriate claim is timely filed with the IRS.</w:t>
      </w: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FATCA</w:t>
      </w:r>
    </w:p>
    <w:p>
      <w:pPr>
        <w:spacing w:after="0" w:line="234" w:lineRule="exact"/>
        <w:rPr>
          <w:sz w:val="20"/>
          <w:szCs w:val="20"/>
          <w:color w:val="auto"/>
        </w:rPr>
      </w:pPr>
    </w:p>
    <w:p>
      <w:pPr>
        <w:ind w:left="120" w:right="260" w:firstLine="551"/>
        <w:spacing w:after="0" w:line="238" w:lineRule="auto"/>
        <w:rPr>
          <w:sz w:val="20"/>
          <w:szCs w:val="20"/>
          <w:color w:val="auto"/>
        </w:rPr>
      </w:pPr>
      <w:r>
        <w:rPr>
          <w:rFonts w:ascii="Arial" w:cs="Arial" w:eastAsia="Arial" w:hAnsi="Arial"/>
          <w:sz w:val="18"/>
          <w:szCs w:val="18"/>
          <w:color w:val="auto"/>
        </w:rPr>
        <w:t>Provisions of the Code commonly referred to as the Foreign Account Tax Compliance Act, or FATCA, generally impose a 30% withholding tax on dividends on, and gross proceeds from the sale or other disposition of, our common stock if paid to a foreign entity unless (i) if the foreign entity is a “foreign financial institution,” the foreign entity undertakes certain due diligence, reporting, withholding and certification obligations, (ii) if the foreign entity is not a “foreign financial institution,” the foreign entity identifies certain of its U.S. investors, if any, or (iii) the foreign entity is otherwise exempt under FATCA.</w:t>
      </w:r>
    </w:p>
    <w:p>
      <w:pPr>
        <w:spacing w:after="0" w:line="202"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Withholding under FATCA generally applies to payments of dividends on our common stock. While withholding under FATCA may also apply to payments of gross proceeds from a sale or other</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080"/>
          </w:cols>
          <w:pgMar w:left="320" w:top="459" w:right="4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disposition of our common stock, under proposed U.S. Treasury Regulations, withholding on payments of gross proceeds is not required. Although such proposed regulations are not final, applicable withholding agents may rely on the proposed regulations until final regulations are issued.</w:t>
      </w:r>
    </w:p>
    <w:p>
      <w:pPr>
        <w:spacing w:after="0" w:line="203"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If withholding under FATCA is required on any payment related to our common stock, investors not otherwise subject to withholding (or that otherwise would be entitled to a reduced rate of withholding) on such payment may be required to seek a refund or credit from the IRS. An intergovernmental agreement between the United States and an applicable foreign country may modify the requirements described in this section. Non-U.S. holders should consult their own tax advisors regarding the possible implications of FATCA on their investment in our common stock and the entities through which they hold our common stock.</w:t>
      </w:r>
    </w:p>
    <w:p>
      <w:pPr>
        <w:spacing w:after="0" w:line="180" w:lineRule="exact"/>
        <w:rPr>
          <w:sz w:val="20"/>
          <w:szCs w:val="20"/>
          <w:color w:val="auto"/>
        </w:rPr>
      </w:pPr>
    </w:p>
    <w:p>
      <w:pPr>
        <w:ind w:left="120" w:right="100" w:firstLine="551"/>
        <w:spacing w:after="0" w:line="247" w:lineRule="auto"/>
        <w:rPr>
          <w:sz w:val="20"/>
          <w:szCs w:val="20"/>
          <w:color w:val="auto"/>
        </w:rPr>
      </w:pPr>
      <w:r>
        <w:rPr>
          <w:rFonts w:ascii="Arial" w:cs="Arial" w:eastAsia="Arial" w:hAnsi="Arial"/>
          <w:sz w:val="18"/>
          <w:szCs w:val="18"/>
          <w:b w:val="1"/>
          <w:bCs w:val="1"/>
          <w:color w:val="auto"/>
        </w:rPr>
        <w:t>The preceding discussion of material U.S. federal tax considerations is for information only. It is not, and is not intended to be, legal or tax advice. Prospective investors should consult their own tax advisors regarding the particular U.S. federal, state, local, estate and non-U.S. income and other tax consequences of acquiring, holding and disposing of our common stock, including the consequences of any proposed changes in applicable laws.</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w:t>
      </w:r>
    </w:p>
    <w:p>
      <w:pPr>
        <w:ind w:left="120"/>
        <w:spacing w:after="0" w:line="234" w:lineRule="auto"/>
        <w:rPr>
          <w:sz w:val="20"/>
          <w:szCs w:val="20"/>
          <w:color w:val="auto"/>
        </w:rPr>
      </w:pPr>
      <w:r>
        <w:rPr>
          <w:rFonts w:ascii="Arial" w:cs="Arial" w:eastAsia="Arial" w:hAnsi="Arial"/>
          <w:sz w:val="18"/>
          <w:szCs w:val="18"/>
          <w:color w:val="auto"/>
        </w:rPr>
        <w:t>Subject to certain conditions, each underwriter has severally agreed to purchase the number of shares indicated in the following table.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Goldman Sachs &amp; Co. LLC and SVB Securities LLC are the representatives of the underwriters.</w:t>
      </w:r>
    </w:p>
    <w:p>
      <w:pPr>
        <w:spacing w:after="0" w:line="226" w:lineRule="exact"/>
        <w:rPr>
          <w:sz w:val="20"/>
          <w:szCs w:val="20"/>
          <w:color w:val="auto"/>
        </w:rPr>
      </w:pPr>
    </w:p>
    <w:p>
      <w:pPr>
        <w:ind w:left="120"/>
        <w:spacing w:after="0"/>
        <w:tabs>
          <w:tab w:leader="none" w:pos="9820" w:val="left"/>
        </w:tabs>
        <w:rPr>
          <w:sz w:val="20"/>
          <w:szCs w:val="20"/>
          <w:color w:val="auto"/>
        </w:rPr>
      </w:pPr>
      <w:r>
        <w:rPr>
          <w:rFonts w:ascii="Arial" w:cs="Arial" w:eastAsia="Arial" w:hAnsi="Arial"/>
          <w:sz w:val="14"/>
          <w:szCs w:val="14"/>
          <w:b w:val="1"/>
          <w:bCs w:val="1"/>
          <w:u w:val="single" w:color="auto"/>
          <w:color w:val="auto"/>
        </w:rPr>
        <w:t>Underwriters</w:t>
      </w:r>
      <w:r>
        <w:rPr>
          <w:sz w:val="20"/>
          <w:szCs w:val="20"/>
          <w:color w:val="auto"/>
        </w:rPr>
        <w:tab/>
      </w:r>
      <w:r>
        <w:rPr>
          <w:rFonts w:ascii="Arial" w:cs="Arial" w:eastAsia="Arial" w:hAnsi="Arial"/>
          <w:sz w:val="14"/>
          <w:szCs w:val="14"/>
          <w:b w:val="1"/>
          <w:bCs w:val="1"/>
          <w:u w:val="single" w:color="auto"/>
          <w:color w:val="auto"/>
        </w:rPr>
        <w:t>Number of Shares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SVB Securities LLC</w:t>
      </w:r>
    </w:p>
    <w:p>
      <w:pPr>
        <w:ind w:left="120"/>
        <w:spacing w:after="0" w:line="234" w:lineRule="auto"/>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Oppenheimer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6245860</wp:posOffset>
            </wp:positionH>
            <wp:positionV relativeFrom="paragraph">
              <wp:posOffset>-1905</wp:posOffset>
            </wp:positionV>
            <wp:extent cx="7886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246"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97" w:lineRule="exact"/>
        <w:rPr>
          <w:sz w:val="20"/>
          <w:szCs w:val="20"/>
          <w:color w:val="auto"/>
        </w:rPr>
      </w:pPr>
    </w:p>
    <w:p>
      <w:pPr>
        <w:ind w:left="120" w:right="260" w:firstLine="551"/>
        <w:spacing w:after="0"/>
        <w:rPr>
          <w:sz w:val="20"/>
          <w:szCs w:val="20"/>
          <w:color w:val="auto"/>
        </w:rPr>
      </w:pPr>
      <w:r>
        <w:rPr>
          <w:rFonts w:ascii="Arial" w:cs="Arial" w:eastAsia="Arial" w:hAnsi="Arial"/>
          <w:sz w:val="18"/>
          <w:szCs w:val="18"/>
          <w:color w:val="auto"/>
        </w:rPr>
        <w:t>The underwriters have an option to buy up to an additional shares of common stock from us. They may exercise that option for 30 days. If any shares are purchased pursuant to this option, the underwriters will severally purchase shares in approximately the same proportion as set forth in the table above.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w:t>
      </w:r>
    </w:p>
    <w:p>
      <w:pPr>
        <w:ind w:left="120"/>
        <w:spacing w:after="0"/>
        <w:rPr>
          <w:sz w:val="20"/>
          <w:szCs w:val="20"/>
          <w:color w:val="auto"/>
        </w:rPr>
      </w:pPr>
      <w:r>
        <w:rPr>
          <w:rFonts w:ascii="Arial" w:cs="Arial" w:eastAsia="Arial" w:hAnsi="Arial"/>
          <w:sz w:val="18"/>
          <w:szCs w:val="18"/>
          <w:color w:val="auto"/>
        </w:rPr>
        <w:t>Such amounts are shown assuming both no exercise and full exercise of the underwriters’ option to purchase additional shares.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Paid by Us</w:t>
            </w:r>
          </w:p>
        </w:tc>
        <w:tc>
          <w:tcPr>
            <w:tcW w:w="8300" w:type="dxa"/>
            <w:vAlign w:val="bottom"/>
            <w:vMerge w:val="restart"/>
          </w:tcPr>
          <w:p>
            <w:pPr>
              <w:spacing w:after="0"/>
              <w:rPr>
                <w:sz w:val="14"/>
                <w:szCs w:val="14"/>
                <w:color w:val="auto"/>
              </w:rPr>
            </w:pPr>
          </w:p>
        </w:tc>
        <w:tc>
          <w:tcPr>
            <w:tcW w:w="780" w:type="dxa"/>
            <w:vAlign w:val="bottom"/>
          </w:tcPr>
          <w:p>
            <w:pPr>
              <w:jc w:val="right"/>
              <w:ind w:right="219"/>
              <w:spacing w:after="0"/>
              <w:rPr>
                <w:sz w:val="20"/>
                <w:szCs w:val="20"/>
                <w:color w:val="auto"/>
              </w:rPr>
            </w:pPr>
            <w:r>
              <w:rPr>
                <w:rFonts w:ascii="Arial" w:cs="Arial" w:eastAsia="Arial" w:hAnsi="Arial"/>
                <w:sz w:val="14"/>
                <w:szCs w:val="14"/>
                <w:b w:val="1"/>
                <w:bCs w:val="1"/>
                <w:color w:val="auto"/>
              </w:rPr>
              <w:t>No</w:t>
            </w:r>
          </w:p>
        </w:tc>
        <w:tc>
          <w:tcPr>
            <w:tcW w:w="36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Full</w:t>
            </w:r>
          </w:p>
        </w:tc>
        <w:tc>
          <w:tcPr>
            <w:tcW w:w="0" w:type="dxa"/>
            <w:vAlign w:val="bottom"/>
          </w:tcPr>
          <w:p>
            <w:pPr>
              <w:spacing w:after="0"/>
              <w:rPr>
                <w:sz w:val="1"/>
                <w:szCs w:val="1"/>
                <w:color w:val="auto"/>
              </w:rPr>
            </w:pPr>
          </w:p>
        </w:tc>
      </w:tr>
      <w:tr>
        <w:trPr>
          <w:trHeight w:val="182"/>
        </w:trPr>
        <w:tc>
          <w:tcPr>
            <w:tcW w:w="740" w:type="dxa"/>
            <w:vAlign w:val="bottom"/>
            <w:tcBorders>
              <w:bottom w:val="single" w:sz="8" w:color="auto"/>
            </w:tcBorders>
            <w:vMerge w:val="continue"/>
          </w:tcPr>
          <w:p>
            <w:pPr>
              <w:spacing w:after="0"/>
              <w:rPr>
                <w:sz w:val="15"/>
                <w:szCs w:val="15"/>
                <w:color w:val="auto"/>
              </w:rPr>
            </w:pPr>
          </w:p>
        </w:tc>
        <w:tc>
          <w:tcPr>
            <w:tcW w:w="8300" w:type="dxa"/>
            <w:vAlign w:val="bottom"/>
            <w:vMerge w:val="continue"/>
          </w:tcPr>
          <w:p>
            <w:pPr>
              <w:spacing w:after="0"/>
              <w:rPr>
                <w:sz w:val="15"/>
                <w:szCs w:val="15"/>
                <w:color w:val="auto"/>
              </w:rPr>
            </w:pPr>
          </w:p>
        </w:tc>
        <w:tc>
          <w:tcPr>
            <w:tcW w:w="780" w:type="dxa"/>
            <w:vAlign w:val="bottom"/>
          </w:tcPr>
          <w:p>
            <w:pPr>
              <w:jc w:val="right"/>
              <w:ind w:right="19"/>
              <w:spacing w:after="0"/>
              <w:rPr>
                <w:sz w:val="20"/>
                <w:szCs w:val="20"/>
                <w:color w:val="auto"/>
              </w:rPr>
            </w:pPr>
            <w:r>
              <w:rPr>
                <w:rFonts w:ascii="Arial" w:cs="Arial" w:eastAsia="Arial" w:hAnsi="Arial"/>
                <w:sz w:val="14"/>
                <w:szCs w:val="14"/>
                <w:b w:val="1"/>
                <w:bCs w:val="1"/>
                <w:color w:val="auto"/>
              </w:rPr>
              <w:t>Exercise</w:t>
            </w:r>
          </w:p>
        </w:tc>
        <w:tc>
          <w:tcPr>
            <w:tcW w:w="360" w:type="dxa"/>
            <w:vAlign w:val="bottom"/>
          </w:tcPr>
          <w:p>
            <w:pPr>
              <w:spacing w:after="0"/>
              <w:rPr>
                <w:sz w:val="15"/>
                <w:szCs w:val="15"/>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90"/>
        </w:trPr>
        <w:tc>
          <w:tcPr>
            <w:tcW w:w="90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Per Share</w:t>
            </w:r>
          </w:p>
        </w:tc>
        <w:tc>
          <w:tcPr>
            <w:tcW w:w="780" w:type="dxa"/>
            <w:vAlign w:val="bottom"/>
            <w:tcBorders>
              <w:top w:val="single" w:sz="8" w:color="auto"/>
            </w:tcBorders>
            <w:shd w:val="clear" w:color="auto" w:fill="CCEEFF"/>
          </w:tcPr>
          <w:p>
            <w:pPr>
              <w:jc w:val="right"/>
              <w:ind w:right="599"/>
              <w:spacing w:after="0" w:line="189"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ind w:right="602"/>
              <w:spacing w:after="0" w:line="189"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9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jc w:val="right"/>
              <w:ind w:right="599"/>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estimate that our total expenses of the offering, excluding underwriting discounts and commissions, will be approximately</w:t>
      </w:r>
    </w:p>
    <w:p>
      <w:pPr>
        <w:ind w:left="120" w:right="640" w:hanging="4"/>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We have agreed to reimburse the underwriters for expenses relating to the clearance of this offering with the Financial Industry Regulatory Authority, Inc.</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sold by the underwriters to the public will initially be offered at the public offering price set forth on the cover of this</w:t>
      </w:r>
    </w:p>
    <w:p>
      <w:pPr>
        <w:ind w:left="120" w:right="60"/>
        <w:spacing w:after="0" w:line="238" w:lineRule="auto"/>
        <w:rPr>
          <w:sz w:val="20"/>
          <w:szCs w:val="20"/>
          <w:color w:val="auto"/>
        </w:rPr>
      </w:pPr>
      <w:r>
        <w:rPr>
          <w:rFonts w:ascii="Arial" w:cs="Arial" w:eastAsia="Arial" w:hAnsi="Arial"/>
          <w:sz w:val="18"/>
          <w:szCs w:val="18"/>
          <w:color w:val="auto"/>
        </w:rPr>
        <w:t>prospectus supplement. Any shares sold by the underwriters to securities dealers may be sold at a discount of up to $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205"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We, our executive officers and our directors have agreed with the underwriters, subject to certain exceptions, not to dispose of or hedge any of our common stock or securities convertible into or exchangeable for shares of our common stock during the period from the date of this prospectus supplement continuing through the date 60 days, in our case, and 30 days, in the case of our executive officers and our directors, after the date of this prospectus supplement, except with the prior written consent of Goldman Sachs &amp; Co. LLC and SVB Securities LLC. This agreement does not apply to any existing employee benefit plans.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40"/>
          </w:cols>
          <w:pgMar w:left="320" w:top="459" w:right="4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Market under the symbol “FULC.”</w:t>
      </w:r>
    </w:p>
    <w:p>
      <w:pPr>
        <w:spacing w:after="0" w:line="212" w:lineRule="exact"/>
        <w:rPr>
          <w:sz w:val="20"/>
          <w:szCs w:val="20"/>
          <w:color w:val="auto"/>
        </w:rPr>
      </w:pPr>
    </w:p>
    <w:p>
      <w:pPr>
        <w:ind w:left="120" w:right="100" w:firstLine="551"/>
        <w:spacing w:after="0" w:line="235"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our common stock made by the underwriters in the open market prior to the completion of the offering.</w:t>
      </w:r>
    </w:p>
    <w:p>
      <w:pPr>
        <w:spacing w:after="0" w:line="214"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205"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 or the Securities Act.</w:t>
      </w:r>
    </w:p>
    <w:p>
      <w:pPr>
        <w:spacing w:after="0" w:line="197"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202" w:lineRule="exact"/>
        <w:rPr>
          <w:sz w:val="20"/>
          <w:szCs w:val="20"/>
          <w:color w:val="auto"/>
        </w:rPr>
      </w:pPr>
    </w:p>
    <w:p>
      <w:pPr>
        <w:ind w:left="120" w:right="280" w:firstLine="551"/>
        <w:spacing w:after="0" w:line="238"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34"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In relation to each Member State of the European Economic Area (each a “Relevant Member State”), no common shares have been offered or will be offered pursuant to the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the shares may be offered to the public in that Relevant Member State at any time:</w:t>
      </w:r>
    </w:p>
    <w:p>
      <w:pPr>
        <w:spacing w:after="0" w:line="108"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17" w:lineRule="exact"/>
        <w:rPr>
          <w:rFonts w:ascii="Arial" w:cs="Arial" w:eastAsia="Arial" w:hAnsi="Arial"/>
          <w:sz w:val="18"/>
          <w:szCs w:val="18"/>
          <w:color w:val="auto"/>
        </w:rPr>
      </w:pPr>
    </w:p>
    <w:p>
      <w:pPr>
        <w:ind w:left="1300" w:right="540" w:hanging="644"/>
        <w:spacing w:after="0" w:line="246"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representatives for any such offer; or</w:t>
      </w:r>
    </w:p>
    <w:p>
      <w:pPr>
        <w:spacing w:after="0" w:line="102"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left="120" w:right="180" w:firstLine="551"/>
        <w:spacing w:after="0" w:line="246" w:lineRule="auto"/>
        <w:rPr>
          <w:sz w:val="20"/>
          <w:szCs w:val="20"/>
          <w:color w:val="auto"/>
        </w:rPr>
      </w:pPr>
      <w:r>
        <w:rPr>
          <w:rFonts w:ascii="Arial" w:cs="Arial" w:eastAsia="Arial" w:hAnsi="Arial"/>
          <w:sz w:val="18"/>
          <w:szCs w:val="18"/>
          <w:color w:val="auto"/>
        </w:rPr>
        <w:t>provided that no such offer of shares shall require us or any of the representatives to publish a prospectus pursuant to Article 3 of the Prospectus Regulation or supplement a prospectus pursuant to Article 23 of the Prospectus Regulation.</w:t>
      </w:r>
    </w:p>
    <w:p>
      <w:pPr>
        <w:spacing w:after="0" w:line="197"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any Relevant Member State means the communication in any form and by any means of sufficient information on the terms of the offer and any shares to be offered so as to enable an investor to decide to purchase any shares, and the expression “Prospectus Regulation” means Regulation (EU) 2017/1129.</w:t>
      </w:r>
    </w:p>
    <w:p>
      <w:pPr>
        <w:spacing w:after="0" w:line="205" w:lineRule="exact"/>
        <w:rPr>
          <w:sz w:val="20"/>
          <w:szCs w:val="20"/>
          <w:color w:val="auto"/>
        </w:rPr>
      </w:pPr>
    </w:p>
    <w:p>
      <w:pPr>
        <w:jc w:val="both"/>
        <w:ind w:left="120" w:right="240" w:firstLine="551"/>
        <w:spacing w:after="0"/>
        <w:rPr>
          <w:sz w:val="20"/>
          <w:szCs w:val="20"/>
          <w:color w:val="auto"/>
        </w:rPr>
      </w:pPr>
      <w:r>
        <w:rPr>
          <w:rFonts w:ascii="Arial" w:cs="Arial" w:eastAsia="Arial" w:hAnsi="Arial"/>
          <w:sz w:val="18"/>
          <w:szCs w:val="18"/>
          <w:color w:val="auto"/>
        </w:rPr>
        <w:t>Each person in a Relevant Member State who receives any communication in respect of, or who acquires any shares under, the offering contemplated hereby will be deemed to have represented, warranted and agreed to and with each of the Underwriters and their affiliates and the Company that:</w:t>
      </w:r>
    </w:p>
    <w:p>
      <w:pPr>
        <w:spacing w:after="0" w:line="203" w:lineRule="exact"/>
        <w:rPr>
          <w:sz w:val="20"/>
          <w:szCs w:val="20"/>
          <w:color w:val="auto"/>
        </w:rPr>
      </w:pPr>
    </w:p>
    <w:p>
      <w:pPr>
        <w:ind w:left="880" w:hanging="213"/>
        <w:spacing w:after="0"/>
        <w:tabs>
          <w:tab w:leader="none" w:pos="8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it is a qualified investor within the meaning of the Prospectus Regulation; and</w:t>
      </w:r>
    </w:p>
    <w:p>
      <w:pPr>
        <w:spacing w:after="0" w:line="211" w:lineRule="exact"/>
        <w:rPr>
          <w:rFonts w:ascii="Arial" w:cs="Arial" w:eastAsia="Arial" w:hAnsi="Arial"/>
          <w:sz w:val="18"/>
          <w:szCs w:val="18"/>
          <w:color w:val="auto"/>
        </w:rPr>
      </w:pPr>
    </w:p>
    <w:p>
      <w:pPr>
        <w:ind w:left="880" w:hanging="213"/>
        <w:spacing w:after="0"/>
        <w:tabs>
          <w:tab w:leader="none" w:pos="8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in the case of any Shares acquired by it as a financial intermediary, as that term is used in Article 5 of the Prospectus Regulation,</w:t>
      </w:r>
    </w:p>
    <w:p>
      <w:pPr>
        <w:spacing w:after="0" w:line="7" w:lineRule="exact"/>
        <w:rPr>
          <w:rFonts w:ascii="Arial" w:cs="Arial" w:eastAsia="Arial" w:hAnsi="Arial"/>
          <w:sz w:val="17"/>
          <w:szCs w:val="17"/>
          <w:color w:val="auto"/>
        </w:rPr>
      </w:pPr>
    </w:p>
    <w:p>
      <w:pPr>
        <w:ind w:left="120" w:right="100" w:hanging="4"/>
        <w:spacing w:after="0" w:line="237" w:lineRule="auto"/>
        <w:tabs>
          <w:tab w:leader="none" w:pos="33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shares acquired by it in the offering have not been acquired on a non-discretionary basis on behalf of, nor have they been acquired with a view to their offer or resale to, persons in any Relevant Member State other than qualified investors, as that term is defined in the Prospectus Regulation, or have been acquired in other circumstances falling within the points (a) to (d) of Article 1(4) of the Prospectus Regulation and the prior consent of the representatives has been given to the offer or resale; or (ii) where the Shares have been acquired by it on behalf of persons in any Relevant Member State other than qualified investors, the offer of those Shares to it is not treated under the Prospectus Regulation as having been made to such persons.</w:t>
      </w:r>
    </w:p>
    <w:p>
      <w:pPr>
        <w:spacing w:after="0" w:line="205" w:lineRule="exact"/>
        <w:rPr>
          <w:sz w:val="20"/>
          <w:szCs w:val="20"/>
          <w:color w:val="auto"/>
        </w:rPr>
      </w:pPr>
    </w:p>
    <w:p>
      <w:pPr>
        <w:ind w:left="120" w:right="920" w:firstLine="551"/>
        <w:spacing w:after="0" w:line="246" w:lineRule="auto"/>
        <w:rPr>
          <w:sz w:val="20"/>
          <w:szCs w:val="20"/>
          <w:color w:val="auto"/>
        </w:rPr>
      </w:pPr>
      <w:r>
        <w:rPr>
          <w:rFonts w:ascii="Arial" w:cs="Arial" w:eastAsia="Arial" w:hAnsi="Arial"/>
          <w:sz w:val="18"/>
          <w:szCs w:val="18"/>
          <w:color w:val="auto"/>
        </w:rPr>
        <w:t>We, the underwriters and their affiliates, and others will rely upon the truth and accuracy of the foregoing representation, acknowledgement and agreement. Notwithstanding the above, a person who</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is not a qualified investor and who has notified the representatives of such fact in writing may, with the prior consent of the representatives, be permitted to acquire shares in the offering.</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34"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This prospectus supplement and any other material in relation to the common shares described herein is only being distributed to, and is only directed at, and any investment or investment activity to which this prospectus supplement relates is available only to, and will be engaged in only with persons who are (i) persons having professional experience in matters relating to investments who fall within the definition of investment professionals in Article 19(5) of the FPO; or (ii) high net worth entities falling within Article 49(2)(a) to (d) of the FPO; (iii) outside the UK; or (iv) persons to whom an invitation or inducement to engage in investment activity (within the meaning of Section 21 of the FSMA) in connection with the issue or sale of any Shares may otherwise lawfully be communicated or caused to be communicated, (all such persons together being referred to as “Relevant Persons”). The shares are only available in the United Kingdom to, and any invitation, offer or agreement to purchase or otherwise acquire the shares will be engaged in only with, the Relevant Persons. This prospectus supplement and its contents are confidential and should not be distributed, published or reproduced (in whole or in part) or disclosed by recipients to any other person in the United Kingdom. Any person in the United Kingdom that is not a Relevant Person should not act or rely on this prospectus supplement or any of its contents.</w:t>
      </w:r>
    </w:p>
    <w:p>
      <w:pPr>
        <w:spacing w:after="0" w:line="205" w:lineRule="exact"/>
        <w:rPr>
          <w:sz w:val="20"/>
          <w:szCs w:val="20"/>
          <w:color w:val="auto"/>
        </w:rPr>
      </w:pPr>
    </w:p>
    <w:p>
      <w:pPr>
        <w:jc w:val="both"/>
        <w:ind w:left="120" w:right="20" w:firstLine="551"/>
        <w:spacing w:after="0"/>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08"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17" w:lineRule="exact"/>
        <w:rPr>
          <w:rFonts w:ascii="Arial" w:cs="Arial" w:eastAsia="Arial" w:hAnsi="Arial"/>
          <w:sz w:val="18"/>
          <w:szCs w:val="18"/>
          <w:color w:val="auto"/>
        </w:rPr>
      </w:pPr>
    </w:p>
    <w:p>
      <w:pPr>
        <w:ind w:left="1300" w:right="240" w:hanging="644"/>
        <w:spacing w:after="0" w:line="246"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representatives for any such offer; or</w:t>
      </w:r>
    </w:p>
    <w:p>
      <w:pPr>
        <w:spacing w:after="0" w:line="102"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212"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provided that no such offer of the shares shall require us and/or any underwriters or any of their affiliates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05" w:lineRule="exact"/>
        <w:rPr>
          <w:sz w:val="20"/>
          <w:szCs w:val="20"/>
          <w:color w:val="auto"/>
        </w:rPr>
      </w:pPr>
    </w:p>
    <w:p>
      <w:pPr>
        <w:ind w:left="120" w:right="40" w:firstLine="551"/>
        <w:spacing w:after="0" w:line="274" w:lineRule="auto"/>
        <w:rPr>
          <w:sz w:val="20"/>
          <w:szCs w:val="20"/>
          <w:color w:val="auto"/>
        </w:rPr>
      </w:pPr>
      <w:r>
        <w:rPr>
          <w:rFonts w:ascii="Arial" w:cs="Arial" w:eastAsia="Arial" w:hAnsi="Arial"/>
          <w:sz w:val="17"/>
          <w:szCs w:val="17"/>
          <w:color w:val="auto"/>
        </w:rPr>
        <w:t>Each person in the United Kingdom who acquires any shares in the offering or to whom any offer is made will be deemed to have represented, acknowledged and agreed to and with us, the underwriters and their affiliates that it meets the criteria outlined in this section.</w:t>
      </w: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34"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02"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34"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208"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00"/>
          </w:cols>
          <w:pgMar w:left="320" w:top="459" w:right="4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34" w:lineRule="auto"/>
        <w:rPr>
          <w:sz w:val="20"/>
          <w:szCs w:val="20"/>
          <w:color w:val="auto"/>
        </w:rPr>
      </w:pPr>
      <w:r>
        <w:rPr>
          <w:rFonts w:ascii="Arial" w:cs="Arial" w:eastAsia="Arial" w:hAnsi="Arial"/>
          <w:sz w:val="18"/>
          <w:szCs w:val="18"/>
          <w:color w:val="auto"/>
        </w:rPr>
        <w:t>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w:t>
      </w:r>
    </w:p>
    <w:p>
      <w:pPr>
        <w:spacing w:after="0" w:line="3" w:lineRule="exact"/>
        <w:rPr>
          <w:sz w:val="20"/>
          <w:szCs w:val="20"/>
          <w:color w:val="auto"/>
        </w:rPr>
      </w:pPr>
    </w:p>
    <w:p>
      <w:pPr>
        <w:ind w:left="120" w:right="520" w:hanging="4"/>
        <w:spacing w:after="0" w:line="246" w:lineRule="auto"/>
        <w:tabs>
          <w:tab w:leader="none" w:pos="39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where the transfer is by operation of law, (5) as specified in Section 276(7) of the SFA, or (6) as specified in Regulation 32 of the Securities and Futures (Offers of Investments) (Shares and Debentures) Regulations 2005 of Singapore (“Regulation 32”).</w:t>
      </w:r>
    </w:p>
    <w:p>
      <w:pPr>
        <w:spacing w:after="0" w:line="19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34"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3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No prospectus or other disclosure document, as defined in the Corporations Act 2001 (“Cth”) of Australia, or the Corporations Act, in relation to our shares has been or will be lodged with the Australian Securities &amp; Investments Commission ( the “ASIC”). This document has not been lodged with ASIC and is only directed to certain categories of exempt persons. Accordingly, if you receive this document in Australia:</w:t>
      </w:r>
    </w:p>
    <w:p>
      <w:pPr>
        <w:spacing w:after="0" w:line="110"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confirm and warrant that you are either:</w:t>
      </w:r>
    </w:p>
    <w:p>
      <w:pPr>
        <w:spacing w:after="0" w:line="117" w:lineRule="exact"/>
        <w:rPr>
          <w:rFonts w:ascii="Arial" w:cs="Arial" w:eastAsia="Arial" w:hAnsi="Arial"/>
          <w:sz w:val="18"/>
          <w:szCs w:val="18"/>
          <w:color w:val="auto"/>
        </w:rPr>
      </w:pPr>
    </w:p>
    <w:p>
      <w:pPr>
        <w:ind w:left="1860" w:hanging="543"/>
        <w:spacing w:after="0"/>
        <w:tabs>
          <w:tab w:leader="none" w:pos="18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17" w:lineRule="exact"/>
        <w:rPr>
          <w:rFonts w:ascii="Arial" w:cs="Arial" w:eastAsia="Arial" w:hAnsi="Arial"/>
          <w:sz w:val="18"/>
          <w:szCs w:val="18"/>
          <w:color w:val="auto"/>
        </w:rPr>
      </w:pPr>
    </w:p>
    <w:p>
      <w:pPr>
        <w:ind w:left="1860" w:right="120" w:hanging="543"/>
        <w:spacing w:after="0"/>
        <w:tabs>
          <w:tab w:leader="none" w:pos="18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108" w:lineRule="exact"/>
        <w:rPr>
          <w:rFonts w:ascii="Arial" w:cs="Arial" w:eastAsia="Arial" w:hAnsi="Arial"/>
          <w:sz w:val="18"/>
          <w:szCs w:val="18"/>
          <w:color w:val="auto"/>
        </w:rPr>
      </w:pPr>
    </w:p>
    <w:p>
      <w:pPr>
        <w:ind w:left="1860" w:hanging="543"/>
        <w:spacing w:after="0"/>
        <w:tabs>
          <w:tab w:leader="none" w:pos="18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person associated with us under section 708(12) of the Corporations Act; or</w:t>
      </w:r>
    </w:p>
    <w:p>
      <w:pPr>
        <w:spacing w:after="0" w:line="117" w:lineRule="exact"/>
        <w:rPr>
          <w:rFonts w:ascii="Arial" w:cs="Arial" w:eastAsia="Arial" w:hAnsi="Arial"/>
          <w:sz w:val="18"/>
          <w:szCs w:val="18"/>
          <w:color w:val="auto"/>
        </w:rPr>
      </w:pPr>
    </w:p>
    <w:p>
      <w:pPr>
        <w:ind w:left="1860" w:right="240" w:hanging="543"/>
        <w:spacing w:after="0" w:line="246" w:lineRule="auto"/>
        <w:tabs>
          <w:tab w:leader="none" w:pos="18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 and to the extent that you are unable to confirm or warrant that you</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080"/>
          </w:cols>
          <w:pgMar w:left="320" w:top="459" w:right="4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880" w:right="240"/>
        <w:spacing w:after="0" w:line="246" w:lineRule="auto"/>
        <w:rPr>
          <w:sz w:val="20"/>
          <w:szCs w:val="20"/>
          <w:color w:val="auto"/>
        </w:rPr>
      </w:pPr>
      <w:r>
        <w:rPr>
          <w:rFonts w:ascii="Arial" w:cs="Arial" w:eastAsia="Arial" w:hAnsi="Arial"/>
          <w:sz w:val="18"/>
          <w:szCs w:val="18"/>
          <w:color w:val="auto"/>
        </w:rPr>
        <w:t>are an exempt sophisticated investor, associated person or professional investor under the Corporations Act, any offer made to you under this document is void and incapable of acceptance; and</w:t>
      </w:r>
    </w:p>
    <w:p>
      <w:pPr>
        <w:spacing w:after="0" w:line="102"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our shares for resale in Australia within 12 months of that security being issued unless any such resale offer is exempt from the requirement to issue a disclosure document under section 708 of the Corporations Act.</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234"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In the State of Israel this prospectus supplement shall not be regarded as an offer to the public to purchase shares of our common stock under the Israeli Securities Law, 5728 – 1968, or the Israeli Securities Law, which requires a prospectus to be published and authorized by the Israel Securities Authority if it complies with certain provisions of Section 15 of the Israeli Securities Law,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subject to certain conditions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We have not and will not distribute this prospectus supplement or make, distribute or direct an offer to subscribe for our common stock to any person within the State of Israel, other than to Qualified Investors and up to 35 Addressed Investors.</w:t>
      </w:r>
    </w:p>
    <w:p>
      <w:pPr>
        <w:spacing w:after="0" w:line="20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Qualified Investors may have to submit written evidence that they meet the definitions set out in of the First Addendum to the Israeli Securities Law. In particular, we may request, as a condition to be offered shares of our common stock, that Qualified Investors will each represent, warrant and certify to us and/or to anyone acting on our behalf: (i) that it is an investor falling within one of the categories listed in the First Addendum to the Israeli Securities Law; (ii) which of the categories listed in the First Addendum to the Israeli Securities Law regarding Qualified Investors is applicable to it; (iii) that it will abide by all provisions set forth in the Israeli Securities Law and the regulations promulgated thereunder in connection with the offer to be issued shares of our common stock; (iv) that the shares of our common stock and that it will be issued are subject to exemptions available under the Israeli Securities Law (a) for its own account, (b) for investment purposes only and (c) not issued with a view to resale within the State of Israel, other than in accordance with the provisions of the Israeli Securities Law;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00"/>
          </w:cols>
          <w:pgMar w:left="320" w:top="459" w:right="4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The validity of the shares of common stock offered hereby will be passed upon by Goodwin Procter LLP, Boston, Massachusetts. Mintz, Levin, Cohn, Ferris, Glovsky, and Popeo, P.C., New York, New York, is acting as counsel for the underwriters in connection with certain legal matters relating to this offering.</w:t>
      </w: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left="120" w:firstLine="551"/>
        <w:spacing w:after="0" w:line="257" w:lineRule="auto"/>
        <w:rPr>
          <w:sz w:val="20"/>
          <w:szCs w:val="20"/>
          <w:color w:val="auto"/>
        </w:rPr>
      </w:pPr>
      <w:r>
        <w:rPr>
          <w:rFonts w:ascii="Arial" w:cs="Arial" w:eastAsia="Arial" w:hAnsi="Arial"/>
          <w:sz w:val="17"/>
          <w:szCs w:val="17"/>
          <w:color w:val="auto"/>
        </w:rPr>
        <w:t>The consolidated financial statements of Fulcrum Therapeutics, Inc. appearing in Fulcrum Therapeutics, Inc.’s Annual Report on Form 10-K for the year ended December 31, 2021,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http://www.fulcrumtx.com. Our website is not a part of this prospectus supplement and information contained on, or that can be accessed through our website, is not incorporated by reference in this prospectus supplement and the accompanying base prospectus.</w:t>
      </w:r>
    </w:p>
    <w:p>
      <w:pPr>
        <w:spacing w:after="0" w:line="202"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This prospectus supplement is part of a registration statement we filed with the SEC. This prospectus supplement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supplement and the accompanying base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You can obtain a copy of the registration statement from the SEC’s website.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34" w:lineRule="exact"/>
        <w:rPr>
          <w:sz w:val="20"/>
          <w:szCs w:val="20"/>
          <w:color w:val="auto"/>
        </w:rPr>
      </w:pPr>
    </w:p>
    <w:p>
      <w:pPr>
        <w:ind w:left="120" w:right="120" w:firstLine="551"/>
        <w:spacing w:after="0" w:line="236" w:lineRule="auto"/>
        <w:rPr>
          <w:sz w:val="20"/>
          <w:szCs w:val="20"/>
          <w:color w:val="auto"/>
        </w:rPr>
      </w:pPr>
      <w:r>
        <w:rPr>
          <w:rFonts w:ascii="Arial" w:cs="Arial" w:eastAsia="Arial" w:hAnsi="Arial"/>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and the accompanying base prospectus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and the accompanying base prospectus.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(File No. 001-38978) and any future filings we make with the SEC under Sections 13(a), 13(c), 14 or 15(d) of the Exchange Act (in each case, other than those documents or the portions of those documents not deemed to be filed) until the offering of the securities offered hereby is terminated or completed:</w:t>
      </w:r>
    </w:p>
    <w:p>
      <w:pPr>
        <w:spacing w:after="0" w:line="111" w:lineRule="exact"/>
        <w:rPr>
          <w:sz w:val="20"/>
          <w:szCs w:val="20"/>
          <w:color w:val="auto"/>
        </w:rPr>
      </w:pPr>
    </w:p>
    <w:p>
      <w:pPr>
        <w:jc w:val="both"/>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5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2021 filed on March 3, 2022, including the information specifically incorporated by reference into our Annual Report on Form 10-K from our definitive proxy statement on </w:t>
      </w:r>
      <w:hyperlink r:id="rId58">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(other than information furnished rather than filed) filed on April 28, 2022;</w:t>
      </w:r>
    </w:p>
    <w:p>
      <w:pPr>
        <w:spacing w:after="0" w:line="108" w:lineRule="exact"/>
        <w:rPr>
          <w:rFonts w:ascii="Arial" w:cs="Arial" w:eastAsia="Arial" w:hAnsi="Arial"/>
          <w:sz w:val="18"/>
          <w:szCs w:val="18"/>
          <w:color w:val="auto"/>
        </w:rPr>
      </w:pPr>
    </w:p>
    <w:p>
      <w:pPr>
        <w:ind w:left="880" w:right="880" w:hanging="224"/>
        <w:spacing w:after="0" w:line="24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quarters ended </w:t>
      </w:r>
      <w:hyperlink r:id="rId59">
        <w:r>
          <w:rPr>
            <w:rFonts w:ascii="Arial" w:cs="Arial" w:eastAsia="Arial" w:hAnsi="Arial"/>
            <w:sz w:val="18"/>
            <w:szCs w:val="18"/>
            <w:u w:val="single" w:color="auto"/>
            <w:color w:val="0000EE"/>
          </w:rPr>
          <w:t>March 31,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60">
        <w:r>
          <w:rPr>
            <w:rFonts w:ascii="Arial" w:cs="Arial" w:eastAsia="Arial" w:hAnsi="Arial"/>
            <w:sz w:val="18"/>
            <w:szCs w:val="18"/>
            <w:u w:val="single" w:color="auto"/>
            <w:color w:val="0000EE"/>
          </w:rPr>
          <w:t>June 30, 2022</w:t>
        </w:r>
      </w:hyperlink>
      <w:r>
        <w:rPr>
          <w:rFonts w:ascii="Arial" w:cs="Arial" w:eastAsia="Arial" w:hAnsi="Arial"/>
          <w:sz w:val="18"/>
          <w:szCs w:val="18"/>
          <w:color w:val="auto"/>
        </w:rPr>
        <w:t>, filed on May 9, 2022 and August 11, 2022, respectively;</w:t>
      </w:r>
    </w:p>
    <w:p>
      <w:pPr>
        <w:spacing w:after="0" w:line="9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hyperlink r:id="rId61">
        <w:r>
          <w:rPr>
            <w:rFonts w:ascii="Arial" w:cs="Arial" w:eastAsia="Arial" w:hAnsi="Arial"/>
            <w:sz w:val="18"/>
            <w:szCs w:val="18"/>
            <w:color w:val="auto"/>
          </w:rPr>
          <w:t xml:space="preserve">Current Reports on Form 8-K filed on </w:t>
        </w:r>
        <w:r>
          <w:rPr>
            <w:rFonts w:ascii="Arial" w:cs="Arial" w:eastAsia="Arial" w:hAnsi="Arial"/>
            <w:sz w:val="18"/>
            <w:szCs w:val="18"/>
            <w:u w:val="single" w:color="auto"/>
            <w:color w:val="0000EE"/>
          </w:rPr>
          <w:t>January 4,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January 10, 2022</w:t>
        </w:r>
        <w:r>
          <w:rPr>
            <w:rFonts w:ascii="Arial" w:cs="Arial" w:eastAsia="Arial" w:hAnsi="Arial"/>
            <w:sz w:val="18"/>
            <w:szCs w:val="18"/>
            <w:color w:val="auto"/>
          </w:rPr>
          <w:t xml:space="preserve"> (other than Item 2.02 and Item 9.01), </w:t>
        </w:r>
        <w:r>
          <w:rPr>
            <w:rFonts w:ascii="Arial" w:cs="Arial" w:eastAsia="Arial" w:hAnsi="Arial"/>
            <w:sz w:val="18"/>
            <w:szCs w:val="18"/>
            <w:u w:val="single" w:color="auto"/>
            <w:color w:val="0000EE"/>
          </w:rPr>
          <w:t>March 10,</w:t>
        </w:r>
      </w:hyperlink>
    </w:p>
    <w:p>
      <w:pPr>
        <w:ind w:left="880" w:right="180"/>
        <w:spacing w:after="0" w:line="246" w:lineRule="auto"/>
        <w:rPr>
          <w:rFonts w:ascii="Arial" w:cs="Arial" w:eastAsia="Arial" w:hAnsi="Arial"/>
          <w:sz w:val="18"/>
          <w:szCs w:val="18"/>
          <w:color w:val="000000"/>
        </w:rPr>
      </w:pPr>
      <w:hyperlink r:id="rId61">
        <w:r>
          <w:rPr>
            <w:rFonts w:ascii="Arial" w:cs="Arial" w:eastAsia="Arial" w:hAnsi="Arial"/>
            <w:sz w:val="18"/>
            <w:szCs w:val="18"/>
            <w:u w:val="single" w:color="auto"/>
            <w:color w:val="0000EE"/>
          </w:rPr>
          <w:t>2022</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2">
        <w:r>
          <w:rPr>
            <w:rFonts w:ascii="Arial" w:cs="Arial" w:eastAsia="Arial" w:hAnsi="Arial"/>
            <w:sz w:val="18"/>
            <w:szCs w:val="18"/>
            <w:u w:val="single" w:color="auto"/>
            <w:color w:val="0000EE"/>
          </w:rPr>
          <w:t>May 10, 2022</w:t>
        </w:r>
      </w:hyperlink>
      <w:hyperlink r:id="rId61">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3">
        <w:r>
          <w:rPr>
            <w:rFonts w:ascii="Arial" w:cs="Arial" w:eastAsia="Arial" w:hAnsi="Arial"/>
            <w:sz w:val="18"/>
            <w:szCs w:val="18"/>
            <w:u w:val="single" w:color="auto"/>
            <w:color w:val="0000EE"/>
          </w:rPr>
          <w:t>June 6, 2022</w:t>
        </w:r>
      </w:hyperlink>
      <w:hyperlink r:id="rId61">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4">
        <w:r>
          <w:rPr>
            <w:rFonts w:ascii="Arial" w:cs="Arial" w:eastAsia="Arial" w:hAnsi="Arial"/>
            <w:sz w:val="18"/>
            <w:szCs w:val="18"/>
            <w:u w:val="single" w:color="auto"/>
            <w:color w:val="0000EE"/>
          </w:rPr>
          <w:t>June 9, 2022</w:t>
        </w:r>
      </w:hyperlink>
      <w:hyperlink r:id="rId61">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5">
        <w:r>
          <w:rPr>
            <w:rFonts w:ascii="Arial" w:cs="Arial" w:eastAsia="Arial" w:hAnsi="Arial"/>
            <w:sz w:val="18"/>
            <w:szCs w:val="18"/>
            <w:u w:val="single" w:color="auto"/>
            <w:color w:val="0000EE"/>
          </w:rPr>
          <w:t>June 10, 2022</w:t>
        </w:r>
      </w:hyperlink>
      <w:hyperlink r:id="rId61">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6">
        <w:r>
          <w:rPr>
            <w:rFonts w:ascii="Arial" w:cs="Arial" w:eastAsia="Arial" w:hAnsi="Arial"/>
            <w:sz w:val="18"/>
            <w:szCs w:val="18"/>
            <w:u w:val="single" w:color="auto"/>
            <w:color w:val="0000EE"/>
          </w:rPr>
          <w:t>July 11, 2022</w:t>
        </w:r>
      </w:hyperlink>
      <w:hyperlink r:id="rId61">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7">
        <w:r>
          <w:rPr>
            <w:rFonts w:ascii="Arial" w:cs="Arial" w:eastAsia="Arial" w:hAnsi="Arial"/>
            <w:sz w:val="18"/>
            <w:szCs w:val="18"/>
            <w:u w:val="single" w:color="auto"/>
            <w:color w:val="0000EE"/>
          </w:rPr>
          <w:t xml:space="preserve">August 11, 2022 </w:t>
        </w:r>
      </w:hyperlink>
      <w:hyperlink r:id="rId61">
        <w:r>
          <w:rPr>
            <w:rFonts w:ascii="Arial" w:cs="Arial" w:eastAsia="Arial" w:hAnsi="Arial"/>
            <w:sz w:val="18"/>
            <w:szCs w:val="18"/>
            <w:color w:val="000000"/>
          </w:rPr>
          <w:t xml:space="preserve">(other than Item 2.02 </w:t>
        </w:r>
      </w:hyperlink>
      <w:r>
        <w:rPr>
          <w:rFonts w:ascii="Arial" w:cs="Arial" w:eastAsia="Arial" w:hAnsi="Arial"/>
          <w:sz w:val="18"/>
          <w:szCs w:val="18"/>
          <w:color w:val="0000EE"/>
        </w:rPr>
        <w:t xml:space="preserve">and </w:t>
      </w:r>
      <w:r>
        <w:rPr>
          <w:rFonts w:ascii="Arial" w:cs="Arial" w:eastAsia="Arial" w:hAnsi="Arial"/>
          <w:sz w:val="18"/>
          <w:szCs w:val="18"/>
          <w:color w:val="000000"/>
        </w:rPr>
        <w:t xml:space="preserve">9.01) and </w:t>
      </w:r>
      <w:hyperlink r:id="rId68">
        <w:r>
          <w:rPr>
            <w:rFonts w:ascii="Arial" w:cs="Arial" w:eastAsia="Arial" w:hAnsi="Arial"/>
            <w:sz w:val="18"/>
            <w:szCs w:val="18"/>
            <w:u w:val="single" w:color="auto"/>
            <w:color w:val="0000EE"/>
          </w:rPr>
          <w:t>August 11, 2022</w:t>
        </w:r>
      </w:hyperlink>
      <w:r>
        <w:rPr>
          <w:rFonts w:ascii="Arial" w:cs="Arial" w:eastAsia="Arial" w:hAnsi="Arial"/>
          <w:sz w:val="18"/>
          <w:szCs w:val="18"/>
          <w:color w:val="000000"/>
        </w:rPr>
        <w:t>; and</w:t>
      </w:r>
    </w:p>
    <w:p>
      <w:pPr>
        <w:spacing w:after="0" w:line="102" w:lineRule="exact"/>
        <w:rPr>
          <w:rFonts w:ascii="Arial" w:cs="Arial" w:eastAsia="Arial" w:hAnsi="Arial"/>
          <w:sz w:val="18"/>
          <w:szCs w:val="18"/>
          <w:color w:val="000000"/>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69">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on July 12, 2019, as updated and superseded by the description of our capital stock contained in </w:t>
      </w:r>
      <w:hyperlink r:id="rId70">
        <w:r>
          <w:rPr>
            <w:rFonts w:ascii="Arial" w:cs="Arial" w:eastAsia="Arial" w:hAnsi="Arial"/>
            <w:sz w:val="18"/>
            <w:szCs w:val="18"/>
            <w:u w:val="single" w:color="auto"/>
            <w:color w:val="0000EE"/>
          </w:rPr>
          <w:t>Exhibit 4.2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10-K for the fiscal year ended December 31, 2020, and including any amendments and reports filed for the purpose of updating such description.</w:t>
      </w:r>
    </w:p>
    <w:p>
      <w:pPr>
        <w:spacing w:after="0" w:line="203" w:lineRule="exact"/>
        <w:rPr>
          <w:rFonts w:ascii="Arial" w:cs="Arial" w:eastAsia="Arial" w:hAnsi="Arial"/>
          <w:sz w:val="18"/>
          <w:szCs w:val="18"/>
          <w:color w:val="auto"/>
        </w:rPr>
      </w:pPr>
    </w:p>
    <w:p>
      <w:pPr>
        <w:jc w:val="center"/>
        <w:ind w:right="220"/>
        <w:spacing w:after="0"/>
        <w:rPr>
          <w:sz w:val="20"/>
          <w:szCs w:val="20"/>
          <w:color w:val="auto"/>
        </w:rPr>
      </w:pPr>
      <w:r>
        <w:rPr>
          <w:rFonts w:ascii="Arial" w:cs="Arial" w:eastAsia="Arial" w:hAnsi="Arial"/>
          <w:sz w:val="18"/>
          <w:szCs w:val="18"/>
          <w:color w:val="auto"/>
        </w:rPr>
        <w:t>You may request a copy of these filings, at no cost, by writing or calling us at the following address or telephone number:</w:t>
      </w:r>
    </w:p>
    <w:p>
      <w:pPr>
        <w:spacing w:after="0" w:line="207"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Fulcrum Therapeutics, Inc.</w:t>
      </w:r>
    </w:p>
    <w:p>
      <w:pPr>
        <w:jc w:val="center"/>
        <w:ind w:right="-119"/>
        <w:spacing w:after="0" w:line="234" w:lineRule="auto"/>
        <w:rPr>
          <w:sz w:val="20"/>
          <w:szCs w:val="20"/>
          <w:color w:val="auto"/>
        </w:rPr>
      </w:pPr>
      <w:r>
        <w:rPr>
          <w:rFonts w:ascii="Arial" w:cs="Arial" w:eastAsia="Arial" w:hAnsi="Arial"/>
          <w:sz w:val="18"/>
          <w:szCs w:val="18"/>
          <w:color w:val="auto"/>
        </w:rPr>
        <w:t>26 Landsdowne Street</w:t>
      </w:r>
    </w:p>
    <w:p>
      <w:pPr>
        <w:jc w:val="center"/>
        <w:ind w:right="-119"/>
        <w:spacing w:after="0" w:line="235" w:lineRule="auto"/>
        <w:rPr>
          <w:sz w:val="20"/>
          <w:szCs w:val="20"/>
          <w:color w:val="auto"/>
        </w:rPr>
      </w:pPr>
      <w:r>
        <w:rPr>
          <w:rFonts w:ascii="Arial" w:cs="Arial" w:eastAsia="Arial" w:hAnsi="Arial"/>
          <w:sz w:val="18"/>
          <w:szCs w:val="18"/>
          <w:color w:val="auto"/>
        </w:rPr>
        <w:t>Cambridge, Massachusetts 02139</w:t>
      </w:r>
    </w:p>
    <w:p>
      <w:pPr>
        <w:jc w:val="center"/>
        <w:ind w:right="-119"/>
        <w:spacing w:after="0" w:line="235" w:lineRule="auto"/>
        <w:rPr>
          <w:sz w:val="20"/>
          <w:szCs w:val="20"/>
          <w:color w:val="auto"/>
        </w:rPr>
      </w:pPr>
      <w:r>
        <w:rPr>
          <w:rFonts w:ascii="Arial" w:cs="Arial" w:eastAsia="Arial" w:hAnsi="Arial"/>
          <w:sz w:val="18"/>
          <w:szCs w:val="18"/>
          <w:color w:val="auto"/>
        </w:rPr>
        <w:t>Attn: Investor Relations</w:t>
      </w:r>
    </w:p>
    <w:p>
      <w:pPr>
        <w:ind w:left="5440" w:right="4880" w:hanging="431"/>
        <w:spacing w:after="0" w:line="606" w:lineRule="auto"/>
        <w:tabs>
          <w:tab w:leader="none" w:pos="5485" w:val="left"/>
        </w:tabs>
        <w:numPr>
          <w:ilvl w:val="0"/>
          <w:numId w:val="23"/>
        </w:numPr>
        <w:rPr>
          <w:rFonts w:ascii="Arial" w:cs="Arial" w:eastAsia="Arial" w:hAnsi="Arial"/>
          <w:sz w:val="17"/>
          <w:szCs w:val="17"/>
          <w:color w:val="auto"/>
        </w:rPr>
      </w:pPr>
      <w:r>
        <w:rPr>
          <w:rFonts w:ascii="Arial" w:cs="Arial" w:eastAsia="Arial" w:hAnsi="Arial"/>
          <w:sz w:val="17"/>
          <w:szCs w:val="17"/>
          <w:color w:val="auto"/>
        </w:rPr>
        <w:t>651-8851 S-28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171450</wp:posOffset>
            </wp:positionV>
            <wp:extent cx="2897505" cy="7200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289750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$250,000,000</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Depositary Shares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We may offer and sell securities from time to time in one or more offerings, up to an aggregate value of $250,000,000.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or incorporated by reference in this document. You should read this prospectus, the applicable prospectus supplement and any related free writing prospectus, as well as the documents incorporated by reference herein and therein, carefully before you invest.</w:t>
      </w:r>
    </w:p>
    <w:p>
      <w:pPr>
        <w:spacing w:after="0" w:line="192"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Market under the symbol “FULC”.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20" w:right="380"/>
        <w:spacing w:after="0" w:line="260" w:lineRule="auto"/>
        <w:rPr>
          <w:sz w:val="20"/>
          <w:szCs w:val="20"/>
          <w:color w:val="auto"/>
        </w:rPr>
      </w:pPr>
      <w:r>
        <w:rPr>
          <w:rFonts w:ascii="Arial" w:cs="Arial" w:eastAsia="Arial" w:hAnsi="Arial"/>
          <w:sz w:val="21"/>
          <w:szCs w:val="21"/>
          <w:b w:val="1"/>
          <w:bCs w:val="1"/>
          <w:color w:val="auto"/>
        </w:rPr>
        <w:t>Investing in these securities involves significant risks. See “</w:t>
      </w:r>
      <w:r>
        <w:rPr>
          <w:rFonts w:ascii="Arial" w:cs="Arial" w:eastAsia="Arial" w:hAnsi="Arial"/>
          <w:sz w:val="21"/>
          <w:szCs w:val="21"/>
          <w:b w:val="1"/>
          <w:bCs w:val="1"/>
          <w:u w:val="single" w:color="auto"/>
          <w:color w:val="0000EE"/>
        </w:rPr>
        <w:t>Risk Factors</w:t>
      </w:r>
      <w:r>
        <w:rPr>
          <w:rFonts w:ascii="Arial" w:cs="Arial" w:eastAsia="Arial" w:hAnsi="Arial"/>
          <w:sz w:val="21"/>
          <w:szCs w:val="21"/>
          <w:b w:val="1"/>
          <w:bCs w:val="1"/>
          <w:color w:val="auto"/>
        </w:rPr>
        <w:t>” included in any accompanying prospectus supplement and in the documents incorporated by reference in this prospectus for a discussion of the factors you should carefully consider before deciding to purchase these securities.</w:t>
      </w:r>
    </w:p>
    <w:p>
      <w:pPr>
        <w:spacing w:after="0" w:line="169" w:lineRule="exact"/>
        <w:rPr>
          <w:sz w:val="20"/>
          <w:szCs w:val="20"/>
          <w:color w:val="auto"/>
        </w:rPr>
      </w:pPr>
    </w:p>
    <w:p>
      <w:pPr>
        <w:jc w:val="both"/>
        <w:ind w:left="120" w:right="300"/>
        <w:spacing w:after="0" w:line="266" w:lineRule="auto"/>
        <w:rPr>
          <w:sz w:val="20"/>
          <w:szCs w:val="20"/>
          <w:color w:val="auto"/>
        </w:rPr>
      </w:pPr>
      <w:r>
        <w:rPr>
          <w:rFonts w:ascii="Arial" w:cs="Arial" w:eastAsia="Arial" w:hAnsi="Arial"/>
          <w:sz w:val="18"/>
          <w:szCs w:val="18"/>
          <w:b w:val="1"/>
          <w:bCs w:val="1"/>
          <w:color w:val="auto"/>
        </w:rPr>
        <w:t>We may amend or supplement this prospectus from time to time by filing amendments or supplements as required. We urge you to read the entire prospectus, any amendments or supplements, any free writing prospectuses, and any documents incorporated by reference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2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April 28, 2022</w:t>
      </w:r>
    </w:p>
    <w:p>
      <w:pPr>
        <w:sectPr>
          <w:pgSz w:w="11900" w:h="16838" w:orient="portrait"/>
          <w:cols w:equalWidth="0" w:num="1">
            <w:col w:w="11100"/>
          </w:cols>
          <w:pgMar w:left="320" w:top="459" w:right="4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300" w:type="dxa"/>
            <w:vAlign w:val="bottom"/>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0"/>
        </w:trPr>
        <w:tc>
          <w:tcPr>
            <w:tcW w:w="7660" w:type="dxa"/>
            <w:vAlign w:val="bottom"/>
            <w:gridSpan w:val="16"/>
          </w:tcPr>
          <w:p>
            <w:pPr>
              <w:spacing w:after="0" w:line="190" w:lineRule="exact"/>
              <w:rPr>
                <w:sz w:val="20"/>
                <w:szCs w:val="20"/>
                <w:color w:val="auto"/>
              </w:rPr>
            </w:pPr>
            <w:r>
              <w:rPr>
                <w:rFonts w:ascii="Arial" w:cs="Arial" w:eastAsia="Arial" w:hAnsi="Arial"/>
                <w:sz w:val="18"/>
                <w:szCs w:val="18"/>
                <w:color w:val="0000EE"/>
              </w:rPr>
              <w:t>ABOUT THIS PROSPECTUS</w:t>
            </w:r>
          </w:p>
        </w:tc>
        <w:tc>
          <w:tcPr>
            <w:tcW w:w="330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22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rPr>
              <w:t>RISK FACTORS</w:t>
            </w:r>
          </w:p>
        </w:tc>
        <w:tc>
          <w:tcPr>
            <w:tcW w:w="5440" w:type="dxa"/>
            <w:vAlign w:val="bottom"/>
            <w:gridSpan w:val="8"/>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vMerge w:val="restart"/>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line="20" w:lineRule="exact"/>
              <w:rPr>
                <w:sz w:val="1"/>
                <w:szCs w:val="1"/>
                <w:color w:val="auto"/>
              </w:rPr>
            </w:pPr>
          </w:p>
        </w:tc>
      </w:tr>
      <w:tr>
        <w:trPr>
          <w:trHeight w:val="209"/>
        </w:trPr>
        <w:tc>
          <w:tcPr>
            <w:tcW w:w="7660" w:type="dxa"/>
            <w:vAlign w:val="bottom"/>
            <w:gridSpan w:val="16"/>
          </w:tcPr>
          <w:p>
            <w:pPr>
              <w:spacing w:after="0"/>
              <w:rPr>
                <w:sz w:val="20"/>
                <w:szCs w:val="20"/>
                <w:color w:val="auto"/>
              </w:rPr>
            </w:pPr>
            <w:r>
              <w:rPr>
                <w:rFonts w:ascii="Arial" w:cs="Arial" w:eastAsia="Arial" w:hAnsi="Arial"/>
                <w:sz w:val="18"/>
                <w:szCs w:val="18"/>
                <w:color w:val="0000EE"/>
              </w:rPr>
              <w:t>WHERE YOU CAN FIND MORE INFORMATION</w:t>
            </w:r>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vMerge w:val="restart"/>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line="20" w:lineRule="exact"/>
              <w:rPr>
                <w:sz w:val="1"/>
                <w:szCs w:val="1"/>
                <w:color w:val="auto"/>
              </w:rPr>
            </w:pPr>
          </w:p>
        </w:tc>
      </w:tr>
      <w:tr>
        <w:trPr>
          <w:trHeight w:val="209"/>
        </w:trPr>
        <w:tc>
          <w:tcPr>
            <w:tcW w:w="50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4"/>
              </w:rPr>
              <w:t>INCORPORATION OF CERTAIN DOCUMENTS BY REFERENCE</w:t>
            </w:r>
          </w:p>
        </w:tc>
        <w:tc>
          <w:tcPr>
            <w:tcW w:w="260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6"/>
              </w:rPr>
              <w:t>CAUTIONARY NOTE REGARDING FORWARD-LOOKING STATEMENTS AND INDUSTRY DATA</w:t>
            </w:r>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09"/>
        </w:trPr>
        <w:tc>
          <w:tcPr>
            <w:tcW w:w="7660" w:type="dxa"/>
            <w:vAlign w:val="bottom"/>
            <w:gridSpan w:val="16"/>
          </w:tcPr>
          <w:p>
            <w:pPr>
              <w:spacing w:after="0"/>
              <w:rPr>
                <w:sz w:val="20"/>
                <w:szCs w:val="20"/>
                <w:color w:val="auto"/>
              </w:rPr>
            </w:pPr>
            <w:r>
              <w:rPr>
                <w:rFonts w:ascii="Arial" w:cs="Arial" w:eastAsia="Arial" w:hAnsi="Arial"/>
                <w:sz w:val="18"/>
                <w:szCs w:val="18"/>
                <w:color w:val="0000EE"/>
              </w:rPr>
              <w:t>ABOUT FULCRUM THERAPEUTICS, INC.</w:t>
            </w:r>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09"/>
        </w:trPr>
        <w:tc>
          <w:tcPr>
            <w:tcW w:w="158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0"/>
              </w:rPr>
              <w:t>USE OF PROCEEDS</w:t>
            </w:r>
          </w:p>
        </w:tc>
        <w:tc>
          <w:tcPr>
            <w:tcW w:w="1760" w:type="dxa"/>
            <w:vAlign w:val="bottom"/>
            <w:tcBorders>
              <w:top w:val="single" w:sz="8" w:color="0000EE"/>
            </w:tcBorders>
            <w:gridSpan w:val="9"/>
          </w:tcPr>
          <w:p>
            <w:pPr>
              <w:spacing w:after="0"/>
              <w:rPr>
                <w:sz w:val="18"/>
                <w:szCs w:val="18"/>
                <w:color w:val="auto"/>
              </w:rPr>
            </w:pPr>
          </w:p>
        </w:tc>
        <w:tc>
          <w:tcPr>
            <w:tcW w:w="4320" w:type="dxa"/>
            <w:vAlign w:val="bottom"/>
            <w:gridSpan w:val="3"/>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10"/>
        </w:trPr>
        <w:tc>
          <w:tcPr>
            <w:tcW w:w="30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4"/>
              </w:rPr>
              <w:t>DESCRIPTION OF DEBT SECURITIES</w:t>
            </w:r>
          </w:p>
        </w:tc>
        <w:tc>
          <w:tcPr>
            <w:tcW w:w="4640" w:type="dxa"/>
            <w:vAlign w:val="bottom"/>
            <w:gridSpan w:val="5"/>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09"/>
        </w:trPr>
        <w:tc>
          <w:tcPr>
            <w:tcW w:w="7660" w:type="dxa"/>
            <w:vAlign w:val="bottom"/>
            <w:gridSpan w:val="16"/>
          </w:tcPr>
          <w:p>
            <w:pPr>
              <w:spacing w:after="0"/>
              <w:rPr>
                <w:sz w:val="20"/>
                <w:szCs w:val="20"/>
                <w:color w:val="auto"/>
              </w:rPr>
            </w:pPr>
            <w:r>
              <w:rPr>
                <w:rFonts w:ascii="Arial" w:cs="Arial" w:eastAsia="Arial" w:hAnsi="Arial"/>
                <w:sz w:val="18"/>
                <w:szCs w:val="18"/>
                <w:color w:val="0000EE"/>
              </w:rPr>
              <w:t>DESCRIPTION OF CAPITAL STOCK</w:t>
            </w:r>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340" w:type="dxa"/>
            <w:vAlign w:val="bottom"/>
            <w:gridSpan w:val="4"/>
          </w:tcPr>
          <w:p>
            <w:pPr>
              <w:spacing w:after="0" w:line="20" w:lineRule="exact"/>
              <w:rPr>
                <w:sz w:val="1"/>
                <w:szCs w:val="1"/>
                <w:color w:val="auto"/>
              </w:rPr>
            </w:pPr>
          </w:p>
        </w:tc>
        <w:tc>
          <w:tcPr>
            <w:tcW w:w="3300" w:type="dxa"/>
            <w:vAlign w:val="bottom"/>
            <w:vMerge w:val="restart"/>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line="20" w:lineRule="exact"/>
              <w:rPr>
                <w:sz w:val="1"/>
                <w:szCs w:val="1"/>
                <w:color w:val="auto"/>
              </w:rPr>
            </w:pPr>
          </w:p>
        </w:tc>
      </w:tr>
      <w:tr>
        <w:trPr>
          <w:trHeight w:val="210"/>
        </w:trPr>
        <w:tc>
          <w:tcPr>
            <w:tcW w:w="332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3"/>
              </w:rPr>
              <w:t>DESCRIPTION OF DEPOSITARY SHARES</w:t>
            </w:r>
          </w:p>
        </w:tc>
        <w:tc>
          <w:tcPr>
            <w:tcW w:w="4340" w:type="dxa"/>
            <w:vAlign w:val="bottom"/>
            <w:gridSpan w:val="4"/>
          </w:tcPr>
          <w:p>
            <w:pPr>
              <w:spacing w:after="0"/>
              <w:rPr>
                <w:sz w:val="18"/>
                <w:szCs w:val="18"/>
                <w:color w:val="auto"/>
              </w:rPr>
            </w:pPr>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4"/>
              </w:rPr>
              <w:t>DESCRIPTION OF UNITS</w:t>
            </w:r>
          </w:p>
        </w:tc>
        <w:tc>
          <w:tcPr>
            <w:tcW w:w="5640" w:type="dxa"/>
            <w:vAlign w:val="bottom"/>
            <w:gridSpan w:val="10"/>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09"/>
        </w:trPr>
        <w:tc>
          <w:tcPr>
            <w:tcW w:w="24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4"/>
              </w:rPr>
              <w:t>DESCRIPTION OF WARRANTS</w:t>
            </w:r>
          </w:p>
        </w:tc>
        <w:tc>
          <w:tcPr>
            <w:tcW w:w="5180" w:type="dxa"/>
            <w:vAlign w:val="bottom"/>
            <w:gridSpan w:val="7"/>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10"/>
        </w:trPr>
        <w:tc>
          <w:tcPr>
            <w:tcW w:w="7660" w:type="dxa"/>
            <w:vAlign w:val="bottom"/>
            <w:gridSpan w:val="16"/>
          </w:tcPr>
          <w:p>
            <w:pPr>
              <w:spacing w:after="0"/>
              <w:rPr>
                <w:sz w:val="20"/>
                <w:szCs w:val="20"/>
                <w:color w:val="auto"/>
              </w:rPr>
            </w:pPr>
            <w:r>
              <w:rPr>
                <w:rFonts w:ascii="Arial" w:cs="Arial" w:eastAsia="Arial" w:hAnsi="Arial"/>
                <w:sz w:val="18"/>
                <w:szCs w:val="18"/>
                <w:color w:val="0000EE"/>
              </w:rPr>
              <w:t>FORMS OF SECURITIES</w:t>
            </w:r>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20" w:type="dxa"/>
            <w:vAlign w:val="bottom"/>
            <w:gridSpan w:val="9"/>
          </w:tcPr>
          <w:p>
            <w:pPr>
              <w:spacing w:after="0" w:line="20" w:lineRule="exact"/>
              <w:rPr>
                <w:sz w:val="1"/>
                <w:szCs w:val="1"/>
                <w:color w:val="auto"/>
              </w:rPr>
            </w:pPr>
          </w:p>
        </w:tc>
        <w:tc>
          <w:tcPr>
            <w:tcW w:w="3300" w:type="dxa"/>
            <w:vAlign w:val="bottom"/>
            <w:vMerge w:val="restart"/>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line="20" w:lineRule="exact"/>
              <w:rPr>
                <w:sz w:val="1"/>
                <w:szCs w:val="1"/>
                <w:color w:val="auto"/>
              </w:rPr>
            </w:pPr>
          </w:p>
        </w:tc>
      </w:tr>
      <w:tr>
        <w:trPr>
          <w:trHeight w:val="209"/>
        </w:trPr>
        <w:tc>
          <w:tcPr>
            <w:tcW w:w="7660" w:type="dxa"/>
            <w:vAlign w:val="bottom"/>
            <w:gridSpan w:val="16"/>
          </w:tcPr>
          <w:p>
            <w:pPr>
              <w:spacing w:after="0"/>
              <w:rPr>
                <w:sz w:val="20"/>
                <w:szCs w:val="20"/>
                <w:color w:val="auto"/>
              </w:rPr>
            </w:pPr>
            <w:r>
              <w:rPr>
                <w:rFonts w:ascii="Arial" w:cs="Arial" w:eastAsia="Arial" w:hAnsi="Arial"/>
                <w:sz w:val="18"/>
                <w:szCs w:val="18"/>
                <w:color w:val="0000EE"/>
              </w:rPr>
              <w:t>PLAN OF DISTRIBUTION</w:t>
            </w:r>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6"/>
              </w:rPr>
              <w:t>LEGAL MATTERS</w:t>
            </w:r>
          </w:p>
        </w:tc>
        <w:tc>
          <w:tcPr>
            <w:tcW w:w="580" w:type="dxa"/>
            <w:vAlign w:val="bottom"/>
            <w:tcBorders>
              <w:top w:val="single" w:sz="8" w:color="0000EE"/>
            </w:tcBorders>
            <w:gridSpan w:val="4"/>
          </w:tcPr>
          <w:p>
            <w:pPr>
              <w:spacing w:after="0"/>
              <w:rPr>
                <w:sz w:val="18"/>
                <w:szCs w:val="18"/>
                <w:color w:val="auto"/>
              </w:rPr>
            </w:pPr>
          </w:p>
        </w:tc>
        <w:tc>
          <w:tcPr>
            <w:tcW w:w="5620" w:type="dxa"/>
            <w:vAlign w:val="bottom"/>
            <w:gridSpan w:val="9"/>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10"/>
        </w:trPr>
        <w:tc>
          <w:tcPr>
            <w:tcW w:w="7660" w:type="dxa"/>
            <w:vAlign w:val="bottom"/>
            <w:gridSpan w:val="16"/>
          </w:tcPr>
          <w:p>
            <w:pPr>
              <w:spacing w:after="0"/>
              <w:rPr>
                <w:sz w:val="20"/>
                <w:szCs w:val="20"/>
                <w:color w:val="auto"/>
              </w:rPr>
            </w:pPr>
            <w:r>
              <w:rPr>
                <w:rFonts w:ascii="Arial" w:cs="Arial" w:eastAsia="Arial" w:hAnsi="Arial"/>
                <w:sz w:val="18"/>
                <w:szCs w:val="18"/>
                <w:color w:val="0000EE"/>
              </w:rPr>
              <w:t>EXPERTS</w:t>
            </w:r>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for an aggregate offering amount of up to $250,000,000.</w:t>
      </w:r>
    </w:p>
    <w:p>
      <w:pPr>
        <w:spacing w:after="0" w:line="18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sell securities, we will provide one or more prospectus supplements that will contain specific information about the terms of the offering. We may also authorize one or more free writing prospectuses to be provided to you that may contain material information relating to these offerings. The prospectus supplement may also add, update or change information contained in this prospectus or in any documents that we have incorporated by reference into this prospectus and, accordingly, to the extent inconsistent, information in this prospectus is superseded by the information in the prospectus supplement or any related free writing prospectus. You should read both this prospectus and the accompanying prospectus supplement together with the additional information described under the heading “Where You Can Find More Information” of this prospectus.</w:t>
      </w:r>
    </w:p>
    <w:p>
      <w:pPr>
        <w:spacing w:after="0" w:line="17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We have not authorized anyone to provide you with any information other than that contained or incorporated by reference in this prospectus or any accompanying prospectus supplement or free writing prospectus to which we have referred you. We take no responsibility for, and can provide no assurance as to the reliability of, any other information others may give you.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offer of these securities will be made in any jurisdiction where the offer is not permitted.</w:t>
      </w:r>
    </w:p>
    <w:p>
      <w:pPr>
        <w:spacing w:after="0" w:line="225"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Unless the context otherwise indicates, references in this prospectus to “we,” “our” and “us” refer, collectively, to Fulcrum Therapeutics, Inc., a Delaware corporation, and its consolidated subsidiary.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Investing in our securities involves a high degree of risk. You should carefully consider the risks and uncertainties described under “Risk Factors” in our most recent Annual Report on Form 10-K and in any accompanying prospectus supplement, together with all of the other information included or incorporated by reference in this prospectus and in any accompanying prospectus supplement, including our consolidated financial statements and related notes, before deciding whether to purchase our securities.</w:t>
      </w:r>
    </w:p>
    <w:p>
      <w:pPr>
        <w:spacing w:after="0" w:line="187"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http://www.fulcrumtx.com. Our website is not a part of this prospectus and information contained on, or that can be accessed through our website, is not incorporated by reference in this prospectus.</w:t>
      </w:r>
    </w:p>
    <w:p>
      <w:pPr>
        <w:spacing w:after="0" w:line="18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You can obtain a copy of the registration statement from the SEC’s website.</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001-38978)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86"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5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2021 filed on March 3, 2022;</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Current Reports on Form 8-K filed on </w:t>
      </w:r>
      <w:hyperlink r:id="rId80">
        <w:r>
          <w:rPr>
            <w:rFonts w:ascii="Arial" w:cs="Arial" w:eastAsia="Arial" w:hAnsi="Arial"/>
            <w:sz w:val="18"/>
            <w:szCs w:val="18"/>
            <w:u w:val="single" w:color="auto"/>
            <w:color w:val="0000EE"/>
          </w:rPr>
          <w:t>January 4</w:t>
        </w:r>
      </w:hyperlink>
      <w:r>
        <w:rPr>
          <w:rFonts w:ascii="Arial" w:cs="Arial" w:eastAsia="Arial" w:hAnsi="Arial"/>
          <w:sz w:val="18"/>
          <w:szCs w:val="18"/>
          <w:color w:val="auto"/>
        </w:rPr>
        <w:t xml:space="preserve">, 2022 and </w:t>
      </w:r>
      <w:hyperlink r:id="rId81">
        <w:r>
          <w:rPr>
            <w:rFonts w:ascii="Arial" w:cs="Arial" w:eastAsia="Arial" w:hAnsi="Arial"/>
            <w:sz w:val="18"/>
            <w:szCs w:val="18"/>
            <w:u w:val="single" w:color="auto"/>
            <w:color w:val="0000EE"/>
          </w:rPr>
          <w:t>January 10,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(other than Item 2.02); and</w:t>
      </w:r>
    </w:p>
    <w:p>
      <w:pPr>
        <w:spacing w:after="0" w:line="130" w:lineRule="exact"/>
        <w:rPr>
          <w:rFonts w:ascii="Arial" w:cs="Arial" w:eastAsia="Arial" w:hAnsi="Arial"/>
          <w:sz w:val="18"/>
          <w:szCs w:val="18"/>
          <w:color w:val="auto"/>
        </w:rPr>
      </w:pPr>
    </w:p>
    <w:p>
      <w:pPr>
        <w:ind w:left="1080" w:right="300" w:hanging="424"/>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69">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on July 12, 2019, as the description therein has been updated and superseded by the description of our capital stock contained in </w:t>
      </w:r>
      <w:hyperlink r:id="rId70">
        <w:r>
          <w:rPr>
            <w:rFonts w:ascii="Arial" w:cs="Arial" w:eastAsia="Arial" w:hAnsi="Arial"/>
            <w:sz w:val="18"/>
            <w:szCs w:val="18"/>
            <w:u w:val="single" w:color="auto"/>
            <w:color w:val="0000EE"/>
          </w:rPr>
          <w:t>Exhibit 4.2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10-K for the fiscal year ended December 31, 2020, and including any amendments and reports filed for the purpose of updating such description.</w:t>
      </w:r>
    </w:p>
    <w:p>
      <w:pPr>
        <w:spacing w:after="0" w:line="187"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You may request a copy of these filings, at no cost, by writing or calling us at the following address or telephone number:</w:t>
      </w:r>
    </w:p>
    <w:p>
      <w:pPr>
        <w:spacing w:after="0" w:line="225"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Fulcrum Therapeutics, Inc.</w:t>
      </w:r>
    </w:p>
    <w:p>
      <w:pPr>
        <w:spacing w:after="0" w:line="2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26 Landsdowne Street</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Cambridge, Massachusetts 02139</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8"/>
          <w:szCs w:val="18"/>
          <w:color w:val="auto"/>
        </w:rPr>
      </w:pPr>
    </w:p>
    <w:p>
      <w:pPr>
        <w:ind w:left="5500" w:hanging="438"/>
        <w:spacing w:after="0"/>
        <w:tabs>
          <w:tab w:leader="none" w:pos="5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651-8851</w:t>
      </w:r>
    </w:p>
    <w:p>
      <w:pPr>
        <w:spacing w:after="0" w:line="143"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229"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This prospectus and the documents incorporated by reference in this prospectus include “forward-looking statements” within the meaning of Section 27A of the Securities Act and Section 21E of the Exchange Act. All statements, other than statements of historical fact, contained or incorporated by reference in this prospectus, including statements regarding our strategy, future operations, future financial position, future revenue, projected costs, prospects, plans and objectives of management, are forward-looking statements. The words “anticipate,” “believe,” “estimate,” “expect,” “intend,” “may,” “might,” “plan,” “predict,” “project,” “target,” “potential,” “would,” “could,” “should,” “continue” and similar expressions are intended to identify forward-looking statements, although not all forward-looking statements contain these identifying words.</w:t>
      </w:r>
    </w:p>
    <w:p>
      <w:pPr>
        <w:spacing w:after="0" w:line="178"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or incorporated by reference, in this prospectus, particularly in the “Risk Factors” section, that we believe could cause actual results or events to differ materially from the forward-looking statements that we make.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joint ventures or investments we may make.</w:t>
      </w:r>
    </w:p>
    <w:p>
      <w:pPr>
        <w:spacing w:after="0" w:line="192"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The forward-looking statements contained in this prospectus and incorporated by reference herein are made as of the date hereof, and we do not assume any obligation to update any forward-looking statements except as required by applicable law.</w:t>
      </w:r>
    </w:p>
    <w:p>
      <w:pPr>
        <w:spacing w:after="0" w:line="15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This prospectus includes or incorporates by reference certain statistical and other industry and market data that we obtained from industry publications and research, surveys and studies conducted by third parties as well as our own estimates of potential market opportunities.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320" w:top="459" w:right="4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FULCRUM THERAPEUTICS, INC.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We are a clinical-stage biopharmaceutical company focused on improving the lives of patients with genetically defined rare diseases in areas of high unmet medical need. Our most advanced clinical product candidate, losmamipod, is in development to treat the root cause of facioscapulohumeral muscular dystrophy, or FSHD. Our other clinical product candidate is FTX-6058, which is being developed for the treatment of certain hemoglobinopathies, including sickle cell disease, or SCD, and ß-thalassemia. We expect to initiate FSHD: REACH, a randomized, double-blind, placebo-controlled, multi-national Phase 3 clinical trial of losmapimod, our product candidate for FSHD, in the second quarter of 2022. We initiated a Phase 1b clinical trial of FTX-6058 in people with SCD in the fourth quarter of 2021, and we expect to report initial data from that Phase 1b trial in the second quarter of 2022. Additionally, we submitted an investigational new drug application, or IND, in the fourth quarter of 2021 for FTX-6058 in other select hemoglobinopathies, including ß-thalassemia, and expect to initiate a Phase 1b study in the second quarter of 2022.</w:t>
      </w:r>
    </w:p>
    <w:p>
      <w:pPr>
        <w:spacing w:after="0" w:line="165"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We have developed a proprietary product engine, FulcrumSeek, that we employ to systematically identify and validate cellular drug targets that can potentially modulate gene expression to treat known root causes of genetically defined diseases. Our product engine integrates patient-derived tissue and disease-relevant cell models that we interrogate using our pharmacologically diverse and highly annotated small-molecule compound library and customized CRISPR and RNAi libraries. These screens generate tens of millions of data points and high-content imaging. We then apply computational biology and analytics to identify targets with specificity and selectivity accompanied by a comprehensive data set that significantly accelerates development. This approach led to the identification of both losmamipod for FSHD and FTX-6058 for hemoglobinopathies, as well as a robust discovery pipeline. We expect to nominate our next development candidate this year to support our fourth IND by the end of the first quarter of 2023.</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We have included our website address in this prospectus solely as an inactive textual reference.</w:t>
      </w:r>
    </w:p>
    <w:p>
      <w:pPr>
        <w:spacing w:after="0" w:line="187" w:lineRule="exact"/>
        <w:rPr>
          <w:sz w:val="20"/>
          <w:szCs w:val="20"/>
          <w:color w:val="auto"/>
        </w:rPr>
      </w:pPr>
    </w:p>
    <w:p>
      <w:pPr>
        <w:ind w:left="120" w:right="120"/>
        <w:spacing w:after="0" w:line="297" w:lineRule="auto"/>
        <w:rPr>
          <w:sz w:val="20"/>
          <w:szCs w:val="20"/>
          <w:color w:val="auto"/>
        </w:rPr>
      </w:pPr>
      <w:r>
        <w:rPr>
          <w:rFonts w:ascii="Arial" w:cs="Arial" w:eastAsia="Arial" w:hAnsi="Arial"/>
          <w:sz w:val="16"/>
          <w:szCs w:val="16"/>
          <w:color w:val="auto"/>
        </w:rPr>
        <w:t xml:space="preserve">We own or have rights to, or have applied for, trademarks, service marks and trade names that we use in connection with the operation of our business, including our corporate name, logos and website names. Other trademarks, service marks and trade names appearing in this prospectus are the property of their respective owners. Solely for convenience, some of the trademarks, service marks and trade names referred to in this prospectus are listed without the </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and </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symbols, but we will assert, to the fullest extent under applicable law, our rights to our trademarks, service marks and trade names.</w:t>
      </w:r>
    </w:p>
    <w:p>
      <w:pPr>
        <w:spacing w:after="0" w:line="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intend to use the net proceeds from the sale of any securities offered under this prospectus for general corporate purposes unless otherwise indicated in the applicable prospectus supplement. General corporate purposes may include working capital and capital expenditures, research and development expenses, including clinical trial costs, general and administrative expenses, potential acquisition of, or investment in, companies, technologies, products or assets that complement our business, and repayment and refinancing of debt. We have not determined the amount of net proceeds to be used specifically for such purposes. As a result, management will retain broad discretion over the allocation of the net proceeds of any offering.</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may offer debt securities which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Fulcrum Therapeutics, Inc. excluding, unless the context otherwise requires or as otherwise expressly stated, our subsidiary.</w:t>
      </w:r>
    </w:p>
    <w:p>
      <w:pPr>
        <w:spacing w:after="0" w:line="192" w:lineRule="exact"/>
        <w:rPr>
          <w:sz w:val="20"/>
          <w:szCs w:val="20"/>
          <w:color w:val="auto"/>
        </w:rPr>
      </w:pPr>
    </w:p>
    <w:p>
      <w:pPr>
        <w:ind w:left="120" w:right="120"/>
        <w:spacing w:after="0" w:line="288" w:lineRule="auto"/>
        <w:rPr>
          <w:sz w:val="20"/>
          <w:szCs w:val="20"/>
          <w:color w:val="auto"/>
        </w:rPr>
      </w:pPr>
      <w:r>
        <w:rPr>
          <w:rFonts w:ascii="Arial" w:cs="Arial" w:eastAsia="Arial" w:hAnsi="Arial"/>
          <w:sz w:val="16"/>
          <w:szCs w:val="16"/>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w:t>
      </w:r>
    </w:p>
    <w:p>
      <w:pPr>
        <w:spacing w:after="0" w:line="168"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“—Certain Terms of the Subordinated Debt Securities—Subordination.” The debt securities will be structurally subordinated to all existing and future indebtedness and other liabilities of our subsidiary unless such subsidiary expressly guarantee such debt securities.</w:t>
      </w:r>
    </w:p>
    <w:p>
      <w:pPr>
        <w:spacing w:after="0" w:line="17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debt securities will be our unsecured obligations. Any secured debt or other secured obligations will be effectively senior to the debt securities to the extent of the value of the assets securing such debt or other obligations. Unless otherwise indicated in the applicable prospectus supplement, the debt securities will not be guaranteed by our subsidiary.</w:t>
      </w:r>
    </w:p>
    <w:p>
      <w:pPr>
        <w:spacing w:after="0" w:line="18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applicable prospectus supplement and/or free writing prospectus will include any additional or different terms of the debt securities of any series being offered, including the following terms:</w:t>
      </w:r>
    </w:p>
    <w:p>
      <w:pPr>
        <w:spacing w:after="0" w:line="76"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title and type of the debt securities;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 and, with respect to any subordinated debt securities the terms on which they are subordinated;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initial aggregate principal amount of the debt securities;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price or prices at which we will sell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maturity date or dates of the debt securities and the right, if any, to extend such date or 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rate or rates, if any, at which the debt securities will bear interest, or the method of determining such rate or rates;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method of determination of such 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denominations of the debt securities if other than $1,000 or multiples of $1,000;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provisions for a sinking fund, purchase fund or other analogous fund,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redemption dates, prices, obligations and restrictions on the debt securities;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currency, currencies or currency units in which the debt securities will be denominated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conversion or exchange features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debt securities will be subject to the defeasance provisions in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whether the debt securities will be issued in definitive or global form or in definitive form only upon satisfaction of certain conditions;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debt securities will be guaranteed as to payment or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events of defaults or covenants in addition to or in lieu of those set forth in the indenture;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material terms of the debt securities.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When we refer to “principal” in this section with reference to the debt securities, we are also referring to “premium, if any.”</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4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i w:val="1"/>
          <w:iCs w:val="1"/>
          <w:color w:val="auto"/>
        </w:rPr>
        <w:t xml:space="preserve">Covenants. </w:t>
      </w:r>
      <w:r>
        <w:rPr>
          <w:rFonts w:ascii="Arial" w:cs="Arial" w:eastAsia="Arial" w:hAnsi="Arial"/>
          <w:sz w:val="18"/>
          <w:szCs w:val="18"/>
          <w:color w:val="auto"/>
        </w:rPr>
        <w:t>Unless we indicate otherwise in a prospectus supplement with respect to a particular series of senior debt securities, the senior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will not contain any financial or restrictive covenants, including covenants restricting either us or our subsidiary from incurring, issuing, assuming or guaranteeing any indebtedness secured by a lien on any of our or our subsidiary’s property or capital stock, or restricting either us or our subsidiary from entering into sale and leaseback transactions.</w:t>
      </w:r>
    </w:p>
    <w:p>
      <w:pPr>
        <w:spacing w:after="0" w:line="187"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i w:val="1"/>
          <w:iCs w:val="1"/>
          <w:color w:val="auto"/>
        </w:rPr>
        <w:t xml:space="preserve">Consolidation, Merger and Sale of Assets. </w:t>
      </w:r>
      <w:r>
        <w:rPr>
          <w:rFonts w:ascii="Arial" w:cs="Arial" w:eastAsia="Arial" w:hAnsi="Arial"/>
          <w:sz w:val="17"/>
          <w:szCs w:val="17"/>
          <w:color w:val="auto"/>
        </w:rPr>
        <w:t>Unless we indicate otherwise in a prospectus supplement with respect to a particular series of senior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we may not consolidate with or merge into any other person, in a transaction in which we are not the surviving corporation, or convey, transfer or lease our properties and assets substantially as an entirety to any person, in either case, unless:</w:t>
      </w:r>
    </w:p>
    <w:p>
      <w:pPr>
        <w:spacing w:after="0" w:line="71"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or trust;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senior debt securities and under the senior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130"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w:t>
      </w:r>
    </w:p>
    <w:p>
      <w:pPr>
        <w:spacing w:after="0" w:line="18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surviving business entity will succeed to, and be substituted for, us under the senior indenture and the senior debt securities and, except in the case of a lease, we shall be released from all obligations under the senior indenture and the senior debt securities.</w:t>
      </w:r>
    </w:p>
    <w:p>
      <w:pPr>
        <w:spacing w:after="0" w:line="170"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i w:val="1"/>
          <w:iCs w:val="1"/>
          <w:color w:val="auto"/>
        </w:rPr>
        <w:t xml:space="preserve">No Protection in the Event of a Change in Control. </w:t>
      </w:r>
      <w:r>
        <w:rPr>
          <w:rFonts w:ascii="Arial" w:cs="Arial" w:eastAsia="Arial" w:hAnsi="Arial"/>
          <w:sz w:val="16"/>
          <w:szCs w:val="16"/>
          <w:color w:val="auto"/>
        </w:rPr>
        <w:t>Unless we indicate otherwise in a prospectus supplement with respect to a particular series of senior</w:t>
      </w:r>
      <w:r>
        <w:rPr>
          <w:rFonts w:ascii="Arial" w:cs="Arial" w:eastAsia="Arial" w:hAnsi="Arial"/>
          <w:sz w:val="16"/>
          <w:szCs w:val="16"/>
          <w:i w:val="1"/>
          <w:iCs w:val="1"/>
          <w:color w:val="auto"/>
        </w:rPr>
        <w:t xml:space="preserve"> </w:t>
      </w:r>
      <w:r>
        <w:rPr>
          <w:rFonts w:ascii="Arial" w:cs="Arial" w:eastAsia="Arial" w:hAnsi="Arial"/>
          <w:sz w:val="16"/>
          <w:szCs w:val="16"/>
          <w:color w:val="auto"/>
        </w:rPr>
        <w:t>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indicate otherwise in a prospectus supplement with respect to a particular series of senior debt securities, the following are</w:t>
      </w:r>
      <w:r>
        <w:rPr>
          <w:rFonts w:ascii="Arial" w:cs="Arial" w:eastAsia="Arial" w:hAnsi="Arial"/>
          <w:sz w:val="18"/>
          <w:szCs w:val="18"/>
          <w:i w:val="1"/>
          <w:iCs w:val="1"/>
          <w:color w:val="auto"/>
        </w:rPr>
        <w:t xml:space="preserve"> </w:t>
      </w:r>
      <w:r>
        <w:rPr>
          <w:rFonts w:ascii="Arial" w:cs="Arial" w:eastAsia="Arial" w:hAnsi="Arial"/>
          <w:sz w:val="18"/>
          <w:szCs w:val="18"/>
          <w:color w:val="auto"/>
        </w:rPr>
        <w:t>events of default under the senior indenture with respect to senior debt securities of each series:</w:t>
      </w:r>
    </w:p>
    <w:p>
      <w:pPr>
        <w:spacing w:after="0" w:line="76" w:lineRule="exact"/>
        <w:rPr>
          <w:sz w:val="20"/>
          <w:szCs w:val="20"/>
          <w:color w:val="auto"/>
        </w:rPr>
      </w:pPr>
    </w:p>
    <w:p>
      <w:pPr>
        <w:ind w:left="10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pay interest on any senior debt securities of such series when due and payable, if that default continues for a period of 30 days (or such other period as may be specified for such series);</w:t>
      </w:r>
    </w:p>
    <w:p>
      <w:pPr>
        <w:spacing w:after="0" w:line="75" w:lineRule="exact"/>
        <w:rPr>
          <w:rFonts w:ascii="Arial" w:cs="Arial" w:eastAsia="Arial" w:hAnsi="Arial"/>
          <w:sz w:val="18"/>
          <w:szCs w:val="18"/>
          <w:color w:val="auto"/>
        </w:rPr>
      </w:pPr>
    </w:p>
    <w:p>
      <w:pPr>
        <w:ind w:left="1080" w:right="640" w:hanging="424"/>
        <w:spacing w:after="0" w:line="34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failure to pay principal on the senior debt securities of such series when due and payable whether at maturity, upon redemption, by declaration or otherwise (and, if specified for such series, the continuance of such failure for a specified period);</w:t>
      </w:r>
    </w:p>
    <w:p>
      <w:pPr>
        <w:spacing w:after="0" w:line="29" w:lineRule="exact"/>
        <w:rPr>
          <w:rFonts w:ascii="Arial" w:cs="Arial" w:eastAsia="Arial" w:hAnsi="Arial"/>
          <w:sz w:val="16"/>
          <w:szCs w:val="16"/>
          <w:color w:val="auto"/>
        </w:rPr>
      </w:pPr>
    </w:p>
    <w:p>
      <w:pPr>
        <w:ind w:left="1080" w:right="20" w:hanging="424"/>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events of bankruptcy or insolvency, whether or not voluntary;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other event of default provided for in such series of senior debt securities as may be specified in the applicable prospectus supplement.</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senior indenture.</w:t>
      </w:r>
    </w:p>
    <w:p>
      <w:pPr>
        <w:spacing w:after="0" w:line="225"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w:t>
      </w:r>
    </w:p>
    <w:p>
      <w:pPr>
        <w:spacing w:after="0" w:line="16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If an event of default specified in the fourth bullet point above occurs and is continuing, the entire principal amount of and accrued interest on each series of senior debt securities then outstanding shall automatically become immediately due and payable.</w:t>
      </w:r>
    </w:p>
    <w:p>
      <w:pPr>
        <w:spacing w:after="0" w:line="17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w:t>
      </w:r>
    </w:p>
    <w:p>
      <w:pPr>
        <w:spacing w:after="0" w:line="184"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w:t>
      </w:r>
    </w:p>
    <w:p>
      <w:pPr>
        <w:spacing w:after="0" w:line="70"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senior debt securities do not give the trustee a direction that is inconsistent with the request.</w:t>
      </w:r>
    </w:p>
    <w:p>
      <w:pPr>
        <w:spacing w:after="0" w:line="170"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w:t>
      </w:r>
    </w:p>
    <w:p>
      <w:pPr>
        <w:spacing w:after="0" w:line="18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senior indenture requires certain of our officers to certify, on or before a fixed date in each year in which any senior debt security is outstanding, as to their knowledge of our compliance with all covenants, agreements and conditions under the senior indenture.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Satisfaction and Discharge</w:t>
      </w:r>
      <w:r>
        <w:rPr>
          <w:rFonts w:ascii="Arial" w:cs="Arial" w:eastAsia="Arial" w:hAnsi="Arial"/>
          <w:sz w:val="18"/>
          <w:szCs w:val="18"/>
          <w:color w:val="auto"/>
        </w:rPr>
        <w:t>. We can satisfy and discharge our obligations to holders of any series of debt securities if:</w:t>
      </w:r>
    </w:p>
    <w:p>
      <w:pPr>
        <w:spacing w:after="0" w:line="131" w:lineRule="exact"/>
        <w:rPr>
          <w:sz w:val="20"/>
          <w:szCs w:val="20"/>
          <w:color w:val="auto"/>
        </w:rPr>
      </w:pPr>
    </w:p>
    <w:p>
      <w:pPr>
        <w:ind w:left="1080" w:right="10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paid or caused to be paid the principal of and interest on all senior debt securities of such series (with certain limited exceptions) when due and payable; or</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deliver to the senior trustee for cancellation all senior debt securities of such series theretofore authenticated under the senior indenture (with certain limited exceptions); or</w:t>
      </w:r>
    </w:p>
    <w:p>
      <w:pPr>
        <w:spacing w:after="0" w:line="75" w:lineRule="exact"/>
        <w:rPr>
          <w:rFonts w:ascii="Arial" w:cs="Arial" w:eastAsia="Arial" w:hAnsi="Arial"/>
          <w:sz w:val="18"/>
          <w:szCs w:val="18"/>
          <w:color w:val="auto"/>
        </w:rPr>
      </w:pPr>
    </w:p>
    <w:p>
      <w:pPr>
        <w:ind w:left="1080" w:hanging="424"/>
        <w:spacing w:after="0" w:line="275"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w:t>
      </w:r>
    </w:p>
    <w:p>
      <w:pPr>
        <w:spacing w:after="0" w:line="176"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w:t>
      </w:r>
    </w:p>
    <w:p>
      <w:pPr>
        <w:spacing w:after="0" w:line="12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Under current U.S. federal income tax law, the deposit and our legal release from the debt securities would be treated as though we took back your debt securities and gave you your share of the cash and debt securities or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 xml:space="preserve">Defeasance. </w:t>
      </w:r>
      <w:r>
        <w:rPr>
          <w:rFonts w:ascii="Arial" w:cs="Arial" w:eastAsia="Arial" w:hAnsi="Arial"/>
          <w:sz w:val="18"/>
          <w:szCs w:val="18"/>
          <w:color w:val="auto"/>
        </w:rPr>
        <w:t>Unless the applicable prospectus supplement provides otherwise, the following discussion of legal defeasance and covenant defeasance will</w:t>
      </w:r>
      <w:r>
        <w:rPr>
          <w:rFonts w:ascii="Arial" w:cs="Arial" w:eastAsia="Arial" w:hAnsi="Arial"/>
          <w:sz w:val="18"/>
          <w:szCs w:val="18"/>
          <w:i w:val="1"/>
          <w:iCs w:val="1"/>
          <w:color w:val="auto"/>
        </w:rPr>
        <w:t xml:space="preserve"> </w:t>
      </w:r>
      <w:r>
        <w:rPr>
          <w:rFonts w:ascii="Arial" w:cs="Arial" w:eastAsia="Arial" w:hAnsi="Arial"/>
          <w:sz w:val="18"/>
          <w:szCs w:val="18"/>
          <w:color w:val="auto"/>
        </w:rPr>
        <w:t>apply to any series of debt securities issued under the indentures.</w:t>
      </w:r>
    </w:p>
    <w:p>
      <w:pPr>
        <w:spacing w:after="0" w:line="170" w:lineRule="exact"/>
        <w:rPr>
          <w:sz w:val="20"/>
          <w:szCs w:val="20"/>
          <w:color w:val="auto"/>
        </w:rPr>
      </w:pPr>
    </w:p>
    <w:p>
      <w:pPr>
        <w:ind w:left="120" w:right="940"/>
        <w:spacing w:after="0" w:line="277" w:lineRule="auto"/>
        <w:rPr>
          <w:sz w:val="20"/>
          <w:szCs w:val="20"/>
          <w:color w:val="auto"/>
        </w:rPr>
      </w:pPr>
      <w:r>
        <w:rPr>
          <w:rFonts w:ascii="Arial" w:cs="Arial" w:eastAsia="Arial" w:hAnsi="Arial"/>
          <w:sz w:val="18"/>
          <w:szCs w:val="18"/>
          <w:i w:val="1"/>
          <w:iCs w:val="1"/>
          <w:color w:val="auto"/>
        </w:rPr>
        <w:t>Legal Defeasance</w:t>
      </w:r>
      <w:r>
        <w:rPr>
          <w:rFonts w:ascii="Arial" w:cs="Arial" w:eastAsia="Arial" w:hAnsi="Arial"/>
          <w:sz w:val="18"/>
          <w:szCs w:val="18"/>
          <w:color w:val="auto"/>
        </w:rPr>
        <w:t>. We can legally release ourselves from any payment or other obligations on the debt securities of any series (called “legal</w:t>
      </w:r>
      <w:r>
        <w:rPr>
          <w:rFonts w:ascii="Arial" w:cs="Arial" w:eastAsia="Arial" w:hAnsi="Arial"/>
          <w:sz w:val="18"/>
          <w:szCs w:val="18"/>
          <w:i w:val="1"/>
          <w:iCs w:val="1"/>
          <w:color w:val="auto"/>
        </w:rPr>
        <w:t xml:space="preserve"> </w:t>
      </w:r>
      <w:r>
        <w:rPr>
          <w:rFonts w:ascii="Arial" w:cs="Arial" w:eastAsia="Arial" w:hAnsi="Arial"/>
          <w:sz w:val="18"/>
          <w:szCs w:val="18"/>
          <w:color w:val="auto"/>
        </w:rPr>
        <w:t>defeasance”) if certain conditions are met, including the following:</w:t>
      </w:r>
    </w:p>
    <w:p>
      <w:pPr>
        <w:spacing w:after="0" w:line="76" w:lineRule="exact"/>
        <w:rPr>
          <w:sz w:val="20"/>
          <w:szCs w:val="20"/>
          <w:color w:val="auto"/>
        </w:rPr>
      </w:pPr>
    </w:p>
    <w:p>
      <w:pPr>
        <w:ind w:left="1080" w:right="20" w:hanging="424"/>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92" w:lineRule="exact"/>
        <w:rPr>
          <w:rFonts w:ascii="Arial" w:cs="Arial" w:eastAsia="Arial" w:hAnsi="Arial"/>
          <w:sz w:val="18"/>
          <w:szCs w:val="18"/>
          <w:color w:val="auto"/>
        </w:rPr>
      </w:pPr>
    </w:p>
    <w:p>
      <w:pPr>
        <w:ind w:left="1080" w:right="180" w:hanging="424"/>
        <w:spacing w:after="0" w:line="275"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deliver to the trustee a legal opinion of our counsel confirming the tax law change or ruling described above.</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If we accomplish legal defeasance, as described above, you would have to rely solely on the trust deposit for repayment of the debt securities. You could not look to us for repayment in the event of any shortfall.</w:t>
      </w:r>
    </w:p>
    <w:p>
      <w:pPr>
        <w:spacing w:after="0" w:line="17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i w:val="1"/>
          <w:iCs w:val="1"/>
          <w:color w:val="auto"/>
        </w:rPr>
        <w:t>Covenant Defeasance</w:t>
      </w:r>
      <w:r>
        <w:rPr>
          <w:rFonts w:ascii="Arial" w:cs="Arial" w:eastAsia="Arial" w:hAnsi="Arial"/>
          <w:sz w:val="18"/>
          <w:szCs w:val="18"/>
          <w:color w:val="auto"/>
        </w:rPr>
        <w:t>. Without any change in current U.S. federal tax law, we can make the same type of deposit described above and be released from</w:t>
      </w:r>
      <w:r>
        <w:rPr>
          <w:rFonts w:ascii="Arial" w:cs="Arial" w:eastAsia="Arial" w:hAnsi="Arial"/>
          <w:sz w:val="18"/>
          <w:szCs w:val="18"/>
          <w:i w:val="1"/>
          <w:iCs w:val="1"/>
          <w:color w:val="auto"/>
        </w:rPr>
        <w:t xml:space="preserve"> </w:t>
      </w:r>
      <w:r>
        <w:rPr>
          <w:rFonts w:ascii="Arial" w:cs="Arial" w:eastAsia="Arial" w:hAnsi="Arial"/>
          <w:sz w:val="18"/>
          <w:szCs w:val="18"/>
          <w:color w:val="auto"/>
        </w:rPr>
        <w:t>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w:t>
      </w:r>
    </w:p>
    <w:p>
      <w:pPr>
        <w:spacing w:after="0" w:line="92" w:lineRule="exact"/>
        <w:rPr>
          <w:sz w:val="20"/>
          <w:szCs w:val="20"/>
          <w:color w:val="auto"/>
        </w:rPr>
      </w:pPr>
    </w:p>
    <w:p>
      <w:pPr>
        <w:ind w:left="1080" w:right="20" w:hanging="424"/>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 and</w:t>
      </w:r>
    </w:p>
    <w:p>
      <w:pPr>
        <w:spacing w:after="0" w:line="92" w:lineRule="exact"/>
        <w:rPr>
          <w:rFonts w:ascii="Arial" w:cs="Arial" w:eastAsia="Arial" w:hAnsi="Arial"/>
          <w:sz w:val="18"/>
          <w:szCs w:val="18"/>
          <w:color w:val="auto"/>
        </w:rPr>
      </w:pPr>
    </w:p>
    <w:p>
      <w:pPr>
        <w:jc w:val="both"/>
        <w:ind w:left="1080" w:right="30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w:t>
      </w:r>
    </w:p>
    <w:p>
      <w:pPr>
        <w:spacing w:after="0" w:line="184"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i w:val="1"/>
          <w:iCs w:val="1"/>
          <w:color w:val="auto"/>
        </w:rPr>
        <w:t xml:space="preserve">Modification and Waiver. </w:t>
      </w:r>
      <w:r>
        <w:rPr>
          <w:rFonts w:ascii="Arial" w:cs="Arial" w:eastAsia="Arial" w:hAnsi="Arial"/>
          <w:sz w:val="18"/>
          <w:szCs w:val="18"/>
          <w:color w:val="auto"/>
        </w:rPr>
        <w:t>We and the trustee may amend or supplement the senior indenture or the senior debt securities of any series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of any holder:</w:t>
      </w:r>
    </w:p>
    <w:p>
      <w:pPr>
        <w:spacing w:after="0" w:line="76"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convey, transfer, assign, mortgage or pledge any assets as security for the senior debt securities of one or more series;</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w:t>
      </w:r>
    </w:p>
    <w:p>
      <w:pPr>
        <w:spacing w:after="0" w:line="89"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comply with the requirements of the SEC in order to effect or maintain the qualification of the senior indenture under the Trust Indenture Act of 1939, as amended (the “Trust Indenture Act”);</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w:t>
      </w:r>
    </w:p>
    <w:p>
      <w:pPr>
        <w:spacing w:after="0" w:line="89"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provide for or add guarantors with respect to the senior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130"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under the senior indenture by a successor trustee, or to make such changes as shall be necessary to provide for or facilitate the administration of the trusts in the senior indenture by more than one trustee;</w:t>
      </w:r>
    </w:p>
    <w:p>
      <w:pPr>
        <w:spacing w:after="0" w:line="29" w:lineRule="exact"/>
        <w:rPr>
          <w:rFonts w:ascii="Arial" w:cs="Arial" w:eastAsia="Arial" w:hAnsi="Arial"/>
          <w:sz w:val="16"/>
          <w:szCs w:val="16"/>
          <w:color w:val="auto"/>
        </w:rPr>
      </w:pPr>
    </w:p>
    <w:p>
      <w:pPr>
        <w:ind w:left="1080" w:right="180" w:hanging="424"/>
        <w:spacing w:after="0" w:line="25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the senior indenture in respect of one or more series of senior debt securities, provided that any such addition, change or elimination shall (a)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clause (a)(1) outstanding;</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make any change to the senior debt securities of any series so long as no senior debt securities of such series are outstanding; 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in any material respect.</w:t>
      </w:r>
    </w:p>
    <w:p>
      <w:pPr>
        <w:spacing w:after="0" w:line="22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w:t>
      </w:r>
    </w:p>
    <w:p>
      <w:pPr>
        <w:spacing w:after="0" w:line="77"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extends the final maturity of any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reduces the principal amount of any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reduces the rate, or extends the time for payment of, interest on any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reduces the amount payable upon the redemption of any senior debt securities of such series;</w:t>
      </w:r>
    </w:p>
    <w:p>
      <w:pPr>
        <w:spacing w:after="0" w:line="130" w:lineRule="exact"/>
        <w:rPr>
          <w:rFonts w:ascii="Arial" w:cs="Arial" w:eastAsia="Arial" w:hAnsi="Arial"/>
          <w:sz w:val="18"/>
          <w:szCs w:val="18"/>
          <w:color w:val="auto"/>
        </w:rPr>
      </w:pPr>
    </w:p>
    <w:p>
      <w:pPr>
        <w:ind w:left="5540" w:right="2640" w:hanging="4884"/>
        <w:spacing w:after="0" w:line="449" w:lineRule="auto"/>
        <w:tabs>
          <w:tab w:leader="none" w:pos="1094"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the currency of payment of principal of or interest on any senior debt securities of such series; 13</w:t>
      </w:r>
    </w:p>
    <w:p>
      <w:pPr>
        <w:sectPr>
          <w:pgSz w:w="11900" w:h="16838" w:orient="portrait"/>
          <w:cols w:equalWidth="0" w:num="1">
            <w:col w:w="11120"/>
          </w:cols>
          <w:pgMar w:left="320" w:top="459"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70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reduces the principal amount of original issue discount securities payable upon acceleration of maturity or the amount provable in bankruptcy;</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waives a continuing default in the payment of principal of or interest on the senior debt securities (other than any such default in payment resulting solely from an acceleration of the senior debt securities);</w:t>
      </w:r>
    </w:p>
    <w:p>
      <w:pPr>
        <w:spacing w:after="0" w:line="75" w:lineRule="exact"/>
        <w:rPr>
          <w:rFonts w:ascii="Arial" w:cs="Arial" w:eastAsia="Arial" w:hAnsi="Arial"/>
          <w:sz w:val="18"/>
          <w:szCs w:val="18"/>
          <w:color w:val="auto"/>
        </w:rPr>
      </w:pPr>
    </w:p>
    <w:p>
      <w:pPr>
        <w:ind w:left="1080" w:right="240" w:hanging="424"/>
        <w:spacing w:after="0" w:line="308"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the provisions relating to the waiver of past defaults or impairs the right of holders to receive payment or to institute suit for the enforcement of any payment or conversion of any senior debt securities of such series on or after the due date therefor;</w:t>
      </w:r>
    </w:p>
    <w:p>
      <w:pPr>
        <w:spacing w:after="0" w:line="51" w:lineRule="exact"/>
        <w:rPr>
          <w:rFonts w:ascii="Arial" w:cs="Arial" w:eastAsia="Arial" w:hAnsi="Arial"/>
          <w:sz w:val="17"/>
          <w:szCs w:val="17"/>
          <w:color w:val="auto"/>
        </w:rPr>
      </w:pPr>
    </w:p>
    <w:p>
      <w:pPr>
        <w:ind w:left="1080" w:right="240" w:hanging="424"/>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adversely affects the right to convert or exchange senior debt securities into common stock, other securities or property in accordance with the terms of the senior debt securities; or</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senior debt securities of such series whose holders must consent to a supplemental indenture or modifies or amends or waives certain provisions of or defaults under the senior indenture.</w:t>
      </w:r>
    </w:p>
    <w:p>
      <w:pPr>
        <w:spacing w:after="0" w:line="17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w:t>
      </w:r>
    </w:p>
    <w:p>
      <w:pPr>
        <w:spacing w:after="0" w:line="188"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i w:val="1"/>
          <w:iCs w:val="1"/>
          <w:color w:val="auto"/>
        </w:rPr>
        <w:t xml:space="preserve">Notice of Redemption. </w:t>
      </w:r>
      <w:r>
        <w:rPr>
          <w:rFonts w:ascii="Arial" w:cs="Arial" w:eastAsia="Arial" w:hAnsi="Arial"/>
          <w:sz w:val="18"/>
          <w:szCs w:val="18"/>
          <w:color w:val="auto"/>
        </w:rPr>
        <w:t>Notice of any redemption of senior debt securities will be mailed at least 10 days but not more than 60 days before the</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date to each holder of senior debt securities of a series to be redeemed. Any notice may, at our discretion, be subject to the satisfaction or waiver of one or more conditions precedent. In that case, such notice shall state the nature of such condition precedent. If we elect to redeem a portion but not all of such senior debt securities, the trustee will select the senior debt securities to be redeemed in a method determined manner that complies with applicable legal and stock exchange requirements, if any. Interest on such debt securities or portions of senior debt securities will cease to accrue on and after the date fixed for redemption, unless we default in the payment of such redemption price and accrued interest with respect to any such senior debt security or portion thereof.</w:t>
      </w:r>
    </w:p>
    <w:p>
      <w:pPr>
        <w:spacing w:after="0" w:line="195"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If any date of redemption of any senior debt security is not a business day, then payment of principal and interest may be made on the next succeeding business day with the same force and effect as if made on the nominal date of redemption and no interest will accrue for the period after such nominal date.</w:t>
      </w:r>
    </w:p>
    <w:p>
      <w:pPr>
        <w:spacing w:after="0" w:line="184"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i w:val="1"/>
          <w:iCs w:val="1"/>
          <w:color w:val="auto"/>
        </w:rPr>
        <w:t xml:space="preserve">Conversion Rights. </w:t>
      </w:r>
      <w:r>
        <w:rPr>
          <w:rFonts w:ascii="Arial" w:cs="Arial" w:eastAsia="Arial" w:hAnsi="Arial"/>
          <w:sz w:val="16"/>
          <w:szCs w:val="16"/>
          <w:color w:val="auto"/>
        </w:rPr>
        <w:t>We will describe the terms upon which senior debt securities may be convertible into our common stock or other securities in a</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supplement. These terms will include the type of securities the senior debt securities are convertible into, the conversion price or manner of calculation thereof, the conversion period, provisions as to whether conversion will be at our option or the option of the holders, the events requiring an adjustment of the conversion price and provisions affecting conversion in the event of the redemption of the senior debt securities and any restrictions on conversion. They may also include provisions adjusting the number of shares of our common stock or other securities issuable upon conversion.</w:t>
      </w:r>
    </w:p>
    <w:p>
      <w:pPr>
        <w:spacing w:after="0" w:line="16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i w:val="1"/>
          <w:iCs w:val="1"/>
          <w:color w:val="auto"/>
        </w:rPr>
        <w:t xml:space="preserve">No Personal Liability of Incorporators, Stockholders, Officers or Directors. </w:t>
      </w:r>
      <w:r>
        <w:rPr>
          <w:rFonts w:ascii="Arial" w:cs="Arial" w:eastAsia="Arial" w:hAnsi="Arial"/>
          <w:sz w:val="18"/>
          <w:szCs w:val="18"/>
          <w:color w:val="auto"/>
        </w:rPr>
        <w:t>The senior indenture provides that no recourse shall be had under any</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covenant or agreement of ours in the senior indenture or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i w:val="1"/>
          <w:iCs w:val="1"/>
          <w:color w:val="auto"/>
        </w:rPr>
        <w:t xml:space="preserve">Concerning the Trustee. </w:t>
      </w:r>
      <w:r>
        <w:rPr>
          <w:rFonts w:ascii="Arial" w:cs="Arial" w:eastAsia="Arial" w:hAnsi="Arial"/>
          <w:sz w:val="18"/>
          <w:szCs w:val="18"/>
          <w:color w:val="auto"/>
        </w:rPr>
        <w:t>The senior indenture provides that, except during the continuance of an event of default, the trustee will not be liable except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8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senior indenture and the provisions of the Trust Indenture Act incorporated by reference therein contain limitations on the rights of the trustee thereunder, should it become a creditor of ours or our subsidiary,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have normal banking relationships with the senior trustee in the ordinary course of business.</w:t>
      </w:r>
    </w:p>
    <w:p>
      <w:pPr>
        <w:spacing w:after="0" w:line="22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i w:val="1"/>
          <w:iCs w:val="1"/>
          <w:color w:val="auto"/>
        </w:rPr>
        <w:t xml:space="preserve">Unclaimed Funds. </w:t>
      </w:r>
      <w:r>
        <w:rPr>
          <w:rFonts w:ascii="Arial" w:cs="Arial" w:eastAsia="Arial" w:hAnsi="Arial"/>
          <w:sz w:val="18"/>
          <w:szCs w:val="18"/>
          <w:color w:val="auto"/>
        </w:rPr>
        <w:t>All funds deposited with the trustee or any paying agent for the payment of principal, premium, interest or additional amounts in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of the senior debt securities that remain unclaimed for two years after the date upon which such amounts became due and payable will be repaid to us. Thereafter, any right of any holder of senior debt securities to such funds shall be enforceable only against us, and the trustee and paying agents will have no liability therefor.</w:t>
      </w:r>
    </w:p>
    <w:p>
      <w:pPr>
        <w:spacing w:after="0" w:line="18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senior indenture and the senior debt securities will be governed by, and construed in accordance with, the internal laws of the State</w:t>
      </w:r>
      <w:r>
        <w:rPr>
          <w:rFonts w:ascii="Arial" w:cs="Arial" w:eastAsia="Arial" w:hAnsi="Arial"/>
          <w:sz w:val="18"/>
          <w:szCs w:val="18"/>
          <w:i w:val="1"/>
          <w:iCs w:val="1"/>
          <w:color w:val="auto"/>
        </w:rPr>
        <w:t xml:space="preserve"> </w:t>
      </w:r>
      <w:r>
        <w:rPr>
          <w:rFonts w:ascii="Arial" w:cs="Arial" w:eastAsia="Arial" w:hAnsi="Arial"/>
          <w:sz w:val="18"/>
          <w:szCs w:val="18"/>
          <w:color w:val="auto"/>
        </w:rPr>
        <w:t>of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 or different subordination terms may be specified in the prospectus supplement applicable to a particular series.</w:t>
      </w:r>
    </w:p>
    <w:p>
      <w:pPr>
        <w:spacing w:after="0" w:line="225"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i w:val="1"/>
          <w:iCs w:val="1"/>
          <w:color w:val="auto"/>
        </w:rPr>
        <w:t xml:space="preserve">Subordination. </w:t>
      </w:r>
      <w:r>
        <w:rPr>
          <w:rFonts w:ascii="Arial" w:cs="Arial" w:eastAsia="Arial" w:hAnsi="Arial"/>
          <w:sz w:val="16"/>
          <w:szCs w:val="16"/>
          <w:color w:val="auto"/>
        </w:rPr>
        <w:t>The indebtedness evidenced by the subordinated debt securities is subordinate to the prior payment in full of all of our senior</w:t>
      </w:r>
      <w:r>
        <w:rPr>
          <w:rFonts w:ascii="Arial" w:cs="Arial" w:eastAsia="Arial" w:hAnsi="Arial"/>
          <w:sz w:val="16"/>
          <w:szCs w:val="16"/>
          <w:i w:val="1"/>
          <w:iCs w:val="1"/>
          <w:color w:val="auto"/>
        </w:rPr>
        <w:t xml:space="preserve"> </w:t>
      </w:r>
      <w:r>
        <w:rPr>
          <w:rFonts w:ascii="Arial" w:cs="Arial" w:eastAsia="Arial" w:hAnsi="Arial"/>
          <w:sz w:val="16"/>
          <w:szCs w:val="16"/>
          <w:color w:val="auto"/>
        </w:rPr>
        <w:t>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9" w:right="49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29"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all of the indebtedness of that person evidenced by notes, debentures, bonds or other securities sold by that person for money;</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all of the lease obligations that are capitalized on the books of that person in accordance with generally accepted accounting principles;</w:t>
      </w:r>
    </w:p>
    <w:p>
      <w:pPr>
        <w:spacing w:after="0" w:line="153" w:lineRule="exact"/>
        <w:rPr>
          <w:rFonts w:ascii="Arial" w:cs="Arial" w:eastAsia="Arial" w:hAnsi="Arial"/>
          <w:sz w:val="16"/>
          <w:szCs w:val="16"/>
          <w:color w:val="auto"/>
        </w:rPr>
      </w:pPr>
    </w:p>
    <w:p>
      <w:pPr>
        <w:ind w:left="1080" w:right="20" w:hanging="424"/>
        <w:spacing w:after="0" w:line="26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89"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following description of our capital stock and provisions of our certificate of incorporation and bylaws are summaries. You should also refer to the restated certificate of incorporation and the amended and restated bylaws, which are filed as exhibits to the registration statement of which this prospectus is part.</w:t>
      </w:r>
    </w:p>
    <w:p>
      <w:pPr>
        <w:spacing w:after="0" w:line="184"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Our authorized capital stock consists of 200,000,000 shares of our common stock, par value $0.001 per share, and 5,000,000 shares of our preferred stock, par value $0.001 per share, all of which preferred stock is undesignated.</w:t>
      </w:r>
    </w:p>
    <w:p>
      <w:pPr>
        <w:spacing w:after="0" w:line="170"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As of December 31, 2021, we had issued and outstanding 40,636,398 shares of our common stock held by 33 stockholders of record (not including beneficial owners whose shares are held in “nominee” or “street” name), including 10,174 shares of unvested restricted stock subject to repurchase by 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 Any matters other than the election of directors to be voted upon by the stockholders at a meeting are decided by the vote of the holders of shares of stock having a majority in voting power of the votes cast by the holders of all of the shares of stock present or represented at the meeting and voting affirmatively or negatively on such matter, except when a different vote is required by law, our certificate of incorporation or our bylaws. Holders of common stock are entitled to receive proportionately any dividends as may be declared by our board of directors, subject to any preferential dividend or other rights of any outstanding preferred stock.</w:t>
      </w:r>
    </w:p>
    <w:p>
      <w:pPr>
        <w:spacing w:after="0" w:line="17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the event of our liquidation, dissolution or winding up, the holders of our common stock are entitled to receive proportionately all assets available for distribution to stockholders after the payment of all debts and other liabilities and subject to any preferential or other rights of any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our preferred stock that we may designate and issue in the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7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29"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designation and stated value per share of the preferred stock and the number of shares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 of liquidation preference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price at which the preferred stock will be issued;</w:t>
      </w:r>
    </w:p>
    <w:p>
      <w:pPr>
        <w:spacing w:after="0" w:line="130" w:lineRule="exact"/>
        <w:rPr>
          <w:rFonts w:ascii="Arial" w:cs="Arial" w:eastAsia="Arial" w:hAnsi="Arial"/>
          <w:sz w:val="18"/>
          <w:szCs w:val="18"/>
          <w:color w:val="auto"/>
        </w:rPr>
      </w:pPr>
    </w:p>
    <w:p>
      <w:pPr>
        <w:ind w:left="1080" w:right="720" w:hanging="424"/>
        <w:spacing w:after="0" w:line="308"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conversion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we have elected to offer depositary shares as described under “Description of Depositary Shares;”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rights, preferences, privileges, limitations and restrictions on the preferred stock.</w:t>
      </w:r>
    </w:p>
    <w:p>
      <w:pPr>
        <w:spacing w:after="0" w:line="22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8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i w:val="1"/>
          <w:iCs w:val="1"/>
          <w:color w:val="auto"/>
        </w:rPr>
        <w:t>Rank</w:t>
      </w:r>
      <w:r>
        <w:rPr>
          <w:rFonts w:ascii="Arial" w:cs="Arial" w:eastAsia="Arial" w:hAnsi="Arial"/>
          <w:sz w:val="18"/>
          <w:szCs w:val="18"/>
          <w:color w:val="auto"/>
        </w:rPr>
        <w:t>. Unless otherwise specified in the prospectus supplement, the preferred stock will, with respect to dividend rights and rights upon our liquidation,</w:t>
      </w:r>
      <w:r>
        <w:rPr>
          <w:rFonts w:ascii="Arial" w:cs="Arial" w:eastAsia="Arial" w:hAnsi="Arial"/>
          <w:sz w:val="18"/>
          <w:szCs w:val="18"/>
          <w:i w:val="1"/>
          <w:iCs w:val="1"/>
          <w:color w:val="auto"/>
        </w:rPr>
        <w:t xml:space="preserve"> </w:t>
      </w:r>
      <w:r>
        <w:rPr>
          <w:rFonts w:ascii="Arial" w:cs="Arial" w:eastAsia="Arial" w:hAnsi="Arial"/>
          <w:sz w:val="18"/>
          <w:szCs w:val="18"/>
          <w:color w:val="auto"/>
        </w:rPr>
        <w:t>dissolution or winding up of our affairs, rank:</w:t>
      </w:r>
    </w:p>
    <w:p>
      <w:pPr>
        <w:spacing w:after="0" w:line="76" w:lineRule="exact"/>
        <w:rPr>
          <w:sz w:val="20"/>
          <w:szCs w:val="20"/>
          <w:color w:val="auto"/>
        </w:rPr>
      </w:pPr>
    </w:p>
    <w:p>
      <w:pPr>
        <w:ind w:left="10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75" w:lineRule="exact"/>
        <w:rPr>
          <w:rFonts w:ascii="Arial" w:cs="Arial" w:eastAsia="Arial" w:hAnsi="Arial"/>
          <w:sz w:val="18"/>
          <w:szCs w:val="18"/>
          <w:color w:val="auto"/>
        </w:rPr>
      </w:pPr>
    </w:p>
    <w:p>
      <w:pPr>
        <w:ind w:left="1080" w:right="140" w:hanging="424"/>
        <w:spacing w:after="0" w:line="308" w:lineRule="auto"/>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51" w:lineRule="exact"/>
        <w:rPr>
          <w:rFonts w:ascii="Arial" w:cs="Arial" w:eastAsia="Arial" w:hAnsi="Arial"/>
          <w:sz w:val="17"/>
          <w:szCs w:val="17"/>
          <w:color w:val="auto"/>
        </w:rPr>
      </w:pPr>
    </w:p>
    <w:p>
      <w:pPr>
        <w:ind w:left="1080" w:right="20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22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Holders of the preferred stock of each series will be entitled to receive, when, as and if declared by our board of directors, cash dividends at</w:t>
      </w:r>
      <w:r>
        <w:rPr>
          <w:rFonts w:ascii="Arial" w:cs="Arial" w:eastAsia="Arial" w:hAnsi="Arial"/>
          <w:sz w:val="18"/>
          <w:szCs w:val="18"/>
          <w:i w:val="1"/>
          <w:iCs w:val="1"/>
          <w:color w:val="auto"/>
        </w:rPr>
        <w:t xml:space="preserve"> </w:t>
      </w:r>
      <w:r>
        <w:rPr>
          <w:rFonts w:ascii="Arial" w:cs="Arial" w:eastAsia="Arial" w:hAnsi="Arial"/>
          <w:sz w:val="18"/>
          <w:szCs w:val="18"/>
          <w:color w:val="auto"/>
        </w:rPr>
        <w:t>such rates and on such dates described in the prospectus supplement.</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Different series of preferred stock may be entitled to dividends at different rates or based on different methods of calculation. The dividend rate may be fixed or variable or both. Dividends will be payable to the holders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record as they appear on our stock books on record dates fixed by our board of directors, as specified in the applicable prospectus supplement.</w:t>
      </w:r>
    </w:p>
    <w:p>
      <w:pPr>
        <w:spacing w:after="0" w:line="237"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92" w:lineRule="exact"/>
        <w:rPr>
          <w:sz w:val="20"/>
          <w:szCs w:val="20"/>
          <w:color w:val="auto"/>
        </w:rPr>
      </w:pPr>
    </w:p>
    <w:p>
      <w:pPr>
        <w:jc w:val="both"/>
        <w:ind w:left="120" w:right="120"/>
        <w:spacing w:after="0" w:line="342" w:lineRule="auto"/>
        <w:rPr>
          <w:sz w:val="20"/>
          <w:szCs w:val="20"/>
          <w:color w:val="auto"/>
        </w:rPr>
      </w:pPr>
      <w:r>
        <w:rPr>
          <w:rFonts w:ascii="Arial" w:cs="Arial" w:eastAsia="Arial" w:hAnsi="Arial"/>
          <w:sz w:val="16"/>
          <w:szCs w:val="16"/>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24"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8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i w:val="1"/>
          <w:iCs w:val="1"/>
          <w:color w:val="auto"/>
        </w:rPr>
        <w:t>Liquidation Preference</w:t>
      </w:r>
      <w:r>
        <w:rPr>
          <w:rFonts w:ascii="Arial" w:cs="Arial" w:eastAsia="Arial" w:hAnsi="Arial"/>
          <w:sz w:val="16"/>
          <w:szCs w:val="16"/>
          <w:color w:val="auto"/>
        </w:rPr>
        <w:t>. Upon any voluntary or involuntary liquidation, dissolution or winding up of our affairs, then, before we make any distribution or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ranking on parity with the preferred stock will share ratably in any such distribution of assets in proportion to the full liquidating distributions to which they would otherwise be entitled.</w:t>
      </w:r>
    </w:p>
    <w:p>
      <w:pPr>
        <w:spacing w:after="0" w:line="168"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88"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i w:val="1"/>
          <w:iCs w:val="1"/>
          <w:color w:val="auto"/>
        </w:rPr>
        <w:t>Redemption</w:t>
      </w:r>
      <w:r>
        <w:rPr>
          <w:rFonts w:ascii="Arial" w:cs="Arial" w:eastAsia="Arial" w:hAnsi="Arial"/>
          <w:sz w:val="16"/>
          <w:szCs w:val="16"/>
          <w:color w:val="auto"/>
        </w:rPr>
        <w:t>. If so provided in the applicable prospectus supplement, the preferred stock will be subject to mandatory redemption or redemption at our</w:t>
      </w:r>
      <w:r>
        <w:rPr>
          <w:rFonts w:ascii="Arial" w:cs="Arial" w:eastAsia="Arial" w:hAnsi="Arial"/>
          <w:sz w:val="16"/>
          <w:szCs w:val="16"/>
          <w:i w:val="1"/>
          <w:iCs w:val="1"/>
          <w:color w:val="auto"/>
        </w:rPr>
        <w:t xml:space="preserve"> </w:t>
      </w:r>
      <w:r>
        <w:rPr>
          <w:rFonts w:ascii="Arial" w:cs="Arial" w:eastAsia="Arial" w:hAnsi="Arial"/>
          <w:sz w:val="16"/>
          <w:szCs w:val="16"/>
          <w:color w:val="auto"/>
        </w:rPr>
        <w:t>option, as a whole or in part, in each case upon the terms, at the times and at the redemption prices set forth in such prospectus supplement.</w:t>
      </w:r>
    </w:p>
    <w:p>
      <w:pPr>
        <w:spacing w:after="0" w:line="124"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98" w:lineRule="exact"/>
        <w:rPr>
          <w:sz w:val="20"/>
          <w:szCs w:val="20"/>
          <w:color w:val="auto"/>
        </w:rPr>
      </w:pPr>
    </w:p>
    <w:p>
      <w:pPr>
        <w:ind w:left="1080" w:right="140" w:hanging="424"/>
        <w:spacing w:after="0" w:line="34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29"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we will not acquire any preferred stock of a series unless:</w:t>
      </w:r>
    </w:p>
    <w:p>
      <w:pPr>
        <w:spacing w:after="0" w:line="131" w:lineRule="exact"/>
        <w:rPr>
          <w:sz w:val="20"/>
          <w:szCs w:val="20"/>
          <w:color w:val="auto"/>
        </w:rPr>
      </w:pPr>
    </w:p>
    <w:p>
      <w:pPr>
        <w:ind w:left="1080" w:right="20" w:hanging="424"/>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89" w:lineRule="exact"/>
        <w:rPr>
          <w:rFonts w:ascii="Arial" w:cs="Arial" w:eastAsia="Arial" w:hAnsi="Arial"/>
          <w:sz w:val="18"/>
          <w:szCs w:val="18"/>
          <w:color w:val="auto"/>
        </w:rPr>
      </w:pPr>
    </w:p>
    <w:p>
      <w:pPr>
        <w:ind w:left="1080" w:right="60" w:hanging="424"/>
        <w:spacing w:after="0" w:line="308"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4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84"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49"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Unless otherwise specified in the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29"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number of shares and series of preferred stock to be redeemed;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place or places where certificates for such preferred stock are to be surrendered for payment of the redemption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that dividends on the shares to be redeemed will cease to accrue on such redemption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on which the holder’s conversion rights, if any, as to such shares shall terminate;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specific number of shares to be redeemed from each such holder if fewer than all the shares of any series are to be redeemed.</w:t>
      </w:r>
    </w:p>
    <w:p>
      <w:pPr>
        <w:spacing w:after="0" w:line="169"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20</w:t>
      </w:r>
    </w:p>
    <w:p>
      <w:pPr>
        <w:sectPr>
          <w:pgSz w:w="11900" w:h="16838" w:orient="portrait"/>
          <w:cols w:equalWidth="0" w:num="1">
            <w:col w:w="11040"/>
          </w:cols>
          <w:pgMar w:left="320" w:top="459" w:right="5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84"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Holders of preferred stock will not have any voting rights, except as required by law or as indicated in the applicable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w:t>
      </w:r>
    </w:p>
    <w:p>
      <w:pPr>
        <w:spacing w:after="0" w:line="170"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i w:val="1"/>
          <w:iCs w:val="1"/>
          <w:color w:val="auto"/>
        </w:rPr>
        <w:t>Conversion Rights</w:t>
      </w:r>
      <w:r>
        <w:rPr>
          <w:rFonts w:ascii="Arial" w:cs="Arial" w:eastAsia="Arial" w:hAnsi="Arial"/>
          <w:sz w:val="18"/>
          <w:szCs w:val="18"/>
          <w:color w:val="auto"/>
        </w:rPr>
        <w:t>. The terms and conditions, if any, upon which any series of preferred stock is convertible into shares of our common stock will be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Transfer Agent and Registrar</w:t>
      </w:r>
      <w:r>
        <w:rPr>
          <w:rFonts w:ascii="Arial" w:cs="Arial" w:eastAsia="Arial" w:hAnsi="Arial"/>
          <w:sz w:val="17"/>
          <w:szCs w:val="17"/>
          <w:color w:val="auto"/>
        </w:rPr>
        <w:t>. The transfer agent and registrar for the preferred stock will be set forth in the applicable prospectus supplement.</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Delaware Anti-Takeover Law and Certain Charter and Bylaw Provisions</w:t>
      </w:r>
    </w:p>
    <w:p>
      <w:pPr>
        <w:spacing w:after="0" w:line="121"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Certain provisions of our certificate of incorporation, our bylaws and Delaware law may have the effect of making it more difficult for a third party to acquire, or of discouraging a third party from attempting to acquire, control of us. Such provisions could limit the price that certain investors might be willing to pay in the future for shares of our common stock and may limit the ability of stockholders to remove current management or directors or approve transactions that stockholders may deem to be in their best interest and, therefore, could adversely affect the price of our common stock.</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We are subject to Section 203 of the Delaware General Corporation Law, or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Staggered Board; Removal of Directors</w:t>
      </w:r>
    </w:p>
    <w:p>
      <w:pPr>
        <w:spacing w:after="0" w:line="11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Our certificate of incorporation and our bylaws divide our board of directors into three classes with staggered three-year terms. In addition, our certificate of incorporation and our bylaws provide that directors may be removed only for cause and only by the affirmative vote of the holders of at least 75% of our shares of capital</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9" w:right="49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stock present in person or by proxy and entitled to vote in an election of directors or class of directors. Under our certificate of incorporation and our bylaws, any vacancy on our board of directors, including a vacancy resulting from an enlargement of our board of directors, may be filled only by vote of a majority of our directors then in office. Furthermore, our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Stockholder Action; Special Meeting of Stockholders; Advance Notice Requirements for Stockholder Proposals and Director Nominations</w:t>
      </w:r>
    </w:p>
    <w:p>
      <w:pPr>
        <w:spacing w:after="0" w:line="140"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Our certificate of incorporation and our bylaws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also provide that, except as otherwise required by law, special meetings of the stockholders can only be called by our board of directors. In addition, our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Super-Majority Voting</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Exchange Act. Although our certificate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of incorporation contains the choice of forum provision described above, it is possible that a court could rule that such a provision is inapplicable for a particular claim or action or that such provision is unenforceable.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have entered into an amended and restated investors’ rights agreement dated as of August 24, 2018, or the investors’ rights agreement, with certain holders of our common stock who have the right to require us to register such shares of common stock under the Securities Act under specified circumstances. We refer to the shares with these registration rights as registrable securities. After registration pursuant to these rights, the registrable securities will become freely tradable without restriction under the Securities Act.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and Form S-3 Registration Rights</w:t>
      </w:r>
    </w:p>
    <w:p>
      <w:pPr>
        <w:spacing w:after="0" w:line="117"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Subject to specified limitations set forth in the investors’ rights agreement, at any time, the holders of at least 40% of the then outstanding registrable securities may demand that we register at least 40% of the registrable securities then outstanding under the Securities Act for purposes of a public offering having an aggregate offering price to the public of not less than $5.0 million. We are not obligated to file a registration statement pursuant to this provision on more than two occasions.</w:t>
      </w:r>
    </w:p>
    <w:p>
      <w:pPr>
        <w:spacing w:after="0" w:line="18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In addition, subject to specified limitations set forth in the investors’ rights agreement, at any time after we become eligible to file a registration statement on Form S-3, the holders of at least 25% of the then outstanding registrable securities may request that we register their registrable securities on Form S-3 for purposes of a public offering for which the reasonably anticipated aggregate offering price to the public would be at least $3.0 million. We are not obligated to file a registration statement pursuant to this provision on more than two occasions in any 12-month period.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 at any time, we propose to register for our own account (including, for this purpose, a registration effected by us for stockholders who are not holders of registrable securities under the investors’ rights agreement) any of our securities under the Securities Act, the holders of registrable securities will be entitled to notice of the registration and, subject to specified exceptions, have the right to require us to use our commercially reasonable efforts to register all or a portion of the registrable securities then held by them in that registration.</w:t>
      </w:r>
    </w:p>
    <w:p>
      <w:pPr>
        <w:spacing w:after="0" w:line="18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In the event that any registration in which the holders of registrable securities participate pursuant to our investors’ rights agreement is an underwritten public offering, we have agreed to enter into an underwriting agreement in usual and customary form and use our reasonable best efforts to facilitate such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Pursuant to the investors’ rights agreement, we are required to pay all registration expenses, including all registration and filing fees, exchange listing fees, printing expenses, fees and expenses of one counsel selected by the selling stockholders to represent the selling stockholders, state Blue Sky fees and expenses, and the expense of any special audits incident to or required by any such registration, but excluding underwriting discounts, selling commissions, stock transfer taxes applicable to the sale any registrable securities and the fees and expenses of the selling stockholders’ own counsel (other than the counsel selected to represent all selling stockholders). If a registration is withdrawn at the request of the stockholders initiating the registration, then the stockholders will bear the expenses of the registration.</w:t>
      </w:r>
    </w:p>
    <w:p>
      <w:pPr>
        <w:spacing w:after="0" w:line="178"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investors’ rights agreement contains customary cross-indemnification provisions, pursuant to which we are obligated to indemnify the selling stockholders in the event of material misstatements or omissions in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59" w:right="49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registration statement attributable to us or any violation or alleged violation whether by action or inaction by us under the Securities Act, the Exchange Act, any state securities or Blue Sky law or any rule or regulation promulgated under the Securities Act, the Exchange Act or any state securities or Blue Sky law in connection with such registration statement or the qualification or compliance of the offering, and they are obligated to indemnify us for material misstatements or omissions in the registration statement attributable to them.</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Global Market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Market under the symbol “FULC.”</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DEPOSITARY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92"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8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with and paying certain charges to the depositary.</w:t>
      </w:r>
    </w:p>
    <w:p>
      <w:pPr>
        <w:spacing w:after="0" w:line="18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summary of terms of the depositary shares contained in this prospectus is not a complete description of the terms of the depositary shares. You should refer to the form of the deposit agreement, our certificate of incorporation and the certificate of designation for the applicable series of preferred stock that are, or will be, filed with the SEC.</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jc w:val="both"/>
        <w:ind w:left="120" w:right="200"/>
        <w:spacing w:after="0" w:line="286" w:lineRule="auto"/>
        <w:rPr>
          <w:sz w:val="20"/>
          <w:szCs w:val="20"/>
          <w:color w:val="auto"/>
        </w:rPr>
      </w:pPr>
      <w:r>
        <w:rPr>
          <w:rFonts w:ascii="Arial" w:cs="Arial" w:eastAsia="Arial" w:hAnsi="Arial"/>
          <w:sz w:val="17"/>
          <w:szCs w:val="17"/>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65"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 Preference</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Stock</w:t>
      </w:r>
    </w:p>
    <w:p>
      <w:pPr>
        <w:spacing w:after="0" w:line="121"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of Depositary Shares</w:t>
      </w:r>
    </w:p>
    <w:p>
      <w:pPr>
        <w:spacing w:after="0" w:line="121"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64"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the Preferred Stock</w:t>
      </w:r>
    </w:p>
    <w:p>
      <w:pPr>
        <w:spacing w:after="0" w:line="121"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Charges of Depositary</w:t>
      </w:r>
    </w:p>
    <w:p>
      <w:pPr>
        <w:spacing w:after="0" w:line="121"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arrangements. We will pay the charges due to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us and the depositary. However, any amendment that materially 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60"/>
          </w:cols>
          <w:pgMar w:left="320" w:top="459" w:right="51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adversely alters the rights of the holders of depositary shares, other than fee changes, will not be effective unless the amendment has been approved by the holders of a majority of the outstanding depositary shares affected by the amendment. The deposit agreement may be terminated by the depositary or us only if:</w:t>
      </w:r>
    </w:p>
    <w:p>
      <w:pPr>
        <w:spacing w:after="0" w:line="89"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12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Neither we nor the depositary will be liable if either we or it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We may issue units consisting of one or more of the other securities that may be offered under this prospectus in any combination. The following, together with the additional information we may include in any applicable prospectus supplement, summarizes the material terms and provisions of the units that we may offer under this prospectus. We may issue units in one or more series, which will be described in the applicable prospectus. While the terms summarized below will apply generally to any units we may offer, we will describe the particular terms of any series of units in more detail in the applicable prospectus supplement. If we indicate in the prospectus supplement, the terms of any units offered under that prospectus supplement may differ from the terms described below. Specific unit agreements will contain additional important terms and provisions and will be incorporated by reference as an exhibit to the registration statement that includes this prospectus.</w:t>
      </w:r>
    </w:p>
    <w:p>
      <w:pPr>
        <w:spacing w:after="0" w:line="17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131" w:lineRule="exact"/>
        <w:rPr>
          <w:sz w:val="20"/>
          <w:szCs w:val="20"/>
          <w:color w:val="auto"/>
        </w:rPr>
      </w:pPr>
    </w:p>
    <w:p>
      <w:pPr>
        <w:ind w:left="1080" w:right="28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comprising the units may be traded separately;</w:t>
      </w:r>
    </w:p>
    <w:p>
      <w:pPr>
        <w:spacing w:after="0" w:line="75"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identity of any unit agent for the units, if applicable, and of any other depositaries, execution or paying agents, transfer agents, registrars or other agents;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additional provisions for the issuance, payment, settlement, transfer or exchange of the units or of the securities comprising the units;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additional terms of the governing unit agreement, if applicable.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issue units in such amounts and in such numbers of distinct series as we determine.</w:t>
      </w:r>
    </w:p>
    <w:p>
      <w:pPr>
        <w:spacing w:after="0" w:line="22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provisions described in this section, as well as those described under “Description of Debt Securities,” “Description of Capital Stock,” “Description of Depositary Shares” and “Description of Warrants” will apply to each unit, as applicable, and to any debt securities, common stock, preferred stock, depositary share or warrant included in each unit, as applicable.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 Agent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name and address of the unit agent for any units we offer will be set forth in the applicable prospectus supplement.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may issue warrants to purchase common stock, preferred stock, depositary shares or debt securities. We may offer warrants separately or together with one or more additional warrants, common stock, preferred stock, depositary shares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2"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proposed listing, if any, of the warrants or any securities purchasable upon exercise of the warrants on any securities exchange;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designation, aggregate principal amount, currency and terms of any debt securities that may be purchased upon exercise of the warrants;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applicable, the designation and terms of the preferred stock or depositary shares with which the warrants are issued and the number of warrants issued with each security;</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number of shares of common stock, preferred stock or depositary shares purchasable upon exercise of a warrant and the price at which those shares may be purchased;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anti-dilution provisions of, and other provisions for changes to or adjustment in the exercise price of,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or exercise of the warrants.</w:t>
      </w:r>
    </w:p>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60"/>
          </w:cols>
          <w:pgMar w:left="320" w:top="459" w:right="51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Each debt security, depositary share,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may issue the debt securities of a particular series, depositary shares, units and warrants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78"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24"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17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deposit agreement,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deposit agreement, unit agreement or warrant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deposit agreement, unit agreement or warrant agreement. We understand that under existing industry practices, if</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we request any action of holders or if an owner of a beneficial interest in a global security desires to give or take any action that a holder is entitled to give or take under the applicable indenture, deposit agreement, unit agreement or warrant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5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depositary shares, warrants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16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92"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or through brokers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directly to one or more purchasers in negotiated sales or competitively bid transactions;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76"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public offering or purchase price and the proceeds we will receive from the sale of the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discounts and commissions to be allowed or re-allowed or paid to the agent or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discounts and commissions to be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59" w:right="49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a dealer is utilized in the sale of the securities in respect of which this prospectus is delivered, we will sell such securities to the dealer, as principal.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dealer may then resell such securities to the public at varying prices to be determined by such dealer at the time of resale.</w:t>
      </w:r>
    </w:p>
    <w:p>
      <w:pPr>
        <w:spacing w:after="0" w:line="211"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4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84"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0" w:lineRule="exact"/>
        <w:rPr>
          <w:sz w:val="20"/>
          <w:szCs w:val="20"/>
          <w:color w:val="auto"/>
        </w:rPr>
      </w:pPr>
    </w:p>
    <w:p>
      <w:pPr>
        <w:ind w:left="1080" w:right="14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4"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84"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5"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70"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80"/>
          </w:cols>
          <w:pgMar w:left="320" w:top="459" w:right="69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Unless the applicable prospectus supplement indicates otherwise, the validity of the securities in respect of which this prospectus is being delivered will be passed upon by Goodwin Procter LLP.</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consolidated financial statements of Fulcrum Therapeutics, Inc. appearing in Fulcrum Therapeutics, Inc.’s Annual Report (Form 10-K) for the year ended December 31, 2021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291465</wp:posOffset>
            </wp:positionV>
            <wp:extent cx="6995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25"/>
          <w:szCs w:val="25"/>
          <w:color w:val="auto"/>
        </w:rPr>
        <w:t>$75,000,000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322580</wp:posOffset>
            </wp:positionV>
            <wp:extent cx="2905760" cy="7200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290576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1334135</wp:posOffset>
            </wp:positionV>
            <wp:extent cx="11144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325755</wp:posOffset>
            </wp:positionV>
            <wp:extent cx="11144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Joint Book-Running Managers</w:t>
      </w:r>
    </w:p>
    <w:p>
      <w:pPr>
        <w:spacing w:after="0" w:line="198" w:lineRule="exact"/>
        <w:rPr>
          <w:sz w:val="20"/>
          <w:szCs w:val="20"/>
          <w:color w:val="auto"/>
        </w:rPr>
      </w:pPr>
    </w:p>
    <w:p>
      <w:pPr>
        <w:ind w:left="120"/>
        <w:spacing w:after="0"/>
        <w:tabs>
          <w:tab w:leader="none" w:pos="9580" w:val="left"/>
        </w:tabs>
        <w:rPr>
          <w:sz w:val="20"/>
          <w:szCs w:val="20"/>
          <w:color w:val="auto"/>
        </w:rPr>
      </w:pPr>
      <w:r>
        <w:rPr>
          <w:rFonts w:ascii="Arial" w:cs="Arial" w:eastAsia="Arial" w:hAnsi="Arial"/>
          <w:sz w:val="22"/>
          <w:szCs w:val="22"/>
          <w:b w:val="1"/>
          <w:bCs w:val="1"/>
          <w:color w:val="auto"/>
        </w:rPr>
        <w:t>Goldman Sachs &amp; Co. LLC</w:t>
      </w:r>
      <w:r>
        <w:rPr>
          <w:sz w:val="20"/>
          <w:szCs w:val="20"/>
          <w:color w:val="auto"/>
        </w:rPr>
        <w:tab/>
      </w:r>
      <w:r>
        <w:rPr>
          <w:rFonts w:ascii="Arial" w:cs="Arial" w:eastAsia="Arial" w:hAnsi="Arial"/>
          <w:sz w:val="21"/>
          <w:szCs w:val="21"/>
          <w:b w:val="1"/>
          <w:bCs w:val="1"/>
          <w:color w:val="auto"/>
        </w:rPr>
        <w:t>SVB Securities</w:t>
      </w:r>
    </w:p>
    <w:p>
      <w:pPr>
        <w:spacing w:after="0" w:line="12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Stifel</w:t>
      </w: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16"/>
          <w:szCs w:val="16"/>
          <w:i w:val="1"/>
          <w:iCs w:val="1"/>
          <w:color w:val="auto"/>
        </w:rPr>
        <w:t>Lead Manager</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Oppenheimer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217170</wp:posOffset>
            </wp:positionV>
            <wp:extent cx="1474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1306195</wp:posOffset>
            </wp:positionV>
            <wp:extent cx="6995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1374775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1)"/>
      <w:numFmt w:val="lowerLetter"/>
      <w:start w:val="1"/>
    </w:lvl>
  </w:abstractNum>
  <w:abstractNum w:abstractNumId="15">
    <w:nsid w:val="22221A70"/>
    <w:multiLevelType w:val="hybridMultilevel"/>
    <w:lvl w:ilvl="0">
      <w:lvlJc w:val="left"/>
      <w:lvlText w:val="%1"/>
      <w:numFmt w:val="lowerRoman"/>
      <w:start w:val="1"/>
    </w:lvl>
    <w:lvl w:ilvl="1">
      <w:lvlJc w:val="left"/>
      <w:lvlText w:val="%2)"/>
      <w:numFmt w:val="lowerLetter"/>
      <w:start w:val="1"/>
    </w:lvl>
  </w:abstractNum>
  <w:abstractNum w:abstractNumId="16">
    <w:nsid w:val="4516DDE9"/>
    <w:multiLevelType w:val="hybridMultilevel"/>
    <w:lvl w:ilvl="0">
      <w:lvlJc w:val="left"/>
      <w:lvlText w:val="(%1)"/>
      <w:numFmt w:val="lowerRoman"/>
      <w:start w:val="1"/>
    </w:lvl>
    <w:lvl w:ilvl="1">
      <w:lvlJc w:val="left"/>
      <w:lvlText w:val="%2"/>
      <w:numFmt w:val="lowerLetter"/>
      <w:start w:val="1"/>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1)"/>
      <w:numFmt w:val="decimal"/>
      <w:start w:val="4"/>
    </w:lvl>
  </w:abstractNum>
  <w:abstractNum w:abstractNumId="19">
    <w:nsid w:val="419AC241"/>
    <w:multiLevelType w:val="hybridMultilevel"/>
    <w:lvl w:ilvl="0">
      <w:lvlJc w:val="left"/>
      <w:lvlText w:val="(%1)"/>
      <w:numFmt w:val="lowerLetter"/>
      <w:start w:val="1"/>
    </w:lvl>
    <w:lvl w:ilvl="1">
      <w:lvlJc w:val="left"/>
      <w:lvlText w:val="(%2)"/>
      <w:numFmt w:val="lowerRoman"/>
      <w:start w:val="1"/>
    </w:lvl>
  </w:abstractNum>
  <w:abstractNum w:abstractNumId="20">
    <w:nsid w:val="5577F8E1"/>
    <w:multiLevelType w:val="hybridMultilevel"/>
    <w:lvl w:ilvl="0">
      <w:lvlJc w:val="left"/>
      <w:lvlText w:val="(%1)"/>
      <w:numFmt w:val="lowerLetter"/>
      <w:start w:val="2"/>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decimal"/>
      <w:start w:val="617"/>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1)"/>
      <w:numFmt w:val="decimal"/>
      <w:start w:val="617"/>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jpe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jpe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57" Type="http://schemas.openxmlformats.org/officeDocument/2006/relationships/hyperlink" Target="http://www.sec.gov/ix?doc=/Archives/edgar/data/1680581/000095017022002727/fulc-20211231.htm" TargetMode="External"/><Relationship Id="rId58" Type="http://schemas.openxmlformats.org/officeDocument/2006/relationships/hyperlink" Target="http://www.sec.gov/Archives/edgar/data/1680581/000119312522127507/d53754ddef14a.htm" TargetMode="External"/><Relationship Id="rId59" Type="http://schemas.openxmlformats.org/officeDocument/2006/relationships/hyperlink" Target="http://www.sec.gov/ix?doc=/Archives/edgar/data/1680581/000095017022008235/fulc-20220331.htm" TargetMode="External"/><Relationship Id="rId60" Type="http://schemas.openxmlformats.org/officeDocument/2006/relationships/hyperlink" Target="http://www.sec.gov/ix?doc=/Archives/edgar/data/1680581/000095017022016644/fulc-20220630.htm" TargetMode="External"/><Relationship Id="rId61" Type="http://schemas.openxmlformats.org/officeDocument/2006/relationships/hyperlink" Target="http://www.sec.gov/ix?doc=/Archives/edgar/data/1680581/000119312522072011/d306646d8k.htm" TargetMode="External"/><Relationship Id="rId62" Type="http://schemas.openxmlformats.org/officeDocument/2006/relationships/hyperlink" Target="http://www.sec.gov/ix?doc=/Archives/edgar/data/1680581/000119312522145361/d335800d8k.htm" TargetMode="External"/><Relationship Id="rId63" Type="http://schemas.openxmlformats.org/officeDocument/2006/relationships/hyperlink" Target="http://www.sec.gov/ix?doc=/Archives/edgar/data/1680581/000119312522168375/d318754d8k.htm" TargetMode="External"/><Relationship Id="rId64" Type="http://schemas.openxmlformats.org/officeDocument/2006/relationships/hyperlink" Target="http://www.sec.gov/ix?doc=/Archives/edgar/data/1680581/000119312522171026/d334925d8k.htm" TargetMode="External"/><Relationship Id="rId65" Type="http://schemas.openxmlformats.org/officeDocument/2006/relationships/hyperlink" Target="http://www.sec.gov/ix?doc=/Archives/edgar/data/1680581/000119312522171957/d369471d8k.htm" TargetMode="External"/><Relationship Id="rId66" Type="http://schemas.openxmlformats.org/officeDocument/2006/relationships/hyperlink" Target="http://www.sec.gov/ix?doc=/Archives/edgar/data/1680581/000119312522191340/d338706d8k.htm" TargetMode="External"/><Relationship Id="rId67" Type="http://schemas.openxmlformats.org/officeDocument/2006/relationships/hyperlink" Target="http://www.sec.gov/ix?doc=/Archives/edgar/data/1680581/000095017022016633/fulc-20220811.htm" TargetMode="External"/><Relationship Id="rId68" Type="http://schemas.openxmlformats.org/officeDocument/2006/relationships/hyperlink" Target="http://www.sec.gov/ix?doc=/Archives/edgar/data/1680581/000119312522217954/d346123d8k.htm" TargetMode="External"/><Relationship Id="rId69" Type="http://schemas.openxmlformats.org/officeDocument/2006/relationships/hyperlink" Target="http://www.sec.gov/Archives/edgar/data/1680581/000110465919040208/a19-3408_78a12b.htm" TargetMode="External"/><Relationship Id="rId70" Type="http://schemas.openxmlformats.org/officeDocument/2006/relationships/hyperlink" Target="http://www.sec.gov/Archives/edgar/data/1680581/000156459020008951/fulc-ex42_198.htm" TargetMode="External"/><Relationship Id="rId80" Type="http://schemas.openxmlformats.org/officeDocument/2006/relationships/hyperlink" Target="http://www.sec.gov/ix?doc=/Archives/edgar/data/0001680581/000119312522001760/d237013d8k.htm" TargetMode="External"/><Relationship Id="rId81" Type="http://schemas.openxmlformats.org/officeDocument/2006/relationships/hyperlink" Target="http://www.sec.gov/ix?doc=/Archives/edgar/data/0001680581/000119312522005038/d157429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2022-08-15T18:30:49Z</dcterms:created>
  <dcterms:modified xsi:type="dcterms:W3CDTF">2022-08-15T18:30:49Z</dcterms:modified>
</cp:coreProperties>
</file>