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 (Amendment No. __N/A__)*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500" w:right="8440" w:hanging="7"/>
        <w:spacing w:after="0" w:line="530" w:lineRule="auto"/>
        <w:tabs>
          <w:tab w:leader="none" w:pos="165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Rule 13d-1(b) [X] Rule 13d-1(c)</w:t>
      </w:r>
    </w:p>
    <w:p>
      <w:pPr>
        <w:ind w:left="1640" w:hanging="147"/>
        <w:spacing w:after="0"/>
        <w:tabs>
          <w:tab w:leader="none" w:pos="1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48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RTW Investments, LP</w:t>
      </w: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8"/>
          <w:szCs w:val="18"/>
          <w:color w:val="auto"/>
        </w:rPr>
        <w:t>(a)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right="6780" w:hanging="652"/>
        <w:spacing w:after="0" w:line="53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660" w:right="858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60" w:right="832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2,071,409 *</w:t>
      </w:r>
    </w:p>
    <w:p>
      <w:pPr>
        <w:spacing w:after="0" w:line="1" w:lineRule="exact"/>
        <w:rPr>
          <w:rFonts w:ascii="Times New Roman" w:cs="Times New Roman" w:eastAsia="Times New Roman" w:hAnsi="Times New Roman"/>
          <w:sz w:val="18"/>
          <w:szCs w:val="18"/>
          <w:color w:val="auto"/>
        </w:rPr>
      </w:pPr>
    </w:p>
    <w:p>
      <w:pPr>
        <w:ind w:left="660" w:right="818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60" w:right="792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2,071,409 *</w:t>
      </w:r>
    </w:p>
    <w:p>
      <w:pPr>
        <w:spacing w:after="0" w:line="1" w:lineRule="exact"/>
        <w:rPr>
          <w:rFonts w:ascii="Times New Roman" w:cs="Times New Roman" w:eastAsia="Times New Roman" w:hAnsi="Times New Roman"/>
          <w:sz w:val="18"/>
          <w:szCs w:val="18"/>
          <w:color w:val="auto"/>
        </w:rPr>
      </w:pPr>
    </w:p>
    <w:p>
      <w:pPr>
        <w:ind w:left="660" w:right="390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2,071,409 *</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5"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0" w:right="5380" w:hanging="652"/>
        <w:spacing w:after="0" w:line="5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7.55% *</w:t>
      </w:r>
    </w:p>
    <w:p>
      <w:pPr>
        <w:spacing w:after="0" w:line="1" w:lineRule="exact"/>
        <w:rPr>
          <w:rFonts w:ascii="Times New Roman" w:cs="Times New Roman" w:eastAsia="Times New Roman" w:hAnsi="Times New Roman"/>
          <w:sz w:val="18"/>
          <w:szCs w:val="18"/>
          <w:color w:val="auto"/>
        </w:rPr>
      </w:pPr>
    </w:p>
    <w:p>
      <w:pPr>
        <w:ind w:left="660" w:right="6120" w:hanging="652"/>
        <w:spacing w:after="0" w:line="53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2" w:name="page3"/>
    <w:bookmarkEnd w:id="2"/>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48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RTW Master Fund, Ltd.</w:t>
      </w: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8"/>
          <w:szCs w:val="18"/>
          <w:color w:val="auto"/>
        </w:rPr>
        <w:t>(a)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right="6780" w:hanging="652"/>
        <w:spacing w:after="0" w:line="53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660" w:right="8580" w:hanging="652"/>
        <w:spacing w:after="0" w:line="5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60" w:right="8320" w:hanging="652"/>
        <w:spacing w:after="0" w:line="5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1,440,075 *</w:t>
      </w:r>
    </w:p>
    <w:p>
      <w:pPr>
        <w:spacing w:after="0" w:line="1" w:lineRule="exact"/>
        <w:rPr>
          <w:rFonts w:ascii="Times New Roman" w:cs="Times New Roman" w:eastAsia="Times New Roman" w:hAnsi="Times New Roman"/>
          <w:sz w:val="18"/>
          <w:szCs w:val="18"/>
          <w:color w:val="auto"/>
        </w:rPr>
      </w:pPr>
    </w:p>
    <w:p>
      <w:pPr>
        <w:ind w:left="660" w:right="8180" w:hanging="652"/>
        <w:spacing w:after="0" w:line="5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60" w:right="7920" w:hanging="652"/>
        <w:spacing w:after="0" w:line="5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1,440,075 *</w:t>
      </w:r>
    </w:p>
    <w:p>
      <w:pPr>
        <w:spacing w:after="0" w:line="1" w:lineRule="exact"/>
        <w:rPr>
          <w:rFonts w:ascii="Times New Roman" w:cs="Times New Roman" w:eastAsia="Times New Roman" w:hAnsi="Times New Roman"/>
          <w:sz w:val="18"/>
          <w:szCs w:val="18"/>
          <w:color w:val="auto"/>
        </w:rPr>
      </w:pPr>
    </w:p>
    <w:p>
      <w:pPr>
        <w:ind w:left="660" w:right="3900" w:hanging="652"/>
        <w:spacing w:after="0" w:line="5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1,440,075 *</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spacing w:after="0" w:line="225" w:lineRule="exact"/>
        <w:rPr>
          <w:rFonts w:ascii="Times New Roman" w:cs="Times New Roman" w:eastAsia="Times New Roman" w:hAnsi="Times New Roman"/>
          <w:sz w:val="18"/>
          <w:szCs w:val="18"/>
          <w:color w:val="auto"/>
        </w:rPr>
      </w:pPr>
    </w:p>
    <w:p>
      <w:pPr>
        <w:ind w:left="660" w:right="5380" w:hanging="652"/>
        <w:spacing w:after="0" w:line="5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5.25% *</w:t>
      </w:r>
    </w:p>
    <w:p>
      <w:pPr>
        <w:spacing w:after="0" w:line="1" w:lineRule="exact"/>
        <w:rPr>
          <w:rFonts w:ascii="Times New Roman" w:cs="Times New Roman" w:eastAsia="Times New Roman" w:hAnsi="Times New Roman"/>
          <w:sz w:val="18"/>
          <w:szCs w:val="18"/>
          <w:color w:val="auto"/>
        </w:rPr>
      </w:pPr>
    </w:p>
    <w:p>
      <w:pPr>
        <w:ind w:left="660" w:right="6120" w:hanging="652"/>
        <w:spacing w:after="0" w:line="53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3" w:name="page4"/>
    <w:bookmarkEnd w:id="3"/>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48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Roderick Wong</w:t>
      </w: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8"/>
          <w:szCs w:val="18"/>
          <w:color w:val="auto"/>
        </w:rPr>
        <w:t>(a)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right="6780" w:hanging="652"/>
        <w:spacing w:after="0" w:line="53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660" w:right="8580"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60" w:right="8320"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2,071,409 *</w:t>
      </w:r>
    </w:p>
    <w:p>
      <w:pPr>
        <w:spacing w:after="0" w:line="1" w:lineRule="exact"/>
        <w:rPr>
          <w:rFonts w:ascii="Times New Roman" w:cs="Times New Roman" w:eastAsia="Times New Roman" w:hAnsi="Times New Roman"/>
          <w:sz w:val="18"/>
          <w:szCs w:val="18"/>
          <w:color w:val="auto"/>
        </w:rPr>
      </w:pPr>
    </w:p>
    <w:p>
      <w:pPr>
        <w:ind w:left="660" w:right="8180"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60" w:right="7920"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2,071,409 *</w:t>
      </w:r>
    </w:p>
    <w:p>
      <w:pPr>
        <w:spacing w:after="0" w:line="1" w:lineRule="exact"/>
        <w:rPr>
          <w:rFonts w:ascii="Times New Roman" w:cs="Times New Roman" w:eastAsia="Times New Roman" w:hAnsi="Times New Roman"/>
          <w:sz w:val="18"/>
          <w:szCs w:val="18"/>
          <w:color w:val="auto"/>
        </w:rPr>
      </w:pPr>
    </w:p>
    <w:p>
      <w:pPr>
        <w:ind w:left="660" w:right="3900"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2,071,409 *</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right="5380"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7.55% *</w:t>
      </w:r>
    </w:p>
    <w:p>
      <w:pPr>
        <w:spacing w:after="0" w:line="1" w:lineRule="exact"/>
        <w:rPr>
          <w:rFonts w:ascii="Times New Roman" w:cs="Times New Roman" w:eastAsia="Times New Roman" w:hAnsi="Times New Roman"/>
          <w:sz w:val="18"/>
          <w:szCs w:val="18"/>
          <w:color w:val="auto"/>
        </w:rPr>
      </w:pPr>
    </w:p>
    <w:p>
      <w:pPr>
        <w:ind w:left="660" w:right="6120" w:hanging="652"/>
        <w:spacing w:after="0" w:line="53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103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103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person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103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05" w:lineRule="auto"/>
        <w:rPr>
          <w:sz w:val="20"/>
          <w:szCs w:val="20"/>
          <w:color w:val="auto"/>
        </w:rPr>
      </w:pPr>
      <w:r>
        <w:rPr>
          <w:rFonts w:ascii="Times New Roman" w:cs="Times New Roman" w:eastAsia="Times New Roman" w:hAnsi="Times New Roman"/>
          <w:sz w:val="18"/>
          <w:szCs w:val="18"/>
          <w:color w:val="auto"/>
        </w:rPr>
        <w:t>40 10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Intertrust Corporate Services (Cayman)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 Elgin Avenue, George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KY1-9001, 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Roderick Wong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RTW Investments, LP</w:t>
      </w:r>
    </w:p>
    <w:p>
      <w:pPr>
        <w:spacing w:after="0" w:line="192" w:lineRule="auto"/>
        <w:rPr>
          <w:sz w:val="20"/>
          <w:szCs w:val="20"/>
          <w:color w:val="auto"/>
        </w:rPr>
      </w:pPr>
      <w:r>
        <w:rPr>
          <w:rFonts w:ascii="Times New Roman" w:cs="Times New Roman" w:eastAsia="Times New Roman" w:hAnsi="Times New Roman"/>
          <w:sz w:val="18"/>
          <w:szCs w:val="18"/>
          <w:color w:val="auto"/>
        </w:rPr>
        <w:t>40 10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spacing w:after="0"/>
        <w:rPr>
          <w:sz w:val="20"/>
          <w:szCs w:val="20"/>
          <w:color w:val="auto"/>
        </w:rPr>
      </w:pPr>
      <w:r>
        <w:rPr>
          <w:rFonts w:ascii="Times New Roman" w:cs="Times New Roman" w:eastAsia="Times New Roman" w:hAnsi="Times New Roman"/>
          <w:sz w:val="18"/>
          <w:szCs w:val="18"/>
          <w:color w:val="auto"/>
        </w:rPr>
        <w:t>Floor 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103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Investments, LP –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Master Fund, Ltd. –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Roderick Wong –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103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103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103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03620" cy="1714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462915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40" w:space="380"/>
            <w:col w:w="8519"/>
          </w:cols>
          <w:pgMar w:left="320" w:top="877" w:right="1440"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620" w:hanging="640"/>
        <w:spacing w:after="0"/>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620" w:right="68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2,071,409 * RTW Master Fund, Ltd. – 1,440,075 * Roderick Wong – 2,071,409 *</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620" w:right="7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7.55% * RTW Master Fund, Ltd. – 5.25 %* Roderick Wong – 7.55% *</w:t>
      </w: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280" w:right="6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0 RTW Master Fund, Ltd. – 0 Roderick Wong – 0</w:t>
      </w:r>
    </w:p>
    <w:p>
      <w:pPr>
        <w:spacing w:after="0" w:line="17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280" w:right="6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2,071,409 * RTW Master Fund, Ltd. – 1,440,075 * Roderick Wong – 2,071,409 *</w:t>
      </w:r>
    </w:p>
    <w:p>
      <w:pPr>
        <w:spacing w:after="0" w:line="17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280" w:right="6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0 RTW Master Fund, Ltd. – 0 Roderick Wong – 0</w:t>
      </w:r>
    </w:p>
    <w:p>
      <w:pPr>
        <w:spacing w:after="0" w:line="17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280" w:right="6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 2,071,409 * RTW Master Fund, Ltd. – 1,440,075 * Roderick Wong – 2,071,409 *</w:t>
      </w:r>
    </w:p>
    <w:p>
      <w:pPr>
        <w:spacing w:after="0" w:line="216"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Common Stock (the “Shares”), of Fulcrum Therapeutics,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2,071,409 Shares, or 7.55% of the Company’s 27,452,846 Shares deemed issued and outstanding as of November 3, 2020.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-4846955</wp:posOffset>
            </wp:positionV>
            <wp:extent cx="6103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03620" cy="1714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-5695315</wp:posOffset>
            </wp:positionV>
            <wp:extent cx="6103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03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-1126490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5151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5151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32" w:lineRule="exact"/>
        <w:rPr>
          <w:sz w:val="20"/>
          <w:szCs w:val="20"/>
          <w:color w:val="auto"/>
        </w:rPr>
      </w:pPr>
    </w:p>
    <w:p>
      <w:pPr>
        <w:ind w:left="980" w:right="214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5151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5151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5151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Roderick Wong</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Individually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Common Stock of Fulcrum Therapeutics,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Roderick Wong</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3"/>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2020-11-13T08:59:13Z</dcterms:created>
  <dcterms:modified xsi:type="dcterms:W3CDTF">2020-11-13T08:59:13Z</dcterms:modified>
</cp:coreProperties>
</file>