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295910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320040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Fulcrum Therapeutics, Inc.</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 $0.001 par value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359616109</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July 18, 2019</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296545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04"/>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200" w:hanging="204"/>
        <w:spacing w:after="0"/>
        <w:tabs>
          <w:tab w:leader="none" w:pos="12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04"/>
        <w:spacing w:after="0"/>
        <w:tabs>
          <w:tab w:leader="none" w:pos="120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4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193040</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60"/>
          </w:cols>
          <w:pgMar w:left="440" w:top="517"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359616109</w:t>
      </w:r>
    </w:p>
    <w:p>
      <w:pPr>
        <w:spacing w:after="0" w:line="144" w:lineRule="exact"/>
        <w:rPr>
          <w:sz w:val="20"/>
          <w:szCs w:val="20"/>
          <w:color w:val="auto"/>
        </w:rPr>
      </w:pPr>
    </w:p>
    <w:p>
      <w:pPr>
        <w:ind w:left="260"/>
        <w:spacing w:after="0"/>
        <w:tabs>
          <w:tab w:leader="none" w:pos="5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006590" cy="5240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6590" cy="5240020"/>
                    </a:xfrm>
                    <a:prstGeom prst="rect">
                      <a:avLst/>
                    </a:prstGeom>
                    <a:noFill/>
                  </pic:spPr>
                </pic:pic>
              </a:graphicData>
            </a:graphic>
          </wp:anchor>
        </w:drawing>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92"/>
              </w:rPr>
              <w:t>SANOFI</w:t>
            </w:r>
          </w:p>
        </w:tc>
        <w:tc>
          <w:tcPr>
            <w:tcW w:w="6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8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105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60" w:type="dxa"/>
            <w:vAlign w:val="bottom"/>
          </w:tcPr>
          <w:p>
            <w:pPr>
              <w:spacing w:after="0"/>
              <w:rPr>
                <w:sz w:val="24"/>
                <w:szCs w:val="24"/>
                <w:color w:val="auto"/>
              </w:rPr>
            </w:pPr>
          </w:p>
        </w:tc>
        <w:tc>
          <w:tcPr>
            <w:tcW w:w="9720" w:type="dxa"/>
            <w:vAlign w:val="bottom"/>
            <w:gridSpan w:val="2"/>
          </w:tcPr>
          <w:p>
            <w:pPr>
              <w:jc w:val="right"/>
              <w:ind w:right="9142"/>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6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The Republic of France</w:t>
            </w:r>
          </w:p>
        </w:tc>
        <w:tc>
          <w:tcPr>
            <w:tcW w:w="0" w:type="dxa"/>
            <w:vAlign w:val="bottom"/>
          </w:tcPr>
          <w:p>
            <w:pPr>
              <w:spacing w:after="0"/>
              <w:rPr>
                <w:sz w:val="1"/>
                <w:szCs w:val="1"/>
                <w:color w:val="auto"/>
              </w:rPr>
            </w:pPr>
          </w:p>
        </w:tc>
      </w:tr>
      <w:tr>
        <w:trPr>
          <w:trHeight w:val="226"/>
        </w:trPr>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19"/>
                <w:szCs w:val="19"/>
                <w:color w:val="auto"/>
              </w:rPr>
            </w:pPr>
          </w:p>
        </w:tc>
        <w:tc>
          <w:tcPr>
            <w:tcW w:w="966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040" w:type="dxa"/>
            <w:vAlign w:val="bottom"/>
            <w:tcBorders>
              <w:right w:val="single" w:sz="8" w:color="auto"/>
            </w:tcBorders>
            <w:gridSpan w:val="3"/>
            <w:vMerge w:val="restart"/>
          </w:tcPr>
          <w:p>
            <w:pPr>
              <w:jc w:val="center"/>
              <w:ind w:left="12"/>
              <w:spacing w:after="0"/>
              <w:rPr>
                <w:sz w:val="20"/>
                <w:szCs w:val="20"/>
                <w:color w:val="auto"/>
              </w:rPr>
            </w:pPr>
            <w:r>
              <w:rPr>
                <w:rFonts w:ascii="Arial" w:cs="Arial" w:eastAsia="Arial" w:hAnsi="Arial"/>
                <w:sz w:val="18"/>
                <w:szCs w:val="18"/>
                <w:color w:val="auto"/>
                <w:w w:val="92"/>
              </w:rPr>
              <w:t>Number of</w:t>
            </w: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6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558,035 shares</w:t>
            </w:r>
          </w:p>
        </w:tc>
        <w:tc>
          <w:tcPr>
            <w:tcW w:w="0" w:type="dxa"/>
            <w:vAlign w:val="bottom"/>
          </w:tcPr>
          <w:p>
            <w:pPr>
              <w:spacing w:after="0"/>
              <w:rPr>
                <w:sz w:val="1"/>
                <w:szCs w:val="1"/>
                <w:color w:val="auto"/>
              </w:rPr>
            </w:pPr>
          </w:p>
        </w:tc>
      </w:tr>
      <w:tr>
        <w:trPr>
          <w:trHeight w:val="157"/>
        </w:trPr>
        <w:tc>
          <w:tcPr>
            <w:tcW w:w="1040" w:type="dxa"/>
            <w:vAlign w:val="bottom"/>
            <w:tcBorders>
              <w:right w:val="single" w:sz="8" w:color="auto"/>
            </w:tcBorders>
            <w:gridSpan w:val="3"/>
            <w:vMerge w:val="continue"/>
          </w:tcPr>
          <w:p>
            <w:pPr>
              <w:spacing w:after="0"/>
              <w:rPr>
                <w:sz w:val="13"/>
                <w:szCs w:val="13"/>
                <w:color w:val="auto"/>
              </w:rPr>
            </w:pPr>
          </w:p>
        </w:tc>
        <w:tc>
          <w:tcPr>
            <w:tcW w:w="260" w:type="dxa"/>
            <w:vAlign w:val="bottom"/>
          </w:tcPr>
          <w:p>
            <w:pPr>
              <w:jc w:val="right"/>
              <w:spacing w:after="0" w:line="157" w:lineRule="exact"/>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13"/>
                <w:szCs w:val="13"/>
                <w:color w:val="auto"/>
              </w:rPr>
            </w:pPr>
          </w:p>
        </w:tc>
        <w:tc>
          <w:tcPr>
            <w:tcW w:w="9660" w:type="dxa"/>
            <w:vAlign w:val="bottom"/>
          </w:tcPr>
          <w:p>
            <w:pPr>
              <w:ind w:left="100"/>
              <w:spacing w:after="0" w:line="157"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7"/>
        </w:trPr>
        <w:tc>
          <w:tcPr>
            <w:tcW w:w="1040" w:type="dxa"/>
            <w:vAlign w:val="bottom"/>
            <w:tcBorders>
              <w:right w:val="single" w:sz="8" w:color="auto"/>
            </w:tcBorders>
            <w:gridSpan w:val="3"/>
          </w:tcPr>
          <w:p>
            <w:pPr>
              <w:jc w:val="center"/>
              <w:ind w:left="32"/>
              <w:spacing w:after="0" w:line="107" w:lineRule="exact"/>
              <w:rPr>
                <w:sz w:val="20"/>
                <w:szCs w:val="20"/>
                <w:color w:val="auto"/>
              </w:rPr>
            </w:pPr>
            <w:r>
              <w:rPr>
                <w:rFonts w:ascii="Arial" w:cs="Arial" w:eastAsia="Arial" w:hAnsi="Arial"/>
                <w:sz w:val="12"/>
                <w:szCs w:val="12"/>
                <w:color w:val="auto"/>
              </w:rPr>
              <w:t>Shares</w:t>
            </w:r>
          </w:p>
        </w:tc>
        <w:tc>
          <w:tcPr>
            <w:tcW w:w="26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9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4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6"/>
              </w:rPr>
              <w:t>Beneficially</w:t>
            </w:r>
          </w:p>
        </w:tc>
        <w:tc>
          <w:tcPr>
            <w:tcW w:w="26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660" w:type="dxa"/>
            <w:vAlign w:val="bottom"/>
            <w:vMerge w:val="restart"/>
          </w:tcPr>
          <w:p>
            <w:pPr>
              <w:ind w:left="100"/>
              <w:spacing w:after="0"/>
              <w:rPr>
                <w:sz w:val="20"/>
                <w:szCs w:val="20"/>
                <w:color w:val="auto"/>
              </w:rPr>
            </w:pPr>
            <w:r>
              <w:rPr>
                <w:rFonts w:ascii="Arial" w:cs="Arial" w:eastAsia="Arial" w:hAnsi="Arial"/>
                <w:sz w:val="22"/>
                <w:szCs w:val="22"/>
                <w:color w:val="auto"/>
              </w:rPr>
              <w:t>0 share</w:t>
            </w:r>
          </w:p>
        </w:tc>
        <w:tc>
          <w:tcPr>
            <w:tcW w:w="0" w:type="dxa"/>
            <w:vAlign w:val="bottom"/>
          </w:tcPr>
          <w:p>
            <w:pPr>
              <w:spacing w:after="0"/>
              <w:rPr>
                <w:sz w:val="1"/>
                <w:szCs w:val="1"/>
                <w:color w:val="auto"/>
              </w:rPr>
            </w:pPr>
          </w:p>
        </w:tc>
      </w:tr>
      <w:tr>
        <w:trPr>
          <w:trHeight w:val="230"/>
        </w:trPr>
        <w:tc>
          <w:tcPr>
            <w:tcW w:w="1040" w:type="dxa"/>
            <w:vAlign w:val="bottom"/>
            <w:tcBorders>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1"/>
              </w:rPr>
              <w:t>Owned by</w:t>
            </w: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6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660" w:type="dxa"/>
            <w:vAlign w:val="bottom"/>
            <w:tcBorders>
              <w:right w:val="single" w:sz="8" w:color="auto"/>
            </w:tcBorders>
            <w:gridSpan w:val="2"/>
          </w:tcPr>
          <w:p>
            <w:pPr>
              <w:jc w:val="center"/>
              <w:ind w:right="163"/>
              <w:spacing w:after="0" w:line="182" w:lineRule="exact"/>
              <w:rPr>
                <w:sz w:val="20"/>
                <w:szCs w:val="20"/>
                <w:color w:val="auto"/>
              </w:rPr>
            </w:pPr>
            <w:r>
              <w:rPr>
                <w:rFonts w:ascii="Arial" w:cs="Arial" w:eastAsia="Arial" w:hAnsi="Arial"/>
                <w:sz w:val="18"/>
                <w:szCs w:val="18"/>
                <w:color w:val="auto"/>
                <w:w w:val="87"/>
              </w:rPr>
              <w:t>Each</w:t>
            </w:r>
          </w:p>
        </w:tc>
        <w:tc>
          <w:tcPr>
            <w:tcW w:w="26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60" w:type="dxa"/>
            <w:vAlign w:val="bottom"/>
            <w:tcBorders>
              <w:right w:val="single" w:sz="8" w:color="auto"/>
            </w:tcBorders>
          </w:tcPr>
          <w:p>
            <w:pPr>
              <w:spacing w:after="0"/>
              <w:rPr>
                <w:sz w:val="15"/>
                <w:szCs w:val="15"/>
                <w:color w:val="auto"/>
              </w:rPr>
            </w:pPr>
          </w:p>
        </w:tc>
        <w:tc>
          <w:tcPr>
            <w:tcW w:w="966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Reporting</w:t>
            </w:r>
          </w:p>
        </w:tc>
        <w:tc>
          <w:tcPr>
            <w:tcW w:w="26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040" w:type="dxa"/>
            <w:vAlign w:val="bottom"/>
            <w:tcBorders>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4"/>
              </w:rPr>
              <w:t>Person</w:t>
            </w:r>
          </w:p>
        </w:tc>
        <w:tc>
          <w:tcPr>
            <w:tcW w:w="26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9660" w:type="dxa"/>
            <w:vAlign w:val="bottom"/>
          </w:tcPr>
          <w:p>
            <w:pPr>
              <w:ind w:left="100"/>
              <w:spacing w:after="0" w:line="244" w:lineRule="exact"/>
              <w:rPr>
                <w:sz w:val="20"/>
                <w:szCs w:val="20"/>
                <w:color w:val="auto"/>
              </w:rPr>
            </w:pPr>
            <w:r>
              <w:rPr>
                <w:rFonts w:ascii="Arial" w:cs="Arial" w:eastAsia="Arial" w:hAnsi="Arial"/>
                <w:sz w:val="22"/>
                <w:szCs w:val="22"/>
                <w:color w:val="auto"/>
              </w:rPr>
              <w:t>558,035 shares</w:t>
            </w:r>
          </w:p>
        </w:tc>
        <w:tc>
          <w:tcPr>
            <w:tcW w:w="0" w:type="dxa"/>
            <w:vAlign w:val="bottom"/>
          </w:tcPr>
          <w:p>
            <w:pPr>
              <w:spacing w:after="0"/>
              <w:rPr>
                <w:sz w:val="1"/>
                <w:szCs w:val="1"/>
                <w:color w:val="auto"/>
              </w:rPr>
            </w:pPr>
          </w:p>
        </w:tc>
      </w:tr>
      <w:tr>
        <w:trPr>
          <w:trHeight w:val="68"/>
        </w:trPr>
        <w:tc>
          <w:tcPr>
            <w:tcW w:w="380" w:type="dxa"/>
            <w:vAlign w:val="bottom"/>
          </w:tcPr>
          <w:p>
            <w:pPr>
              <w:spacing w:after="0"/>
              <w:rPr>
                <w:sz w:val="5"/>
                <w:szCs w:val="5"/>
                <w:color w:val="auto"/>
              </w:rPr>
            </w:pPr>
          </w:p>
        </w:tc>
        <w:tc>
          <w:tcPr>
            <w:tcW w:w="660" w:type="dxa"/>
            <w:vAlign w:val="bottom"/>
            <w:tcBorders>
              <w:right w:val="single" w:sz="8" w:color="auto"/>
            </w:tcBorders>
            <w:gridSpan w:val="2"/>
            <w:vMerge w:val="restart"/>
          </w:tcPr>
          <w:p>
            <w:pPr>
              <w:jc w:val="center"/>
              <w:ind w:right="163"/>
              <w:spacing w:after="0"/>
              <w:rPr>
                <w:sz w:val="20"/>
                <w:szCs w:val="20"/>
                <w:color w:val="auto"/>
              </w:rPr>
            </w:pPr>
            <w:r>
              <w:rPr>
                <w:rFonts w:ascii="Arial" w:cs="Arial" w:eastAsia="Arial" w:hAnsi="Arial"/>
                <w:sz w:val="18"/>
                <w:szCs w:val="18"/>
                <w:color w:val="auto"/>
                <w:w w:val="99"/>
              </w:rPr>
              <w:t>With</w:t>
            </w:r>
          </w:p>
        </w:tc>
        <w:tc>
          <w:tcPr>
            <w:tcW w:w="26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9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Pr>
          <w:p>
            <w:pPr>
              <w:spacing w:after="0"/>
              <w:rPr>
                <w:sz w:val="12"/>
                <w:szCs w:val="12"/>
                <w:color w:val="auto"/>
              </w:rPr>
            </w:pPr>
          </w:p>
        </w:tc>
        <w:tc>
          <w:tcPr>
            <w:tcW w:w="660" w:type="dxa"/>
            <w:vAlign w:val="bottom"/>
            <w:tcBorders>
              <w:right w:val="single" w:sz="8" w:color="auto"/>
            </w:tcBorders>
            <w:gridSpan w:val="2"/>
            <w:vMerge w:val="continue"/>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right w:val="single" w:sz="8" w:color="auto"/>
            </w:tcBorders>
          </w:tcPr>
          <w:p>
            <w:pPr>
              <w:spacing w:after="0"/>
              <w:rPr>
                <w:sz w:val="12"/>
                <w:szCs w:val="12"/>
                <w:color w:val="auto"/>
              </w:rPr>
            </w:pPr>
          </w:p>
        </w:tc>
        <w:tc>
          <w:tcPr>
            <w:tcW w:w="966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260" w:type="dxa"/>
            <w:vAlign w:val="bottom"/>
            <w:vMerge w:val="continue"/>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9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6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 share</w:t>
            </w:r>
          </w:p>
        </w:tc>
        <w:tc>
          <w:tcPr>
            <w:tcW w:w="0" w:type="dxa"/>
            <w:vAlign w:val="bottom"/>
          </w:tcPr>
          <w:p>
            <w:pPr>
              <w:spacing w:after="0"/>
              <w:rPr>
                <w:sz w:val="1"/>
                <w:szCs w:val="1"/>
                <w:color w:val="auto"/>
              </w:rPr>
            </w:pPr>
          </w:p>
        </w:tc>
      </w:tr>
      <w:tr>
        <w:trPr>
          <w:trHeight w:val="226"/>
        </w:trPr>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9"/>
                <w:szCs w:val="19"/>
                <w:color w:val="auto"/>
              </w:rPr>
            </w:pPr>
          </w:p>
        </w:tc>
        <w:tc>
          <w:tcPr>
            <w:tcW w:w="920" w:type="dxa"/>
            <w:vAlign w:val="bottom"/>
            <w:gridSpan w:val="3"/>
          </w:tcPr>
          <w:p>
            <w:pPr>
              <w:ind w:left="80"/>
              <w:spacing w:after="0"/>
              <w:rPr>
                <w:sz w:val="20"/>
                <w:szCs w:val="20"/>
                <w:color w:val="auto"/>
              </w:rPr>
            </w:pPr>
            <w:r>
              <w:rPr>
                <w:rFonts w:ascii="Arial" w:cs="Arial" w:eastAsia="Arial" w:hAnsi="Arial"/>
                <w:sz w:val="18"/>
                <w:szCs w:val="18"/>
                <w:color w:val="auto"/>
                <w:w w:val="96"/>
              </w:rPr>
              <w:t>Aggregate</w:t>
            </w:r>
          </w:p>
        </w:tc>
        <w:tc>
          <w:tcPr>
            <w:tcW w:w="966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558,035 shares</w:t>
            </w:r>
          </w:p>
        </w:tc>
        <w:tc>
          <w:tcPr>
            <w:tcW w:w="0" w:type="dxa"/>
            <w:vAlign w:val="bottom"/>
          </w:tcPr>
          <w:p>
            <w:pPr>
              <w:spacing w:after="0"/>
              <w:rPr>
                <w:sz w:val="1"/>
                <w:szCs w:val="1"/>
                <w:color w:val="auto"/>
              </w:rPr>
            </w:pPr>
          </w:p>
        </w:tc>
      </w:tr>
      <w:tr>
        <w:trPr>
          <w:trHeight w:val="278"/>
        </w:trPr>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24"/>
                <w:szCs w:val="24"/>
                <w:color w:val="auto"/>
              </w:rPr>
            </w:pPr>
          </w:p>
        </w:tc>
        <w:tc>
          <w:tcPr>
            <w:tcW w:w="10580" w:type="dxa"/>
            <w:vAlign w:val="bottom"/>
            <w:gridSpan w:val="4"/>
          </w:tcPr>
          <w:p>
            <w:pPr>
              <w:ind w:left="8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40" w:type="dxa"/>
            <w:vAlign w:val="bottom"/>
            <w:tcBorders>
              <w:bottom w:val="single" w:sz="8" w:color="auto"/>
              <w:right w:val="single" w:sz="8" w:color="auto"/>
            </w:tcBorders>
            <w:gridSpan w:val="2"/>
          </w:tcPr>
          <w:p>
            <w:pPr>
              <w:spacing w:after="0"/>
              <w:rPr>
                <w:sz w:val="16"/>
                <w:szCs w:val="16"/>
                <w:color w:val="auto"/>
              </w:rPr>
            </w:pPr>
          </w:p>
        </w:tc>
        <w:tc>
          <w:tcPr>
            <w:tcW w:w="10580" w:type="dxa"/>
            <w:vAlign w:val="bottom"/>
            <w:tcBorders>
              <w:bottom w:val="single" w:sz="8" w:color="auto"/>
            </w:tcBorders>
            <w:gridSpan w:val="4"/>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w w:val="95"/>
              </w:rPr>
              <w:t>2.4%</w:t>
            </w: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CO</w:t>
            </w: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03"/>
        </w:trPr>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720" w:type="dxa"/>
            <w:vAlign w:val="bottom"/>
            <w:gridSpan w:val="2"/>
          </w:tcPr>
          <w:p>
            <w:pPr>
              <w:jc w:val="right"/>
              <w:ind w:right="538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This Schedule 13G is being filed to reflect that the reporting person (i) on July 18, 2019 became the beneficial owner of more than five percent of the total number of outstanding Common Stock of the Issuer when it acquired the right to convert its Series B Preferred Stock into Common Stock,</w:t>
      </w:r>
    </w:p>
    <w:p>
      <w:pPr>
        <w:ind w:right="80" w:firstLine="4"/>
        <w:spacing w:after="0" w:line="261" w:lineRule="auto"/>
        <w:tabs>
          <w:tab w:leader="none" w:pos="265"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purchased 93,750 shares in the context of the Issuer’s initial public offering and (iii) as of July 22, 2019 is no longer the beneficial owner of more than five percent of the total number of outstanding Common Stock of the Issuer.</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560" w:hanging="462"/>
        <w:spacing w:after="0"/>
        <w:tabs>
          <w:tab w:leader="none" w:pos="1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560"/>
        <w:spacing w:after="0"/>
        <w:rPr>
          <w:rFonts w:ascii="Arial" w:cs="Arial" w:eastAsia="Arial" w:hAnsi="Arial"/>
          <w:sz w:val="18"/>
          <w:szCs w:val="18"/>
          <w:color w:val="auto"/>
        </w:rPr>
      </w:pPr>
      <w:r>
        <w:rPr>
          <w:rFonts w:ascii="Arial" w:cs="Arial" w:eastAsia="Arial" w:hAnsi="Arial"/>
          <w:sz w:val="18"/>
          <w:szCs w:val="18"/>
          <w:color w:val="auto"/>
        </w:rPr>
        <w:t>Fulcrum Therapeutics, Inc.</w:t>
      </w:r>
    </w:p>
    <w:p>
      <w:pPr>
        <w:spacing w:after="0" w:line="35" w:lineRule="exact"/>
        <w:rPr>
          <w:rFonts w:ascii="Arial" w:cs="Arial" w:eastAsia="Arial" w:hAnsi="Arial"/>
          <w:sz w:val="18"/>
          <w:szCs w:val="18"/>
          <w:color w:val="auto"/>
        </w:rPr>
      </w:pPr>
    </w:p>
    <w:p>
      <w:pPr>
        <w:jc w:val="both"/>
        <w:ind w:left="1560" w:right="5840" w:hanging="462"/>
        <w:spacing w:after="0" w:line="342" w:lineRule="auto"/>
        <w:tabs>
          <w:tab w:leader="none" w:pos="1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Address of Issuer’s Principal Executive Offices 26 Landsdowne Street, Cambridge, MA 02139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993140</wp:posOffset>
            </wp:positionH>
            <wp:positionV relativeFrom="paragraph">
              <wp:posOffset>-349250</wp:posOffset>
            </wp:positionV>
            <wp:extent cx="60115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11545" cy="8890"/>
                    </a:xfrm>
                    <a:prstGeom prst="rect">
                      <a:avLst/>
                    </a:prstGeom>
                    <a:noFill/>
                  </pic:spPr>
                </pic:pic>
              </a:graphicData>
            </a:graphic>
          </wp:anchor>
        </w:drawing>
        <w:drawing>
          <wp:anchor simplePos="0" relativeHeight="251657728" behindDoc="1" locked="0" layoutInCell="0" allowOverlap="1">
            <wp:simplePos x="0" y="0"/>
            <wp:positionH relativeFrom="column">
              <wp:posOffset>993140</wp:posOffset>
            </wp:positionH>
            <wp:positionV relativeFrom="paragraph">
              <wp:posOffset>-48895</wp:posOffset>
            </wp:positionV>
            <wp:extent cx="60115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560" w:right="7620" w:hanging="462"/>
        <w:spacing w:after="0" w:line="274" w:lineRule="auto"/>
        <w:tabs>
          <w:tab w:leader="none" w:pos="1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Person Filing Sanofi</w:t>
      </w:r>
    </w:p>
    <w:p>
      <w:pPr>
        <w:ind w:left="1560" w:right="4980" w:hanging="462"/>
        <w:spacing w:after="0" w:line="274" w:lineRule="auto"/>
        <w:tabs>
          <w:tab w:leader="none" w:pos="1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54 Rue La Boétie, 75008 Paris (France)</w:t>
      </w:r>
    </w:p>
    <w:p>
      <w:pPr>
        <w:ind w:left="1560" w:hanging="462"/>
        <w:spacing w:after="0"/>
        <w:tabs>
          <w:tab w:leader="none" w:pos="1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560"/>
        <w:spacing w:after="0"/>
        <w:rPr>
          <w:rFonts w:ascii="Arial" w:cs="Arial" w:eastAsia="Arial" w:hAnsi="Arial"/>
          <w:sz w:val="18"/>
          <w:szCs w:val="18"/>
          <w:color w:val="auto"/>
        </w:rPr>
      </w:pPr>
      <w:r>
        <w:rPr>
          <w:rFonts w:ascii="Arial" w:cs="Arial" w:eastAsia="Arial" w:hAnsi="Arial"/>
          <w:sz w:val="18"/>
          <w:szCs w:val="18"/>
          <w:color w:val="auto"/>
        </w:rPr>
        <w:t>The Republic of France</w:t>
      </w:r>
    </w:p>
    <w:p>
      <w:pPr>
        <w:spacing w:after="0" w:line="35" w:lineRule="exact"/>
        <w:rPr>
          <w:rFonts w:ascii="Arial" w:cs="Arial" w:eastAsia="Arial" w:hAnsi="Arial"/>
          <w:sz w:val="18"/>
          <w:szCs w:val="18"/>
          <w:color w:val="auto"/>
        </w:rPr>
      </w:pPr>
    </w:p>
    <w:p>
      <w:pPr>
        <w:ind w:left="1560" w:right="6840" w:hanging="462"/>
        <w:spacing w:after="0" w:line="308" w:lineRule="auto"/>
        <w:tabs>
          <w:tab w:leader="none" w:pos="15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Title of Class of Securities Common Stock, $0.001 par value</w:t>
      </w:r>
    </w:p>
    <w:p>
      <w:pPr>
        <w:ind w:left="1560" w:right="8120" w:hanging="462"/>
        <w:spacing w:after="0" w:line="342" w:lineRule="auto"/>
        <w:tabs>
          <w:tab w:leader="none" w:pos="15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CUSIP Number 359616109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993140</wp:posOffset>
            </wp:positionH>
            <wp:positionV relativeFrom="paragraph">
              <wp:posOffset>-1249680</wp:posOffset>
            </wp:positionV>
            <wp:extent cx="60115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11545" cy="8890"/>
                    </a:xfrm>
                    <a:prstGeom prst="rect">
                      <a:avLst/>
                    </a:prstGeom>
                    <a:noFill/>
                  </pic:spPr>
                </pic:pic>
              </a:graphicData>
            </a:graphic>
          </wp:anchor>
        </w:drawing>
        <w:drawing>
          <wp:anchor simplePos="0" relativeHeight="251657728" behindDoc="1" locked="0" layoutInCell="0" allowOverlap="1">
            <wp:simplePos x="0" y="0"/>
            <wp:positionH relativeFrom="column">
              <wp:posOffset>993140</wp:posOffset>
            </wp:positionH>
            <wp:positionV relativeFrom="paragraph">
              <wp:posOffset>-949325</wp:posOffset>
            </wp:positionV>
            <wp:extent cx="60115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11545" cy="8890"/>
                    </a:xfrm>
                    <a:prstGeom prst="rect">
                      <a:avLst/>
                    </a:prstGeom>
                    <a:noFill/>
                  </pic:spPr>
                </pic:pic>
              </a:graphicData>
            </a:graphic>
          </wp:anchor>
        </w:drawing>
        <w:drawing>
          <wp:anchor simplePos="0" relativeHeight="251657728" behindDoc="1" locked="0" layoutInCell="0" allowOverlap="1">
            <wp:simplePos x="0" y="0"/>
            <wp:positionH relativeFrom="column">
              <wp:posOffset>993140</wp:posOffset>
            </wp:positionH>
            <wp:positionV relativeFrom="paragraph">
              <wp:posOffset>-648970</wp:posOffset>
            </wp:positionV>
            <wp:extent cx="60115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11545" cy="8890"/>
                    </a:xfrm>
                    <a:prstGeom prst="rect">
                      <a:avLst/>
                    </a:prstGeom>
                    <a:noFill/>
                  </pic:spPr>
                </pic:pic>
              </a:graphicData>
            </a:graphic>
          </wp:anchor>
        </w:drawing>
        <w:drawing>
          <wp:anchor simplePos="0" relativeHeight="251657728" behindDoc="1" locked="0" layoutInCell="0" allowOverlap="1">
            <wp:simplePos x="0" y="0"/>
            <wp:positionH relativeFrom="column">
              <wp:posOffset>993140</wp:posOffset>
            </wp:positionH>
            <wp:positionV relativeFrom="paragraph">
              <wp:posOffset>-349250</wp:posOffset>
            </wp:positionV>
            <wp:extent cx="60115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11545" cy="8890"/>
                    </a:xfrm>
                    <a:prstGeom prst="rect">
                      <a:avLst/>
                    </a:prstGeom>
                    <a:noFill/>
                  </pic:spPr>
                </pic:pic>
              </a:graphicData>
            </a:graphic>
          </wp:anchor>
        </w:drawing>
        <w:drawing>
          <wp:anchor simplePos="0" relativeHeight="251657728" behindDoc="1" locked="0" layoutInCell="0" allowOverlap="1">
            <wp:simplePos x="0" y="0"/>
            <wp:positionH relativeFrom="column">
              <wp:posOffset>993140</wp:posOffset>
            </wp:positionH>
            <wp:positionV relativeFrom="paragraph">
              <wp:posOffset>-48895</wp:posOffset>
            </wp:positionV>
            <wp:extent cx="60115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28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02" w:lineRule="exact"/>
        <w:rPr>
          <w:sz w:val="20"/>
          <w:szCs w:val="20"/>
          <w:color w:val="auto"/>
        </w:rPr>
      </w:pPr>
    </w:p>
    <w:p>
      <w:pPr>
        <w:ind w:left="1300" w:hanging="324"/>
        <w:spacing w:after="0" w:line="207" w:lineRule="exact"/>
        <w:tabs>
          <w:tab w:leader="none" w:pos="1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00" w:hanging="324"/>
        <w:spacing w:after="0" w:line="207" w:lineRule="exact"/>
        <w:tabs>
          <w:tab w:leader="none" w:pos="1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00" w:hanging="324"/>
        <w:spacing w:after="0" w:line="207" w:lineRule="exact"/>
        <w:tabs>
          <w:tab w:leader="none" w:pos="1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00" w:hanging="324"/>
        <w:spacing w:after="0" w:line="207" w:lineRule="exact"/>
        <w:tabs>
          <w:tab w:leader="none" w:pos="1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00" w:hanging="324"/>
        <w:spacing w:after="0" w:line="207" w:lineRule="exact"/>
        <w:tabs>
          <w:tab w:leader="none" w:pos="1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1300" w:hanging="324"/>
        <w:spacing w:after="0" w:line="207" w:lineRule="exact"/>
        <w:tabs>
          <w:tab w:leader="none" w:pos="1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1300" w:hanging="324"/>
        <w:spacing w:after="0" w:line="207" w:lineRule="exact"/>
        <w:tabs>
          <w:tab w:leader="none" w:pos="1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117" w:lineRule="exact"/>
        <w:rPr>
          <w:rFonts w:ascii="Arial" w:cs="Arial" w:eastAsia="Arial" w:hAnsi="Arial"/>
          <w:sz w:val="18"/>
          <w:szCs w:val="18"/>
          <w:color w:val="auto"/>
        </w:rPr>
      </w:pPr>
    </w:p>
    <w:p>
      <w:pPr>
        <w:ind w:left="1300" w:hanging="324"/>
        <w:spacing w:after="0" w:line="207" w:lineRule="exact"/>
        <w:tabs>
          <w:tab w:leader="none" w:pos="1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117" w:lineRule="exact"/>
        <w:rPr>
          <w:rFonts w:ascii="Arial" w:cs="Arial" w:eastAsia="Arial" w:hAnsi="Arial"/>
          <w:sz w:val="18"/>
          <w:szCs w:val="18"/>
          <w:color w:val="auto"/>
        </w:rPr>
      </w:pPr>
    </w:p>
    <w:p>
      <w:pPr>
        <w:ind w:left="1580" w:hanging="604"/>
        <w:spacing w:after="0" w:line="239" w:lineRule="exact"/>
        <w:tabs>
          <w:tab w:leader="none" w:pos="131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20"/>
          </w:cols>
          <w:pgMar w:left="440" w:top="270" w:right="639" w:bottom="1440" w:gutter="0" w:footer="0" w:header="0"/>
        </w:sectPr>
      </w:pPr>
    </w:p>
    <w:bookmarkStart w:id="3" w:name="page4"/>
    <w:bookmarkEnd w:id="3"/>
    <w:p>
      <w:pPr>
        <w:ind w:left="1080" w:hanging="306"/>
        <w:spacing w:after="0" w:line="207" w:lineRule="exact"/>
        <w:tabs>
          <w:tab w:leader="none" w:pos="108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color w:val="auto"/>
        </w:rPr>
        <w:t xml:space="preserve"> A non-U.S. institution in accordance with § 240.13d–1(b)(1)(ii)(J);</w:t>
      </w:r>
    </w:p>
    <w:p>
      <w:pPr>
        <w:spacing w:after="0" w:line="130" w:lineRule="exact"/>
        <w:rPr>
          <w:rFonts w:ascii="Arial" w:cs="Arial" w:eastAsia="Arial" w:hAnsi="Arial"/>
          <w:sz w:val="18"/>
          <w:szCs w:val="18"/>
          <w:color w:val="auto"/>
        </w:rPr>
      </w:pPr>
    </w:p>
    <w:p>
      <w:pPr>
        <w:ind w:left="1420" w:right="140" w:hanging="646"/>
        <w:spacing w:after="0" w:line="239" w:lineRule="exact"/>
        <w:tabs>
          <w:tab w:leader="none" w:pos="1072"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240.13d–1(b)(1)(ii)(K). If filing as a non-U.S. institution in accordance with § 240.13d–1(b)(1)(ii)(J), please specify the type of institution:</w:t>
      </w:r>
    </w:p>
    <w:p>
      <w:pPr>
        <w:spacing w:after="0" w:line="3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142" w:lineRule="exact"/>
        <w:rPr>
          <w:sz w:val="20"/>
          <w:szCs w:val="20"/>
          <w:color w:val="auto"/>
        </w:rPr>
      </w:pPr>
    </w:p>
    <w:p>
      <w:pPr>
        <w:ind w:left="1420" w:hanging="430"/>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558,035 shares</w:t>
      </w:r>
    </w:p>
    <w:p>
      <w:pPr>
        <w:spacing w:after="0" w:line="183" w:lineRule="exact"/>
        <w:rPr>
          <w:rFonts w:ascii="Arial" w:cs="Arial" w:eastAsia="Arial" w:hAnsi="Arial"/>
          <w:sz w:val="18"/>
          <w:szCs w:val="18"/>
          <w:color w:val="auto"/>
        </w:rPr>
      </w:pPr>
    </w:p>
    <w:p>
      <w:pPr>
        <w:ind w:left="1420" w:hanging="430"/>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2.4%</w:t>
      </w:r>
    </w:p>
    <w:p>
      <w:pPr>
        <w:spacing w:after="0" w:line="183" w:lineRule="exact"/>
        <w:rPr>
          <w:rFonts w:ascii="Arial" w:cs="Arial" w:eastAsia="Arial" w:hAnsi="Arial"/>
          <w:sz w:val="18"/>
          <w:szCs w:val="18"/>
          <w:color w:val="auto"/>
        </w:rPr>
      </w:pPr>
    </w:p>
    <w:p>
      <w:pPr>
        <w:ind w:left="1420" w:hanging="430"/>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980" w:right="6180" w:hanging="545"/>
        <w:spacing w:after="0" w:line="277" w:lineRule="auto"/>
        <w:tabs>
          <w:tab w:leader="none" w:pos="1968"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558,035 shares</w:t>
      </w:r>
    </w:p>
    <w:p>
      <w:pPr>
        <w:spacing w:after="0" w:line="143" w:lineRule="exact"/>
        <w:rPr>
          <w:rFonts w:ascii="Arial" w:cs="Arial" w:eastAsia="Arial" w:hAnsi="Arial"/>
          <w:sz w:val="18"/>
          <w:szCs w:val="18"/>
          <w:color w:val="auto"/>
        </w:rPr>
      </w:pPr>
    </w:p>
    <w:p>
      <w:pPr>
        <w:ind w:left="1980" w:right="6000" w:hanging="545"/>
        <w:spacing w:after="0" w:line="277" w:lineRule="auto"/>
        <w:tabs>
          <w:tab w:leader="none" w:pos="1968"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0 share</w:t>
      </w:r>
    </w:p>
    <w:p>
      <w:pPr>
        <w:spacing w:after="0" w:line="143" w:lineRule="exact"/>
        <w:rPr>
          <w:rFonts w:ascii="Arial" w:cs="Arial" w:eastAsia="Arial" w:hAnsi="Arial"/>
          <w:sz w:val="18"/>
          <w:szCs w:val="18"/>
          <w:color w:val="auto"/>
        </w:rPr>
      </w:pPr>
    </w:p>
    <w:p>
      <w:pPr>
        <w:ind w:left="1980" w:right="5260" w:hanging="545"/>
        <w:spacing w:after="0" w:line="277" w:lineRule="auto"/>
        <w:tabs>
          <w:tab w:leader="none" w:pos="1968"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558,035 shares</w:t>
      </w:r>
    </w:p>
    <w:p>
      <w:pPr>
        <w:spacing w:after="0" w:line="143" w:lineRule="exact"/>
        <w:rPr>
          <w:rFonts w:ascii="Arial" w:cs="Arial" w:eastAsia="Arial" w:hAnsi="Arial"/>
          <w:sz w:val="18"/>
          <w:szCs w:val="18"/>
          <w:color w:val="auto"/>
        </w:rPr>
      </w:pPr>
    </w:p>
    <w:p>
      <w:pPr>
        <w:ind w:left="1980" w:right="5080" w:hanging="545"/>
        <w:spacing w:after="0" w:line="277" w:lineRule="auto"/>
        <w:tabs>
          <w:tab w:leader="none" w:pos="1968"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924560</wp:posOffset>
            </wp:positionH>
            <wp:positionV relativeFrom="paragraph">
              <wp:posOffset>-2360295</wp:posOffset>
            </wp:positionV>
            <wp:extent cx="60801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80125" cy="8890"/>
                    </a:xfrm>
                    <a:prstGeom prst="rect">
                      <a:avLst/>
                    </a:prstGeom>
                    <a:noFill/>
                  </pic:spPr>
                </pic:pic>
              </a:graphicData>
            </a:graphic>
          </wp:anchor>
        </w:drawing>
        <w:drawing>
          <wp:anchor simplePos="0" relativeHeight="251657728" behindDoc="1" locked="0" layoutInCell="0" allowOverlap="1">
            <wp:simplePos x="0" y="0"/>
            <wp:positionH relativeFrom="column">
              <wp:posOffset>924560</wp:posOffset>
            </wp:positionH>
            <wp:positionV relativeFrom="paragraph">
              <wp:posOffset>-1965960</wp:posOffset>
            </wp:positionV>
            <wp:extent cx="60801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80125" cy="8890"/>
                    </a:xfrm>
                    <a:prstGeom prst="rect">
                      <a:avLst/>
                    </a:prstGeom>
                    <a:noFill/>
                  </pic:spPr>
                </pic:pic>
              </a:graphicData>
            </a:graphic>
          </wp:anchor>
        </w:drawing>
        <w:drawing>
          <wp:anchor simplePos="0" relativeHeight="251657728" behindDoc="1" locked="0" layoutInCell="0" allowOverlap="1">
            <wp:simplePos x="0" y="0"/>
            <wp:positionH relativeFrom="column">
              <wp:posOffset>924560</wp:posOffset>
            </wp:positionH>
            <wp:positionV relativeFrom="paragraph">
              <wp:posOffset>-1571625</wp:posOffset>
            </wp:positionV>
            <wp:extent cx="60801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80125" cy="8890"/>
                    </a:xfrm>
                    <a:prstGeom prst="rect">
                      <a:avLst/>
                    </a:prstGeom>
                    <a:noFill/>
                  </pic:spPr>
                </pic:pic>
              </a:graphicData>
            </a:graphic>
          </wp:anchor>
        </w:drawing>
        <w:drawing>
          <wp:anchor simplePos="0" relativeHeight="251657728" behindDoc="1" locked="0" layoutInCell="0" allowOverlap="1">
            <wp:simplePos x="0" y="0"/>
            <wp:positionH relativeFrom="column">
              <wp:posOffset>1267460</wp:posOffset>
            </wp:positionH>
            <wp:positionV relativeFrom="paragraph">
              <wp:posOffset>-1176655</wp:posOffset>
            </wp:positionV>
            <wp:extent cx="57372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37225" cy="8890"/>
                    </a:xfrm>
                    <a:prstGeom prst="rect">
                      <a:avLst/>
                    </a:prstGeom>
                    <a:noFill/>
                  </pic:spPr>
                </pic:pic>
              </a:graphicData>
            </a:graphic>
          </wp:anchor>
        </w:drawing>
        <w:drawing>
          <wp:anchor simplePos="0" relativeHeight="251657728" behindDoc="1" locked="0" layoutInCell="0" allowOverlap="1">
            <wp:simplePos x="0" y="0"/>
            <wp:positionH relativeFrom="column">
              <wp:posOffset>1267460</wp:posOffset>
            </wp:positionH>
            <wp:positionV relativeFrom="paragraph">
              <wp:posOffset>-782320</wp:posOffset>
            </wp:positionV>
            <wp:extent cx="57372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37225" cy="8890"/>
                    </a:xfrm>
                    <a:prstGeom prst="rect">
                      <a:avLst/>
                    </a:prstGeom>
                    <a:noFill/>
                  </pic:spPr>
                </pic:pic>
              </a:graphicData>
            </a:graphic>
          </wp:anchor>
        </w:drawing>
        <w:drawing>
          <wp:anchor simplePos="0" relativeHeight="251657728" behindDoc="1" locked="0" layoutInCell="0" allowOverlap="1">
            <wp:simplePos x="0" y="0"/>
            <wp:positionH relativeFrom="column">
              <wp:posOffset>1267460</wp:posOffset>
            </wp:positionH>
            <wp:positionV relativeFrom="paragraph">
              <wp:posOffset>-387985</wp:posOffset>
            </wp:positionV>
            <wp:extent cx="57372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37225" cy="8890"/>
                    </a:xfrm>
                    <a:prstGeom prst="rect">
                      <a:avLst/>
                    </a:prstGeom>
                    <a:noFill/>
                  </pic:spPr>
                </pic:pic>
              </a:graphicData>
            </a:graphic>
          </wp:anchor>
        </w:drawing>
        <w:drawing>
          <wp:anchor simplePos="0" relativeHeight="251657728" behindDoc="1" locked="0" layoutInCell="0" allowOverlap="1">
            <wp:simplePos x="0" y="0"/>
            <wp:positionH relativeFrom="column">
              <wp:posOffset>1267460</wp:posOffset>
            </wp:positionH>
            <wp:positionV relativeFrom="paragraph">
              <wp:posOffset>5715</wp:posOffset>
            </wp:positionV>
            <wp:extent cx="57372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3722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262890</wp:posOffset>
            </wp:positionV>
            <wp:extent cx="7632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July 22, 2019, all of the Series B Preferred Stock automatically converted into the Issuer’s Common Stock on a seven-for-one basis upon the closing of the Issuer’s initial public offering. As a result, the reporting person is no longer a 5% beneficial owner of Common Stock of the Issuer.</w:t>
      </w:r>
    </w:p>
    <w:p>
      <w:pPr>
        <w:spacing w:after="0" w:line="2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35" w:lineRule="exact"/>
        <w:rPr>
          <w:sz w:val="20"/>
          <w:szCs w:val="20"/>
          <w:color w:val="auto"/>
        </w:rPr>
      </w:pPr>
    </w:p>
    <w:p>
      <w:pPr>
        <w:spacing w:after="0"/>
        <w:tabs>
          <w:tab w:leader="none" w:pos="1480" w:val="left"/>
          <w:tab w:leader="none" w:pos="2980" w:val="left"/>
        </w:tabs>
        <w:rPr>
          <w:sz w:val="20"/>
          <w:szCs w:val="20"/>
          <w:color w:val="auto"/>
        </w:rPr>
      </w:pPr>
      <w:r>
        <w:rPr>
          <w:rFonts w:ascii="Arial" w:cs="Arial" w:eastAsia="Arial" w:hAnsi="Arial"/>
          <w:sz w:val="18"/>
          <w:szCs w:val="18"/>
          <w:color w:val="auto"/>
        </w:rPr>
        <w:t>Aventis Inc.</w:t>
      </w:r>
      <w:r>
        <w:rPr>
          <w:sz w:val="20"/>
          <w:szCs w:val="20"/>
          <w:color w:val="auto"/>
        </w:rPr>
        <w:tab/>
      </w:r>
      <w:r>
        <w:rPr>
          <w:rFonts w:ascii="Arial" w:cs="Arial" w:eastAsia="Arial" w:hAnsi="Arial"/>
          <w:sz w:val="18"/>
          <w:szCs w:val="18"/>
          <w:color w:val="auto"/>
        </w:rPr>
        <w:t>558,035 shares</w:t>
      </w:r>
      <w:r>
        <w:rPr>
          <w:sz w:val="20"/>
          <w:szCs w:val="20"/>
          <w:color w:val="auto"/>
        </w:rPr>
        <w:tab/>
      </w:r>
      <w:r>
        <w:rPr>
          <w:rFonts w:ascii="Arial" w:cs="Arial" w:eastAsia="Arial" w:hAnsi="Arial"/>
          <w:sz w:val="16"/>
          <w:szCs w:val="16"/>
          <w:color w:val="auto"/>
        </w:rPr>
        <w:t>2.4%</w:t>
      </w:r>
    </w:p>
    <w:p>
      <w:pPr>
        <w:spacing w:after="0" w:line="252" w:lineRule="exact"/>
        <w:rPr>
          <w:sz w:val="20"/>
          <w:szCs w:val="20"/>
          <w:color w:val="auto"/>
        </w:rPr>
      </w:pPr>
    </w:p>
    <w:p>
      <w:pPr>
        <w:ind w:left="5460" w:right="3380" w:hanging="5456"/>
        <w:spacing w:after="0" w:line="449" w:lineRule="auto"/>
        <w:tabs>
          <w:tab w:leader="none" w:pos="2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Common Stock is held of record by Aventis Inc., the reporting person’s wholly-owned subsidiary. 4</w:t>
      </w:r>
    </w:p>
    <w:p>
      <w:pPr>
        <w:sectPr>
          <w:pgSz w:w="11900" w:h="16838" w:orient="portrait"/>
          <w:cols w:equalWidth="0" w:num="1">
            <w:col w:w="10960"/>
          </w:cols>
          <w:pgMar w:left="440" w:top="241" w:right="499" w:bottom="1440" w:gutter="0" w:footer="0" w:header="0"/>
        </w:sectPr>
      </w:pPr>
    </w:p>
    <w:bookmarkStart w:id="4" w:name="page5"/>
    <w:bookmarkEnd w:id="4"/>
    <w:p>
      <w:pPr>
        <w:ind w:left="980" w:right="460" w:hanging="985"/>
        <w:spacing w:after="0" w:line="282" w:lineRule="auto"/>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00"/>
          </w:cols>
          <w:pgMar w:left="440" w:top="270" w:right="659" w:bottom="1440" w:gutter="0" w:footer="0" w:header="0"/>
        </w:sectPr>
      </w:pPr>
    </w:p>
    <w:bookmarkStart w:id="5" w:name="page6"/>
    <w:bookmarkEnd w:id="5"/>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7" w:lineRule="exact"/>
        <w:rPr>
          <w:sz w:val="20"/>
          <w:szCs w:val="20"/>
          <w:color w:val="auto"/>
        </w:rPr>
      </w:pPr>
    </w:p>
    <w:p>
      <w:pPr>
        <w:jc w:val="center"/>
        <w:ind w:left="6640"/>
        <w:spacing w:after="0"/>
        <w:rPr>
          <w:sz w:val="20"/>
          <w:szCs w:val="20"/>
          <w:color w:val="auto"/>
        </w:rPr>
      </w:pPr>
      <w:r>
        <w:rPr>
          <w:rFonts w:ascii="Arial" w:cs="Arial" w:eastAsia="Arial" w:hAnsi="Arial"/>
          <w:sz w:val="18"/>
          <w:szCs w:val="18"/>
          <w:color w:val="auto"/>
        </w:rPr>
        <w:t>July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jc w:val="center"/>
        <w:ind w:left="664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jc w:val="center"/>
        <w:ind w:left="6640"/>
        <w:spacing w:after="0"/>
        <w:rPr>
          <w:sz w:val="20"/>
          <w:szCs w:val="20"/>
          <w:color w:val="auto"/>
        </w:rPr>
      </w:pPr>
      <w:r>
        <w:rPr>
          <w:rFonts w:ascii="Arial" w:cs="Arial" w:eastAsia="Arial" w:hAnsi="Arial"/>
          <w:sz w:val="18"/>
          <w:szCs w:val="18"/>
          <w:color w:val="auto"/>
        </w:rPr>
        <w:t>/s/ Alexandra Roger*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jc w:val="center"/>
        <w:ind w:left="664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jc w:val="center"/>
        <w:ind w:left="6640"/>
        <w:spacing w:after="0"/>
        <w:rPr>
          <w:sz w:val="20"/>
          <w:szCs w:val="20"/>
          <w:color w:val="auto"/>
        </w:rPr>
      </w:pPr>
      <w:r>
        <w:rPr>
          <w:rFonts w:ascii="Arial" w:cs="Arial" w:eastAsia="Arial" w:hAnsi="Arial"/>
          <w:sz w:val="18"/>
          <w:szCs w:val="18"/>
          <w:color w:val="auto"/>
        </w:rPr>
        <w:t>Alexandra Roger</w:t>
      </w:r>
    </w:p>
    <w:p>
      <w:pPr>
        <w:spacing w:after="0" w:line="23" w:lineRule="exact"/>
        <w:rPr>
          <w:sz w:val="20"/>
          <w:szCs w:val="20"/>
          <w:color w:val="auto"/>
        </w:rPr>
      </w:pPr>
    </w:p>
    <w:p>
      <w:pPr>
        <w:jc w:val="center"/>
        <w:ind w:left="6640"/>
        <w:spacing w:after="0"/>
        <w:rPr>
          <w:sz w:val="20"/>
          <w:szCs w:val="20"/>
          <w:color w:val="auto"/>
        </w:rPr>
      </w:pPr>
      <w:r>
        <w:rPr>
          <w:rFonts w:ascii="Arial" w:cs="Arial" w:eastAsia="Arial" w:hAnsi="Arial"/>
          <w:sz w:val="18"/>
          <w:szCs w:val="18"/>
          <w:color w:val="auto"/>
        </w:rPr>
        <w:t>Head of Securities Law and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5715</wp:posOffset>
            </wp:positionV>
            <wp:extent cx="27959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Name/Title</w:t>
      </w:r>
    </w:p>
    <w:p>
      <w:pPr>
        <w:spacing w:after="0" w:line="252" w:lineRule="exact"/>
        <w:rPr>
          <w:sz w:val="20"/>
          <w:szCs w:val="20"/>
          <w:color w:val="auto"/>
        </w:rPr>
      </w:pPr>
    </w:p>
    <w:p>
      <w:pPr>
        <w:ind w:left="220" w:hanging="216"/>
        <w:spacing w:after="0" w:line="277" w:lineRule="auto"/>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Alexandra Roger is signing on behalf of Sanofi by power of attorney previously filed with the Securities and Exchange Commission on February 3, 2016 as Exhibit 24 to Form 4, and hereby incorporated by reference herein.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sectPr>
      <w:pgSz w:w="11900" w:h="16838" w:orient="portrait"/>
      <w:cols w:equalWidth="0" w:num="1">
        <w:col w:w="10860"/>
      </w:cols>
      <w:pgMar w:left="440" w:top="27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lvl w:ilvl="1">
      <w:lvlJc w:val="left"/>
      <w:lvlText w:val="☐"/>
      <w:numFmt w:val="bullet"/>
      <w:start w:val="1"/>
    </w:lvl>
  </w:abstractNum>
  <w:abstractNum w:abstractNumId="3">
    <w:nsid w:val="79E2A9E3"/>
    <w:multiLevelType w:val="hybridMultilevel"/>
    <w:lvl w:ilvl="0">
      <w:lvlJc w:val="left"/>
      <w:lvlText w:val="(%1)"/>
      <w:numFmt w:val="lowerRoman"/>
      <w:start w:val="2"/>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0"/>
    </w:lvl>
  </w:abstractNum>
  <w:abstractNum w:abstractNumId="8">
    <w:nsid w:val="4DB127F8"/>
    <w:multiLevelType w:val="hybridMultilevel"/>
    <w:lvl w:ilvl="0">
      <w:lvlJc w:val="left"/>
      <w:lvlText w:val="(%1)"/>
      <w:numFmt w:val="lowerLetter"/>
      <w:start w:val="1"/>
    </w:lvl>
    <w:lvl w:ilvl="1">
      <w:lvlJc w:val="left"/>
      <w:lvlText w:val="(%2)"/>
      <w:numFmt w:val="lowerRoman"/>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2019-12-21T01:31:58Z</dcterms:created>
  <dcterms:modified xsi:type="dcterms:W3CDTF">2019-12-21T01:31:58Z</dcterms:modified>
</cp:coreProperties>
</file>