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14"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333-260754</w:t>
      </w:r>
    </w:p>
    <w:p>
      <w:pPr>
        <w:spacing w:after="0" w:line="342"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PROSPECTUS SUPPLEMENT</w:t>
      </w:r>
    </w:p>
    <w:p>
      <w:pPr>
        <w:spacing w:after="0" w:line="14"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(To Prospectus dated April 28, 2022)</w:t>
      </w:r>
    </w:p>
    <w:p>
      <w:pPr>
        <w:spacing w:after="0" w:line="163" w:lineRule="exact"/>
        <w:rPr>
          <w:sz w:val="24"/>
          <w:szCs w:val="24"/>
          <w:color w:val="auto"/>
        </w:rPr>
      </w:pPr>
    </w:p>
    <w:p>
      <w:pPr>
        <w:jc w:val="center"/>
        <w:ind w:right="-99"/>
        <w:spacing w:after="0"/>
        <w:rPr>
          <w:sz w:val="20"/>
          <w:szCs w:val="20"/>
          <w:color w:val="auto"/>
        </w:rPr>
      </w:pPr>
      <w:r>
        <w:rPr>
          <w:rFonts w:ascii="Arial" w:cs="Arial" w:eastAsia="Arial" w:hAnsi="Arial"/>
          <w:sz w:val="25"/>
          <w:szCs w:val="25"/>
          <w:color w:val="auto"/>
        </w:rPr>
        <w:t>9,615,384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174625</wp:posOffset>
            </wp:positionV>
            <wp:extent cx="2922905" cy="7289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22905" cy="7289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jc w:val="center"/>
        <w:ind w:right="-99"/>
        <w:spacing w:after="0"/>
        <w:rPr>
          <w:sz w:val="20"/>
          <w:szCs w:val="20"/>
          <w:color w:val="auto"/>
        </w:rPr>
      </w:pPr>
      <w:r>
        <w:rPr>
          <w:rFonts w:ascii="Arial" w:cs="Arial" w:eastAsia="Arial" w:hAnsi="Arial"/>
          <w:sz w:val="25"/>
          <w:szCs w:val="25"/>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277495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We are offering 9,615,384 shares of our common stock.</w:t>
      </w:r>
    </w:p>
    <w:p>
      <w:pPr>
        <w:spacing w:after="0" w:line="212" w:lineRule="exact"/>
        <w:rPr>
          <w:sz w:val="24"/>
          <w:szCs w:val="24"/>
          <w:color w:val="auto"/>
        </w:rPr>
      </w:pPr>
    </w:p>
    <w:p>
      <w:pPr>
        <w:ind w:left="120" w:right="260" w:firstLine="551"/>
        <w:spacing w:after="0" w:line="271" w:lineRule="auto"/>
        <w:rPr>
          <w:sz w:val="20"/>
          <w:szCs w:val="20"/>
          <w:color w:val="auto"/>
        </w:rPr>
      </w:pPr>
      <w:r>
        <w:rPr>
          <w:rFonts w:ascii="Arial" w:cs="Arial" w:eastAsia="Arial" w:hAnsi="Arial"/>
          <w:sz w:val="18"/>
          <w:szCs w:val="18"/>
          <w:color w:val="auto"/>
        </w:rPr>
        <w:t>Our common stock is listed on The Nasdaq Global Market under the symbol “FULC”. The last reported sale price of our common stock on The Nasdaq Global Market on January 17, 2023 was $13.99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194945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ind w:left="120" w:right="40" w:firstLine="551"/>
        <w:spacing w:after="0" w:line="252" w:lineRule="auto"/>
        <w:rPr>
          <w:sz w:val="20"/>
          <w:szCs w:val="20"/>
          <w:color w:val="auto"/>
        </w:rPr>
      </w:pPr>
      <w:r>
        <w:rPr>
          <w:rFonts w:ascii="Arial" w:cs="Arial" w:eastAsia="Arial" w:hAnsi="Arial"/>
          <w:sz w:val="18"/>
          <w:szCs w:val="18"/>
          <w:i w:val="1"/>
          <w:iCs w:val="1"/>
          <w:color w:val="auto"/>
        </w:rPr>
        <w:t>Investing in our common stock involves significant risks. See “</w:t>
      </w:r>
      <w:r>
        <w:rPr>
          <w:rFonts w:ascii="Arial" w:cs="Arial" w:eastAsia="Arial" w:hAnsi="Arial"/>
          <w:sz w:val="18"/>
          <w:szCs w:val="18"/>
          <w:i w:val="1"/>
          <w:iCs w:val="1"/>
          <w:u w:val="single" w:color="auto"/>
          <w:color w:val="0000EE"/>
        </w:rPr>
        <w:t>Risk Factors</w:t>
      </w:r>
      <w:r>
        <w:rPr>
          <w:rFonts w:ascii="Arial" w:cs="Arial" w:eastAsia="Arial" w:hAnsi="Arial"/>
          <w:sz w:val="18"/>
          <w:szCs w:val="18"/>
          <w:i w:val="1"/>
          <w:iCs w:val="1"/>
          <w:color w:val="auto"/>
        </w:rPr>
        <w:t>” beginning on page S-11 of this prospectus supplement, page 2 of the accompanying base prospectus and in the documents incorporated by reference in this prospectus supplement for a discussion of the factors you should carefully consider before deciding to purchase our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205105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ind w:left="120" w:right="280" w:firstLine="551"/>
        <w:spacing w:after="0" w:line="257"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base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207010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tbl>
      <w:tblPr>
        <w:tblLayout w:type="fixed"/>
        <w:tblInd w:w="120" w:type="dxa"/>
        <w:tblCellMar>
          <w:top w:w="0" w:type="dxa"/>
          <w:left w:w="0" w:type="dxa"/>
          <w:bottom w:w="0" w:type="dxa"/>
          <w:right w:w="0" w:type="dxa"/>
        </w:tblCellMar>
      </w:tblPr>
      <w:tr>
        <w:trPr>
          <w:trHeight w:val="221"/>
        </w:trPr>
        <w:tc>
          <w:tcPr>
            <w:tcW w:w="8520" w:type="dxa"/>
            <w:vAlign w:val="bottom"/>
          </w:tcPr>
          <w:p>
            <w:pPr>
              <w:spacing w:after="0"/>
              <w:rPr>
                <w:sz w:val="19"/>
                <w:szCs w:val="19"/>
                <w:color w:val="auto"/>
              </w:rPr>
            </w:pPr>
          </w:p>
        </w:tc>
        <w:tc>
          <w:tcPr>
            <w:tcW w:w="1080" w:type="dxa"/>
            <w:vAlign w:val="bottom"/>
            <w:gridSpan w:val="3"/>
          </w:tcPr>
          <w:p>
            <w:pPr>
              <w:ind w:left="20"/>
              <w:spacing w:after="0"/>
              <w:rPr>
                <w:sz w:val="20"/>
                <w:szCs w:val="20"/>
                <w:color w:val="auto"/>
              </w:rPr>
            </w:pPr>
            <w:r>
              <w:rPr>
                <w:rFonts w:ascii="Arial" w:cs="Arial" w:eastAsia="Arial" w:hAnsi="Arial"/>
                <w:sz w:val="18"/>
                <w:szCs w:val="18"/>
                <w:color w:val="auto"/>
              </w:rPr>
              <w:t>Per Share</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ind w:left="260"/>
              <w:spacing w:after="0"/>
              <w:rPr>
                <w:sz w:val="20"/>
                <w:szCs w:val="20"/>
                <w:color w:val="auto"/>
              </w:rPr>
            </w:pPr>
            <w:r>
              <w:rPr>
                <w:rFonts w:ascii="Arial" w:cs="Arial" w:eastAsia="Arial" w:hAnsi="Arial"/>
                <w:sz w:val="18"/>
                <w:szCs w:val="18"/>
                <w:color w:val="auto"/>
              </w:rPr>
              <w:t>Total</w:t>
            </w:r>
          </w:p>
        </w:tc>
      </w:tr>
      <w:tr>
        <w:trPr>
          <w:trHeight w:val="196"/>
        </w:trPr>
        <w:tc>
          <w:tcPr>
            <w:tcW w:w="8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Public offering price</w:t>
            </w:r>
          </w:p>
        </w:tc>
        <w:tc>
          <w:tcPr>
            <w:tcW w:w="2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13.00</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124,999,992</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8520" w:type="dxa"/>
            <w:vAlign w:val="bottom"/>
          </w:tcPr>
          <w:p>
            <w:pPr>
              <w:spacing w:after="0" w:line="202" w:lineRule="exact"/>
              <w:rPr>
                <w:sz w:val="20"/>
                <w:szCs w:val="20"/>
                <w:color w:val="auto"/>
              </w:rPr>
            </w:pPr>
            <w:r>
              <w:rPr>
                <w:rFonts w:ascii="Arial" w:cs="Arial" w:eastAsia="Arial" w:hAnsi="Arial"/>
                <w:sz w:val="18"/>
                <w:szCs w:val="18"/>
                <w:color w:val="auto"/>
              </w:rPr>
              <w:t>Underwriting discounts and commissions (1)</w:t>
            </w:r>
          </w:p>
        </w:tc>
        <w:tc>
          <w:tcPr>
            <w:tcW w:w="2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0.78</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7,500,000</w:t>
            </w:r>
          </w:p>
        </w:tc>
      </w:tr>
      <w:tr>
        <w:trPr>
          <w:trHeight w:val="203"/>
        </w:trPr>
        <w:tc>
          <w:tcPr>
            <w:tcW w:w="8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to Fulcrum, before expenses</w:t>
            </w: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12.22</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9"/>
              </w:rPr>
              <w:t>117,499,992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4"/>
          <w:szCs w:val="24"/>
          <w:color w:val="auto"/>
        </w:rPr>
      </w:pPr>
    </w:p>
    <w:p>
      <w:pPr>
        <w:ind w:left="660" w:right="280" w:hanging="544"/>
        <w:spacing w:after="0" w:line="27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have agreed to reimburse the underwriters for certain FINRA-related expenses. See “Underwriting” for additional information regarding the compensation payable to the underwriters.</w:t>
      </w:r>
    </w:p>
    <w:p>
      <w:pPr>
        <w:spacing w:after="0" w:line="46" w:lineRule="exact"/>
        <w:rPr>
          <w:sz w:val="24"/>
          <w:szCs w:val="24"/>
          <w:color w:val="auto"/>
        </w:rPr>
      </w:pPr>
    </w:p>
    <w:p>
      <w:pPr>
        <w:ind w:left="120" w:right="680" w:firstLine="551"/>
        <w:spacing w:after="0" w:line="271" w:lineRule="auto"/>
        <w:rPr>
          <w:sz w:val="20"/>
          <w:szCs w:val="20"/>
          <w:color w:val="auto"/>
        </w:rPr>
      </w:pPr>
      <w:r>
        <w:rPr>
          <w:rFonts w:ascii="Arial" w:cs="Arial" w:eastAsia="Arial" w:hAnsi="Arial"/>
          <w:sz w:val="18"/>
          <w:szCs w:val="18"/>
          <w:color w:val="auto"/>
        </w:rPr>
        <w:t>We have granted the underwriters an option for a period of 30 days to purchase up to an additional 1,442,307 shares of our common stock at the public offering price less the underwriting discount.</w:t>
      </w:r>
    </w:p>
    <w:p>
      <w:pPr>
        <w:spacing w:after="0" w:line="11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underwriters expect to deliver the shares of common stock on or about January 20, 2023.</w:t>
      </w:r>
    </w:p>
    <w:p>
      <w:pPr>
        <w:spacing w:after="0" w:line="173" w:lineRule="exact"/>
        <w:rPr>
          <w:sz w:val="24"/>
          <w:szCs w:val="24"/>
          <w:color w:val="auto"/>
        </w:rPr>
      </w:pPr>
    </w:p>
    <w:p>
      <w:pPr>
        <w:ind w:left="4420"/>
        <w:spacing w:after="0"/>
        <w:rPr>
          <w:sz w:val="20"/>
          <w:szCs w:val="20"/>
          <w:color w:val="auto"/>
        </w:rPr>
      </w:pPr>
      <w:r>
        <w:rPr>
          <w:rFonts w:ascii="Arial" w:cs="Arial" w:eastAsia="Arial" w:hAnsi="Arial"/>
          <w:sz w:val="18"/>
          <w:szCs w:val="18"/>
          <w:i w:val="1"/>
          <w:iCs w:val="1"/>
          <w:color w:val="auto"/>
        </w:rPr>
        <w:t>Joint Book-Running Managers</w:t>
      </w:r>
    </w:p>
    <w:p>
      <w:pPr>
        <w:spacing w:after="0" w:line="227" w:lineRule="exact"/>
        <w:rPr>
          <w:sz w:val="24"/>
          <w:szCs w:val="24"/>
          <w:color w:val="auto"/>
        </w:rPr>
      </w:pPr>
    </w:p>
    <w:p>
      <w:pPr>
        <w:ind w:left="120"/>
        <w:spacing w:after="0"/>
        <w:tabs>
          <w:tab w:leader="none" w:pos="5020" w:val="left"/>
          <w:tab w:leader="none" w:pos="9720" w:val="left"/>
        </w:tabs>
        <w:rPr>
          <w:sz w:val="20"/>
          <w:szCs w:val="20"/>
          <w:color w:val="auto"/>
        </w:rPr>
      </w:pPr>
      <w:r>
        <w:rPr>
          <w:rFonts w:ascii="Arial" w:cs="Arial" w:eastAsia="Arial" w:hAnsi="Arial"/>
          <w:sz w:val="22"/>
          <w:szCs w:val="22"/>
          <w:b w:val="1"/>
          <w:bCs w:val="1"/>
          <w:color w:val="auto"/>
        </w:rPr>
        <w:t>Goldman Sachs &amp; Co. LLC</w:t>
      </w:r>
      <w:r>
        <w:rPr>
          <w:sz w:val="20"/>
          <w:szCs w:val="20"/>
          <w:color w:val="auto"/>
        </w:rPr>
        <w:tab/>
      </w:r>
      <w:r>
        <w:rPr>
          <w:rFonts w:ascii="Arial" w:cs="Arial" w:eastAsia="Arial" w:hAnsi="Arial"/>
          <w:sz w:val="22"/>
          <w:szCs w:val="22"/>
          <w:b w:val="1"/>
          <w:bCs w:val="1"/>
          <w:color w:val="auto"/>
        </w:rPr>
        <w:t>SVB Securities</w:t>
      </w:r>
      <w:r>
        <w:rPr>
          <w:sz w:val="20"/>
          <w:szCs w:val="20"/>
          <w:color w:val="auto"/>
        </w:rPr>
        <w:tab/>
      </w:r>
      <w:r>
        <w:rPr>
          <w:rFonts w:ascii="Arial" w:cs="Arial" w:eastAsia="Arial" w:hAnsi="Arial"/>
          <w:sz w:val="21"/>
          <w:szCs w:val="21"/>
          <w:b w:val="1"/>
          <w:bCs w:val="1"/>
          <w:color w:val="auto"/>
        </w:rPr>
        <w:t>Piper Sandler</w:t>
      </w:r>
    </w:p>
    <w:p>
      <w:pPr>
        <w:spacing w:after="0" w:line="222" w:lineRule="exact"/>
        <w:rPr>
          <w:sz w:val="24"/>
          <w:szCs w:val="24"/>
          <w:color w:val="auto"/>
        </w:rPr>
      </w:pPr>
    </w:p>
    <w:p>
      <w:pPr>
        <w:jc w:val="center"/>
        <w:ind w:right="-99"/>
        <w:spacing w:after="0"/>
        <w:rPr>
          <w:sz w:val="20"/>
          <w:szCs w:val="20"/>
          <w:color w:val="auto"/>
        </w:rPr>
      </w:pPr>
      <w:r>
        <w:rPr>
          <w:rFonts w:ascii="Arial" w:cs="Arial" w:eastAsia="Arial" w:hAnsi="Arial"/>
          <w:sz w:val="16"/>
          <w:szCs w:val="16"/>
          <w:i w:val="1"/>
          <w:iCs w:val="1"/>
          <w:color w:val="auto"/>
        </w:rPr>
        <w:t>Lead Manager</w:t>
      </w:r>
    </w:p>
    <w:p>
      <w:pPr>
        <w:spacing w:after="0" w:line="18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H.C. Wainwright &amp;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214630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140"/>
          </w:cols>
          <w:pgMar w:left="320" w:top="226" w:right="439" w:bottom="1440" w:gutter="0" w:footer="0" w:header="0"/>
        </w:sectPr>
      </w:pPr>
    </w:p>
    <w:p>
      <w:pPr>
        <w:spacing w:after="0" w:line="200" w:lineRule="exact"/>
        <w:rPr>
          <w:sz w:val="24"/>
          <w:szCs w:val="24"/>
          <w:color w:val="auto"/>
        </w:rPr>
      </w:pPr>
    </w:p>
    <w:p>
      <w:pPr>
        <w:spacing w:after="0" w:line="349" w:lineRule="exact"/>
        <w:rPr>
          <w:sz w:val="24"/>
          <w:szCs w:val="24"/>
          <w:color w:val="auto"/>
        </w:rPr>
      </w:pPr>
    </w:p>
    <w:p>
      <w:pPr>
        <w:jc w:val="center"/>
        <w:ind w:right="-119"/>
        <w:spacing w:after="0"/>
        <w:rPr>
          <w:sz w:val="20"/>
          <w:szCs w:val="20"/>
          <w:color w:val="auto"/>
        </w:rPr>
      </w:pPr>
      <w:r>
        <w:rPr>
          <w:rFonts w:ascii="Arial" w:cs="Arial" w:eastAsia="Arial" w:hAnsi="Arial"/>
          <w:sz w:val="17"/>
          <w:szCs w:val="17"/>
          <w:color w:val="auto"/>
        </w:rPr>
        <w:t>Prospectus supplement dated January 17, 2023</w:t>
      </w:r>
    </w:p>
    <w:p>
      <w:pPr>
        <w:sectPr>
          <w:pgSz w:w="11900" w:h="16838" w:orient="portrait"/>
          <w:cols w:equalWidth="0" w:num="1">
            <w:col w:w="11140"/>
          </w:cols>
          <w:pgMar w:left="320" w:top="226"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06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5"/>
        </w:trPr>
        <w:tc>
          <w:tcPr>
            <w:tcW w:w="12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40" w:type="dxa"/>
            <w:vAlign w:val="bottom"/>
            <w:gridSpan w:val="4"/>
          </w:tcPr>
          <w:p>
            <w:pPr>
              <w:jc w:val="center"/>
              <w:ind w:right="2840"/>
              <w:spacing w:after="0"/>
              <w:rPr>
                <w:sz w:val="20"/>
                <w:szCs w:val="20"/>
                <w:color w:val="auto"/>
              </w:rPr>
            </w:pPr>
            <w:r>
              <w:rPr>
                <w:rFonts w:ascii="Arial" w:cs="Arial" w:eastAsia="Arial" w:hAnsi="Arial"/>
                <w:sz w:val="18"/>
                <w:szCs w:val="18"/>
                <w:b w:val="1"/>
                <w:bCs w:val="1"/>
                <w:color w:val="auto"/>
                <w:w w:val="98"/>
              </w:rPr>
              <w:t>TABLE OF CONTENTS</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40" w:type="dxa"/>
            <w:vAlign w:val="bottom"/>
            <w:gridSpan w:val="4"/>
          </w:tcPr>
          <w:p>
            <w:pPr>
              <w:jc w:val="center"/>
              <w:ind w:right="2820"/>
              <w:spacing w:after="0"/>
              <w:rPr>
                <w:sz w:val="20"/>
                <w:szCs w:val="20"/>
                <w:color w:val="auto"/>
              </w:rPr>
            </w:pPr>
            <w:r>
              <w:rPr>
                <w:rFonts w:ascii="Arial" w:cs="Arial" w:eastAsia="Arial" w:hAnsi="Arial"/>
                <w:sz w:val="18"/>
                <w:szCs w:val="18"/>
                <w:b w:val="1"/>
                <w:bCs w:val="1"/>
                <w:color w:val="auto"/>
                <w:w w:val="99"/>
              </w:rPr>
              <w:t>Prospectus Supplement</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120" w:type="dxa"/>
            <w:vAlign w:val="bottom"/>
          </w:tcPr>
          <w:p>
            <w:pPr>
              <w:spacing w:after="0"/>
              <w:rPr>
                <w:sz w:val="24"/>
                <w:szCs w:val="24"/>
                <w:color w:val="auto"/>
              </w:rPr>
            </w:pPr>
          </w:p>
        </w:tc>
        <w:tc>
          <w:tcPr>
            <w:tcW w:w="9940" w:type="dxa"/>
            <w:vAlign w:val="bottom"/>
            <w:gridSpan w:val="24"/>
          </w:tcPr>
          <w:p>
            <w:pPr>
              <w:spacing w:after="0"/>
              <w:rPr>
                <w:sz w:val="20"/>
                <w:szCs w:val="20"/>
                <w:color w:val="auto"/>
              </w:rPr>
            </w:pPr>
            <w:r>
              <w:rPr>
                <w:rFonts w:ascii="Arial" w:cs="Arial" w:eastAsia="Arial" w:hAnsi="Arial"/>
                <w:sz w:val="18"/>
                <w:szCs w:val="18"/>
                <w:color w:val="0000EE"/>
              </w:rPr>
              <w:t>ABOUT THIS PROSPECTUS SUPPLEMENT</w:t>
            </w:r>
          </w:p>
        </w:tc>
        <w:tc>
          <w:tcPr>
            <w:tcW w:w="660" w:type="dxa"/>
            <w:vAlign w:val="bottom"/>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S-ii</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3640" w:type="dxa"/>
            <w:vAlign w:val="bottom"/>
            <w:tcBorders>
              <w:top w:val="single" w:sz="8" w:color="0000EE"/>
            </w:tcBorders>
            <w:gridSpan w:val="19"/>
          </w:tcPr>
          <w:p>
            <w:pPr>
              <w:spacing w:after="0" w:line="182" w:lineRule="exact"/>
              <w:rPr>
                <w:sz w:val="20"/>
                <w:szCs w:val="20"/>
                <w:color w:val="auto"/>
              </w:rPr>
            </w:pPr>
            <w:r>
              <w:rPr>
                <w:rFonts w:ascii="Arial" w:cs="Arial" w:eastAsia="Arial" w:hAnsi="Arial"/>
                <w:sz w:val="18"/>
                <w:szCs w:val="18"/>
                <w:color w:val="0000EE"/>
              </w:rPr>
              <w:t>PROSPECTUS SUPPLEMENT SUMMARY</w:t>
            </w: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3480" w:type="dxa"/>
            <w:vAlign w:val="bottom"/>
            <w:tcBorders>
              <w:top w:val="single" w:sz="8" w:color="0000EE"/>
            </w:tcBorders>
            <w:gridSpan w:val="17"/>
          </w:tcPr>
          <w:p>
            <w:pPr>
              <w:spacing w:after="0" w:line="182" w:lineRule="exact"/>
              <w:rPr>
                <w:sz w:val="20"/>
                <w:szCs w:val="20"/>
                <w:color w:val="auto"/>
              </w:rPr>
            </w:pPr>
            <w:r>
              <w:rPr>
                <w:rFonts w:ascii="Arial" w:cs="Arial" w:eastAsia="Arial" w:hAnsi="Arial"/>
                <w:sz w:val="18"/>
                <w:szCs w:val="18"/>
                <w:color w:val="0000EE"/>
              </w:rPr>
              <w:t>THE OFFERING</w:t>
            </w:r>
          </w:p>
        </w:tc>
        <w:tc>
          <w:tcPr>
            <w:tcW w:w="20" w:type="dxa"/>
            <w:vAlign w:val="bottom"/>
          </w:tcPr>
          <w:p>
            <w:pPr>
              <w:spacing w:after="0"/>
              <w:rPr>
                <w:sz w:val="15"/>
                <w:szCs w:val="15"/>
                <w:color w:val="auto"/>
              </w:rPr>
            </w:pPr>
          </w:p>
        </w:tc>
        <w:tc>
          <w:tcPr>
            <w:tcW w:w="400" w:type="dxa"/>
            <w:vAlign w:val="bottom"/>
            <w:gridSpan w:val="2"/>
          </w:tcPr>
          <w:p>
            <w:pPr>
              <w:spacing w:after="0"/>
              <w:rPr>
                <w:sz w:val="15"/>
                <w:szCs w:val="15"/>
                <w:color w:val="auto"/>
              </w:rPr>
            </w:pPr>
          </w:p>
        </w:tc>
        <w:tc>
          <w:tcPr>
            <w:tcW w:w="13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34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9"/>
              </w:rPr>
              <w:t>RISK FACTORS</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0" w:type="dxa"/>
            <w:vAlign w:val="bottom"/>
            <w:gridSpan w:val="2"/>
          </w:tcPr>
          <w:p>
            <w:pPr>
              <w:spacing w:after="0"/>
              <w:rPr>
                <w:sz w:val="15"/>
                <w:szCs w:val="15"/>
                <w:color w:val="auto"/>
              </w:rPr>
            </w:pPr>
          </w:p>
        </w:tc>
        <w:tc>
          <w:tcPr>
            <w:tcW w:w="13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S-11</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320" w:type="dxa"/>
            <w:vAlign w:val="bottom"/>
            <w:tcBorders>
              <w:top w:val="single" w:sz="8" w:color="0000EE"/>
            </w:tcBorders>
            <w:gridSpan w:val="4"/>
          </w:tcPr>
          <w:p>
            <w:pPr>
              <w:spacing w:after="0" w:line="182" w:lineRule="exact"/>
              <w:rPr>
                <w:sz w:val="20"/>
                <w:szCs w:val="20"/>
                <w:color w:val="auto"/>
              </w:rPr>
            </w:pPr>
            <w:r>
              <w:rPr>
                <w:rFonts w:ascii="Arial" w:cs="Arial" w:eastAsia="Arial" w:hAnsi="Arial"/>
                <w:sz w:val="18"/>
                <w:szCs w:val="18"/>
                <w:color w:val="0000EE"/>
              </w:rPr>
              <w:t>CAUTIONARY</w:t>
            </w:r>
          </w:p>
        </w:tc>
        <w:tc>
          <w:tcPr>
            <w:tcW w:w="8620" w:type="dxa"/>
            <w:vAlign w:val="bottom"/>
            <w:gridSpan w:val="20"/>
          </w:tcPr>
          <w:p>
            <w:pPr>
              <w:jc w:val="center"/>
              <w:ind w:right="2100"/>
              <w:spacing w:after="0" w:line="182" w:lineRule="exact"/>
              <w:rPr>
                <w:sz w:val="20"/>
                <w:szCs w:val="20"/>
                <w:color w:val="auto"/>
              </w:rPr>
            </w:pPr>
            <w:r>
              <w:rPr>
                <w:rFonts w:ascii="Arial" w:cs="Arial" w:eastAsia="Arial" w:hAnsi="Arial"/>
                <w:sz w:val="18"/>
                <w:szCs w:val="18"/>
                <w:color w:val="0000EE"/>
                <w:w w:val="97"/>
              </w:rPr>
              <w:t>NOTE REGARDING FORWARD-LOOKING STATEMENTS AND INDUSTRY DATA</w:t>
            </w:r>
          </w:p>
        </w:tc>
        <w:tc>
          <w:tcPr>
            <w:tcW w:w="102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S-13</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7840" w:type="dxa"/>
            <w:vAlign w:val="bottom"/>
            <w:tcBorders>
              <w:top w:val="single" w:sz="8" w:color="0000EE"/>
            </w:tcBorders>
            <w:gridSpan w:val="22"/>
          </w:tcPr>
          <w:p>
            <w:pPr>
              <w:spacing w:after="0" w:line="182" w:lineRule="exact"/>
              <w:rPr>
                <w:sz w:val="20"/>
                <w:szCs w:val="20"/>
                <w:color w:val="auto"/>
              </w:rPr>
            </w:pPr>
            <w:r>
              <w:rPr>
                <w:rFonts w:ascii="Arial" w:cs="Arial" w:eastAsia="Arial" w:hAnsi="Arial"/>
                <w:sz w:val="18"/>
                <w:szCs w:val="18"/>
                <w:color w:val="0000EE"/>
              </w:rPr>
              <w:t>USE OF PROCEEDS</w:t>
            </w:r>
          </w:p>
        </w:tc>
        <w:tc>
          <w:tcPr>
            <w:tcW w:w="1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S-15</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72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rPr>
              <w:t>DILUTION</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0" w:type="dxa"/>
            <w:vAlign w:val="bottom"/>
            <w:gridSpan w:val="2"/>
          </w:tcPr>
          <w:p>
            <w:pPr>
              <w:spacing w:after="0"/>
              <w:rPr>
                <w:sz w:val="15"/>
                <w:szCs w:val="15"/>
                <w:color w:val="auto"/>
              </w:rPr>
            </w:pPr>
          </w:p>
        </w:tc>
        <w:tc>
          <w:tcPr>
            <w:tcW w:w="1380" w:type="dxa"/>
            <w:vAlign w:val="bottom"/>
          </w:tcPr>
          <w:p>
            <w:pPr>
              <w:spacing w:after="0"/>
              <w:rPr>
                <w:sz w:val="15"/>
                <w:szCs w:val="15"/>
                <w:color w:val="auto"/>
              </w:rPr>
            </w:pPr>
          </w:p>
        </w:tc>
        <w:tc>
          <w:tcPr>
            <w:tcW w:w="4040" w:type="dxa"/>
            <w:vAlign w:val="bottom"/>
            <w:gridSpan w:val="2"/>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S-16</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86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3"/>
              </w:rPr>
              <w:t>MATERIAL</w:t>
            </w:r>
          </w:p>
        </w:tc>
        <w:tc>
          <w:tcPr>
            <w:tcW w:w="9080" w:type="dxa"/>
            <w:vAlign w:val="bottom"/>
            <w:gridSpan w:val="22"/>
          </w:tcPr>
          <w:p>
            <w:pPr>
              <w:ind w:left="80"/>
              <w:spacing w:after="0" w:line="182" w:lineRule="exact"/>
              <w:rPr>
                <w:sz w:val="20"/>
                <w:szCs w:val="20"/>
                <w:color w:val="auto"/>
              </w:rPr>
            </w:pPr>
            <w:r>
              <w:rPr>
                <w:rFonts w:ascii="Arial" w:cs="Arial" w:eastAsia="Arial" w:hAnsi="Arial"/>
                <w:sz w:val="18"/>
                <w:szCs w:val="18"/>
                <w:color w:val="0000EE"/>
              </w:rPr>
              <w:t>U.S. INCOME AND ESTATE TAX CONSIDERATIONS FOR NON-U.S. HOLDERS OF COMMON STOCK</w:t>
            </w:r>
          </w:p>
        </w:tc>
        <w:tc>
          <w:tcPr>
            <w:tcW w:w="102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S-17</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9320" w:type="dxa"/>
            <w:vAlign w:val="bottom"/>
            <w:tcBorders>
              <w:top w:val="single" w:sz="8" w:color="0000EE"/>
            </w:tcBorders>
            <w:gridSpan w:val="23"/>
          </w:tcPr>
          <w:p>
            <w:pPr>
              <w:spacing w:after="0" w:line="182" w:lineRule="exact"/>
              <w:rPr>
                <w:sz w:val="20"/>
                <w:szCs w:val="20"/>
                <w:color w:val="auto"/>
              </w:rPr>
            </w:pPr>
            <w:r>
              <w:rPr>
                <w:rFonts w:ascii="Arial" w:cs="Arial" w:eastAsia="Arial" w:hAnsi="Arial"/>
                <w:sz w:val="18"/>
                <w:szCs w:val="18"/>
                <w:color w:val="0000EE"/>
              </w:rPr>
              <w:t>UNDERWRITING</w:t>
            </w:r>
          </w:p>
        </w:tc>
        <w:tc>
          <w:tcPr>
            <w:tcW w:w="620" w:type="dxa"/>
            <w:vAlign w:val="bottom"/>
          </w:tcPr>
          <w:p>
            <w:pPr>
              <w:spacing w:after="0"/>
              <w:rPr>
                <w:sz w:val="15"/>
                <w:szCs w:val="15"/>
                <w:color w:val="auto"/>
              </w:rPr>
            </w:pPr>
          </w:p>
        </w:tc>
        <w:tc>
          <w:tcPr>
            <w:tcW w:w="102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S-22</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420" w:type="dxa"/>
            <w:vAlign w:val="bottom"/>
            <w:tcBorders>
              <w:top w:val="single" w:sz="8" w:color="0000EE"/>
              <w:bottom w:val="single" w:sz="8" w:color="0000EE"/>
            </w:tcBorders>
            <w:gridSpan w:val="6"/>
          </w:tcPr>
          <w:p>
            <w:pPr>
              <w:spacing w:after="0" w:line="182" w:lineRule="exact"/>
              <w:rPr>
                <w:sz w:val="20"/>
                <w:szCs w:val="20"/>
                <w:color w:val="auto"/>
              </w:rPr>
            </w:pPr>
            <w:r>
              <w:rPr>
                <w:rFonts w:ascii="Arial" w:cs="Arial" w:eastAsia="Arial" w:hAnsi="Arial"/>
                <w:sz w:val="18"/>
                <w:szCs w:val="18"/>
                <w:color w:val="0000EE"/>
                <w:w w:val="93"/>
              </w:rPr>
              <w:t>LEGAL MATTERS</w:t>
            </w:r>
          </w:p>
        </w:tc>
        <w:tc>
          <w:tcPr>
            <w:tcW w:w="60" w:type="dxa"/>
            <w:vAlign w:val="bottom"/>
            <w:tcBorders>
              <w:bottom w:val="single" w:sz="8" w:color="0000EE"/>
            </w:tcBorders>
          </w:tcPr>
          <w:p>
            <w:pPr>
              <w:spacing w:after="0"/>
              <w:rPr>
                <w:sz w:val="15"/>
                <w:szCs w:val="15"/>
                <w:color w:val="auto"/>
              </w:rPr>
            </w:pPr>
          </w:p>
        </w:tc>
        <w:tc>
          <w:tcPr>
            <w:tcW w:w="26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0" w:type="dxa"/>
            <w:vAlign w:val="bottom"/>
            <w:gridSpan w:val="2"/>
          </w:tcPr>
          <w:p>
            <w:pPr>
              <w:spacing w:after="0"/>
              <w:rPr>
                <w:sz w:val="15"/>
                <w:szCs w:val="15"/>
                <w:color w:val="auto"/>
              </w:rPr>
            </w:pPr>
          </w:p>
        </w:tc>
        <w:tc>
          <w:tcPr>
            <w:tcW w:w="1380" w:type="dxa"/>
            <w:vAlign w:val="bottom"/>
          </w:tcPr>
          <w:p>
            <w:pPr>
              <w:spacing w:after="0"/>
              <w:rPr>
                <w:sz w:val="15"/>
                <w:szCs w:val="15"/>
                <w:color w:val="auto"/>
              </w:rPr>
            </w:pPr>
          </w:p>
        </w:tc>
        <w:tc>
          <w:tcPr>
            <w:tcW w:w="4660" w:type="dxa"/>
            <w:vAlign w:val="bottom"/>
            <w:gridSpan w:val="3"/>
          </w:tcPr>
          <w:p>
            <w:pPr>
              <w:spacing w:after="0"/>
              <w:rPr>
                <w:sz w:val="15"/>
                <w:szCs w:val="15"/>
                <w:color w:val="auto"/>
              </w:rPr>
            </w:pPr>
          </w:p>
        </w:tc>
        <w:tc>
          <w:tcPr>
            <w:tcW w:w="102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S-29</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840" w:type="dxa"/>
            <w:vAlign w:val="bottom"/>
            <w:tcBorders>
              <w:bottom w:val="single" w:sz="8" w:color="0000EE"/>
            </w:tcBorders>
          </w:tcPr>
          <w:p>
            <w:pPr>
              <w:spacing w:after="0" w:line="182" w:lineRule="exact"/>
              <w:rPr>
                <w:sz w:val="20"/>
                <w:szCs w:val="20"/>
                <w:color w:val="auto"/>
              </w:rPr>
            </w:pPr>
            <w:r>
              <w:rPr>
                <w:rFonts w:ascii="Arial" w:cs="Arial" w:eastAsia="Arial" w:hAnsi="Arial"/>
                <w:sz w:val="18"/>
                <w:szCs w:val="18"/>
                <w:color w:val="0000EE"/>
                <w:w w:val="97"/>
              </w:rPr>
              <w:t>EXPERTS</w:t>
            </w:r>
          </w:p>
        </w:tc>
        <w:tc>
          <w:tcPr>
            <w:tcW w:w="640" w:type="dxa"/>
            <w:vAlign w:val="bottom"/>
            <w:gridSpan w:val="6"/>
          </w:tcPr>
          <w:p>
            <w:pPr>
              <w:spacing w:after="0"/>
              <w:rPr>
                <w:sz w:val="15"/>
                <w:szCs w:val="15"/>
                <w:color w:val="auto"/>
              </w:rPr>
            </w:pPr>
          </w:p>
        </w:tc>
        <w:tc>
          <w:tcPr>
            <w:tcW w:w="26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0" w:type="dxa"/>
            <w:vAlign w:val="bottom"/>
            <w:gridSpan w:val="2"/>
          </w:tcPr>
          <w:p>
            <w:pPr>
              <w:spacing w:after="0"/>
              <w:rPr>
                <w:sz w:val="15"/>
                <w:szCs w:val="15"/>
                <w:color w:val="auto"/>
              </w:rPr>
            </w:pPr>
          </w:p>
        </w:tc>
        <w:tc>
          <w:tcPr>
            <w:tcW w:w="1380" w:type="dxa"/>
            <w:vAlign w:val="bottom"/>
          </w:tcPr>
          <w:p>
            <w:pPr>
              <w:spacing w:after="0"/>
              <w:rPr>
                <w:sz w:val="15"/>
                <w:szCs w:val="15"/>
                <w:color w:val="auto"/>
              </w:rPr>
            </w:pPr>
          </w:p>
        </w:tc>
        <w:tc>
          <w:tcPr>
            <w:tcW w:w="4660" w:type="dxa"/>
            <w:vAlign w:val="bottom"/>
            <w:gridSpan w:val="3"/>
          </w:tcPr>
          <w:p>
            <w:pPr>
              <w:spacing w:after="0"/>
              <w:rPr>
                <w:sz w:val="15"/>
                <w:szCs w:val="15"/>
                <w:color w:val="auto"/>
              </w:rPr>
            </w:pPr>
          </w:p>
        </w:tc>
        <w:tc>
          <w:tcPr>
            <w:tcW w:w="102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S-29</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9940" w:type="dxa"/>
            <w:vAlign w:val="bottom"/>
            <w:gridSpan w:val="24"/>
          </w:tcPr>
          <w:p>
            <w:pPr>
              <w:spacing w:after="0" w:line="182" w:lineRule="exact"/>
              <w:rPr>
                <w:sz w:val="20"/>
                <w:szCs w:val="20"/>
                <w:color w:val="auto"/>
              </w:rPr>
            </w:pPr>
            <w:r>
              <w:rPr>
                <w:rFonts w:ascii="Arial" w:cs="Arial" w:eastAsia="Arial" w:hAnsi="Arial"/>
                <w:sz w:val="18"/>
                <w:szCs w:val="18"/>
                <w:color w:val="0000EE"/>
              </w:rPr>
              <w:t>WHERE YOU CAN FIND MORE INFORMATION</w:t>
            </w:r>
          </w:p>
        </w:tc>
        <w:tc>
          <w:tcPr>
            <w:tcW w:w="102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S-29</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3900" w:type="dxa"/>
            <w:vAlign w:val="bottom"/>
            <w:tcBorders>
              <w:top w:val="single" w:sz="8" w:color="0000EE"/>
            </w:tcBorders>
            <w:gridSpan w:val="20"/>
          </w:tcPr>
          <w:p>
            <w:pPr>
              <w:spacing w:after="0" w:line="182" w:lineRule="exact"/>
              <w:rPr>
                <w:sz w:val="20"/>
                <w:szCs w:val="20"/>
                <w:color w:val="auto"/>
              </w:rPr>
            </w:pPr>
            <w:r>
              <w:rPr>
                <w:rFonts w:ascii="Arial" w:cs="Arial" w:eastAsia="Arial" w:hAnsi="Arial"/>
                <w:sz w:val="18"/>
                <w:szCs w:val="18"/>
                <w:color w:val="0000EE"/>
              </w:rPr>
              <w:t>INCORPORATION OF CERTAIN DOCUMENTS</w:t>
            </w:r>
          </w:p>
        </w:tc>
        <w:tc>
          <w:tcPr>
            <w:tcW w:w="6040" w:type="dxa"/>
            <w:vAlign w:val="bottom"/>
            <w:gridSpan w:val="4"/>
          </w:tcPr>
          <w:p>
            <w:pPr>
              <w:jc w:val="center"/>
              <w:ind w:right="4660"/>
              <w:spacing w:after="0" w:line="182" w:lineRule="exact"/>
              <w:rPr>
                <w:sz w:val="20"/>
                <w:szCs w:val="20"/>
                <w:color w:val="auto"/>
              </w:rPr>
            </w:pPr>
            <w:r>
              <w:rPr>
                <w:rFonts w:ascii="Arial" w:cs="Arial" w:eastAsia="Arial" w:hAnsi="Arial"/>
                <w:sz w:val="18"/>
                <w:szCs w:val="18"/>
                <w:color w:val="0000EE"/>
                <w:w w:val="98"/>
              </w:rPr>
              <w:t>BY REFERENCE</w:t>
            </w:r>
          </w:p>
        </w:tc>
        <w:tc>
          <w:tcPr>
            <w:tcW w:w="102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S-30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40" w:type="dxa"/>
            <w:vAlign w:val="bottom"/>
            <w:gridSpan w:val="4"/>
          </w:tcPr>
          <w:p>
            <w:pPr>
              <w:jc w:val="center"/>
              <w:ind w:right="2820"/>
              <w:spacing w:after="0"/>
              <w:rPr>
                <w:sz w:val="20"/>
                <w:szCs w:val="20"/>
                <w:color w:val="auto"/>
              </w:rPr>
            </w:pPr>
            <w:r>
              <w:rPr>
                <w:rFonts w:ascii="Arial" w:cs="Arial" w:eastAsia="Arial" w:hAnsi="Arial"/>
                <w:sz w:val="18"/>
                <w:szCs w:val="18"/>
                <w:b w:val="1"/>
                <w:bCs w:val="1"/>
                <w:color w:val="auto"/>
                <w:w w:val="99"/>
              </w:rPr>
              <w:t>Prospectus</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20" w:type="dxa"/>
            <w:vAlign w:val="bottom"/>
          </w:tcPr>
          <w:p>
            <w:pPr>
              <w:spacing w:after="0"/>
              <w:rPr>
                <w:sz w:val="24"/>
                <w:szCs w:val="24"/>
                <w:color w:val="auto"/>
              </w:rPr>
            </w:pPr>
          </w:p>
        </w:tc>
        <w:tc>
          <w:tcPr>
            <w:tcW w:w="9940" w:type="dxa"/>
            <w:vAlign w:val="bottom"/>
            <w:gridSpan w:val="24"/>
            <w:vMerge w:val="restart"/>
          </w:tcPr>
          <w:p>
            <w:pPr>
              <w:spacing w:after="0"/>
              <w:rPr>
                <w:sz w:val="20"/>
                <w:szCs w:val="20"/>
                <w:color w:val="auto"/>
              </w:rPr>
            </w:pPr>
            <w:r>
              <w:rPr>
                <w:rFonts w:ascii="Arial" w:cs="Arial" w:eastAsia="Arial" w:hAnsi="Arial"/>
                <w:sz w:val="18"/>
                <w:szCs w:val="18"/>
                <w:color w:val="0000EE"/>
              </w:rPr>
              <w:t>ABOUT THIS PROSPECTUS</w:t>
            </w:r>
          </w:p>
        </w:tc>
        <w:tc>
          <w:tcPr>
            <w:tcW w:w="660" w:type="dxa"/>
            <w:vAlign w:val="bottom"/>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auto"/>
                <w:w w:val="97"/>
              </w:rPr>
              <w:t>Page</w:t>
            </w: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9940" w:type="dxa"/>
            <w:vAlign w:val="bottom"/>
            <w:gridSpan w:val="24"/>
            <w:vMerge w:val="continue"/>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7"/>
              </w:rPr>
              <w:t>RISK FACTORS</w:t>
            </w:r>
          </w:p>
        </w:tc>
        <w:tc>
          <w:tcPr>
            <w:tcW w:w="1040" w:type="dxa"/>
            <w:vAlign w:val="bottom"/>
            <w:tcBorders>
              <w:top w:val="single" w:sz="8" w:color="0000EE"/>
            </w:tcBorders>
            <w:gridSpan w:val="8"/>
          </w:tcPr>
          <w:p>
            <w:pPr>
              <w:spacing w:after="0"/>
              <w:rPr>
                <w:sz w:val="17"/>
                <w:szCs w:val="17"/>
                <w:color w:val="auto"/>
              </w:rPr>
            </w:pPr>
          </w:p>
        </w:tc>
        <w:tc>
          <w:tcPr>
            <w:tcW w:w="7580" w:type="dxa"/>
            <w:vAlign w:val="bottom"/>
            <w:gridSpan w:val="12"/>
          </w:tcPr>
          <w:p>
            <w:pPr>
              <w:spacing w:after="0"/>
              <w:rPr>
                <w:sz w:val="17"/>
                <w:szCs w:val="17"/>
                <w:color w:val="auto"/>
              </w:rPr>
            </w:pPr>
          </w:p>
        </w:tc>
        <w:tc>
          <w:tcPr>
            <w:tcW w:w="1020" w:type="dxa"/>
            <w:vAlign w:val="bottom"/>
            <w:gridSpan w:val="3"/>
          </w:tcPr>
          <w:p>
            <w:pPr>
              <w:jc w:val="right"/>
              <w:ind w:right="20"/>
              <w:spacing w:after="0" w:line="196" w:lineRule="exact"/>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90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99"/>
              </w:rPr>
              <w:t>WHERE YOU CAN FIND MORE INFORMATION</w:t>
            </w:r>
          </w:p>
        </w:tc>
        <w:tc>
          <w:tcPr>
            <w:tcW w:w="6040" w:type="dxa"/>
            <w:vAlign w:val="bottom"/>
            <w:gridSpan w:val="4"/>
          </w:tcPr>
          <w:p>
            <w:pPr>
              <w:spacing w:after="0"/>
              <w:rPr>
                <w:sz w:val="17"/>
                <w:szCs w:val="17"/>
                <w:color w:val="auto"/>
              </w:rPr>
            </w:pPr>
          </w:p>
        </w:tc>
        <w:tc>
          <w:tcPr>
            <w:tcW w:w="1020" w:type="dxa"/>
            <w:vAlign w:val="bottom"/>
            <w:gridSpan w:val="3"/>
          </w:tcPr>
          <w:p>
            <w:pPr>
              <w:jc w:val="right"/>
              <w:ind w:right="20"/>
              <w:spacing w:after="0" w:line="196" w:lineRule="exact"/>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940" w:type="dxa"/>
            <w:vAlign w:val="bottom"/>
            <w:gridSpan w:val="24"/>
          </w:tcPr>
          <w:p>
            <w:pPr>
              <w:spacing w:after="0" w:line="196" w:lineRule="exact"/>
              <w:rPr>
                <w:sz w:val="20"/>
                <w:szCs w:val="20"/>
                <w:color w:val="auto"/>
              </w:rPr>
            </w:pPr>
            <w:r>
              <w:rPr>
                <w:rFonts w:ascii="Arial" w:cs="Arial" w:eastAsia="Arial" w:hAnsi="Arial"/>
                <w:sz w:val="18"/>
                <w:szCs w:val="18"/>
                <w:color w:val="0000EE"/>
              </w:rPr>
              <w:t>INCORPORATION OF CERTAIN DOCUMENTS BY REFERENCE</w:t>
            </w:r>
          </w:p>
        </w:tc>
        <w:tc>
          <w:tcPr>
            <w:tcW w:w="1020" w:type="dxa"/>
            <w:vAlign w:val="bottom"/>
            <w:gridSpan w:val="3"/>
          </w:tcPr>
          <w:p>
            <w:pPr>
              <w:jc w:val="right"/>
              <w:ind w:right="20"/>
              <w:spacing w:after="0" w:line="196" w:lineRule="exact"/>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740" w:type="dxa"/>
            <w:vAlign w:val="bottom"/>
            <w:gridSpan w:val="9"/>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1020" w:type="dxa"/>
            <w:vAlign w:val="bottom"/>
            <w:gridSpan w:val="3"/>
            <w:vMerge w:val="restart"/>
          </w:tcPr>
          <w:p>
            <w:pPr>
              <w:jc w:val="right"/>
              <w:ind w:right="20"/>
              <w:spacing w:after="0" w:line="216" w:lineRule="exact"/>
              <w:rPr>
                <w:sz w:val="20"/>
                <w:szCs w:val="20"/>
                <w:color w:val="auto"/>
              </w:rPr>
            </w:pPr>
            <w:r>
              <w:rPr>
                <w:rFonts w:ascii="Arial" w:cs="Arial" w:eastAsia="Arial" w:hAnsi="Arial"/>
                <w:sz w:val="20"/>
                <w:szCs w:val="20"/>
                <w:color w:val="auto"/>
              </w:rPr>
              <w:t>4</w:t>
            </w: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940" w:type="dxa"/>
            <w:vAlign w:val="bottom"/>
            <w:gridSpan w:val="24"/>
          </w:tcPr>
          <w:p>
            <w:pPr>
              <w:spacing w:after="0" w:line="196" w:lineRule="exact"/>
              <w:rPr>
                <w:sz w:val="20"/>
                <w:szCs w:val="20"/>
                <w:color w:val="auto"/>
              </w:rPr>
            </w:pPr>
            <w:r>
              <w:rPr>
                <w:rFonts w:ascii="Arial" w:cs="Arial" w:eastAsia="Arial" w:hAnsi="Arial"/>
                <w:sz w:val="18"/>
                <w:szCs w:val="18"/>
                <w:color w:val="0000EE"/>
              </w:rPr>
              <w:t>CAUTIONARY NOTE REGARDING FORWARD-LOOKING STATEMENTS AND INDUSTRY DATA</w:t>
            </w:r>
          </w:p>
        </w:tc>
        <w:tc>
          <w:tcPr>
            <w:tcW w:w="10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7840" w:type="dxa"/>
            <w:vAlign w:val="bottom"/>
            <w:tcBorders>
              <w:top w:val="single" w:sz="8" w:color="0000EE"/>
            </w:tcBorders>
            <w:gridSpan w:val="22"/>
          </w:tcPr>
          <w:p>
            <w:pPr>
              <w:spacing w:after="0" w:line="196" w:lineRule="exact"/>
              <w:rPr>
                <w:sz w:val="20"/>
                <w:szCs w:val="20"/>
                <w:color w:val="auto"/>
              </w:rPr>
            </w:pPr>
            <w:r>
              <w:rPr>
                <w:rFonts w:ascii="Arial" w:cs="Arial" w:eastAsia="Arial" w:hAnsi="Arial"/>
                <w:sz w:val="18"/>
                <w:szCs w:val="18"/>
                <w:color w:val="0000EE"/>
              </w:rPr>
              <w:t>ABOUT FULCRUM THERAPEUTICS, INC.</w:t>
            </w:r>
          </w:p>
        </w:tc>
        <w:tc>
          <w:tcPr>
            <w:tcW w:w="2100" w:type="dxa"/>
            <w:vAlign w:val="bottom"/>
            <w:gridSpan w:val="2"/>
          </w:tcPr>
          <w:p>
            <w:pPr>
              <w:spacing w:after="0"/>
              <w:rPr>
                <w:sz w:val="17"/>
                <w:szCs w:val="17"/>
                <w:color w:val="auto"/>
              </w:rPr>
            </w:pPr>
          </w:p>
        </w:tc>
        <w:tc>
          <w:tcPr>
            <w:tcW w:w="1020" w:type="dxa"/>
            <w:vAlign w:val="bottom"/>
            <w:gridSpan w:val="3"/>
          </w:tcPr>
          <w:p>
            <w:pPr>
              <w:jc w:val="right"/>
              <w:ind w:right="20"/>
              <w:spacing w:after="0" w:line="196" w:lineRule="exact"/>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740" w:type="dxa"/>
            <w:vAlign w:val="bottom"/>
            <w:tcBorders>
              <w:top w:val="single" w:sz="8" w:color="0000EE"/>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9"/>
              </w:rPr>
              <w:t>USE OF PROCEEDS</w:t>
            </w:r>
          </w:p>
        </w:tc>
        <w:tc>
          <w:tcPr>
            <w:tcW w:w="1700" w:type="dxa"/>
            <w:vAlign w:val="bottom"/>
            <w:tcBorders>
              <w:top w:val="single" w:sz="8" w:color="0000EE"/>
            </w:tcBorders>
            <w:gridSpan w:val="7"/>
          </w:tcPr>
          <w:p>
            <w:pPr>
              <w:spacing w:after="0"/>
              <w:rPr>
                <w:sz w:val="17"/>
                <w:szCs w:val="17"/>
                <w:color w:val="auto"/>
              </w:rPr>
            </w:pPr>
          </w:p>
        </w:tc>
        <w:tc>
          <w:tcPr>
            <w:tcW w:w="6500" w:type="dxa"/>
            <w:vAlign w:val="bottom"/>
            <w:gridSpan w:val="8"/>
          </w:tcPr>
          <w:p>
            <w:pPr>
              <w:spacing w:after="0"/>
              <w:rPr>
                <w:sz w:val="17"/>
                <w:szCs w:val="17"/>
                <w:color w:val="auto"/>
              </w:rPr>
            </w:pPr>
          </w:p>
        </w:tc>
        <w:tc>
          <w:tcPr>
            <w:tcW w:w="1020" w:type="dxa"/>
            <w:vAlign w:val="bottom"/>
            <w:gridSpan w:val="3"/>
          </w:tcPr>
          <w:p>
            <w:pPr>
              <w:jc w:val="right"/>
              <w:ind w:right="20"/>
              <w:spacing w:after="0" w:line="196" w:lineRule="exact"/>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940" w:type="dxa"/>
            <w:vAlign w:val="bottom"/>
            <w:gridSpan w:val="24"/>
          </w:tcPr>
          <w:p>
            <w:pPr>
              <w:spacing w:after="0" w:line="196" w:lineRule="exact"/>
              <w:rPr>
                <w:sz w:val="20"/>
                <w:szCs w:val="20"/>
                <w:color w:val="auto"/>
              </w:rPr>
            </w:pPr>
            <w:r>
              <w:rPr>
                <w:rFonts w:ascii="Arial" w:cs="Arial" w:eastAsia="Arial" w:hAnsi="Arial"/>
                <w:sz w:val="18"/>
                <w:szCs w:val="18"/>
                <w:color w:val="0000EE"/>
              </w:rPr>
              <w:t>DESCRIPTION OF DEBT SECURITIES</w:t>
            </w:r>
          </w:p>
        </w:tc>
        <w:tc>
          <w:tcPr>
            <w:tcW w:w="1020" w:type="dxa"/>
            <w:vAlign w:val="bottom"/>
            <w:gridSpan w:val="3"/>
          </w:tcPr>
          <w:p>
            <w:pPr>
              <w:jc w:val="right"/>
              <w:ind w:right="20"/>
              <w:spacing w:after="0" w:line="196" w:lineRule="exact"/>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980" w:type="dxa"/>
            <w:vAlign w:val="bottom"/>
            <w:tcBorders>
              <w:top w:val="single" w:sz="8" w:color="0000EE"/>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8"/>
              </w:rPr>
              <w:t>DESCRIPTION OF CAPITAL STOCK</w:t>
            </w:r>
          </w:p>
        </w:tc>
        <w:tc>
          <w:tcPr>
            <w:tcW w:w="200" w:type="dxa"/>
            <w:vAlign w:val="bottom"/>
            <w:tcBorders>
              <w:top w:val="single" w:sz="8" w:color="0000EE"/>
            </w:tcBorders>
          </w:tcPr>
          <w:p>
            <w:pPr>
              <w:spacing w:after="0"/>
              <w:rPr>
                <w:sz w:val="17"/>
                <w:szCs w:val="17"/>
                <w:color w:val="auto"/>
              </w:rPr>
            </w:pPr>
          </w:p>
        </w:tc>
        <w:tc>
          <w:tcPr>
            <w:tcW w:w="6760" w:type="dxa"/>
            <w:vAlign w:val="bottom"/>
            <w:gridSpan w:val="9"/>
          </w:tcPr>
          <w:p>
            <w:pPr>
              <w:spacing w:after="0"/>
              <w:rPr>
                <w:sz w:val="17"/>
                <w:szCs w:val="17"/>
                <w:color w:val="auto"/>
              </w:rPr>
            </w:pPr>
          </w:p>
        </w:tc>
        <w:tc>
          <w:tcPr>
            <w:tcW w:w="1020" w:type="dxa"/>
            <w:vAlign w:val="bottom"/>
            <w:gridSpan w:val="3"/>
          </w:tcPr>
          <w:p>
            <w:pPr>
              <w:jc w:val="right"/>
              <w:ind w:right="20"/>
              <w:spacing w:after="0" w:line="196" w:lineRule="exact"/>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940" w:type="dxa"/>
            <w:vAlign w:val="bottom"/>
            <w:gridSpan w:val="24"/>
          </w:tcPr>
          <w:p>
            <w:pPr>
              <w:spacing w:after="0" w:line="196" w:lineRule="exact"/>
              <w:rPr>
                <w:sz w:val="20"/>
                <w:szCs w:val="20"/>
                <w:color w:val="auto"/>
              </w:rPr>
            </w:pPr>
            <w:r>
              <w:rPr>
                <w:rFonts w:ascii="Arial" w:cs="Arial" w:eastAsia="Arial" w:hAnsi="Arial"/>
                <w:sz w:val="18"/>
                <w:szCs w:val="18"/>
                <w:color w:val="0000EE"/>
              </w:rPr>
              <w:t>DESCRIPTION OF DEPOSITARY SHARES</w:t>
            </w:r>
          </w:p>
        </w:tc>
        <w:tc>
          <w:tcPr>
            <w:tcW w:w="1020" w:type="dxa"/>
            <w:vAlign w:val="bottom"/>
            <w:gridSpan w:val="3"/>
          </w:tcPr>
          <w:p>
            <w:pPr>
              <w:jc w:val="right"/>
              <w:ind w:right="20"/>
              <w:spacing w:after="0" w:line="196" w:lineRule="exact"/>
              <w:rPr>
                <w:sz w:val="20"/>
                <w:szCs w:val="20"/>
                <w:color w:val="auto"/>
              </w:rPr>
            </w:pPr>
            <w:r>
              <w:rPr>
                <w:rFonts w:ascii="Arial" w:cs="Arial" w:eastAsia="Arial" w:hAnsi="Arial"/>
                <w:sz w:val="20"/>
                <w:szCs w:val="20"/>
                <w:color w:val="auto"/>
              </w:rPr>
              <w:t>25</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120" w:type="dxa"/>
            <w:vAlign w:val="bottom"/>
            <w:tcBorders>
              <w:top w:val="single" w:sz="8" w:color="0000EE"/>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9"/>
              </w:rPr>
              <w:t>DESCRIPTION OF UNITS</w:t>
            </w:r>
          </w:p>
        </w:tc>
        <w:tc>
          <w:tcPr>
            <w:tcW w:w="1380" w:type="dxa"/>
            <w:vAlign w:val="bottom"/>
            <w:tcBorders>
              <w:top w:val="single" w:sz="8" w:color="0000EE"/>
            </w:tcBorders>
            <w:gridSpan w:val="7"/>
          </w:tcPr>
          <w:p>
            <w:pPr>
              <w:spacing w:after="0"/>
              <w:rPr>
                <w:sz w:val="17"/>
                <w:szCs w:val="17"/>
                <w:color w:val="auto"/>
              </w:rPr>
            </w:pPr>
          </w:p>
        </w:tc>
        <w:tc>
          <w:tcPr>
            <w:tcW w:w="6440" w:type="dxa"/>
            <w:vAlign w:val="bottom"/>
            <w:gridSpan w:val="6"/>
          </w:tcPr>
          <w:p>
            <w:pPr>
              <w:spacing w:after="0"/>
              <w:rPr>
                <w:sz w:val="17"/>
                <w:szCs w:val="17"/>
                <w:color w:val="auto"/>
              </w:rPr>
            </w:pPr>
          </w:p>
        </w:tc>
        <w:tc>
          <w:tcPr>
            <w:tcW w:w="1020" w:type="dxa"/>
            <w:vAlign w:val="bottom"/>
            <w:gridSpan w:val="3"/>
          </w:tcPr>
          <w:p>
            <w:pPr>
              <w:jc w:val="right"/>
              <w:ind w:right="20"/>
              <w:spacing w:after="0" w:line="196" w:lineRule="exact"/>
              <w:rPr>
                <w:sz w:val="20"/>
                <w:szCs w:val="20"/>
                <w:color w:val="auto"/>
              </w:rPr>
            </w:pPr>
            <w:r>
              <w:rPr>
                <w:rFonts w:ascii="Arial" w:cs="Arial" w:eastAsia="Arial" w:hAnsi="Arial"/>
                <w:sz w:val="20"/>
                <w:szCs w:val="20"/>
                <w:color w:val="auto"/>
              </w:rPr>
              <w:t>28</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60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8"/>
              </w:rPr>
              <w:t>DESCRIPTION OF WARRANTS</w:t>
            </w:r>
          </w:p>
        </w:tc>
        <w:tc>
          <w:tcPr>
            <w:tcW w:w="7340" w:type="dxa"/>
            <w:vAlign w:val="bottom"/>
            <w:gridSpan w:val="11"/>
          </w:tcPr>
          <w:p>
            <w:pPr>
              <w:spacing w:after="0"/>
              <w:rPr>
                <w:sz w:val="17"/>
                <w:szCs w:val="17"/>
                <w:color w:val="auto"/>
              </w:rPr>
            </w:pPr>
          </w:p>
        </w:tc>
        <w:tc>
          <w:tcPr>
            <w:tcW w:w="1020" w:type="dxa"/>
            <w:vAlign w:val="bottom"/>
            <w:gridSpan w:val="3"/>
          </w:tcPr>
          <w:p>
            <w:pPr>
              <w:jc w:val="right"/>
              <w:ind w:right="20"/>
              <w:spacing w:after="0" w:line="196" w:lineRule="exact"/>
              <w:rPr>
                <w:sz w:val="20"/>
                <w:szCs w:val="20"/>
                <w:color w:val="auto"/>
              </w:rPr>
            </w:pPr>
            <w:r>
              <w:rPr>
                <w:rFonts w:ascii="Arial" w:cs="Arial" w:eastAsia="Arial" w:hAnsi="Arial"/>
                <w:sz w:val="20"/>
                <w:szCs w:val="20"/>
                <w:color w:val="auto"/>
              </w:rPr>
              <w:t>29</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08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9"/>
              </w:rPr>
              <w:t>FORMS OF SECURITIES</w:t>
            </w:r>
          </w:p>
        </w:tc>
        <w:tc>
          <w:tcPr>
            <w:tcW w:w="7860" w:type="dxa"/>
            <w:vAlign w:val="bottom"/>
            <w:gridSpan w:val="14"/>
          </w:tcPr>
          <w:p>
            <w:pPr>
              <w:spacing w:after="0"/>
              <w:rPr>
                <w:sz w:val="17"/>
                <w:szCs w:val="17"/>
                <w:color w:val="auto"/>
              </w:rPr>
            </w:pPr>
          </w:p>
        </w:tc>
        <w:tc>
          <w:tcPr>
            <w:tcW w:w="1020" w:type="dxa"/>
            <w:vAlign w:val="bottom"/>
            <w:gridSpan w:val="3"/>
          </w:tcPr>
          <w:p>
            <w:pPr>
              <w:jc w:val="right"/>
              <w:ind w:right="20"/>
              <w:spacing w:after="0" w:line="196" w:lineRule="exact"/>
              <w:rPr>
                <w:sz w:val="20"/>
                <w:szCs w:val="20"/>
                <w:color w:val="auto"/>
              </w:rPr>
            </w:pPr>
            <w:r>
              <w:rPr>
                <w:rFonts w:ascii="Arial" w:cs="Arial" w:eastAsia="Arial" w:hAnsi="Arial"/>
                <w:sz w:val="20"/>
                <w:szCs w:val="20"/>
                <w:color w:val="auto"/>
              </w:rPr>
              <w:t>30</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940" w:type="dxa"/>
            <w:vAlign w:val="bottom"/>
            <w:gridSpan w:val="24"/>
          </w:tcPr>
          <w:p>
            <w:pPr>
              <w:spacing w:after="0" w:line="196" w:lineRule="exact"/>
              <w:rPr>
                <w:sz w:val="20"/>
                <w:szCs w:val="20"/>
                <w:color w:val="auto"/>
              </w:rPr>
            </w:pPr>
            <w:r>
              <w:rPr>
                <w:rFonts w:ascii="Arial" w:cs="Arial" w:eastAsia="Arial" w:hAnsi="Arial"/>
                <w:sz w:val="18"/>
                <w:szCs w:val="18"/>
                <w:color w:val="0000EE"/>
              </w:rPr>
              <w:t>PLAN OF DISTRIBUTION</w:t>
            </w:r>
          </w:p>
        </w:tc>
        <w:tc>
          <w:tcPr>
            <w:tcW w:w="1020" w:type="dxa"/>
            <w:vAlign w:val="bottom"/>
            <w:gridSpan w:val="3"/>
          </w:tcPr>
          <w:p>
            <w:pPr>
              <w:jc w:val="right"/>
              <w:ind w:right="20"/>
              <w:spacing w:after="0" w:line="196" w:lineRule="exact"/>
              <w:rPr>
                <w:sz w:val="20"/>
                <w:szCs w:val="20"/>
                <w:color w:val="auto"/>
              </w:rPr>
            </w:pPr>
            <w:r>
              <w:rPr>
                <w:rFonts w:ascii="Arial" w:cs="Arial" w:eastAsia="Arial" w:hAnsi="Arial"/>
                <w:sz w:val="20"/>
                <w:szCs w:val="20"/>
                <w:color w:val="auto"/>
              </w:rPr>
              <w:t>32</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7"/>
              </w:rPr>
              <w:t>LEGAL MATTERS</w:t>
            </w:r>
          </w:p>
        </w:tc>
        <w:tc>
          <w:tcPr>
            <w:tcW w:w="600" w:type="dxa"/>
            <w:vAlign w:val="bottom"/>
            <w:tcBorders>
              <w:top w:val="single" w:sz="8" w:color="0000EE"/>
            </w:tcBorders>
            <w:gridSpan w:val="3"/>
          </w:tcPr>
          <w:p>
            <w:pPr>
              <w:spacing w:after="0"/>
              <w:rPr>
                <w:sz w:val="17"/>
                <w:szCs w:val="17"/>
                <w:color w:val="auto"/>
              </w:rPr>
            </w:pPr>
          </w:p>
        </w:tc>
        <w:tc>
          <w:tcPr>
            <w:tcW w:w="7860" w:type="dxa"/>
            <w:vAlign w:val="bottom"/>
            <w:gridSpan w:val="14"/>
          </w:tcPr>
          <w:p>
            <w:pPr>
              <w:spacing w:after="0"/>
              <w:rPr>
                <w:sz w:val="17"/>
                <w:szCs w:val="17"/>
                <w:color w:val="auto"/>
              </w:rPr>
            </w:pPr>
          </w:p>
        </w:tc>
        <w:tc>
          <w:tcPr>
            <w:tcW w:w="1020" w:type="dxa"/>
            <w:vAlign w:val="bottom"/>
            <w:gridSpan w:val="3"/>
          </w:tcPr>
          <w:p>
            <w:pPr>
              <w:jc w:val="right"/>
              <w:ind w:right="20"/>
              <w:spacing w:after="0" w:line="196" w:lineRule="exact"/>
              <w:rPr>
                <w:sz w:val="20"/>
                <w:szCs w:val="20"/>
                <w:color w:val="auto"/>
              </w:rPr>
            </w:pPr>
            <w:r>
              <w:rPr>
                <w:rFonts w:ascii="Arial" w:cs="Arial" w:eastAsia="Arial" w:hAnsi="Arial"/>
                <w:sz w:val="20"/>
                <w:szCs w:val="20"/>
                <w:color w:val="auto"/>
              </w:rPr>
              <w:t>35</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4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7"/>
              </w:rPr>
              <w:t>EXPERTS</w:t>
            </w:r>
          </w:p>
        </w:tc>
        <w:tc>
          <w:tcPr>
            <w:tcW w:w="9100" w:type="dxa"/>
            <w:vAlign w:val="bottom"/>
            <w:gridSpan w:val="23"/>
          </w:tcPr>
          <w:p>
            <w:pPr>
              <w:spacing w:after="0"/>
              <w:rPr>
                <w:sz w:val="17"/>
                <w:szCs w:val="17"/>
                <w:color w:val="auto"/>
              </w:rPr>
            </w:pPr>
          </w:p>
        </w:tc>
        <w:tc>
          <w:tcPr>
            <w:tcW w:w="1020" w:type="dxa"/>
            <w:vAlign w:val="bottom"/>
            <w:gridSpan w:val="3"/>
          </w:tcPr>
          <w:p>
            <w:pPr>
              <w:jc w:val="right"/>
              <w:ind w:right="20"/>
              <w:spacing w:after="0" w:line="196" w:lineRule="exact"/>
              <w:rPr>
                <w:sz w:val="20"/>
                <w:szCs w:val="20"/>
                <w:color w:val="auto"/>
              </w:rPr>
            </w:pPr>
            <w:r>
              <w:rPr>
                <w:rFonts w:ascii="Arial" w:cs="Arial" w:eastAsia="Arial" w:hAnsi="Arial"/>
                <w:sz w:val="20"/>
                <w:szCs w:val="20"/>
                <w:color w:val="auto"/>
              </w:rPr>
              <w:t>35</w:t>
            </w:r>
          </w:p>
        </w:tc>
        <w:tc>
          <w:tcPr>
            <w:tcW w:w="0" w:type="dxa"/>
            <w:vAlign w:val="bottom"/>
          </w:tcPr>
          <w:p>
            <w:pPr>
              <w:spacing w:after="0"/>
              <w:rPr>
                <w:sz w:val="1"/>
                <w:szCs w:val="1"/>
                <w:color w:val="auto"/>
              </w:rPr>
            </w:pPr>
          </w:p>
        </w:tc>
      </w:tr>
    </w:tbl>
    <w:p>
      <w:pPr>
        <w:spacing w:after="0" w:line="1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060"/>
          </w:cols>
          <w:pgMar w:left="320" w:top="446" w:right="5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 SUPPLEMENT</w:t>
      </w:r>
    </w:p>
    <w:p>
      <w:pPr>
        <w:spacing w:after="0" w:line="212"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This document is part of a registration statement that we filed with the Securities and Exchange Commission, or the SEC, utilizing a “shelf” registration process and consists of two parts. The first part is this prospectus supplement, which describes the specific terms of this common stock offering and also adds to and updates information contained in the accompanying prospectus and the documents incorporated by reference herein. The second part, the accompanying prospectus, provides more general information. Generally, when we refer to this prospectus, we are referring to both parts of this document combined. To the extent there is a conflict between the information contained in this prospectus supplement and the information contained in the accompanying prospectus or any document incorporated by reference therein filed prior to the date of this prospectus supplement, you should rely on the information in this prospectus supplement; provided that if any statement in one of these documents is inconsistent with a statement in another document having a later date—for example, a document incorporated by reference in the accompanying prospectus—the statement in the document having the later date modifies or supersedes the earlier statement.</w:t>
      </w:r>
    </w:p>
    <w:p>
      <w:pPr>
        <w:spacing w:after="0" w:line="180" w:lineRule="exact"/>
        <w:rPr>
          <w:sz w:val="20"/>
          <w:szCs w:val="20"/>
          <w:color w:val="auto"/>
        </w:rPr>
      </w:pPr>
    </w:p>
    <w:p>
      <w:pPr>
        <w:ind w:left="120" w:right="180" w:firstLine="551"/>
        <w:spacing w:after="0" w:line="242" w:lineRule="auto"/>
        <w:rPr>
          <w:sz w:val="20"/>
          <w:szCs w:val="20"/>
          <w:color w:val="auto"/>
        </w:rPr>
      </w:pPr>
      <w:r>
        <w:rPr>
          <w:rFonts w:ascii="Arial" w:cs="Arial" w:eastAsia="Arial" w:hAnsi="Arial"/>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9"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Neither we nor the underwriters have authorized anyone to provide any information other than that contained or incorporated by reference into this prospectus supplement, the accompanying prospectus or in any free writing prospectus prepared by or on behalf of us or to which we have referred you. We and the underwriters take no responsibility for, and can provide no assurance as to the reliability of, any other information that others may give you. This prospectus supplement and the accompanying prospectus do not constitute an offer to sell, or a solicitation of an offer to purchase, the securities offered by this prospectus supplement and the accompanying prospectus in any jurisdiction to or from any person to whom or from whom it is unlawful to make such offer or solicitation of an offer in such jurisdiction. The information contained in this prospectus supplement or the accompanying prospectus, or incorporated by reference herein or therein is accurate only as of the respective dates thereof, regardless of the time of delivery of this prospectus supplement and the accompanying prospectus or of any sale of our common stock. It is important for you to read and consider all information contained in this prospectus supplement and the accompanying prospectus, including the documents incorporated by reference herein and therein, in making your investment decision. You should also read and consider the information in the documents to which we have referred you in the sections entitled “Where You Can Find More Information” and “Incorporation of Certain Information By Reference” in this prospectus supplement and in the accompanying prospectus.</w:t>
      </w:r>
    </w:p>
    <w:p>
      <w:pPr>
        <w:spacing w:after="0" w:line="180"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We are offering to sell, and seeking offers to buy, shares of our common stock only in jurisdictions where offers and sales are permitted. The distribution of this prospectus supplement and the accompanying prospectus and the offering of the common stock in certain jurisdictions may be restricted by law. Persons outside the United States who come into possession of this prospectus supplement and the accompanying prospectus must inform themselves about, and observe any restrictions relating to, the offering of the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80" w:lineRule="exact"/>
        <w:rPr>
          <w:sz w:val="20"/>
          <w:szCs w:val="20"/>
          <w:color w:val="auto"/>
        </w:rPr>
      </w:pPr>
    </w:p>
    <w:p>
      <w:pPr>
        <w:ind w:left="120" w:right="100" w:firstLine="551"/>
        <w:spacing w:after="0" w:line="271" w:lineRule="auto"/>
        <w:rPr>
          <w:sz w:val="20"/>
          <w:szCs w:val="20"/>
          <w:color w:val="auto"/>
        </w:rPr>
      </w:pPr>
      <w:r>
        <w:rPr>
          <w:rFonts w:ascii="Arial" w:cs="Arial" w:eastAsia="Arial" w:hAnsi="Arial"/>
          <w:sz w:val="18"/>
          <w:szCs w:val="18"/>
          <w:color w:val="auto"/>
        </w:rPr>
        <w:t>Unless the context otherwise indicates, references in this prospectus supplement to “Fulcrum” “we,” “our,” “us” and “the Company” refer, collectively, to Fulcrum Therapeutics, Inc., a Delaware corporation and its consolidated subsidiary.</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100"/>
          </w:cols>
          <w:pgMar w:left="320" w:top="455"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50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61506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SUPPLEMENT SUMMARY</w:t>
      </w:r>
    </w:p>
    <w:p>
      <w:pPr>
        <w:spacing w:after="0" w:line="214" w:lineRule="exact"/>
        <w:rPr>
          <w:sz w:val="20"/>
          <w:szCs w:val="20"/>
          <w:color w:val="auto"/>
        </w:rPr>
      </w:pPr>
    </w:p>
    <w:p>
      <w:pPr>
        <w:ind w:left="300" w:right="40" w:firstLine="532"/>
        <w:spacing w:after="0"/>
        <w:rPr>
          <w:sz w:val="20"/>
          <w:szCs w:val="20"/>
          <w:color w:val="auto"/>
        </w:rPr>
      </w:pPr>
      <w:r>
        <w:rPr>
          <w:rFonts w:ascii="Arial" w:cs="Arial" w:eastAsia="Arial" w:hAnsi="Arial"/>
          <w:sz w:val="18"/>
          <w:szCs w:val="18"/>
          <w:i w:val="1"/>
          <w:iCs w:val="1"/>
          <w:color w:val="auto"/>
        </w:rPr>
        <w:t>This summary highlights certain information about us, this offering and selected information contained elsewhere in this prospectus supplement, the accompanying base prospectus and in the documents we incorporate by reference. This summary is not complete and does not contain all of the information that you should consider before making an investment decision. You should read this entire prospectus carefully, especially the risks of investing in our common stock discussed under “Risk Factors” beginning on page S-11 of this prospectus supplement and page 2 of the accompanying base prospectus, along with our consolidated financial statements and notes to those consolidated financial statements and the other documents incorporated by reference in this prospectus supplement, along with any free writing prospectus that we have authorized for use in connection with this offering.</w:t>
      </w:r>
    </w:p>
    <w:p>
      <w:pPr>
        <w:spacing w:after="0" w:line="29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Company Overview</w:t>
      </w:r>
    </w:p>
    <w:p>
      <w:pPr>
        <w:spacing w:after="0" w:line="212" w:lineRule="exact"/>
        <w:rPr>
          <w:sz w:val="20"/>
          <w:szCs w:val="20"/>
          <w:color w:val="auto"/>
        </w:rPr>
      </w:pPr>
    </w:p>
    <w:p>
      <w:pPr>
        <w:ind w:left="300" w:firstLine="532"/>
        <w:spacing w:after="0" w:line="244" w:lineRule="auto"/>
        <w:rPr>
          <w:sz w:val="20"/>
          <w:szCs w:val="20"/>
          <w:color w:val="auto"/>
        </w:rPr>
      </w:pPr>
      <w:r>
        <w:rPr>
          <w:rFonts w:ascii="Arial" w:cs="Arial" w:eastAsia="Arial" w:hAnsi="Arial"/>
          <w:sz w:val="18"/>
          <w:szCs w:val="18"/>
          <w:color w:val="auto"/>
        </w:rPr>
        <w:t>We are a clinical-stage biopharmaceutical company focused on improving the lives of patients with genetically defined rare diseases in areas of high unmet medical need. Our most advanced product candidate, losmapimod, is in development to treat the root cause of facioscapulohumeral muscular dystrophy, or FSHD. We initiated REACH, a randomized, double-blind, placebo-controlled, multi-national Phase 3 clinical trial of losmapimod, our product candidate for FSHD, in the second quarter of 2022 and plan to complete enrollment in the second half of 2023.</w:t>
      </w:r>
    </w:p>
    <w:p>
      <w:pPr>
        <w:spacing w:after="0" w:line="176" w:lineRule="exact"/>
        <w:rPr>
          <w:sz w:val="20"/>
          <w:szCs w:val="20"/>
          <w:color w:val="auto"/>
        </w:rPr>
      </w:pPr>
    </w:p>
    <w:p>
      <w:pPr>
        <w:ind w:left="300" w:right="80" w:firstLine="532"/>
        <w:spacing w:after="0"/>
        <w:rPr>
          <w:sz w:val="20"/>
          <w:szCs w:val="20"/>
          <w:color w:val="auto"/>
        </w:rPr>
      </w:pPr>
      <w:r>
        <w:rPr>
          <w:rFonts w:ascii="Arial" w:cs="Arial" w:eastAsia="Arial" w:hAnsi="Arial"/>
          <w:sz w:val="18"/>
          <w:szCs w:val="18"/>
          <w:color w:val="auto"/>
        </w:rPr>
        <w:t>In October 2022, we presented data through 96 weeks from the open label extension portion of our randomized, double-blind, placebo-controlled, multicenter, international Phase 2b clinical trial of losmapimod, referred to as ReDUX4. Data presented indicated that patients in the initial treatment-arm who continued to receive losmapimod demonstrated maintenance of effect through 96-weeks as measured by reachable workspace, or RWS, mean change from baseline. RWS is a measure of function that assesses upper extremity range of motion and has been shown to be an important measure of independence. Additionally, patients who crossed over from placebo to losmapimod after the initial 48-week trial period showed improvement and slowing of disease progression as measured by RWS mean change from baseline. Losmapimod continued to demonstrate an encouraging safety profile and was generally well tolerated.</w:t>
      </w:r>
    </w:p>
    <w:p>
      <w:pPr>
        <w:spacing w:after="0" w:line="180" w:lineRule="exact"/>
        <w:rPr>
          <w:sz w:val="20"/>
          <w:szCs w:val="20"/>
          <w:color w:val="auto"/>
        </w:rPr>
      </w:pPr>
    </w:p>
    <w:p>
      <w:pPr>
        <w:jc w:val="both"/>
        <w:ind w:left="300" w:right="240" w:firstLine="532"/>
        <w:spacing w:after="0" w:line="244" w:lineRule="auto"/>
        <w:rPr>
          <w:sz w:val="20"/>
          <w:szCs w:val="20"/>
          <w:color w:val="auto"/>
        </w:rPr>
      </w:pPr>
      <w:r>
        <w:rPr>
          <w:rFonts w:ascii="Arial" w:cs="Arial" w:eastAsia="Arial" w:hAnsi="Arial"/>
          <w:sz w:val="18"/>
          <w:szCs w:val="18"/>
          <w:color w:val="auto"/>
        </w:rPr>
        <w:t>Our other clinical product candidate is FTX-6058, which is being developed for the treatment of certain hemoglobinopathies, including sickle cell disease, or SCD. In June 2022, we announced clinical proof-of-concept data from the ongoing Phase 1b trial of FTX-6058 for the treatment of SCD and in January 2023 announced additional Phase 1b data from subjects in the 6 mg and 2 mg dose cohorts, each of which completed enrollment. Additionally, we have commenced enrollment in the 12 mg dose cohort and we plan to complete the study and select a dose for our planned registrational study during the fourth quarter of 2023.</w:t>
      </w:r>
    </w:p>
    <w:p>
      <w:pPr>
        <w:spacing w:after="0" w:line="176" w:lineRule="exact"/>
        <w:rPr>
          <w:sz w:val="20"/>
          <w:szCs w:val="20"/>
          <w:color w:val="auto"/>
        </w:rPr>
      </w:pPr>
    </w:p>
    <w:p>
      <w:pPr>
        <w:ind w:left="300" w:right="20" w:firstLine="532"/>
        <w:spacing w:after="0"/>
        <w:rPr>
          <w:sz w:val="20"/>
          <w:szCs w:val="20"/>
          <w:color w:val="auto"/>
        </w:rPr>
      </w:pPr>
      <w:r>
        <w:rPr>
          <w:rFonts w:ascii="Arial" w:cs="Arial" w:eastAsia="Arial" w:hAnsi="Arial"/>
          <w:sz w:val="18"/>
          <w:szCs w:val="18"/>
          <w:color w:val="auto"/>
        </w:rPr>
        <w:t>We have developed a proprietary product engine, FulcrumSeek, that we employ to systematically identify and validate cellular drug targets that can potentially modulate gene expression to treat the known root cause of genetically defined diseases. Our product engine integrates patient-derived tissue- and disease-relevant cell models that we interrogate using our pharmacologically diverse and highly annotated small-molecule compound library and our customized CRISPR and RNAi libraries. These screens generate tens of millions of data points and high-content imaging. We then apply computational biology and analytics to identify targets with specificity and selectivity accompanied by a comprehensive data set that significantly accelerates development. This approach led to the identification of both losmapimod for FSHD and FTX-6058 for hemoglobinopathies, as well as a robust discovery pipeline. We expect to submit our next investigational new drug, or IND, application in 2023.</w:t>
      </w:r>
    </w:p>
    <w:p>
      <w:pPr>
        <w:spacing w:after="0" w:line="180" w:lineRule="exact"/>
        <w:rPr>
          <w:sz w:val="20"/>
          <w:szCs w:val="20"/>
          <w:color w:val="auto"/>
        </w:rPr>
      </w:pPr>
    </w:p>
    <w:p>
      <w:pPr>
        <w:ind w:left="300" w:right="140" w:firstLine="532"/>
        <w:spacing w:after="0" w:line="253" w:lineRule="auto"/>
        <w:rPr>
          <w:sz w:val="20"/>
          <w:szCs w:val="20"/>
          <w:color w:val="auto"/>
        </w:rPr>
      </w:pPr>
      <w:r>
        <w:rPr>
          <w:rFonts w:ascii="Arial" w:cs="Arial" w:eastAsia="Arial" w:hAnsi="Arial"/>
          <w:sz w:val="18"/>
          <w:szCs w:val="18"/>
          <w:color w:val="auto"/>
        </w:rPr>
        <w:t>We have incurred significant operating losses since our inception and we expect to continue to incur significant operating losses for the foreseeable future. Our ability to generate product revenue sufficient to achieve profitability, if ever, will depend heavily on the successful development and eventual</w:t>
      </w:r>
    </w:p>
    <w:p>
      <w:pPr>
        <w:spacing w:after="0" w:line="27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40"/>
          </w:cols>
          <w:pgMar w:left="320" w:top="455" w:right="6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848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360"/>
        <w:spacing w:after="0" w:line="266" w:lineRule="auto"/>
        <w:rPr>
          <w:sz w:val="20"/>
          <w:szCs w:val="20"/>
          <w:color w:val="auto"/>
        </w:rPr>
      </w:pPr>
      <w:r>
        <w:rPr>
          <w:rFonts w:ascii="Arial" w:cs="Arial" w:eastAsia="Arial" w:hAnsi="Arial"/>
          <w:sz w:val="17"/>
          <w:szCs w:val="17"/>
          <w:color w:val="auto"/>
        </w:rPr>
        <w:t>commercialization of one or more of our product candidates. Our net losses were $ 23.7 million and $83.7 million for the three and nine months ended September 30, 2022, respectively, and $20.7 million and $57.4 million for the three and nine months ended September 30, 2021, respectively. As of September 30, 2022, we had an accumulated deficit of $386.2 million. We expect our expenses and operating losses will increase substantially over the next several years in connection with our ongoing activities.</w:t>
      </w:r>
    </w:p>
    <w:p>
      <w:pPr>
        <w:spacing w:after="0" w:line="26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Product Candidates</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Losmapimod</w:t>
      </w:r>
    </w:p>
    <w:p>
      <w:pPr>
        <w:spacing w:after="0" w:line="102" w:lineRule="exact"/>
        <w:rPr>
          <w:sz w:val="20"/>
          <w:szCs w:val="20"/>
          <w:color w:val="auto"/>
        </w:rPr>
      </w:pPr>
    </w:p>
    <w:p>
      <w:pPr>
        <w:ind w:left="300" w:right="100" w:firstLine="532"/>
        <w:spacing w:after="0" w:line="242" w:lineRule="auto"/>
        <w:rPr>
          <w:sz w:val="20"/>
          <w:szCs w:val="20"/>
          <w:color w:val="auto"/>
        </w:rPr>
      </w:pPr>
      <w:r>
        <w:rPr>
          <w:rFonts w:ascii="Arial" w:cs="Arial" w:eastAsia="Arial" w:hAnsi="Arial"/>
          <w:sz w:val="18"/>
          <w:szCs w:val="18"/>
          <w:color w:val="auto"/>
        </w:rPr>
        <w:t>Our most advanced product candidate, losmapimod, is a small molecule that we are developing for the treatment of FSHD, a rare, progressive and disabling disorder characterized by muscle degeneration and fat infiltration. Disease progression results in the accumulation of disability with many patients ultimately becoming dependent on wheelchairs and losing independence as their ability to perform activities of daily living decreases. The aberrant expression of the DUX4 gene is the known root cause of FSHD. We utilized our product engine to discover that inhibition of p38</w:t>
      </w:r>
      <w:r>
        <w:rPr>
          <w:rFonts w:ascii="Times New Roman" w:cs="Times New Roman" w:eastAsia="Times New Roman" w:hAnsi="Times New Roman"/>
          <w:sz w:val="18"/>
          <w:szCs w:val="18"/>
          <w:color w:val="auto"/>
        </w:rPr>
        <w:t>a</w:t>
      </w:r>
      <w:r>
        <w:rPr>
          <w:rFonts w:ascii="Arial" w:cs="Arial" w:eastAsia="Arial" w:hAnsi="Arial"/>
          <w:sz w:val="18"/>
          <w:szCs w:val="18"/>
          <w:color w:val="auto"/>
        </w:rPr>
        <w:t>/ß reduced expression of the DUX4 gene in muscle cells derived from patients with FSHD. Our losmapimod selectively targets and inhibits activity of p38</w:t>
      </w:r>
      <w:r>
        <w:rPr>
          <w:rFonts w:ascii="Times New Roman" w:cs="Times New Roman" w:eastAsia="Times New Roman" w:hAnsi="Times New Roman"/>
          <w:sz w:val="18"/>
          <w:szCs w:val="18"/>
          <w:color w:val="auto"/>
        </w:rPr>
        <w:t>a</w:t>
      </w:r>
      <w:r>
        <w:rPr>
          <w:rFonts w:ascii="Arial" w:cs="Arial" w:eastAsia="Arial" w:hAnsi="Arial"/>
          <w:sz w:val="18"/>
          <w:szCs w:val="18"/>
          <w:color w:val="auto"/>
        </w:rPr>
        <w:t>/ß mitogen activated protein kinase, or p38</w:t>
      </w:r>
      <w:r>
        <w:rPr>
          <w:rFonts w:ascii="Times New Roman" w:cs="Times New Roman" w:eastAsia="Times New Roman" w:hAnsi="Times New Roman"/>
          <w:sz w:val="18"/>
          <w:szCs w:val="18"/>
          <w:color w:val="auto"/>
        </w:rPr>
        <w:t>a</w:t>
      </w:r>
      <w:r>
        <w:rPr>
          <w:rFonts w:ascii="Arial" w:cs="Arial" w:eastAsia="Arial" w:hAnsi="Arial"/>
          <w:sz w:val="18"/>
          <w:szCs w:val="18"/>
          <w:color w:val="auto"/>
        </w:rPr>
        <w:t>/ß. There are no approved therapies for FSHD, one of the most common forms of muscular dystrophy, with an estimated patient population of 16,000 to 38,000 in the United States and 300,000 to 780,000 globally. Losmapimod has received orphan drug designation from both the U.S. Food and Drug Administration, or FDA, and the European Medicines Agency, or EMA, for the treatment of FSHD, and in April 2021, received fast track designation from the FDA.</w:t>
      </w:r>
    </w:p>
    <w:p>
      <w:pPr>
        <w:spacing w:after="0" w:line="179" w:lineRule="exact"/>
        <w:rPr>
          <w:sz w:val="20"/>
          <w:szCs w:val="20"/>
          <w:color w:val="auto"/>
        </w:rPr>
      </w:pPr>
    </w:p>
    <w:p>
      <w:pPr>
        <w:ind w:left="300" w:right="100" w:firstLine="532"/>
        <w:spacing w:after="0" w:line="241" w:lineRule="auto"/>
        <w:rPr>
          <w:sz w:val="20"/>
          <w:szCs w:val="20"/>
          <w:color w:val="auto"/>
        </w:rPr>
      </w:pPr>
      <w:r>
        <w:rPr>
          <w:rFonts w:ascii="Arial" w:cs="Arial" w:eastAsia="Arial" w:hAnsi="Arial"/>
          <w:sz w:val="18"/>
          <w:szCs w:val="18"/>
          <w:color w:val="auto"/>
        </w:rPr>
        <w:t>Following our discovery of the role of p38</w:t>
      </w:r>
      <w:r>
        <w:rPr>
          <w:rFonts w:ascii="Times New Roman" w:cs="Times New Roman" w:eastAsia="Times New Roman" w:hAnsi="Times New Roman"/>
          <w:sz w:val="18"/>
          <w:szCs w:val="18"/>
          <w:color w:val="auto"/>
        </w:rPr>
        <w:t>a</w:t>
      </w:r>
      <w:r>
        <w:rPr>
          <w:rFonts w:ascii="Arial" w:cs="Arial" w:eastAsia="Arial" w:hAnsi="Arial"/>
          <w:sz w:val="18"/>
          <w:szCs w:val="18"/>
          <w:color w:val="auto"/>
        </w:rPr>
        <w:t>/ß inhibitors in the reduction of DUX4 expression in preclinical models of FSHD, we performed an extensive review of known compounds. As a result of our evaluation, we identified losmapimod as the preferred developmental candidate based on the substantial and attractive preclinical and clinical data. We in-licensed losmapimod from affiliates of GlaxoSmithKline plc, or GSK, in February 2019. GSK had previously administered losmapimod to nearly 3,500 subjects across multiple clinical trials, including one Phase 3 clinical trial, and losmapimod was generally well-tolerated across these studies. GSK did not conduct a clinical trial of losmapimod in patients with FSHD or any other muscle disorder. We conducted extensive preclinical testing of losmapimod in patient-derived, tissue-relevant cell models and observed that losmapimod selectively reduced DUX4-driven gene expression and restored a healthy gene expression signature with minimal impact on healthy human muscle cells or other cell types.</w:t>
      </w:r>
    </w:p>
    <w:p>
      <w:pPr>
        <w:spacing w:after="0" w:line="181" w:lineRule="exact"/>
        <w:rPr>
          <w:sz w:val="20"/>
          <w:szCs w:val="20"/>
          <w:color w:val="auto"/>
        </w:rPr>
      </w:pPr>
    </w:p>
    <w:p>
      <w:pPr>
        <w:ind w:left="300" w:right="60" w:firstLine="532"/>
        <w:spacing w:after="0" w:line="257" w:lineRule="auto"/>
        <w:rPr>
          <w:sz w:val="20"/>
          <w:szCs w:val="20"/>
          <w:color w:val="auto"/>
        </w:rPr>
      </w:pPr>
      <w:r>
        <w:rPr>
          <w:rFonts w:ascii="Arial" w:cs="Arial" w:eastAsia="Arial" w:hAnsi="Arial"/>
          <w:sz w:val="17"/>
          <w:szCs w:val="17"/>
          <w:color w:val="auto"/>
        </w:rPr>
        <w:t>We conducted a randomized, double-blind, placebo-controlled, multicenter, international Phase 2b clinical trial, referred to as ReDUX4, to evaluate losmapimod in 80 patients with FSHD. In this Phase 2b clinical trial, the primary endpoint was change in DUX4-driven gene expression, an experimental molecular biomarker. Secondary endpoints included evaluation of safety and tolerability, pharmacokinetics in blood, as well as measures of muscle health, structure and function, including muscle fat infiltration, or MFI, reachable workspace, or RWS, and patient-reported outcomes. Concurrently, we initiated a single-center open label Phase 2 clinical trial to investigate the safety and tolerability of chronic treatment with losmapimod in patients with FSHD. In the ongoing extension of the open label trial, we are also evaluating measures of muscle function, muscle strength, and patient reported quality of life.</w:t>
      </w:r>
    </w:p>
    <w:p>
      <w:pPr>
        <w:spacing w:after="0" w:line="168" w:lineRule="exact"/>
        <w:rPr>
          <w:sz w:val="20"/>
          <w:szCs w:val="20"/>
          <w:color w:val="auto"/>
        </w:rPr>
      </w:pPr>
    </w:p>
    <w:p>
      <w:pPr>
        <w:jc w:val="both"/>
        <w:ind w:left="300" w:firstLine="532"/>
        <w:spacing w:after="0" w:line="253" w:lineRule="auto"/>
        <w:rPr>
          <w:sz w:val="20"/>
          <w:szCs w:val="20"/>
          <w:color w:val="auto"/>
        </w:rPr>
      </w:pPr>
      <w:r>
        <w:rPr>
          <w:rFonts w:ascii="Arial" w:cs="Arial" w:eastAsia="Arial" w:hAnsi="Arial"/>
          <w:sz w:val="18"/>
          <w:szCs w:val="18"/>
          <w:color w:val="auto"/>
        </w:rPr>
        <w:t>We presented the full data from the ReDUX4 trial in June 2021. While the primary endpoint was not met, results demonstrated clinically relevant benefits versus placebo on multiple measures of muscle health and function as well as patient reported outcomes at 48 weeks. Losmapimod-treated participants showed decreased progression of MFI as measured in intermediate muscles, which are</w:t>
      </w:r>
    </w:p>
    <w:p>
      <w:pPr>
        <w:spacing w:after="0" w:line="27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40"/>
          </w:cols>
          <w:pgMar w:left="320" w:top="455"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676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55676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9" w:lineRule="auto"/>
        <w:rPr>
          <w:sz w:val="20"/>
          <w:szCs w:val="20"/>
          <w:color w:val="auto"/>
        </w:rPr>
      </w:pPr>
      <w:r>
        <w:rPr>
          <w:rFonts w:ascii="Arial" w:cs="Arial" w:eastAsia="Arial" w:hAnsi="Arial"/>
          <w:sz w:val="17"/>
          <w:szCs w:val="17"/>
          <w:color w:val="auto"/>
        </w:rPr>
        <w:t>muscles already affected by disease and most likely to show signs of disease progression. Normal appearing muscles appeared to be preserved in the losmapimod group versus placebo. Treatment with losmapimod was shown to slow the rate of decline and improve accessible surface area in RWS, which is a measure of function that assesses upper extremity range of motion and has been shown to be an important measure of independence. Additionally, patients reported feeling better when treated with losmapimod compared to placebo through the Patient Global Impression of Change, or PGIC, assessment. PGIC is a measure of self-reported change in how a patient feels and functions. Losmapimod was generally well-tolerated, with no drug-related serious adverse events reported.</w:t>
      </w:r>
    </w:p>
    <w:p>
      <w:pPr>
        <w:spacing w:after="0" w:line="165" w:lineRule="exact"/>
        <w:rPr>
          <w:sz w:val="20"/>
          <w:szCs w:val="20"/>
          <w:color w:val="auto"/>
        </w:rPr>
      </w:pPr>
    </w:p>
    <w:p>
      <w:pPr>
        <w:ind w:left="300" w:right="20" w:firstLine="532"/>
        <w:spacing w:after="0" w:line="238" w:lineRule="auto"/>
        <w:rPr>
          <w:sz w:val="20"/>
          <w:szCs w:val="20"/>
          <w:color w:val="auto"/>
        </w:rPr>
      </w:pPr>
      <w:r>
        <w:rPr>
          <w:rFonts w:ascii="Arial" w:cs="Arial" w:eastAsia="Arial" w:hAnsi="Arial"/>
          <w:sz w:val="18"/>
          <w:szCs w:val="18"/>
          <w:color w:val="auto"/>
        </w:rPr>
        <w:t>Based on the ReDUX4 data, we engaged with external experts, U.S. and EU regulatory agencies, including FDA, to address key aspects of the design of a Phase 3 trial. We initiated our Phase 3 trial, REACH, in the second quarter of 2022. REACH is a randomized, double-blind, placebo-controlled, multi-national trial to evaluate the efficacy and safety of losmapimod for the treatment of FSHD. The trial is expected to enroll approximately 230 adults with FSHD and enrolled its first patient in June 2022. Patients will be randomized 1:1 to receive either losmapimod, administered orally as a 15 mg tablet twice a day, or placebo, and evaluated over a</w:t>
      </w:r>
    </w:p>
    <w:p>
      <w:pPr>
        <w:spacing w:after="0" w:line="4" w:lineRule="exact"/>
        <w:rPr>
          <w:sz w:val="20"/>
          <w:szCs w:val="20"/>
          <w:color w:val="auto"/>
        </w:rPr>
      </w:pPr>
    </w:p>
    <w:p>
      <w:pPr>
        <w:ind w:left="300" w:right="40"/>
        <w:spacing w:after="0" w:line="239" w:lineRule="auto"/>
        <w:rPr>
          <w:sz w:val="20"/>
          <w:szCs w:val="20"/>
          <w:color w:val="auto"/>
        </w:rPr>
      </w:pPr>
      <w:r>
        <w:rPr>
          <w:rFonts w:ascii="Arial" w:cs="Arial" w:eastAsia="Arial" w:hAnsi="Arial"/>
          <w:sz w:val="18"/>
          <w:szCs w:val="18"/>
          <w:color w:val="auto"/>
        </w:rPr>
        <w:t>48-week treatment period. The primary endpoint is RWS, which is the absolute change from baseline in total RSA Q1-Q5 with 500 g wrist weight in the dominant arm at Week 48. Secondary endpoints include MFI, PGIC, Quality of Life in Neurological Disorders of the upper extremity, or Neuro QoL UE and safety and tolerability, based on assessment of adverse events, serious adverse events, clinically significant laboratory test abnormalities, electrocardiograms and vital signs. The trial will also include patient-reported assessments of healthcare utilization.</w:t>
      </w:r>
    </w:p>
    <w:p>
      <w:pPr>
        <w:spacing w:after="0" w:line="29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FTX-6058</w:t>
      </w:r>
    </w:p>
    <w:p>
      <w:pPr>
        <w:spacing w:after="0" w:line="102" w:lineRule="exact"/>
        <w:rPr>
          <w:sz w:val="20"/>
          <w:szCs w:val="20"/>
          <w:color w:val="auto"/>
        </w:rPr>
      </w:pPr>
    </w:p>
    <w:p>
      <w:pPr>
        <w:ind w:left="300" w:right="40" w:firstLine="532"/>
        <w:spacing w:after="0" w:line="247" w:lineRule="auto"/>
        <w:rPr>
          <w:sz w:val="20"/>
          <w:szCs w:val="20"/>
          <w:color w:val="auto"/>
        </w:rPr>
      </w:pPr>
      <w:r>
        <w:rPr>
          <w:rFonts w:ascii="Arial" w:cs="Arial" w:eastAsia="Arial" w:hAnsi="Arial"/>
          <w:sz w:val="18"/>
          <w:szCs w:val="18"/>
          <w:color w:val="auto"/>
        </w:rPr>
        <w:t>Our product candidate, FTX-6058, is an investigational oral fetal hemoglobin, or HbF, inducer that is in development for SCD and select other hemoglobinopathies, including ß-thalassemia. FTX-6058 is designed to bind to embryonic ectoderm development, or EED, and inhibit the transcriptional silencing activity of the polycomb repressive complex 2, or PRC2. By doing so, preclinical studies have shown that FTX-6058 downregulates key HbF repressors, including BCL11A and MYB, and upregulates HbF.</w:t>
      </w:r>
    </w:p>
    <w:p>
      <w:pPr>
        <w:spacing w:after="0" w:line="174" w:lineRule="exact"/>
        <w:rPr>
          <w:sz w:val="20"/>
          <w:szCs w:val="20"/>
          <w:color w:val="auto"/>
        </w:rPr>
      </w:pPr>
    </w:p>
    <w:p>
      <w:pPr>
        <w:ind w:left="300" w:right="20" w:firstLine="532"/>
        <w:spacing w:after="0"/>
        <w:rPr>
          <w:sz w:val="20"/>
          <w:szCs w:val="20"/>
          <w:color w:val="auto"/>
        </w:rPr>
      </w:pPr>
      <w:r>
        <w:rPr>
          <w:rFonts w:ascii="Arial" w:cs="Arial" w:eastAsia="Arial" w:hAnsi="Arial"/>
          <w:sz w:val="18"/>
          <w:szCs w:val="18"/>
          <w:color w:val="auto"/>
        </w:rPr>
        <w:t xml:space="preserve">SCD is a genetic blood disorder caused by a mutation in the ß-subunit gene, or HBB gene. This mutation results in the formation of abnormal hemoglobin, or HbS, which causes red blood cells, or RBCs, to change from a round shape into a sickle shape that significantly impairs their function. ß-thalassemia is a rare blood disorder caused by various genetic mutations in the HBB gene that can significantly impair the production of hemoglobin and RBCs. We designed FTX-6058 to compensate for the root cause of these hemoglobinopathies by inducing the expression of the two </w:t>
      </w:r>
      <w:r>
        <w:rPr>
          <w:rFonts w:ascii="Times New Roman" w:cs="Times New Roman" w:eastAsia="Times New Roman" w:hAnsi="Times New Roman"/>
          <w:sz w:val="18"/>
          <w:szCs w:val="18"/>
          <w:color w:val="auto"/>
        </w:rPr>
        <w:t>g</w:t>
      </w:r>
      <w:r>
        <w:rPr>
          <w:rFonts w:ascii="Arial" w:cs="Arial" w:eastAsia="Arial" w:hAnsi="Arial"/>
          <w:sz w:val="18"/>
          <w:szCs w:val="18"/>
          <w:color w:val="auto"/>
        </w:rPr>
        <w:t xml:space="preserve">-globin genes, HBG1/2, whose expression is normally silenced shortly after birth. The HBG1/2 genes encode for </w:t>
      </w:r>
      <w:r>
        <w:rPr>
          <w:rFonts w:ascii="Times New Roman" w:cs="Times New Roman" w:eastAsia="Times New Roman" w:hAnsi="Times New Roman"/>
          <w:sz w:val="18"/>
          <w:szCs w:val="18"/>
          <w:color w:val="auto"/>
        </w:rPr>
        <w:t>g</w:t>
      </w:r>
      <w:r>
        <w:rPr>
          <w:rFonts w:ascii="Arial" w:cs="Arial" w:eastAsia="Arial" w:hAnsi="Arial"/>
          <w:sz w:val="18"/>
          <w:szCs w:val="18"/>
          <w:color w:val="auto"/>
        </w:rPr>
        <w:t xml:space="preserve">-globin, a component of HbF, which is known to repair the abnormal RBC shape in SCD and to compensate for the presence of HbS in SCD and ß-thalassemia. We have observed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activation of the HBG1/2 genes in preclinical studies with FTX-6058. We have also observed that FTX-6058 demonstrated robust levels of HbF elevation with no adverse effects on important cellular health markers. We conducted additional pre-clinical profiling in CD34+ derived cells and observed that treatment with FTX-6058 increased HbF levels to approximately 30% of total hemoglobin, as measured by mass spectrometry, high performance liquid chromatography, or HPLC, and fast protein liquid chromatography techniques. The elevation of HbF was significantly greater than we observed with hydroxyurea in the cell models.</w:t>
      </w:r>
    </w:p>
    <w:p>
      <w:pPr>
        <w:spacing w:after="0" w:line="188" w:lineRule="exact"/>
        <w:rPr>
          <w:sz w:val="20"/>
          <w:szCs w:val="20"/>
          <w:color w:val="auto"/>
        </w:rPr>
      </w:pPr>
    </w:p>
    <w:p>
      <w:pPr>
        <w:ind w:left="300" w:right="120" w:firstLine="532"/>
        <w:spacing w:after="0" w:line="253" w:lineRule="auto"/>
        <w:rPr>
          <w:sz w:val="20"/>
          <w:szCs w:val="20"/>
          <w:color w:val="auto"/>
        </w:rPr>
      </w:pPr>
      <w:r>
        <w:rPr>
          <w:rFonts w:ascii="Arial" w:cs="Arial" w:eastAsia="Arial" w:hAnsi="Arial"/>
          <w:sz w:val="18"/>
          <w:szCs w:val="18"/>
          <w:color w:val="auto"/>
        </w:rPr>
        <w:t>We initiated a Phase 1b clinical trial of FTX-6058 in people with SCD in the fourth quarter of 2021, with the aim of establishing early proof of concept in SCD. The open label trial is designed to assess safety, tolerability and pharmacokinetics and pharmacodynamic effects, including HbF protein</w:t>
      </w:r>
    </w:p>
    <w:p>
      <w:pPr>
        <w:spacing w:after="0" w:line="27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940"/>
          </w:cols>
          <w:pgMar w:left="320" w:top="455"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249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64249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71" w:lineRule="auto"/>
        <w:rPr>
          <w:sz w:val="20"/>
          <w:szCs w:val="20"/>
          <w:color w:val="auto"/>
        </w:rPr>
      </w:pPr>
      <w:r>
        <w:rPr>
          <w:rFonts w:ascii="Arial" w:cs="Arial" w:eastAsia="Arial" w:hAnsi="Arial"/>
          <w:sz w:val="18"/>
          <w:szCs w:val="18"/>
          <w:color w:val="auto"/>
        </w:rPr>
        <w:t>induction of up to three doses, starting with 6 mg once daily dose, to inform dose selection for future development. Each dose cohort will have up to 10 patients who will be treated for up to three months.</w:t>
      </w:r>
    </w:p>
    <w:p>
      <w:pPr>
        <w:spacing w:after="0" w:line="154" w:lineRule="exact"/>
        <w:rPr>
          <w:sz w:val="20"/>
          <w:szCs w:val="20"/>
          <w:color w:val="auto"/>
        </w:rPr>
      </w:pPr>
    </w:p>
    <w:p>
      <w:pPr>
        <w:ind w:left="300" w:firstLine="532"/>
        <w:spacing w:after="0" w:line="257" w:lineRule="auto"/>
        <w:rPr>
          <w:sz w:val="20"/>
          <w:szCs w:val="20"/>
          <w:color w:val="auto"/>
        </w:rPr>
      </w:pPr>
      <w:r>
        <w:rPr>
          <w:rFonts w:ascii="Arial" w:cs="Arial" w:eastAsia="Arial" w:hAnsi="Arial"/>
          <w:sz w:val="17"/>
          <w:szCs w:val="17"/>
          <w:color w:val="auto"/>
        </w:rPr>
        <w:t>In June 2022, we announced clinical proof-of-concept data from the ongoing Phase 1b trial of FTX-6058 for the treatment of SCD. The first cohort of the Phase 1b study enrolled six of up to ten subjects. These six subjects (none on background hydroxyurea) received at least one 6 mg dose of FTX-6058 and all were included in the safety analyses. As of the data cut-off on May 25, 2022, three subjects were evaluable at day 28 and beyond for increases in HbF. Three subjects were not evaluated due to non-adherence or protocol deviation, as specified in the statistical analysis plan. In January 2023, we announced additional Phase 1b data from subjects in the 6 mg dose cohort, as well as completion of enrollment in the 6 mg and 2 mg dose cohorts and commencement of enrollment in the 12 mg dose cohort. We are evaluating patients both on and off hydroxyurea in the Phase 1b study.</w:t>
      </w:r>
    </w:p>
    <w:p>
      <w:pPr>
        <w:spacing w:after="0" w:line="168" w:lineRule="exact"/>
        <w:rPr>
          <w:sz w:val="20"/>
          <w:szCs w:val="20"/>
          <w:color w:val="auto"/>
        </w:rPr>
      </w:pPr>
    </w:p>
    <w:p>
      <w:pPr>
        <w:ind w:left="300" w:right="100" w:firstLine="532"/>
        <w:spacing w:after="0" w:line="247" w:lineRule="auto"/>
        <w:rPr>
          <w:sz w:val="20"/>
          <w:szCs w:val="20"/>
          <w:color w:val="auto"/>
        </w:rPr>
      </w:pPr>
      <w:r>
        <w:rPr>
          <w:rFonts w:ascii="Arial" w:cs="Arial" w:eastAsia="Arial" w:hAnsi="Arial"/>
          <w:sz w:val="18"/>
          <w:szCs w:val="18"/>
          <w:color w:val="auto"/>
        </w:rPr>
        <w:t>Phase 1b data from subjects in the 6 mg dose cohort (n=10) showed up to 9.5% absolute HbF increases from baseline; data suggest no difference in response in subjects on (n=3) and off (n=7) background hydroxyurea. We also observed improved biomarkers of hemolysis in evaluable patients dosed at 6 mg. The figures below illustrate percentage HbF increase by HPLC and absolute percentage HbF change from baseline for evaluable subjects in the 6 mg dose cohort.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 represents last dose</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4"/>
          <w:szCs w:val="14"/>
          <w:color w:val="auto"/>
        </w:rPr>
        <w:t>* subjects also on hydroxyurea</w:t>
      </w:r>
    </w:p>
    <w:p>
      <w:pPr>
        <w:spacing w:after="0" w:line="30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820"/>
          </w:cols>
          <w:pgMar w:left="320" w:top="455" w:right="7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848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300" w:firstLine="532"/>
        <w:spacing w:after="0" w:line="261" w:lineRule="auto"/>
        <w:rPr>
          <w:sz w:val="20"/>
          <w:szCs w:val="20"/>
          <w:color w:val="auto"/>
        </w:rPr>
      </w:pPr>
      <w:r>
        <w:rPr>
          <w:rFonts w:ascii="Arial" w:cs="Arial" w:eastAsia="Arial" w:hAnsi="Arial"/>
          <w:sz w:val="17"/>
          <w:szCs w:val="17"/>
          <w:color w:val="auto"/>
        </w:rPr>
        <w:t>Increases in HbF have been shown to reduce the frequency or severity of a broad range of SCD symptoms, including vaso-occlusive crises, or VOC, anemia, pain, infection, stroke and others. Based on a large body of genetic, clinical, and observational evidence showing the effects of higher levels of HbF in people with SCD, the induction of HbF by 5-10% over baseline could be associated with reduced disease burden and improved clinical outcomes. We believe these initial data showing that FTX-6058 increases HbF levels by up to 6.3% support its potential to become a transformative therapy for people living with SCD.</w:t>
      </w:r>
    </w:p>
    <w:p>
      <w:pPr>
        <w:spacing w:after="0" w:line="166" w:lineRule="exact"/>
        <w:rPr>
          <w:sz w:val="20"/>
          <w:szCs w:val="20"/>
          <w:color w:val="auto"/>
        </w:rPr>
      </w:pPr>
    </w:p>
    <w:p>
      <w:pPr>
        <w:ind w:left="300" w:right="60" w:firstLine="532"/>
        <w:spacing w:after="0" w:line="244" w:lineRule="auto"/>
        <w:rPr>
          <w:sz w:val="20"/>
          <w:szCs w:val="20"/>
          <w:color w:val="auto"/>
        </w:rPr>
      </w:pPr>
      <w:r>
        <w:rPr>
          <w:rFonts w:ascii="Arial" w:cs="Arial" w:eastAsia="Arial" w:hAnsi="Arial"/>
          <w:sz w:val="18"/>
          <w:szCs w:val="18"/>
          <w:color w:val="auto"/>
        </w:rPr>
        <w:t>FTX-6058 was generally well-tolerated in the cohorts. There have been 14 treatment emergent adverse effects, or TEAEs, reported to date, two of which were reported as possibly related to study drug (headache, lip numbness), neither of which were severe and were deemed non-serious. There have been no discontinuations due to TEAEs. Two of the 14 TEAEs were characterized as VOCs, and were deemed unrelated to FTX-6058, one of which was reported as a serious adverse event, or SAE, with acute chest syndrome in a non-adherent subject.</w:t>
      </w:r>
    </w:p>
    <w:p>
      <w:pPr>
        <w:spacing w:after="0" w:line="176" w:lineRule="exact"/>
        <w:rPr>
          <w:sz w:val="20"/>
          <w:szCs w:val="20"/>
          <w:color w:val="auto"/>
        </w:rPr>
      </w:pPr>
    </w:p>
    <w:p>
      <w:pPr>
        <w:ind w:left="300" w:right="60" w:firstLine="532"/>
        <w:spacing w:after="0" w:line="271" w:lineRule="auto"/>
        <w:rPr>
          <w:sz w:val="20"/>
          <w:szCs w:val="20"/>
          <w:color w:val="auto"/>
        </w:rPr>
      </w:pPr>
      <w:r>
        <w:rPr>
          <w:rFonts w:ascii="Arial" w:cs="Arial" w:eastAsia="Arial" w:hAnsi="Arial"/>
          <w:sz w:val="18"/>
          <w:szCs w:val="18"/>
          <w:color w:val="auto"/>
        </w:rPr>
        <w:t>We are currently enrolling additional patients at the 12 mg dose cohort, including patients both on and off hydroxyurea, and we plan to complete the study and select a dose for our planned registrational study during the fourth quarter of 2023.</w:t>
      </w:r>
    </w:p>
    <w:p>
      <w:pPr>
        <w:spacing w:after="0" w:line="15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In December 2022, we received Fast Track Designation from the FDA for the treatment of SCD.</w:t>
      </w:r>
    </w:p>
    <w:p>
      <w:pPr>
        <w:spacing w:after="0" w:line="32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Discovery and Collaborations</w:t>
      </w:r>
    </w:p>
    <w:p>
      <w:pPr>
        <w:spacing w:after="0" w:line="212" w:lineRule="exact"/>
        <w:rPr>
          <w:sz w:val="20"/>
          <w:szCs w:val="20"/>
          <w:color w:val="auto"/>
        </w:rPr>
      </w:pPr>
    </w:p>
    <w:p>
      <w:pPr>
        <w:ind w:left="300" w:firstLine="532"/>
        <w:spacing w:after="0"/>
        <w:rPr>
          <w:sz w:val="20"/>
          <w:szCs w:val="20"/>
          <w:color w:val="auto"/>
        </w:rPr>
      </w:pPr>
      <w:r>
        <w:rPr>
          <w:rFonts w:ascii="Arial" w:cs="Arial" w:eastAsia="Arial" w:hAnsi="Arial"/>
          <w:sz w:val="18"/>
          <w:szCs w:val="18"/>
          <w:color w:val="auto"/>
        </w:rPr>
        <w:t>According to the National Institutes of Health, there are approximately 7,000 rare, genetically defined human diseases, many of which have inadequate or no approved treatments. Our current drug target identification and development efforts are focused on rare muscular, hematologic and neurologic, disorders. We also anticipate utilizing FulcrumSeek to discover drug targets for genetically defined diseases in other therapeutic areas and for other disorders. In addition to drug targets that we prioritize for internal development, we may identify other drug targets that we would consider for development through partnerships. For example, we are currently utilizing FulcrumSeek to discover drug targets for the potential treatment of certain genetically defined cardiomyopathies under our collaboration and license agreement with a wholly-owned subsidiary of Bristol-Myers Squibb Company, or BMS, and have entered into other collaboration and license agreements in the past and may do so in the future.</w:t>
      </w:r>
    </w:p>
    <w:p>
      <w:pPr>
        <w:spacing w:after="0" w:line="28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Recent Developments</w:t>
      </w:r>
    </w:p>
    <w:p>
      <w:pPr>
        <w:spacing w:after="0" w:line="212" w:lineRule="exact"/>
        <w:rPr>
          <w:sz w:val="20"/>
          <w:szCs w:val="20"/>
          <w:color w:val="auto"/>
        </w:rPr>
      </w:pPr>
    </w:p>
    <w:p>
      <w:pPr>
        <w:ind w:left="300" w:right="380" w:firstLine="532"/>
        <w:spacing w:after="0" w:line="271" w:lineRule="auto"/>
        <w:rPr>
          <w:sz w:val="20"/>
          <w:szCs w:val="20"/>
          <w:color w:val="auto"/>
        </w:rPr>
      </w:pPr>
      <w:r>
        <w:rPr>
          <w:rFonts w:ascii="Arial" w:cs="Arial" w:eastAsia="Arial" w:hAnsi="Arial"/>
          <w:sz w:val="18"/>
          <w:szCs w:val="18"/>
          <w:color w:val="auto"/>
        </w:rPr>
        <w:t>Although we have not finalized our full financial results for the fourth quarter and fiscal year ended December 31, 2022, we expect to report that we had cash, cash equivalents and marketable securities of $202.9 million as of December 31, 2022.</w:t>
      </w:r>
    </w:p>
    <w:p>
      <w:pPr>
        <w:spacing w:after="0" w:line="154" w:lineRule="exact"/>
        <w:rPr>
          <w:sz w:val="20"/>
          <w:szCs w:val="20"/>
          <w:color w:val="auto"/>
        </w:rPr>
      </w:pPr>
    </w:p>
    <w:p>
      <w:pPr>
        <w:ind w:left="300" w:right="40" w:firstLine="532"/>
        <w:spacing w:after="0"/>
        <w:rPr>
          <w:sz w:val="20"/>
          <w:szCs w:val="20"/>
          <w:color w:val="auto"/>
        </w:rPr>
      </w:pPr>
      <w:r>
        <w:rPr>
          <w:rFonts w:ascii="Arial" w:cs="Arial" w:eastAsia="Arial" w:hAnsi="Arial"/>
          <w:sz w:val="18"/>
          <w:szCs w:val="18"/>
          <w:color w:val="auto"/>
        </w:rPr>
        <w:t>The estimated cash figure is preliminary and unaudited, represents a management estimate as of the date of this prospectus supplement and is subject to completion of our financial closing procedures. Additional information and disclosures would be required for a more complete understanding of our financial position and results of operations as of December 31, 2022. It is possible that we or our independent registered public accounting firm may identify items that require us to make adjustments to the preliminary estimated cash, cash equivalents and marketable securities balance set forth above and those changes could be material. Our independent registered public accounting firm has not conducted an audit or review of, and does not express an opinion or any other form of assurance with respect to, the estimated cash figure.</w:t>
      </w:r>
    </w:p>
    <w:p>
      <w:pPr>
        <w:spacing w:after="0" w:line="2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940"/>
          </w:cols>
          <w:pgMar w:left="320" w:top="455"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6102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56102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Corporate Information</w:t>
      </w:r>
    </w:p>
    <w:p>
      <w:pPr>
        <w:spacing w:after="0" w:line="212" w:lineRule="exact"/>
        <w:rPr>
          <w:sz w:val="20"/>
          <w:szCs w:val="20"/>
          <w:color w:val="auto"/>
        </w:rPr>
      </w:pPr>
    </w:p>
    <w:p>
      <w:pPr>
        <w:ind w:left="300" w:firstLine="532"/>
        <w:spacing w:after="0" w:line="259" w:lineRule="auto"/>
        <w:rPr>
          <w:sz w:val="20"/>
          <w:szCs w:val="20"/>
          <w:color w:val="auto"/>
        </w:rPr>
      </w:pPr>
      <w:r>
        <w:rPr>
          <w:rFonts w:ascii="Arial" w:cs="Arial" w:eastAsia="Arial" w:hAnsi="Arial"/>
          <w:sz w:val="17"/>
          <w:szCs w:val="17"/>
          <w:color w:val="auto"/>
        </w:rPr>
        <w:t>We were incorporated under the laws of the State of Delaware on August 18, 2015 under the name Fulcrum Therapeutics, Inc. Our principal executive offices are located at 26 Landsdowne Street, Cambridge, Massachusetts 02139, and our telephone number is</w:t>
      </w:r>
    </w:p>
    <w:p>
      <w:pPr>
        <w:spacing w:after="0" w:line="1" w:lineRule="exact"/>
        <w:rPr>
          <w:sz w:val="20"/>
          <w:szCs w:val="20"/>
          <w:color w:val="auto"/>
        </w:rPr>
      </w:pPr>
    </w:p>
    <w:p>
      <w:pPr>
        <w:ind w:left="300" w:right="120" w:hanging="2"/>
        <w:spacing w:after="0" w:line="242" w:lineRule="auto"/>
        <w:tabs>
          <w:tab w:leader="none" w:pos="770" w:val="left"/>
        </w:tabs>
        <w:numPr>
          <w:ilvl w:val="0"/>
          <w:numId w:val="2"/>
        </w:numPr>
        <w:rPr>
          <w:rFonts w:ascii="Arial" w:cs="Arial" w:eastAsia="Arial" w:hAnsi="Arial"/>
          <w:sz w:val="18"/>
          <w:szCs w:val="18"/>
          <w:color w:val="auto"/>
        </w:rPr>
      </w:pPr>
      <w:r>
        <w:rPr>
          <w:rFonts w:ascii="Arial" w:cs="Arial" w:eastAsia="Arial" w:hAnsi="Arial"/>
          <w:sz w:val="18"/>
          <w:szCs w:val="18"/>
          <w:color w:val="auto"/>
        </w:rPr>
        <w:t>651-8851. Our website address is http://www.fulcrumtx.com. The information contained on, or that can be accessed through, our website is not a part of this prospectus supplement. We have included our website address in this prospectus supplement solely as an inactive textual reference.</w:t>
      </w:r>
    </w:p>
    <w:p>
      <w:pPr>
        <w:spacing w:after="0" w:line="179" w:lineRule="exact"/>
        <w:rPr>
          <w:sz w:val="20"/>
          <w:szCs w:val="20"/>
          <w:color w:val="auto"/>
        </w:rPr>
      </w:pPr>
    </w:p>
    <w:p>
      <w:pPr>
        <w:ind w:left="300" w:right="80" w:firstLine="532"/>
        <w:spacing w:after="0" w:line="225" w:lineRule="auto"/>
        <w:rPr>
          <w:sz w:val="20"/>
          <w:szCs w:val="20"/>
          <w:color w:val="auto"/>
        </w:rPr>
      </w:pPr>
      <w:r>
        <w:rPr>
          <w:rFonts w:ascii="Arial" w:cs="Arial" w:eastAsia="Arial" w:hAnsi="Arial"/>
          <w:sz w:val="18"/>
          <w:szCs w:val="18"/>
          <w:color w:val="auto"/>
        </w:rPr>
        <w:t xml:space="preserve">We own or have rights to, or have applied for, trademarks, service marks and trade names that we use in connection with the operation of our business, including our corporate name, logos and website names. Other trademarks, service marks and trade names appearing in this prospectus supplement and the accompanying base prospectus are the property of their respective owners. Solely for convenience, some of the trademarks, service marks and trade names referred to in this prospectus supplement and the accompanying base prospectus are listed without the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symbols, but we will assert, to the fullest extent under applicable law, our rights to our trademarks, service marks and trade names.</w:t>
      </w:r>
    </w:p>
    <w:p>
      <w:pPr>
        <w:spacing w:after="0" w:line="28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Risks Associated with Our Business</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business is subject to a number of risks of which you should be aware before making a decision to invest in our common stock.</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These risks are more fully described in the section titled “Risk Factors” immediately following this prospectus supplement summary.</w:t>
      </w:r>
    </w:p>
    <w:p>
      <w:pPr>
        <w:ind w:left="300"/>
        <w:spacing w:after="0"/>
        <w:rPr>
          <w:sz w:val="20"/>
          <w:szCs w:val="20"/>
          <w:color w:val="auto"/>
        </w:rPr>
      </w:pPr>
      <w:r>
        <w:rPr>
          <w:rFonts w:ascii="Arial" w:cs="Arial" w:eastAsia="Arial" w:hAnsi="Arial"/>
          <w:sz w:val="18"/>
          <w:szCs w:val="18"/>
          <w:color w:val="auto"/>
        </w:rPr>
        <w:t>These risks include, among others, the following:</w:t>
      </w:r>
    </w:p>
    <w:p>
      <w:pPr>
        <w:spacing w:after="0" w:line="99" w:lineRule="exact"/>
        <w:rPr>
          <w:sz w:val="20"/>
          <w:szCs w:val="20"/>
          <w:color w:val="auto"/>
        </w:rPr>
      </w:pPr>
    </w:p>
    <w:p>
      <w:pPr>
        <w:ind w:left="1020" w:right="320" w:hanging="195"/>
        <w:spacing w:after="0" w:line="24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Our net loss was $80.8 million for the year ended December 31, 2021 and $83.7 million for the nine months ended September 30, 2022. We expect to incur losses over the next several years and may never achieve or maintain profitability. As of September 30, 2022, we had an accumulated deficit of $386.2 million.</w:t>
      </w:r>
    </w:p>
    <w:p>
      <w:pPr>
        <w:spacing w:after="0" w:line="79" w:lineRule="exact"/>
        <w:rPr>
          <w:rFonts w:ascii="Arial" w:cs="Arial" w:eastAsia="Arial" w:hAnsi="Arial"/>
          <w:sz w:val="18"/>
          <w:szCs w:val="18"/>
          <w:color w:val="auto"/>
        </w:rPr>
      </w:pPr>
    </w:p>
    <w:p>
      <w:pPr>
        <w:ind w:left="1020" w:right="140" w:hanging="195"/>
        <w:spacing w:after="0" w:line="244"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need substantial additional funding. If we are unable to raise capital when needed, we could be forced to delay, reduce or eliminate our product development programs or commercialization efforts. We expect to devote substantial financial resources to our ongoing and planned activities, particularly as we continue our clinical trials of losmapimod and FTX-6058 and continue research and development and initiate additional clinical trials of, and seek regulatory approval for, these and other product candidates.</w:t>
      </w:r>
    </w:p>
    <w:p>
      <w:pPr>
        <w:spacing w:after="0" w:line="81" w:lineRule="exact"/>
        <w:rPr>
          <w:rFonts w:ascii="Arial" w:cs="Arial" w:eastAsia="Arial" w:hAnsi="Arial"/>
          <w:sz w:val="18"/>
          <w:szCs w:val="18"/>
          <w:color w:val="auto"/>
        </w:rPr>
      </w:pPr>
    </w:p>
    <w:p>
      <w:pPr>
        <w:ind w:left="1020" w:right="180" w:hanging="195"/>
        <w:spacing w:after="0" w:line="301"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are early in our development efforts, and we only have two product candidates in clinical trials. If we are unable to commercialize our product candidates or experience significant delays in doing so, our business will be materially harmed.</w:t>
      </w:r>
    </w:p>
    <w:p>
      <w:pPr>
        <w:spacing w:after="0" w:line="36" w:lineRule="exact"/>
        <w:rPr>
          <w:rFonts w:ascii="Arial" w:cs="Arial" w:eastAsia="Arial" w:hAnsi="Arial"/>
          <w:sz w:val="17"/>
          <w:szCs w:val="17"/>
          <w:color w:val="auto"/>
        </w:rPr>
      </w:pPr>
    </w:p>
    <w:p>
      <w:pPr>
        <w:ind w:left="1020" w:right="100" w:hanging="195"/>
        <w:spacing w:after="0" w:line="24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successful in our efforts to use FulcrumSeek, our proprietary product engine to build a pipeline of product candidates. A key element of our strategy is to use FulcrumSeek to identify and validate cellular drug targets that can potentially modulate gene expression to address the root cause of genetically-defined rare diseases, with an initial focus on identifying small molecules specific to the identified cellular target.</w:t>
      </w:r>
    </w:p>
    <w:p>
      <w:pPr>
        <w:spacing w:after="0" w:line="79" w:lineRule="exact"/>
        <w:rPr>
          <w:rFonts w:ascii="Arial" w:cs="Arial" w:eastAsia="Arial" w:hAnsi="Arial"/>
          <w:sz w:val="18"/>
          <w:szCs w:val="18"/>
          <w:color w:val="auto"/>
        </w:rPr>
      </w:pPr>
    </w:p>
    <w:p>
      <w:pPr>
        <w:ind w:left="1020" w:right="60" w:hanging="195"/>
        <w:spacing w:after="0" w:line="25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Clinical drug development involves a lengthy and expensive process, with an uncertain outcome.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27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0900"/>
          </w:cols>
          <w:pgMar w:left="320" w:top="455" w:right="6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4387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54387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1020" w:right="300" w:hanging="195"/>
        <w:spacing w:after="0" w:line="25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Because we are developing some of our product candidates for the treatment of diseases in which there is limited clinical experience and, in some cases, using new endpoints or methodologies, the FDA, or other regulatory authorities may not consider the endpoints of our clinical trials to predict or provide clinically meaningful results.</w:t>
      </w:r>
    </w:p>
    <w:p>
      <w:pPr>
        <w:spacing w:after="0" w:line="74" w:lineRule="exact"/>
        <w:rPr>
          <w:rFonts w:ascii="Arial" w:cs="Arial" w:eastAsia="Arial" w:hAnsi="Arial"/>
          <w:sz w:val="18"/>
          <w:szCs w:val="18"/>
          <w:color w:val="auto"/>
        </w:rPr>
      </w:pPr>
    </w:p>
    <w:p>
      <w:pPr>
        <w:ind w:left="1020" w:right="20" w:hanging="195"/>
        <w:spacing w:after="0" w:line="24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ongoing COVID-19 pandemic has affected and may continue to affect our ability to initiate and complete current or future preclinical studies or clinical trials, disrupt regulatory activities or have other adverse effects on our business and operations. In addition, this pandemic may continue to adversely impact economies worldwide, which could result in adverse effects on our business and operations.</w:t>
      </w:r>
    </w:p>
    <w:p>
      <w:pPr>
        <w:spacing w:after="0" w:line="79" w:lineRule="exact"/>
        <w:rPr>
          <w:rFonts w:ascii="Arial" w:cs="Arial" w:eastAsia="Arial" w:hAnsi="Arial"/>
          <w:sz w:val="18"/>
          <w:szCs w:val="18"/>
          <w:color w:val="auto"/>
        </w:rPr>
      </w:pPr>
    </w:p>
    <w:p>
      <w:pPr>
        <w:ind w:left="1020" w:right="200" w:hanging="195"/>
        <w:spacing w:after="0" w:line="27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serious adverse events or unacceptable side effects are identified during the development of our product candidates, we may need to abandon or limit our development of some of our product candidates.</w:t>
      </w:r>
    </w:p>
    <w:p>
      <w:pPr>
        <w:spacing w:after="0" w:line="59" w:lineRule="exact"/>
        <w:rPr>
          <w:rFonts w:ascii="Arial" w:cs="Arial" w:eastAsia="Arial" w:hAnsi="Arial"/>
          <w:sz w:val="18"/>
          <w:szCs w:val="18"/>
          <w:color w:val="auto"/>
        </w:rPr>
      </w:pPr>
    </w:p>
    <w:p>
      <w:pPr>
        <w:ind w:left="1020" w:right="200" w:hanging="195"/>
        <w:spacing w:after="0" w:line="27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products before or more successfully than we do.</w:t>
      </w:r>
    </w:p>
    <w:p>
      <w:pPr>
        <w:spacing w:after="0" w:line="59" w:lineRule="exact"/>
        <w:rPr>
          <w:rFonts w:ascii="Arial" w:cs="Arial" w:eastAsia="Arial" w:hAnsi="Arial"/>
          <w:sz w:val="18"/>
          <w:szCs w:val="18"/>
          <w:color w:val="auto"/>
        </w:rPr>
      </w:pPr>
    </w:p>
    <w:p>
      <w:pPr>
        <w:jc w:val="both"/>
        <w:ind w:left="1020" w:right="240" w:hanging="195"/>
        <w:spacing w:after="0" w:line="25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and expect to continue to rely, on contract manufacturing organizations to manufacture our product candidates. If we are unable to enter into such arrangements as expected or if such organizations do not meet our supply requirements, development and/or commercialization of our product candidates may be delayed.</w:t>
      </w:r>
    </w:p>
    <w:p>
      <w:pPr>
        <w:spacing w:after="0" w:line="74" w:lineRule="exact"/>
        <w:rPr>
          <w:rFonts w:ascii="Arial" w:cs="Arial" w:eastAsia="Arial" w:hAnsi="Arial"/>
          <w:sz w:val="18"/>
          <w:szCs w:val="18"/>
          <w:color w:val="auto"/>
        </w:rPr>
      </w:pPr>
    </w:p>
    <w:p>
      <w:pPr>
        <w:ind w:left="1020" w:right="140" w:hanging="195"/>
        <w:spacing w:after="0" w:line="271"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59" w:lineRule="exact"/>
        <w:rPr>
          <w:rFonts w:ascii="Arial" w:cs="Arial" w:eastAsia="Arial" w:hAnsi="Arial"/>
          <w:sz w:val="18"/>
          <w:szCs w:val="18"/>
          <w:color w:val="auto"/>
        </w:rPr>
      </w:pPr>
    </w:p>
    <w:p>
      <w:pPr>
        <w:ind w:left="1020" w:right="20" w:hanging="195"/>
        <w:spacing w:after="0" w:line="275"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entered into, and may in the future enter into, collaborations with third parties for the discovery, development or commercialization of product candidates, including our collaboration with BMS. If our collaboration is not successful, we may not be able to capitalize on the market potential of these product candidates and our business could be adversely affected.</w:t>
      </w:r>
    </w:p>
    <w:p>
      <w:pPr>
        <w:spacing w:after="0" w:line="57" w:lineRule="exact"/>
        <w:rPr>
          <w:rFonts w:ascii="Arial" w:cs="Arial" w:eastAsia="Arial" w:hAnsi="Arial"/>
          <w:sz w:val="17"/>
          <w:szCs w:val="17"/>
          <w:color w:val="auto"/>
        </w:rPr>
      </w:pPr>
    </w:p>
    <w:p>
      <w:pPr>
        <w:ind w:left="1020" w:hanging="195"/>
        <w:spacing w:after="0" w:line="24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79" w:lineRule="exact"/>
        <w:rPr>
          <w:rFonts w:ascii="Arial" w:cs="Arial" w:eastAsia="Arial" w:hAnsi="Arial"/>
          <w:sz w:val="18"/>
          <w:szCs w:val="18"/>
          <w:color w:val="auto"/>
        </w:rPr>
      </w:pPr>
    </w:p>
    <w:p>
      <w:pPr>
        <w:jc w:val="both"/>
        <w:ind w:left="1020" w:right="220" w:hanging="195"/>
        <w:spacing w:after="0" w:line="25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277"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Implications of Being an Emerging Growth Company and a Smaller Reporting Company</w:t>
      </w:r>
    </w:p>
    <w:p>
      <w:pPr>
        <w:spacing w:after="0" w:line="212" w:lineRule="exact"/>
        <w:rPr>
          <w:sz w:val="20"/>
          <w:szCs w:val="20"/>
          <w:color w:val="auto"/>
        </w:rPr>
      </w:pPr>
    </w:p>
    <w:p>
      <w:pPr>
        <w:ind w:left="300" w:firstLine="532"/>
        <w:spacing w:after="0" w:line="242" w:lineRule="auto"/>
        <w:rPr>
          <w:sz w:val="20"/>
          <w:szCs w:val="20"/>
          <w:color w:val="auto"/>
        </w:rPr>
      </w:pPr>
      <w:r>
        <w:rPr>
          <w:rFonts w:ascii="Arial" w:cs="Arial" w:eastAsia="Arial" w:hAnsi="Arial"/>
          <w:sz w:val="18"/>
          <w:szCs w:val="18"/>
          <w:color w:val="auto"/>
        </w:rPr>
        <w:t>As a company with less than $1.235 billion in revenue during our last fiscal year, we qualify as an “emerging growth company” as defined in the Jumpstart Our Business Startups Act of 2012, and we may remain an emerging growth company until December 31, 2024 or until such earlier time as we have more than $1.235 billion in annual revenue, the market value of our stock held by non-affiliates is more than $700 million or we issue more than $1 billion of non-convertible debt over a three-year period. For so long as we remain an emerging growth company, we are permitted and intend to rely on exemptions from certain disclosure and other requirements that are applicable to public companies that are not emerging growth companies.</w:t>
      </w:r>
    </w:p>
    <w:p>
      <w:pPr>
        <w:spacing w:after="0" w:line="28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0920"/>
          </w:cols>
          <w:pgMar w:left="320" w:top="455" w:right="6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12642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12642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We are also a “smaller reporting company,” meaning that the market value of our stock held by non-affiliates is less than</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$700 million as of our most recently completed second fiscal quarter and our annual revenue was less than $100 million during our</w:t>
      </w:r>
    </w:p>
    <w:p>
      <w:pPr>
        <w:ind w:left="300"/>
        <w:spacing w:after="0" w:line="234" w:lineRule="auto"/>
        <w:rPr>
          <w:sz w:val="20"/>
          <w:szCs w:val="20"/>
          <w:color w:val="auto"/>
        </w:rPr>
      </w:pPr>
      <w:r>
        <w:rPr>
          <w:rFonts w:ascii="Arial" w:cs="Arial" w:eastAsia="Arial" w:hAnsi="Arial"/>
          <w:sz w:val="18"/>
          <w:szCs w:val="18"/>
          <w:color w:val="auto"/>
        </w:rPr>
        <w:t>most recently completed fiscal year. We may continue to be a smaller reporting company if either (i) the market value of our stock</w:t>
      </w:r>
    </w:p>
    <w:p>
      <w:pPr>
        <w:ind w:left="300"/>
        <w:spacing w:after="0" w:line="235" w:lineRule="auto"/>
        <w:rPr>
          <w:sz w:val="20"/>
          <w:szCs w:val="20"/>
          <w:color w:val="auto"/>
        </w:rPr>
      </w:pPr>
      <w:r>
        <w:rPr>
          <w:rFonts w:ascii="Arial" w:cs="Arial" w:eastAsia="Arial" w:hAnsi="Arial"/>
          <w:sz w:val="18"/>
          <w:szCs w:val="18"/>
          <w:color w:val="auto"/>
        </w:rPr>
        <w:t>held by non-affiliates is less than $250 million as of our most recently completed second fiscal quarter or (ii) our annual revenue was</w:t>
      </w:r>
    </w:p>
    <w:p>
      <w:pPr>
        <w:ind w:left="300"/>
        <w:spacing w:after="0" w:line="235" w:lineRule="auto"/>
        <w:rPr>
          <w:sz w:val="20"/>
          <w:szCs w:val="20"/>
          <w:color w:val="auto"/>
        </w:rPr>
      </w:pPr>
      <w:r>
        <w:rPr>
          <w:rFonts w:ascii="Arial" w:cs="Arial" w:eastAsia="Arial" w:hAnsi="Arial"/>
          <w:sz w:val="18"/>
          <w:szCs w:val="18"/>
          <w:color w:val="auto"/>
        </w:rPr>
        <w:t>less than $100 million during the most recently completed fiscal year and the market value of our stock held by non-affiliates is less</w:t>
      </w:r>
    </w:p>
    <w:p>
      <w:pPr>
        <w:ind w:left="300"/>
        <w:spacing w:after="0"/>
        <w:rPr>
          <w:sz w:val="20"/>
          <w:szCs w:val="20"/>
          <w:color w:val="auto"/>
        </w:rPr>
      </w:pPr>
      <w:r>
        <w:rPr>
          <w:rFonts w:ascii="Arial" w:cs="Arial" w:eastAsia="Arial" w:hAnsi="Arial"/>
          <w:sz w:val="17"/>
          <w:szCs w:val="17"/>
          <w:color w:val="auto"/>
        </w:rPr>
        <w:t>than $700 million as of our most recently completed second fiscal quarter. If we are a smaller reporting company at the time we cease</w:t>
      </w:r>
    </w:p>
    <w:p>
      <w:pPr>
        <w:spacing w:after="0" w:line="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 be an emerging growth company, we may continue to rely on exemptions from certain disclosure requirements that are available to</w:t>
      </w:r>
    </w:p>
    <w:p>
      <w:pPr>
        <w:ind w:left="300"/>
        <w:spacing w:after="0"/>
        <w:rPr>
          <w:sz w:val="20"/>
          <w:szCs w:val="20"/>
          <w:color w:val="auto"/>
        </w:rPr>
      </w:pPr>
      <w:r>
        <w:rPr>
          <w:rFonts w:ascii="Arial" w:cs="Arial" w:eastAsia="Arial" w:hAnsi="Arial"/>
          <w:sz w:val="18"/>
          <w:szCs w:val="18"/>
          <w:color w:val="auto"/>
        </w:rPr>
        <w:t>smaller reporting companies.</w:t>
      </w:r>
    </w:p>
    <w:p>
      <w:pPr>
        <w:spacing w:after="0" w:line="3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0920"/>
          </w:cols>
          <w:pgMar w:left="320" w:top="455" w:right="6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16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55162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THE OFFERING</w:t>
      </w:r>
    </w:p>
    <w:p>
      <w:pPr>
        <w:sectPr>
          <w:pgSz w:w="11900" w:h="16838" w:orient="portrait"/>
          <w:cols w:equalWidth="0" w:num="1">
            <w:col w:w="10940"/>
          </w:cols>
          <w:pgMar w:left="320" w:top="455" w:right="639" w:bottom="1440" w:gutter="0" w:footer="0" w:header="0"/>
        </w:sectPr>
      </w:pPr>
    </w:p>
    <w:p>
      <w:pPr>
        <w:spacing w:after="0" w:line="129"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Common stock offered by us</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9,615,384 shares of our common stock.</w:t>
      </w:r>
    </w:p>
    <w:p>
      <w:pPr>
        <w:spacing w:after="0" w:line="142" w:lineRule="exact"/>
        <w:rPr>
          <w:sz w:val="20"/>
          <w:szCs w:val="20"/>
          <w:color w:val="auto"/>
        </w:rPr>
      </w:pPr>
    </w:p>
    <w:p>
      <w:pPr>
        <w:sectPr>
          <w:pgSz w:w="11900" w:h="16838" w:orient="portrait"/>
          <w:cols w:equalWidth="0" w:num="2">
            <w:col w:w="5100" w:space="720"/>
            <w:col w:w="5120"/>
          </w:cols>
          <w:pgMar w:left="320" w:top="455" w:right="639" w:bottom="1440" w:gutter="0" w:footer="0" w:header="0"/>
          <w:type w:val="continuous"/>
        </w:sectPr>
      </w:pPr>
    </w:p>
    <w:p>
      <w:pPr>
        <w:ind w:left="300"/>
        <w:spacing w:after="0"/>
        <w:rPr>
          <w:sz w:val="20"/>
          <w:szCs w:val="20"/>
          <w:color w:val="auto"/>
        </w:rPr>
      </w:pPr>
      <w:r>
        <w:rPr>
          <w:rFonts w:ascii="Arial" w:cs="Arial" w:eastAsia="Arial" w:hAnsi="Arial"/>
          <w:sz w:val="17"/>
          <w:szCs w:val="17"/>
          <w:b w:val="1"/>
          <w:bCs w:val="1"/>
          <w:color w:val="auto"/>
        </w:rPr>
        <w:t>Option to purchase additional shares</w:t>
      </w:r>
    </w:p>
    <w:p>
      <w:pPr>
        <w:spacing w:after="0" w:line="20" w:lineRule="exact"/>
        <w:rPr>
          <w:sz w:val="20"/>
          <w:szCs w:val="20"/>
          <w:color w:val="auto"/>
        </w:rPr>
      </w:pPr>
      <w:r>
        <w:rPr>
          <w:sz w:val="20"/>
          <w:szCs w:val="20"/>
          <w:color w:val="auto"/>
        </w:rPr>
        <w:br w:type="column"/>
      </w:r>
    </w:p>
    <w:p>
      <w:pPr>
        <w:ind w:right="340"/>
        <w:spacing w:after="0" w:line="271" w:lineRule="auto"/>
        <w:rPr>
          <w:sz w:val="20"/>
          <w:szCs w:val="20"/>
          <w:color w:val="auto"/>
        </w:rPr>
      </w:pPr>
      <w:r>
        <w:rPr>
          <w:rFonts w:ascii="Arial" w:cs="Arial" w:eastAsia="Arial" w:hAnsi="Arial"/>
          <w:sz w:val="18"/>
          <w:szCs w:val="18"/>
          <w:color w:val="auto"/>
        </w:rPr>
        <w:t>The underwriters have a 30-day option to purchase up to an additional 1,442,307 shares of common stock.</w:t>
      </w:r>
    </w:p>
    <w:p>
      <w:pPr>
        <w:spacing w:after="0" w:line="59" w:lineRule="exact"/>
        <w:rPr>
          <w:sz w:val="20"/>
          <w:szCs w:val="20"/>
          <w:color w:val="auto"/>
        </w:rPr>
      </w:pPr>
    </w:p>
    <w:p>
      <w:pPr>
        <w:sectPr>
          <w:pgSz w:w="11900" w:h="16838" w:orient="portrait"/>
          <w:cols w:equalWidth="0" w:num="2">
            <w:col w:w="5100" w:space="720"/>
            <w:col w:w="5120"/>
          </w:cols>
          <w:pgMar w:left="320" w:top="455" w:right="639" w:bottom="1440" w:gutter="0" w:footer="0" w:header="0"/>
          <w:type w:val="continuous"/>
        </w:sectPr>
      </w:pPr>
    </w:p>
    <w:p>
      <w:pPr>
        <w:ind w:left="400" w:right="860" w:hanging="107"/>
        <w:spacing w:after="0" w:line="281" w:lineRule="auto"/>
        <w:rPr>
          <w:sz w:val="20"/>
          <w:szCs w:val="20"/>
          <w:color w:val="auto"/>
        </w:rPr>
      </w:pPr>
      <w:r>
        <w:rPr>
          <w:rFonts w:ascii="Arial" w:cs="Arial" w:eastAsia="Arial" w:hAnsi="Arial"/>
          <w:sz w:val="18"/>
          <w:szCs w:val="18"/>
          <w:b w:val="1"/>
          <w:bCs w:val="1"/>
          <w:color w:val="auto"/>
        </w:rPr>
        <w:t>Common stock to be outstanding immediately after this offering</w:t>
      </w:r>
    </w:p>
    <w:p>
      <w:pPr>
        <w:spacing w:after="0" w:line="20" w:lineRule="exact"/>
        <w:rPr>
          <w:sz w:val="20"/>
          <w:szCs w:val="20"/>
          <w:color w:val="auto"/>
        </w:rPr>
      </w:pPr>
      <w:r>
        <w:rPr>
          <w:sz w:val="20"/>
          <w:szCs w:val="20"/>
          <w:color w:val="auto"/>
        </w:rPr>
        <w:br w:type="column"/>
      </w:r>
    </w:p>
    <w:p>
      <w:pPr>
        <w:jc w:val="both"/>
        <w:ind w:right="520"/>
        <w:spacing w:after="0" w:line="271" w:lineRule="auto"/>
        <w:rPr>
          <w:sz w:val="20"/>
          <w:szCs w:val="20"/>
          <w:color w:val="auto"/>
        </w:rPr>
      </w:pPr>
      <w:r>
        <w:rPr>
          <w:rFonts w:ascii="Arial" w:cs="Arial" w:eastAsia="Arial" w:hAnsi="Arial"/>
          <w:sz w:val="18"/>
          <w:szCs w:val="18"/>
          <w:color w:val="auto"/>
        </w:rPr>
        <w:t>61,665,297 shares (63,107,604 shares if the underwriters exercise their option to purchase additional shares in full).</w:t>
      </w:r>
    </w:p>
    <w:p>
      <w:pPr>
        <w:spacing w:after="0" w:line="72" w:lineRule="exact"/>
        <w:rPr>
          <w:sz w:val="20"/>
          <w:szCs w:val="20"/>
          <w:color w:val="auto"/>
        </w:rPr>
      </w:pPr>
    </w:p>
    <w:p>
      <w:pPr>
        <w:sectPr>
          <w:pgSz w:w="11900" w:h="16838" w:orient="portrait"/>
          <w:cols w:equalWidth="0" w:num="2">
            <w:col w:w="5100" w:space="720"/>
            <w:col w:w="5120"/>
          </w:cols>
          <w:pgMar w:left="320" w:top="455" w:right="639" w:bottom="1440" w:gutter="0" w:footer="0" w:header="0"/>
          <w:type w:val="continuous"/>
        </w:sectPr>
      </w:pPr>
    </w:p>
    <w:p>
      <w:pPr>
        <w:ind w:left="300"/>
        <w:spacing w:after="0"/>
        <w:rPr>
          <w:sz w:val="20"/>
          <w:szCs w:val="20"/>
          <w:color w:val="auto"/>
        </w:rPr>
      </w:pPr>
      <w:r>
        <w:rPr>
          <w:rFonts w:ascii="Arial" w:cs="Arial" w:eastAsia="Arial" w:hAnsi="Arial"/>
          <w:sz w:val="17"/>
          <w:szCs w:val="17"/>
          <w:b w:val="1"/>
          <w:bCs w:val="1"/>
          <w:color w:val="auto"/>
        </w:rPr>
        <w:t>Use of proceeds</w:t>
      </w:r>
    </w:p>
    <w:p>
      <w:pPr>
        <w:spacing w:after="0" w:line="20" w:lineRule="exact"/>
        <w:rPr>
          <w:sz w:val="20"/>
          <w:szCs w:val="20"/>
          <w:color w:val="auto"/>
        </w:rPr>
      </w:pPr>
      <w:r>
        <w:rPr>
          <w:sz w:val="20"/>
          <w:szCs w:val="20"/>
          <w:color w:val="auto"/>
        </w:rPr>
        <w:br w:type="column"/>
      </w:r>
    </w:p>
    <w:p>
      <w:pPr>
        <w:spacing w:after="0" w:line="247" w:lineRule="auto"/>
        <w:rPr>
          <w:sz w:val="20"/>
          <w:szCs w:val="20"/>
          <w:color w:val="auto"/>
        </w:rPr>
      </w:pPr>
      <w:r>
        <w:rPr>
          <w:rFonts w:ascii="Arial" w:cs="Arial" w:eastAsia="Arial" w:hAnsi="Arial"/>
          <w:sz w:val="18"/>
          <w:szCs w:val="18"/>
          <w:color w:val="auto"/>
        </w:rPr>
        <w:t>We estimate that the net proceeds to us from this offering will be approximately $117.3 million, or approximately $134.9 million if the underwriters exercise their option to purchase additional shares in full.</w:t>
      </w:r>
    </w:p>
    <w:p>
      <w:pPr>
        <w:spacing w:after="0" w:line="79" w:lineRule="exact"/>
        <w:rPr>
          <w:sz w:val="20"/>
          <w:szCs w:val="20"/>
          <w:color w:val="auto"/>
        </w:rPr>
      </w:pPr>
    </w:p>
    <w:p>
      <w:pPr>
        <w:sectPr>
          <w:pgSz w:w="11900" w:h="16838" w:orient="portrait"/>
          <w:cols w:equalWidth="0" w:num="2">
            <w:col w:w="5100" w:space="720"/>
            <w:col w:w="5120"/>
          </w:cols>
          <w:pgMar w:left="320" w:top="455" w:right="639" w:bottom="1440" w:gutter="0" w:footer="0" w:header="0"/>
          <w:type w:val="continuous"/>
        </w:sectPr>
      </w:pPr>
    </w:p>
    <w:p>
      <w:pPr>
        <w:ind w:left="5820"/>
        <w:spacing w:after="0"/>
        <w:rPr>
          <w:sz w:val="20"/>
          <w:szCs w:val="20"/>
          <w:color w:val="auto"/>
        </w:rPr>
      </w:pPr>
      <w:r>
        <w:rPr>
          <w:rFonts w:ascii="Arial" w:cs="Arial" w:eastAsia="Arial" w:hAnsi="Arial"/>
          <w:sz w:val="18"/>
          <w:szCs w:val="18"/>
          <w:color w:val="auto"/>
        </w:rPr>
        <w:t>We currently intend to use the net proceeds from the sale of</w:t>
      </w:r>
    </w:p>
    <w:p>
      <w:pPr>
        <w:spacing w:after="0" w:line="14"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securities offered under this prospectus supplement primarily for</w:t>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general corporate purposes, which may include working capital</w:t>
      </w:r>
    </w:p>
    <w:p>
      <w:pPr>
        <w:ind w:left="5820"/>
        <w:spacing w:after="0" w:line="234" w:lineRule="auto"/>
        <w:rPr>
          <w:sz w:val="20"/>
          <w:szCs w:val="20"/>
          <w:color w:val="auto"/>
        </w:rPr>
      </w:pPr>
      <w:r>
        <w:rPr>
          <w:rFonts w:ascii="Arial" w:cs="Arial" w:eastAsia="Arial" w:hAnsi="Arial"/>
          <w:sz w:val="18"/>
          <w:szCs w:val="18"/>
          <w:color w:val="auto"/>
        </w:rPr>
        <w:t>and capital expenditures, research and development expenses,</w:t>
      </w:r>
    </w:p>
    <w:p>
      <w:pPr>
        <w:ind w:left="5820"/>
        <w:spacing w:after="0" w:line="235" w:lineRule="auto"/>
        <w:rPr>
          <w:sz w:val="20"/>
          <w:szCs w:val="20"/>
          <w:color w:val="auto"/>
        </w:rPr>
      </w:pPr>
      <w:r>
        <w:rPr>
          <w:rFonts w:ascii="Arial" w:cs="Arial" w:eastAsia="Arial" w:hAnsi="Arial"/>
          <w:sz w:val="18"/>
          <w:szCs w:val="18"/>
          <w:color w:val="auto"/>
        </w:rPr>
        <w:t>including to fund clinical trials, regulatory submissions,</w:t>
      </w:r>
    </w:p>
    <w:p>
      <w:pPr>
        <w:ind w:left="5820"/>
        <w:spacing w:after="0" w:line="235" w:lineRule="auto"/>
        <w:rPr>
          <w:sz w:val="20"/>
          <w:szCs w:val="20"/>
          <w:color w:val="auto"/>
        </w:rPr>
      </w:pPr>
      <w:r>
        <w:rPr>
          <w:rFonts w:ascii="Arial" w:cs="Arial" w:eastAsia="Arial" w:hAnsi="Arial"/>
          <w:sz w:val="18"/>
          <w:szCs w:val="18"/>
          <w:color w:val="auto"/>
        </w:rPr>
        <w:t>commercialization, discovery and additional preclinical research</w:t>
      </w:r>
    </w:p>
    <w:p>
      <w:pPr>
        <w:ind w:left="5820"/>
        <w:spacing w:after="0" w:line="235" w:lineRule="auto"/>
        <w:rPr>
          <w:sz w:val="20"/>
          <w:szCs w:val="20"/>
          <w:color w:val="auto"/>
        </w:rPr>
      </w:pPr>
      <w:r>
        <w:rPr>
          <w:rFonts w:ascii="Arial" w:cs="Arial" w:eastAsia="Arial" w:hAnsi="Arial"/>
          <w:sz w:val="18"/>
          <w:szCs w:val="18"/>
          <w:color w:val="auto"/>
        </w:rPr>
        <w:t>and development of additional product candidates and platform</w:t>
      </w:r>
    </w:p>
    <w:p>
      <w:pPr>
        <w:ind w:left="5820"/>
        <w:spacing w:after="0" w:line="235" w:lineRule="auto"/>
        <w:rPr>
          <w:sz w:val="20"/>
          <w:szCs w:val="20"/>
          <w:color w:val="auto"/>
        </w:rPr>
      </w:pPr>
      <w:r>
        <w:rPr>
          <w:rFonts w:ascii="Arial" w:cs="Arial" w:eastAsia="Arial" w:hAnsi="Arial"/>
          <w:sz w:val="18"/>
          <w:szCs w:val="18"/>
          <w:color w:val="auto"/>
        </w:rPr>
        <w:t>enhancement, general and administrative expenses, and</w:t>
      </w:r>
    </w:p>
    <w:p>
      <w:pPr>
        <w:ind w:left="5820"/>
        <w:spacing w:after="0" w:line="234" w:lineRule="auto"/>
        <w:rPr>
          <w:sz w:val="20"/>
          <w:szCs w:val="20"/>
          <w:color w:val="auto"/>
        </w:rPr>
      </w:pPr>
      <w:r>
        <w:rPr>
          <w:rFonts w:ascii="Arial" w:cs="Arial" w:eastAsia="Arial" w:hAnsi="Arial"/>
          <w:sz w:val="18"/>
          <w:szCs w:val="18"/>
          <w:color w:val="auto"/>
        </w:rPr>
        <w:t>potential acquisitions of, or investments in, companies,</w:t>
      </w:r>
    </w:p>
    <w:p>
      <w:pPr>
        <w:ind w:left="5820"/>
        <w:spacing w:after="0" w:line="235" w:lineRule="auto"/>
        <w:rPr>
          <w:sz w:val="20"/>
          <w:szCs w:val="20"/>
          <w:color w:val="auto"/>
        </w:rPr>
      </w:pPr>
      <w:r>
        <w:rPr>
          <w:rFonts w:ascii="Arial" w:cs="Arial" w:eastAsia="Arial" w:hAnsi="Arial"/>
          <w:sz w:val="18"/>
          <w:szCs w:val="18"/>
          <w:color w:val="auto"/>
        </w:rPr>
        <w:t>technologies, products or assets that complement our business.</w:t>
      </w:r>
    </w:p>
    <w:p>
      <w:pPr>
        <w:ind w:left="5820"/>
        <w:spacing w:after="0" w:line="235" w:lineRule="auto"/>
        <w:rPr>
          <w:sz w:val="20"/>
          <w:szCs w:val="20"/>
          <w:color w:val="auto"/>
        </w:rPr>
      </w:pPr>
      <w:r>
        <w:rPr>
          <w:rFonts w:ascii="Arial" w:cs="Arial" w:eastAsia="Arial" w:hAnsi="Arial"/>
          <w:sz w:val="18"/>
          <w:szCs w:val="18"/>
          <w:color w:val="auto"/>
        </w:rPr>
        <w:t>See “Use of Proceeds” in this prospectus supplement for more</w:t>
      </w:r>
    </w:p>
    <w:p>
      <w:pPr>
        <w:ind w:left="5820"/>
        <w:spacing w:after="0"/>
        <w:rPr>
          <w:sz w:val="20"/>
          <w:szCs w:val="20"/>
          <w:color w:val="auto"/>
        </w:rPr>
      </w:pPr>
      <w:r>
        <w:rPr>
          <w:rFonts w:ascii="Arial" w:cs="Arial" w:eastAsia="Arial" w:hAnsi="Arial"/>
          <w:sz w:val="18"/>
          <w:szCs w:val="18"/>
          <w:color w:val="auto"/>
        </w:rPr>
        <w:t>information.</w:t>
      </w:r>
    </w:p>
    <w:p>
      <w:pPr>
        <w:sectPr>
          <w:pgSz w:w="11900" w:h="16838" w:orient="portrait"/>
          <w:cols w:equalWidth="0" w:num="1">
            <w:col w:w="10940"/>
          </w:cols>
          <w:pgMar w:left="320" w:top="455" w:right="639" w:bottom="1440" w:gutter="0" w:footer="0" w:header="0"/>
          <w:type w:val="continuous"/>
        </w:sectPr>
      </w:pPr>
    </w:p>
    <w:p>
      <w:pPr>
        <w:spacing w:after="0" w:line="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60"/>
        <w:spacing w:after="0"/>
        <w:rPr>
          <w:sz w:val="20"/>
          <w:szCs w:val="20"/>
          <w:color w:val="auto"/>
        </w:rPr>
      </w:pPr>
      <w:r>
        <w:rPr>
          <w:rFonts w:ascii="Arial" w:cs="Arial" w:eastAsia="Arial" w:hAnsi="Arial"/>
          <w:sz w:val="18"/>
          <w:szCs w:val="18"/>
          <w:color w:val="auto"/>
        </w:rPr>
        <w:t>You should read the “Risk Factors” in this prospectus supplement, the accompanying base prospectus, and the risks set forth under the caption “Item 1A. Risk Factors” included in our Annual Report on Form 10-K for the fiscal year ended December 31, 2021 and the other documents incorporated by reference into this prospectus supplement for a discussion of factors to consider carefully before deciding to purchase shares of our common stock.</w:t>
      </w:r>
    </w:p>
    <w:p>
      <w:pPr>
        <w:spacing w:after="0" w:line="86" w:lineRule="exact"/>
        <w:rPr>
          <w:sz w:val="20"/>
          <w:szCs w:val="20"/>
          <w:color w:val="auto"/>
        </w:rPr>
      </w:pPr>
    </w:p>
    <w:p>
      <w:pPr>
        <w:sectPr>
          <w:pgSz w:w="11900" w:h="16838" w:orient="portrait"/>
          <w:cols w:equalWidth="0" w:num="2">
            <w:col w:w="5100" w:space="720"/>
            <w:col w:w="5120"/>
          </w:cols>
          <w:pgMar w:left="320" w:top="455" w:right="639" w:bottom="1440" w:gutter="0" w:footer="0" w:header="0"/>
          <w:type w:val="continuous"/>
        </w:sectPr>
      </w:pPr>
    </w:p>
    <w:p>
      <w:pPr>
        <w:ind w:left="300"/>
        <w:spacing w:after="0"/>
        <w:rPr>
          <w:sz w:val="20"/>
          <w:szCs w:val="20"/>
          <w:color w:val="auto"/>
        </w:rPr>
      </w:pPr>
      <w:r>
        <w:rPr>
          <w:rFonts w:ascii="Arial" w:cs="Arial" w:eastAsia="Arial" w:hAnsi="Arial"/>
          <w:sz w:val="18"/>
          <w:szCs w:val="18"/>
          <w:b w:val="1"/>
          <w:bCs w:val="1"/>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“FULC”</w:t>
      </w:r>
    </w:p>
    <w:p>
      <w:pPr>
        <w:spacing w:after="0" w:line="211" w:lineRule="exact"/>
        <w:rPr>
          <w:sz w:val="20"/>
          <w:szCs w:val="20"/>
          <w:color w:val="auto"/>
        </w:rPr>
      </w:pPr>
    </w:p>
    <w:p>
      <w:pPr>
        <w:sectPr>
          <w:pgSz w:w="11900" w:h="16838" w:orient="portrait"/>
          <w:cols w:equalWidth="0" w:num="2">
            <w:col w:w="5100" w:space="720"/>
            <w:col w:w="5120"/>
          </w:cols>
          <w:pgMar w:left="320" w:top="455" w:right="639" w:bottom="1440" w:gutter="0" w:footer="0" w:header="0"/>
          <w:type w:val="continuous"/>
        </w:sectPr>
      </w:pPr>
    </w:p>
    <w:p>
      <w:pPr>
        <w:spacing w:after="0" w:line="25" w:lineRule="exact"/>
        <w:rPr>
          <w:sz w:val="20"/>
          <w:szCs w:val="20"/>
          <w:color w:val="auto"/>
        </w:rPr>
      </w:pPr>
    </w:p>
    <w:p>
      <w:pPr>
        <w:ind w:left="300" w:right="720" w:firstLine="532"/>
        <w:spacing w:after="0" w:line="271" w:lineRule="auto"/>
        <w:rPr>
          <w:sz w:val="20"/>
          <w:szCs w:val="20"/>
          <w:color w:val="auto"/>
        </w:rPr>
      </w:pPr>
      <w:r>
        <w:rPr>
          <w:rFonts w:ascii="Arial" w:cs="Arial" w:eastAsia="Arial" w:hAnsi="Arial"/>
          <w:sz w:val="18"/>
          <w:szCs w:val="18"/>
          <w:color w:val="auto"/>
        </w:rPr>
        <w:t>The number of shares of our common stock shown above to be outstanding immediately after this offering is based on 52,049,913 shares of common stock outstanding as of September 30, 2022 and excludes the following:</w:t>
      </w:r>
    </w:p>
    <w:p>
      <w:pPr>
        <w:spacing w:after="0" w:line="59" w:lineRule="exact"/>
        <w:rPr>
          <w:sz w:val="20"/>
          <w:szCs w:val="20"/>
          <w:color w:val="auto"/>
        </w:rPr>
      </w:pPr>
    </w:p>
    <w:p>
      <w:pPr>
        <w:ind w:left="1020" w:right="500" w:hanging="195"/>
        <w:spacing w:after="0" w:line="271"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5,929,065 shares of common stock issuable upon exercise of stock options outstanding as of September 30, 2022 at a weighted average exercise price of $12.89 per share;</w:t>
      </w:r>
    </w:p>
    <w:p>
      <w:pPr>
        <w:spacing w:after="0" w:line="26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0940"/>
          </w:cols>
          <w:pgMar w:left="320" w:top="455" w:right="6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3526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23526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020" w:right="200" w:hanging="195"/>
        <w:spacing w:after="0" w:line="271"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95,174 shares of common stock issuable upon vesting of restricted stock units, or RSUs, outstanding as of September 30, 2022; and</w:t>
      </w:r>
    </w:p>
    <w:p>
      <w:pPr>
        <w:spacing w:after="0" w:line="59" w:lineRule="exact"/>
        <w:rPr>
          <w:rFonts w:ascii="Arial" w:cs="Arial" w:eastAsia="Arial" w:hAnsi="Arial"/>
          <w:sz w:val="18"/>
          <w:szCs w:val="18"/>
          <w:color w:val="auto"/>
        </w:rPr>
      </w:pPr>
    </w:p>
    <w:p>
      <w:pPr>
        <w:ind w:left="1020" w:hanging="195"/>
        <w:spacing w:after="0" w:line="275"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1,667,865, 1,125,540, and 1,091,085 shares of our common stock available for future issuance as of September 30, 2022 under our 2019 Stock Incentive Plan, our 2022 Inducement Stock Incentive Plan and our 2019 Employee Stock Purchase Plan, respectively, as well as any automatic increases in the number of shares of common stock reserved under these plans.</w:t>
      </w:r>
    </w:p>
    <w:p>
      <w:pPr>
        <w:spacing w:after="0" w:line="15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Unless otherwise indicated, all information in this prospectus supplement:</w:t>
      </w:r>
    </w:p>
    <w:p>
      <w:pPr>
        <w:spacing w:after="0" w:line="117" w:lineRule="exact"/>
        <w:rPr>
          <w:sz w:val="20"/>
          <w:szCs w:val="20"/>
          <w:color w:val="auto"/>
        </w:rPr>
      </w:pPr>
    </w:p>
    <w:p>
      <w:pPr>
        <w:ind w:left="1020" w:hanging="19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assumes no exercise of the outstanding stock options or settlement of the RSUs described above;</w:t>
      </w:r>
    </w:p>
    <w:p>
      <w:pPr>
        <w:spacing w:after="0" w:line="117" w:lineRule="exact"/>
        <w:rPr>
          <w:rFonts w:ascii="Arial" w:cs="Arial" w:eastAsia="Arial" w:hAnsi="Arial"/>
          <w:sz w:val="18"/>
          <w:szCs w:val="18"/>
          <w:color w:val="auto"/>
        </w:rPr>
      </w:pPr>
    </w:p>
    <w:p>
      <w:pPr>
        <w:ind w:left="1020" w:right="160" w:hanging="195"/>
        <w:spacing w:after="0" w:line="271"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assumes no exercise by the underwriters of their option to purchase additional shares of our common stock in this offering; and</w:t>
      </w:r>
    </w:p>
    <w:p>
      <w:pPr>
        <w:spacing w:after="0" w:line="59" w:lineRule="exact"/>
        <w:rPr>
          <w:rFonts w:ascii="Arial" w:cs="Arial" w:eastAsia="Arial" w:hAnsi="Arial"/>
          <w:sz w:val="18"/>
          <w:szCs w:val="18"/>
          <w:color w:val="auto"/>
        </w:rPr>
      </w:pPr>
    </w:p>
    <w:p>
      <w:pPr>
        <w:ind w:left="1020" w:right="20" w:hanging="195"/>
        <w:spacing w:after="0" w:line="24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does not reflect the potential issuance of shares of our common stock that remain available for sale as of the date of this prospectus supplement under our “at-the-market” offering program, pursuant to which we may sell common stock for remaining gross proceeds of up to $50 million from time to time under our equity distribution agreement with Piper Sandler &amp; Co.</w:t>
      </w:r>
    </w:p>
    <w:p>
      <w:pPr>
        <w:spacing w:after="0" w:line="28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0920"/>
          </w:cols>
          <w:pgMar w:left="320" w:top="455" w:right="6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14" w:lineRule="exact"/>
        <w:rPr>
          <w:sz w:val="20"/>
          <w:szCs w:val="20"/>
          <w:color w:val="auto"/>
        </w:rPr>
      </w:pPr>
    </w:p>
    <w:p>
      <w:pPr>
        <w:ind w:left="120" w:right="160" w:firstLine="551"/>
        <w:spacing w:after="0" w:line="239"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and uncertainties described below together with all of the other information contained in this prospectus supplement and the accompanying base prospectus and the risk factors in our most recent Annual Report on Form 10-K, our most recent Quarterly Report on Form 10-Q, together with other information in this prospectus supplement, the accompanying base prospectus and the information and documents incorporated by reference in this prospectus supplement and the accompanying base prospectus, and in any prospectus supplement or free writing prospectus that we authorize for use in connection with this offering. If any of the following risks actually occur, our business, prospects, operating results and financial condition could suffer materially. In such event, the trading price of our common stock could decline and you might lose all or part of your investment.</w:t>
      </w:r>
    </w:p>
    <w:p>
      <w:pPr>
        <w:spacing w:after="0" w:line="29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Risks Related to This Offering</w:t>
      </w:r>
    </w:p>
    <w:p>
      <w:pPr>
        <w:spacing w:after="0" w:line="214" w:lineRule="exact"/>
        <w:rPr>
          <w:sz w:val="20"/>
          <w:szCs w:val="20"/>
          <w:color w:val="auto"/>
        </w:rPr>
      </w:pPr>
    </w:p>
    <w:p>
      <w:pPr>
        <w:ind w:left="120" w:right="440"/>
        <w:spacing w:after="0" w:line="278" w:lineRule="auto"/>
        <w:rPr>
          <w:sz w:val="20"/>
          <w:szCs w:val="20"/>
          <w:color w:val="auto"/>
        </w:rPr>
      </w:pPr>
      <w:r>
        <w:rPr>
          <w:rFonts w:ascii="Arial" w:cs="Arial" w:eastAsia="Arial" w:hAnsi="Arial"/>
          <w:sz w:val="18"/>
          <w:szCs w:val="18"/>
          <w:b w:val="1"/>
          <w:bCs w:val="1"/>
          <w:i w:val="1"/>
          <w:iCs w:val="1"/>
          <w:color w:val="auto"/>
        </w:rPr>
        <w:t>Sale of a substantial number of shares of our common stock, including by us, could cause the market price of our common stock to drop significantly, even if our business is doing well.</w:t>
      </w:r>
    </w:p>
    <w:p>
      <w:pPr>
        <w:spacing w:after="0" w:line="31" w:lineRule="exact"/>
        <w:rPr>
          <w:sz w:val="20"/>
          <w:szCs w:val="20"/>
          <w:color w:val="auto"/>
        </w:rPr>
      </w:pPr>
    </w:p>
    <w:p>
      <w:pPr>
        <w:ind w:left="120" w:firstLine="551"/>
        <w:spacing w:after="0" w:line="266"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in the market that the holders of a large number of shares intend to sell shares, could reduce the market price of our common stock. Persons who were our stockholders prior to our initial public offering continue to hold a substantial number of shares of our common stock. If such persons sell, or indicate an intention to sell, substantial amounts of our common stock in the public market, the trading price of our common stock could decline.</w:t>
      </w:r>
    </w:p>
    <w:p>
      <w:pPr>
        <w:spacing w:after="0" w:line="159" w:lineRule="exact"/>
        <w:rPr>
          <w:sz w:val="20"/>
          <w:szCs w:val="20"/>
          <w:color w:val="auto"/>
        </w:rPr>
      </w:pPr>
    </w:p>
    <w:p>
      <w:pPr>
        <w:ind w:left="120" w:right="40" w:firstLine="551"/>
        <w:spacing w:after="0" w:line="253" w:lineRule="auto"/>
        <w:rPr>
          <w:sz w:val="20"/>
          <w:szCs w:val="20"/>
          <w:color w:val="auto"/>
        </w:rPr>
      </w:pPr>
      <w:r>
        <w:rPr>
          <w:rFonts w:ascii="Arial" w:cs="Arial" w:eastAsia="Arial" w:hAnsi="Arial"/>
          <w:sz w:val="18"/>
          <w:szCs w:val="18"/>
          <w:color w:val="auto"/>
        </w:rPr>
        <w:t>Moreover, holders of a substantial number of shares of our common stock have rights, subject to specified conditions, to require us to file registration statements covering their shares or to include their shares in registration statements that we may file for ourselves or other stockholders.</w:t>
      </w:r>
    </w:p>
    <w:p>
      <w:pPr>
        <w:spacing w:after="0" w:line="169" w:lineRule="exact"/>
        <w:rPr>
          <w:sz w:val="20"/>
          <w:szCs w:val="20"/>
          <w:color w:val="auto"/>
        </w:rPr>
      </w:pPr>
    </w:p>
    <w:p>
      <w:pPr>
        <w:ind w:left="120" w:firstLine="551"/>
        <w:spacing w:after="0" w:line="253" w:lineRule="auto"/>
        <w:rPr>
          <w:sz w:val="20"/>
          <w:szCs w:val="20"/>
          <w:color w:val="auto"/>
        </w:rPr>
      </w:pPr>
      <w:r>
        <w:rPr>
          <w:rFonts w:ascii="Arial" w:cs="Arial" w:eastAsia="Arial" w:hAnsi="Arial"/>
          <w:sz w:val="18"/>
          <w:szCs w:val="18"/>
          <w:color w:val="auto"/>
        </w:rPr>
        <w:t>We have filed a registration statement covering the resale of 4,029,411 shares of our common stock that we sold to purchasers in a private placement and have agreed to keep such registration statement effective until the date the shares covered by the registration statement have been sold or can be resold without restriction under Rule 144 of the Securities Act.</w:t>
      </w:r>
    </w:p>
    <w:p>
      <w:pPr>
        <w:spacing w:after="0" w:line="169" w:lineRule="exact"/>
        <w:rPr>
          <w:sz w:val="20"/>
          <w:szCs w:val="20"/>
          <w:color w:val="auto"/>
        </w:rPr>
      </w:pPr>
    </w:p>
    <w:p>
      <w:pPr>
        <w:ind w:left="120" w:right="40" w:firstLine="551"/>
        <w:spacing w:after="0" w:line="253" w:lineRule="auto"/>
        <w:rPr>
          <w:sz w:val="20"/>
          <w:szCs w:val="20"/>
          <w:color w:val="auto"/>
        </w:rPr>
      </w:pPr>
      <w:r>
        <w:rPr>
          <w:rFonts w:ascii="Arial" w:cs="Arial" w:eastAsia="Arial" w:hAnsi="Arial"/>
          <w:sz w:val="18"/>
          <w:szCs w:val="18"/>
          <w:color w:val="auto"/>
        </w:rPr>
        <w:t>In addition, we have filed or intend to file registration statements registering all shares of common stock that we may issue under our equity compensation plans or pursuant to equity awards made to newly hired employees outside of equity compensation plans. These shares can be freely sold in the public market upon issuance, subject to volume limitations applicable to affiliates.</w:t>
      </w:r>
    </w:p>
    <w:p>
      <w:pPr>
        <w:spacing w:after="0" w:line="279" w:lineRule="exact"/>
        <w:rPr>
          <w:sz w:val="20"/>
          <w:szCs w:val="20"/>
          <w:color w:val="auto"/>
        </w:rPr>
      </w:pPr>
    </w:p>
    <w:p>
      <w:pPr>
        <w:ind w:left="120" w:right="200"/>
        <w:spacing w:after="0" w:line="278" w:lineRule="auto"/>
        <w:rPr>
          <w:sz w:val="20"/>
          <w:szCs w:val="20"/>
          <w:color w:val="auto"/>
        </w:rPr>
      </w:pPr>
      <w:r>
        <w:rPr>
          <w:rFonts w:ascii="Arial" w:cs="Arial" w:eastAsia="Arial" w:hAnsi="Arial"/>
          <w:sz w:val="18"/>
          <w:szCs w:val="18"/>
          <w:b w:val="1"/>
          <w:bCs w:val="1"/>
          <w:i w:val="1"/>
          <w:iCs w:val="1"/>
          <w:color w:val="auto"/>
        </w:rPr>
        <w:t>Our management may invest or spend the proceeds of this offering in ways with which you may not agree or in ways that may not yield a return.</w:t>
      </w:r>
    </w:p>
    <w:p>
      <w:pPr>
        <w:spacing w:after="0" w:line="31" w:lineRule="exact"/>
        <w:rPr>
          <w:sz w:val="20"/>
          <w:szCs w:val="20"/>
          <w:color w:val="auto"/>
        </w:rPr>
      </w:pPr>
    </w:p>
    <w:p>
      <w:pPr>
        <w:ind w:left="120" w:right="80" w:firstLine="551"/>
        <w:spacing w:after="0" w:line="244"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and could spend the proceeds in ways that do not improve our results of operations or enhance the value of our common stock. The failure by our management to apply these funds effectively could result in financial losses that could cause the price of our common stock to decline and delay the development of our product candidates. Pending their use, we may invest the net proceeds from this offering in a manner that does not produce income or that loses value.</w:t>
      </w:r>
    </w:p>
    <w:p>
      <w:pPr>
        <w:spacing w:after="0" w:line="176" w:lineRule="exact"/>
        <w:rPr>
          <w:sz w:val="20"/>
          <w:szCs w:val="20"/>
          <w:color w:val="auto"/>
        </w:rPr>
      </w:pPr>
    </w:p>
    <w:p>
      <w:pPr>
        <w:jc w:val="both"/>
        <w:ind w:left="120" w:right="400" w:firstLine="551"/>
        <w:spacing w:after="0" w:line="253" w:lineRule="auto"/>
        <w:rPr>
          <w:sz w:val="20"/>
          <w:szCs w:val="20"/>
          <w:color w:val="auto"/>
        </w:rPr>
      </w:pPr>
      <w:r>
        <w:rPr>
          <w:rFonts w:ascii="Arial" w:cs="Arial" w:eastAsia="Arial" w:hAnsi="Arial"/>
          <w:sz w:val="18"/>
          <w:szCs w:val="18"/>
          <w:color w:val="auto"/>
        </w:rPr>
        <w:t>In addition, the issuance from time to time of shares of our common stock in this offering, or our ability to issue these shares of common stock in this offering, could result in resales of our common stock by our current stockholders concerned about the potential dilution of their holdings. In turn, these resales could have the effect of depressing the market price for our common stock.</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00"/>
          </w:cols>
          <w:pgMar w:left="320" w:top="455"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Purchasers will experience immediate dilution in the book value per share of the common stock purchased in the offering.</w:t>
      </w:r>
    </w:p>
    <w:p>
      <w:pPr>
        <w:spacing w:after="0" w:line="102" w:lineRule="exact"/>
        <w:rPr>
          <w:sz w:val="20"/>
          <w:szCs w:val="20"/>
          <w:color w:val="auto"/>
        </w:rPr>
      </w:pPr>
    </w:p>
    <w:p>
      <w:pPr>
        <w:ind w:left="120" w:right="100" w:firstLine="551"/>
        <w:spacing w:after="0" w:line="239" w:lineRule="auto"/>
        <w:rPr>
          <w:sz w:val="20"/>
          <w:szCs w:val="20"/>
          <w:color w:val="auto"/>
        </w:rPr>
      </w:pPr>
      <w:r>
        <w:rPr>
          <w:rFonts w:ascii="Arial" w:cs="Arial" w:eastAsia="Arial" w:hAnsi="Arial"/>
          <w:sz w:val="18"/>
          <w:szCs w:val="18"/>
          <w:color w:val="auto"/>
        </w:rPr>
        <w:t>The price of our common stock to be sold in this offering is substantially higher than the net tangible book value per share of our common stock. Therefore, if you purchase shares of our common stock in this offering, you will pay a price per share that substantially exceeds our net tangible book value per share after this offering. After giving effect to the sale of an aggregate of 9,615,384 shares of our common stock at the public offering price of $13.00 per share of common stock, and after deducting underwriting discounts and commissions and estimated offering expenses payable by us, our as adjusted net tangible book value as of September 30, 2022 would have been approximately $338.7 million, or approximately $ 5.49 per share. This represents an immediate increase in as adjusted net tangible book value of approximately $ 1.24 per share to our existing stockholders and an immediate dilution in as adjusted net tangible book value of approximately $7.51 per share to purchasers of our common stock in this offering. See “Dilution” in this prospectus supplement for more information.</w:t>
      </w:r>
    </w:p>
    <w:p>
      <w:pPr>
        <w:spacing w:after="0" w:line="293" w:lineRule="exact"/>
        <w:rPr>
          <w:sz w:val="20"/>
          <w:szCs w:val="20"/>
          <w:color w:val="auto"/>
        </w:rPr>
      </w:pPr>
    </w:p>
    <w:p>
      <w:pPr>
        <w:ind w:left="120" w:right="540"/>
        <w:spacing w:after="0" w:line="278"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our stockholders.</w:t>
      </w:r>
    </w:p>
    <w:p>
      <w:pPr>
        <w:spacing w:after="0" w:line="31" w:lineRule="exact"/>
        <w:rPr>
          <w:sz w:val="20"/>
          <w:szCs w:val="20"/>
          <w:color w:val="auto"/>
        </w:rPr>
      </w:pPr>
    </w:p>
    <w:p>
      <w:pPr>
        <w:ind w:left="120" w:right="140"/>
        <w:spacing w:after="0" w:line="244" w:lineRule="auto"/>
        <w:rPr>
          <w:sz w:val="20"/>
          <w:szCs w:val="20"/>
          <w:color w:val="auto"/>
        </w:rPr>
      </w:pPr>
      <w:r>
        <w:rPr>
          <w:rFonts w:ascii="Arial" w:cs="Arial" w:eastAsia="Arial" w:hAnsi="Arial"/>
          <w:sz w:val="18"/>
          <w:szCs w:val="18"/>
          <w:color w:val="auto"/>
        </w:rPr>
        <w:t>The trading price of our common stock has been, and is likely to continue to be, volatile and could be subject to wide fluctuations in response to various factors, some of which are beyond our control. During the period from July 18, 2019 to January 17, 2023, the closing price of our common stock ranged from a high of $30.97 per share to a low of $4.20 per share. The stock market in general and the market for smaller biopharmaceutical companies in particular have experienced extreme volatility that has often been unrelated to the operating performance of particular companies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w:t>
      </w:r>
    </w:p>
    <w:p>
      <w:pPr>
        <w:spacing w:after="0" w:line="102" w:lineRule="exact"/>
        <w:rPr>
          <w:sz w:val="20"/>
          <w:szCs w:val="20"/>
          <w:color w:val="auto"/>
        </w:rPr>
      </w:pPr>
    </w:p>
    <w:p>
      <w:pPr>
        <w:ind w:left="120" w:right="120" w:firstLine="551"/>
        <w:spacing w:after="0" w:line="242" w:lineRule="auto"/>
        <w:rPr>
          <w:sz w:val="20"/>
          <w:szCs w:val="20"/>
          <w:color w:val="auto"/>
        </w:rPr>
      </w:pPr>
      <w:r>
        <w:rPr>
          <w:rFonts w:ascii="Arial" w:cs="Arial" w:eastAsia="Arial" w:hAnsi="Arial"/>
          <w:sz w:val="18"/>
          <w:szCs w:val="18"/>
          <w:color w:val="auto"/>
        </w:rPr>
        <w:t>In order 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any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any investors in this offering.</w:t>
      </w:r>
    </w:p>
    <w:p>
      <w:pPr>
        <w:spacing w:after="0" w:line="289" w:lineRule="exact"/>
        <w:rPr>
          <w:sz w:val="20"/>
          <w:szCs w:val="20"/>
          <w:color w:val="auto"/>
        </w:rPr>
      </w:pPr>
    </w:p>
    <w:p>
      <w:pPr>
        <w:ind w:left="120"/>
        <w:spacing w:after="0" w:line="278" w:lineRule="auto"/>
        <w:rPr>
          <w:sz w:val="20"/>
          <w:szCs w:val="20"/>
          <w:color w:val="auto"/>
        </w:rPr>
      </w:pPr>
      <w:r>
        <w:rPr>
          <w:rFonts w:ascii="Arial" w:cs="Arial" w:eastAsia="Arial" w:hAnsi="Arial"/>
          <w:sz w:val="18"/>
          <w:szCs w:val="18"/>
          <w:b w:val="1"/>
          <w:bCs w:val="1"/>
          <w:i w:val="1"/>
          <w:iCs w:val="1"/>
          <w:color w:val="auto"/>
        </w:rPr>
        <w:t>We do not anticipate paying any cash dividends on our common stock in the foreseeable future. Accordingly, stockholders must rely on capital appreciation, if any, for any return on their investment.</w:t>
      </w:r>
    </w:p>
    <w:p>
      <w:pPr>
        <w:spacing w:after="0" w:line="31" w:lineRule="exact"/>
        <w:rPr>
          <w:sz w:val="20"/>
          <w:szCs w:val="20"/>
          <w:color w:val="auto"/>
        </w:rPr>
      </w:pPr>
    </w:p>
    <w:p>
      <w:pPr>
        <w:ind w:left="120" w:firstLine="551"/>
        <w:spacing w:after="0" w:line="253" w:lineRule="auto"/>
        <w:rPr>
          <w:sz w:val="20"/>
          <w:szCs w:val="20"/>
          <w:color w:val="auto"/>
        </w:rPr>
      </w:pPr>
      <w:r>
        <w:rPr>
          <w:rFonts w:ascii="Arial" w:cs="Arial" w:eastAsia="Arial" w:hAnsi="Arial"/>
          <w:sz w:val="18"/>
          <w:szCs w:val="18"/>
          <w:color w:val="auto"/>
        </w:rPr>
        <w:t>We have never declared or paid cash dividends on our common stock. We currently intend to retain all of our future earnings, if any, to finance the growth and development of our business. As a result, capital appreciation, if any, of our common stock will be our stockholders’ sole source of gain for the foreseeable future.</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NOTE REGARDING FORWARD-LOOKING STATEMENTS AND INDUSTRY DATA</w:t>
      </w:r>
    </w:p>
    <w:p>
      <w:pPr>
        <w:spacing w:after="0" w:line="212"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This prospectus supplement, the accompanying base prospectus and the documents incorporated by reference in each of this prospectus supplement and the accompanying base prospectus include “forward-looking statements” within the meaning of Section 27A of the Securities Act of 1933, as amended, or the Securities Act, and Section 21E of the Securities Exchange Act of 1934, as amended, or the Exchange Act. All statements, other than statements of historical fact, contained or incorporated by reference in this prospectus supplement and the accompanying base prospectus, including statements regarding our strategy, future operations, future financial position, future revenue, projected costs, prospects, plans and objectives of management, are forward-looking statements. The words “anticipate,” “believe,” “estimate,” “expect,” “intend,” “may,” “might,” “plan,” “predict,” “project,” “target,” “potential,” “would,” “could,” “should,” “continue” and similar expressions are intended to identify forward-looking statements, although not all forward-looking statements contain these identifying words.</w:t>
      </w:r>
    </w:p>
    <w:p>
      <w:pPr>
        <w:spacing w:after="0" w:line="183" w:lineRule="exact"/>
        <w:rPr>
          <w:sz w:val="20"/>
          <w:szCs w:val="20"/>
          <w:color w:val="auto"/>
        </w:rPr>
      </w:pPr>
    </w:p>
    <w:p>
      <w:pPr>
        <w:ind w:left="120" w:right="140" w:firstLine="551"/>
        <w:spacing w:after="0" w:line="271" w:lineRule="auto"/>
        <w:rPr>
          <w:sz w:val="20"/>
          <w:szCs w:val="20"/>
          <w:color w:val="auto"/>
        </w:rPr>
      </w:pPr>
      <w:r>
        <w:rPr>
          <w:rFonts w:ascii="Arial" w:cs="Arial" w:eastAsia="Arial" w:hAnsi="Arial"/>
          <w:sz w:val="18"/>
          <w:szCs w:val="18"/>
          <w:color w:val="auto"/>
        </w:rPr>
        <w:t>The forward-looking statements in this prospectus supplement, the accompanying prospectus and the information incorporated by reference herein and therein include, among other things, statements about:</w:t>
      </w:r>
    </w:p>
    <w:p>
      <w:pPr>
        <w:spacing w:after="0" w:line="59" w:lineRule="exact"/>
        <w:rPr>
          <w:sz w:val="20"/>
          <w:szCs w:val="20"/>
          <w:color w:val="auto"/>
        </w:rPr>
      </w:pPr>
    </w:p>
    <w:p>
      <w:pPr>
        <w:ind w:left="880" w:hanging="224"/>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ongoing clinical trials of losmapimod and FTX-6058;</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our organizational streamlining and realignment of resources, including our anticipated cash runway;</w:t>
      </w:r>
    </w:p>
    <w:p>
      <w:pPr>
        <w:spacing w:after="0" w:line="117" w:lineRule="exact"/>
        <w:rPr>
          <w:rFonts w:ascii="Arial" w:cs="Arial" w:eastAsia="Arial" w:hAnsi="Arial"/>
          <w:sz w:val="18"/>
          <w:szCs w:val="18"/>
          <w:color w:val="auto"/>
        </w:rPr>
      </w:pPr>
    </w:p>
    <w:p>
      <w:pPr>
        <w:ind w:left="880" w:right="380" w:hanging="224"/>
        <w:spacing w:after="0" w:line="271"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the ongoing COVID-19 pandemic on our business and operations, including our clinical trials and development plans, as well as our future financial results;</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drug target discovery screening programs;</w:t>
      </w:r>
    </w:p>
    <w:p>
      <w:pPr>
        <w:spacing w:after="0" w:line="117" w:lineRule="exact"/>
        <w:rPr>
          <w:rFonts w:ascii="Arial" w:cs="Arial" w:eastAsia="Arial" w:hAnsi="Arial"/>
          <w:sz w:val="18"/>
          <w:szCs w:val="18"/>
          <w:color w:val="auto"/>
        </w:rPr>
      </w:pPr>
    </w:p>
    <w:p>
      <w:pPr>
        <w:ind w:left="880" w:right="400" w:hanging="224"/>
        <w:spacing w:after="0" w:line="271"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current and future preclinical studies and clinical trials and our research and development programs;</w:t>
      </w:r>
    </w:p>
    <w:p>
      <w:pPr>
        <w:spacing w:after="0" w:line="59" w:lineRule="exact"/>
        <w:rPr>
          <w:rFonts w:ascii="Arial" w:cs="Arial" w:eastAsia="Arial" w:hAnsi="Arial"/>
          <w:sz w:val="18"/>
          <w:szCs w:val="18"/>
          <w:color w:val="auto"/>
        </w:rPr>
      </w:pPr>
    </w:p>
    <w:p>
      <w:pPr>
        <w:ind w:left="880" w:right="240" w:hanging="224"/>
        <w:spacing w:after="0" w:line="271"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plans to develop and, if approved, subsequently commercialize losmapimod, FTX-6058 and any other product candidates, including in combination with other drugs and therapies;</w:t>
      </w:r>
    </w:p>
    <w:p>
      <w:pPr>
        <w:spacing w:after="0" w:line="59" w:lineRule="exact"/>
        <w:rPr>
          <w:rFonts w:ascii="Arial" w:cs="Arial" w:eastAsia="Arial" w:hAnsi="Arial"/>
          <w:sz w:val="18"/>
          <w:szCs w:val="18"/>
          <w:color w:val="auto"/>
        </w:rPr>
      </w:pPr>
    </w:p>
    <w:p>
      <w:pPr>
        <w:ind w:left="880" w:right="180" w:hanging="224"/>
        <w:spacing w:after="0" w:line="271"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and our ability to submit applications for, and obtain and maintain regulatory approvals for losmapimod, FTX-6058 and any other product candidates;</w:t>
      </w:r>
    </w:p>
    <w:p>
      <w:pPr>
        <w:spacing w:after="0" w:line="59" w:lineRule="exact"/>
        <w:rPr>
          <w:rFonts w:ascii="Arial" w:cs="Arial" w:eastAsia="Arial" w:hAnsi="Arial"/>
          <w:sz w:val="18"/>
          <w:szCs w:val="18"/>
          <w:color w:val="auto"/>
        </w:rPr>
      </w:pPr>
    </w:p>
    <w:p>
      <w:pPr>
        <w:ind w:left="880" w:right="160" w:hanging="224"/>
        <w:spacing w:after="0" w:line="271"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expectations regarding our ability to fund our operating expenses and capital expenditure requirements with our cash, cash equivalents, and marketable securities;</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advantages of our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products, if our product candidates are approved;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opportunity for our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progress and results of our collaboration with BMS;</w:t>
      </w:r>
    </w:p>
    <w:p>
      <w:pPr>
        <w:spacing w:after="0" w:line="117" w:lineRule="exact"/>
        <w:rPr>
          <w:rFonts w:ascii="Arial" w:cs="Arial" w:eastAsia="Arial" w:hAnsi="Arial"/>
          <w:sz w:val="18"/>
          <w:szCs w:val="18"/>
          <w:color w:val="auto"/>
        </w:rPr>
      </w:pPr>
    </w:p>
    <w:p>
      <w:pPr>
        <w:ind w:left="880" w:right="620" w:hanging="224"/>
        <w:spacing w:after="0" w:line="271"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identify additional products, product candidates or technologies with significant commercial potential that are consistent with our commercial objectives;</w:t>
      </w:r>
    </w:p>
    <w:p>
      <w:pPr>
        <w:spacing w:after="0" w:line="59" w:lineRule="exact"/>
        <w:rPr>
          <w:rFonts w:ascii="Arial" w:cs="Arial" w:eastAsia="Arial" w:hAnsi="Arial"/>
          <w:sz w:val="18"/>
          <w:szCs w:val="18"/>
          <w:color w:val="auto"/>
        </w:rPr>
      </w:pPr>
    </w:p>
    <w:p>
      <w:pPr>
        <w:ind w:left="880" w:right="260" w:hanging="224"/>
        <w:spacing w:after="0" w:line="271"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estimates regarding expenses, future revenue, timing of any future revenue, capital requirements and needs for additional financing;</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880" w:hanging="224"/>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 or obtain additional funding; and</w:t>
      </w:r>
    </w:p>
    <w:p>
      <w:pPr>
        <w:spacing w:after="0" w:line="117" w:lineRule="exact"/>
        <w:rPr>
          <w:rFonts w:ascii="Arial" w:cs="Arial" w:eastAsia="Arial" w:hAnsi="Arial"/>
          <w:sz w:val="18"/>
          <w:szCs w:val="18"/>
          <w:color w:val="auto"/>
        </w:rPr>
      </w:pPr>
    </w:p>
    <w:p>
      <w:pPr>
        <w:ind w:left="880" w:right="340" w:hanging="224"/>
        <w:spacing w:after="0" w:line="271"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or a smaller reporting company as defined under the federal securities laws.</w:t>
      </w:r>
    </w:p>
    <w:p>
      <w:pPr>
        <w:spacing w:after="0" w:line="154"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We may not actually achieve the plans, intentions or expectations disclosed in our forward- 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or incorporated by reference, in this prospectus supplement, particularly in the “Risk Factors” section, that we believe could cause actual results or events to differ materially from the forward- looking statements that we make. You should also carefully review the risk factors and cautionary statements described in the other documents we file from time to time with the SEC, specifically our most recent Annual Report on Form 10-K, our Quarterly Reports on Form 10-Q and our Current Reports on Form 8-K. Our forward-looking statements do not reflect the potential impact of any future acquisitions, mergers, dispositions, joint ventures or investments we may make.</w:t>
      </w:r>
    </w:p>
    <w:p>
      <w:pPr>
        <w:spacing w:after="0" w:line="183" w:lineRule="exact"/>
        <w:rPr>
          <w:sz w:val="20"/>
          <w:szCs w:val="20"/>
          <w:color w:val="auto"/>
        </w:rPr>
      </w:pPr>
    </w:p>
    <w:p>
      <w:pPr>
        <w:ind w:left="120" w:right="80" w:firstLine="551"/>
        <w:spacing w:after="0" w:line="242" w:lineRule="auto"/>
        <w:rPr>
          <w:sz w:val="20"/>
          <w:szCs w:val="20"/>
          <w:color w:val="auto"/>
        </w:rPr>
      </w:pPr>
      <w:r>
        <w:rPr>
          <w:rFonts w:ascii="Arial" w:cs="Arial" w:eastAsia="Arial" w:hAnsi="Arial"/>
          <w:sz w:val="18"/>
          <w:szCs w:val="18"/>
          <w:color w:val="auto"/>
        </w:rPr>
        <w:t>You should read this prospectus supplement, the accompanying base prospectus, the documents incorporated by reference in this prospectus supplement and the documents that we have filed as exhibits to the registration statement of which this prospectus supplement is a part completely and with the understanding that our actual future results may be materially different from what we expect. The forward-looking statements contained in this prospectus supplement and the accompanying base prospectus and incorporated by reference herein are made as of the date hereof, and we do not assume any obligation to update any forward-looking statements except as required by applicable law.</w:t>
      </w:r>
    </w:p>
    <w:p>
      <w:pPr>
        <w:spacing w:after="0" w:line="179"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This prospectus supplement includes or incorporates by reference certain statistical and other industry and market data that we obtained from industry publications and research, surveys and studies conducted by third parties as well as our own estimates of potential market opportunities.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12" w:lineRule="exact"/>
        <w:rPr>
          <w:sz w:val="20"/>
          <w:szCs w:val="20"/>
          <w:color w:val="auto"/>
        </w:rPr>
      </w:pPr>
    </w:p>
    <w:p>
      <w:pPr>
        <w:ind w:left="120" w:right="60" w:firstLine="551"/>
        <w:spacing w:after="0" w:line="253" w:lineRule="auto"/>
        <w:rPr>
          <w:sz w:val="20"/>
          <w:szCs w:val="20"/>
          <w:color w:val="auto"/>
        </w:rPr>
      </w:pPr>
      <w:r>
        <w:rPr>
          <w:rFonts w:ascii="Arial" w:cs="Arial" w:eastAsia="Arial" w:hAnsi="Arial"/>
          <w:sz w:val="18"/>
          <w:szCs w:val="18"/>
          <w:color w:val="auto"/>
        </w:rPr>
        <w:t>We estimate that the net proceeds to us from the issuance and sale of 9,615,384 shares of common stock in this offering will be approximately $117.3 million, or approximately $134.9 million if the underwriters exercise their option to purchase additional shares in full, in each case after deducting underwriting discounts and commissions and estimated offering expenses payable to us.</w:t>
      </w:r>
    </w:p>
    <w:p>
      <w:pPr>
        <w:spacing w:after="0" w:line="169" w:lineRule="exact"/>
        <w:rPr>
          <w:sz w:val="20"/>
          <w:szCs w:val="20"/>
          <w:color w:val="auto"/>
        </w:rPr>
      </w:pPr>
    </w:p>
    <w:p>
      <w:pPr>
        <w:ind w:left="120" w:right="40" w:firstLine="551"/>
        <w:spacing w:after="0" w:line="244" w:lineRule="auto"/>
        <w:rPr>
          <w:sz w:val="20"/>
          <w:szCs w:val="20"/>
          <w:color w:val="auto"/>
        </w:rPr>
      </w:pPr>
      <w:r>
        <w:rPr>
          <w:rFonts w:ascii="Arial" w:cs="Arial" w:eastAsia="Arial" w:hAnsi="Arial"/>
          <w:sz w:val="18"/>
          <w:szCs w:val="18"/>
          <w:color w:val="auto"/>
        </w:rPr>
        <w:t>We currently anticipate that we will use the net proceeds from this offering, together with our existing cash, cash equivalents and marketable securities, primarily for general corporate purposes, which may include working capital and capital expenditures, research and development expenses, including to fund clinical trials, regulatory submissions, commercialization, discovery and additional preclinical research and development of additional product candidates and platform enhancement, general and administrative expenses, and potential acquisitions of, or investments in, companies, technologies, products or assets that complement our business.</w:t>
      </w:r>
    </w:p>
    <w:p>
      <w:pPr>
        <w:spacing w:after="0" w:line="176"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As of September 30, 2022, we had cash, cash equivalents and marketable securities of $221.8 million. This expected use of net proceeds from this offering represents our intentions based upon our current plans and business conditions, which could change in the future as our plans and business conditions evolve. The amounts and timing of our actual use of the net proceeds may vary significantly depending on numerous factors, including the actual net proceeds from this offering, the progress of our development, the status of and results from clinical trials, the timing of regulatory submissions and the outcome of regulatory review, as well as any collaborations that we may enter into with third parties for our product candidates, and any unforeseen cash needs. As a result, our management will retain broad discretion over the allocation of the net proceeds from this offering.</w:t>
      </w:r>
    </w:p>
    <w:p>
      <w:pPr>
        <w:spacing w:after="0" w:line="185" w:lineRule="exact"/>
        <w:rPr>
          <w:sz w:val="20"/>
          <w:szCs w:val="20"/>
          <w:color w:val="auto"/>
        </w:rPr>
      </w:pPr>
    </w:p>
    <w:p>
      <w:pPr>
        <w:ind w:left="120" w:firstLine="551"/>
        <w:spacing w:after="0" w:line="271" w:lineRule="auto"/>
        <w:rPr>
          <w:sz w:val="20"/>
          <w:szCs w:val="20"/>
          <w:color w:val="auto"/>
        </w:rPr>
      </w:pPr>
      <w:r>
        <w:rPr>
          <w:rFonts w:ascii="Arial" w:cs="Arial" w:eastAsia="Arial" w:hAnsi="Arial"/>
          <w:sz w:val="18"/>
          <w:szCs w:val="18"/>
          <w:color w:val="auto"/>
        </w:rPr>
        <w:t>Pending the use of proceeds described above, we intend to invest the net proceeds in a variety of capital preservation investments, including short-term, investment-grade, interest-bearing instruments and U.S. government securities.</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00"/>
          </w:cols>
          <w:pgMar w:left="320" w:top="455"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12" w:lineRule="exact"/>
        <w:rPr>
          <w:sz w:val="20"/>
          <w:szCs w:val="20"/>
          <w:color w:val="auto"/>
        </w:rPr>
      </w:pPr>
    </w:p>
    <w:p>
      <w:pPr>
        <w:jc w:val="both"/>
        <w:ind w:left="120" w:right="160" w:firstLine="551"/>
        <w:spacing w:after="0" w:line="253" w:lineRule="auto"/>
        <w:rPr>
          <w:sz w:val="20"/>
          <w:szCs w:val="20"/>
          <w:color w:val="auto"/>
        </w:rPr>
      </w:pPr>
      <w:r>
        <w:rPr>
          <w:rFonts w:ascii="Arial" w:cs="Arial" w:eastAsia="Arial" w:hAnsi="Arial"/>
          <w:sz w:val="18"/>
          <w:szCs w:val="18"/>
          <w:color w:val="auto"/>
        </w:rPr>
        <w:t>If you invest in our common stock in this offering, your ownership interest will be diluted immediately to the extent of the difference between the public offering price per share of our common stock you will pay in this offering and the as adjusted net tangible book value per share of our common stock immediately after this offering.</w:t>
      </w:r>
    </w:p>
    <w:p>
      <w:pPr>
        <w:spacing w:after="0" w:line="169" w:lineRule="exact"/>
        <w:rPr>
          <w:sz w:val="20"/>
          <w:szCs w:val="20"/>
          <w:color w:val="auto"/>
        </w:rPr>
      </w:pPr>
    </w:p>
    <w:p>
      <w:pPr>
        <w:jc w:val="both"/>
        <w:ind w:left="120" w:right="580" w:firstLine="551"/>
        <w:spacing w:after="0" w:line="247" w:lineRule="auto"/>
        <w:rPr>
          <w:sz w:val="20"/>
          <w:szCs w:val="20"/>
          <w:color w:val="auto"/>
        </w:rPr>
      </w:pPr>
      <w:r>
        <w:rPr>
          <w:rFonts w:ascii="Arial" w:cs="Arial" w:eastAsia="Arial" w:hAnsi="Arial"/>
          <w:sz w:val="18"/>
          <w:szCs w:val="18"/>
          <w:color w:val="auto"/>
        </w:rPr>
        <w:t>Our historical net tangible book value as of September 30, 2022 was approximately $221.4 million, or $4.25 per share of our common stock. Our historical net tangible book value is the amount of our total tangible assets less our total liabilities. Historical net tangible book value per share represents historical net tangible book value divided by the 52,049,913 shares of our common stock outstanding as of September 30, 2022.</w:t>
      </w:r>
    </w:p>
    <w:p>
      <w:pPr>
        <w:spacing w:after="0" w:line="174"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After giving effect to the issuance and sale of 9,615,384 shares of our common stock that we are offering at the public offering price of $13.00 per share, and after deducting the underwriting discounts and commissions and estimated offering expenses payable by us, our as adjusted net tangible book value at September 30, 2022 would have been approximately $338.7 million, or $5.49 per share. This represents an immediate increase in as adjusted net tangible book value of $1.24 per share to existing stockholders and an immediate dilution of $7.51 per share to investors in this offering. Dilution per share to new investors is determined by subtracting as adjusted net tangible book value per share after this offering from the public offering price per share paid by new investors. The following table illustrates this per share dilution.</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13.00</w:t>
            </w:r>
          </w:p>
        </w:tc>
      </w:tr>
      <w:tr>
        <w:trPr>
          <w:trHeight w:val="203"/>
        </w:trPr>
        <w:tc>
          <w:tcPr>
            <w:tcW w:w="9560" w:type="dxa"/>
            <w:vAlign w:val="bottom"/>
          </w:tcPr>
          <w:p>
            <w:pPr>
              <w:ind w:left="360"/>
              <w:spacing w:after="0" w:line="202" w:lineRule="exact"/>
              <w:rPr>
                <w:sz w:val="20"/>
                <w:szCs w:val="20"/>
                <w:color w:val="auto"/>
              </w:rPr>
            </w:pPr>
            <w:r>
              <w:rPr>
                <w:rFonts w:ascii="Arial" w:cs="Arial" w:eastAsia="Arial" w:hAnsi="Arial"/>
                <w:sz w:val="18"/>
                <w:szCs w:val="18"/>
                <w:color w:val="auto"/>
              </w:rPr>
              <w:t>Historical net tangible book value per share as of September 30, 2022</w:t>
            </w:r>
          </w:p>
        </w:tc>
        <w:tc>
          <w:tcPr>
            <w:tcW w:w="8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w w:val="97"/>
              </w:rPr>
              <w:t>$4.25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95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Increase in net tangible book value per share attributable to this offering</w:t>
            </w:r>
          </w:p>
        </w:tc>
        <w:tc>
          <w:tcPr>
            <w:tcW w:w="8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7"/>
        </w:trPr>
        <w:tc>
          <w:tcPr>
            <w:tcW w:w="9560" w:type="dxa"/>
            <w:vAlign w:val="bottom"/>
          </w:tcPr>
          <w:p>
            <w:pPr>
              <w:spacing w:after="0"/>
              <w:rPr>
                <w:sz w:val="20"/>
                <w:szCs w:val="20"/>
                <w:color w:val="auto"/>
              </w:rPr>
            </w:pPr>
            <w:r>
              <w:rPr>
                <w:rFonts w:ascii="Arial" w:cs="Arial" w:eastAsia="Arial" w:hAnsi="Arial"/>
                <w:sz w:val="18"/>
                <w:szCs w:val="18"/>
                <w:color w:val="auto"/>
              </w:rPr>
              <w:t>As adjusted net tangible book value per share after giving effect to this offering</w:t>
            </w:r>
          </w:p>
        </w:tc>
        <w:tc>
          <w:tcPr>
            <w:tcW w:w="4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60" w:type="dxa"/>
            <w:vAlign w:val="bottom"/>
          </w:tcPr>
          <w:p>
            <w:pPr>
              <w:spacing w:after="0"/>
              <w:rPr>
                <w:sz w:val="18"/>
                <w:szCs w:val="18"/>
                <w:color w:val="auto"/>
              </w:rPr>
            </w:pPr>
          </w:p>
        </w:tc>
      </w:tr>
      <w:tr>
        <w:trPr>
          <w:trHeight w:val="203"/>
        </w:trPr>
        <w:tc>
          <w:tcPr>
            <w:tcW w:w="95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Dilution per share to new investors purchasing shares in this offering</w:t>
            </w:r>
          </w:p>
        </w:tc>
        <w:tc>
          <w:tcPr>
            <w:tcW w:w="9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7.51</w:t>
            </w:r>
          </w:p>
        </w:tc>
      </w:tr>
      <w:tr>
        <w:trPr>
          <w:trHeight w:val="20"/>
        </w:trPr>
        <w:tc>
          <w:tcPr>
            <w:tcW w:w="9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20" w:firstLine="551"/>
        <w:spacing w:after="0" w:line="271" w:lineRule="auto"/>
        <w:rPr>
          <w:sz w:val="20"/>
          <w:szCs w:val="20"/>
          <w:color w:val="auto"/>
        </w:rPr>
      </w:pPr>
      <w:r>
        <w:rPr>
          <w:rFonts w:ascii="Arial" w:cs="Arial" w:eastAsia="Arial" w:hAnsi="Arial"/>
          <w:sz w:val="18"/>
          <w:szCs w:val="18"/>
          <w:color w:val="auto"/>
        </w:rPr>
        <w:t>If the underwriters exercise their option to purchase additional shares in full the immediate dilution in as adjusted net tangible book value per share to investors in this offering would be $7.35 per share.</w:t>
      </w:r>
    </w:p>
    <w:p>
      <w:pPr>
        <w:spacing w:after="0" w:line="154" w:lineRule="exact"/>
        <w:rPr>
          <w:sz w:val="20"/>
          <w:szCs w:val="20"/>
          <w:color w:val="auto"/>
        </w:rPr>
      </w:pPr>
    </w:p>
    <w:p>
      <w:pPr>
        <w:ind w:left="120" w:right="80" w:firstLine="551"/>
        <w:spacing w:after="0" w:line="271" w:lineRule="auto"/>
        <w:rPr>
          <w:sz w:val="20"/>
          <w:szCs w:val="20"/>
          <w:color w:val="auto"/>
        </w:rPr>
      </w:pPr>
      <w:r>
        <w:rPr>
          <w:rFonts w:ascii="Arial" w:cs="Arial" w:eastAsia="Arial" w:hAnsi="Arial"/>
          <w:sz w:val="18"/>
          <w:szCs w:val="18"/>
          <w:color w:val="auto"/>
        </w:rPr>
        <w:t>The table and discussion above are based on 52,049,913 shares of our common stock outstanding as of September 30, 2022, and exclude:</w:t>
      </w:r>
    </w:p>
    <w:p>
      <w:pPr>
        <w:spacing w:after="0" w:line="59" w:lineRule="exact"/>
        <w:rPr>
          <w:sz w:val="20"/>
          <w:szCs w:val="20"/>
          <w:color w:val="auto"/>
        </w:rPr>
      </w:pPr>
    </w:p>
    <w:p>
      <w:pPr>
        <w:ind w:left="880" w:right="60" w:hanging="224"/>
        <w:spacing w:after="0" w:line="271"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5,929,065 shares of common stock issuable upon exercise of stock options outstanding as of September 30, 2022 at a weighted average exercise price of $12.89 per share;</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95,174 shares of common stock issuable upon vesting of restricted stock units outstanding as of September 30, 2022; and</w:t>
      </w:r>
    </w:p>
    <w:p>
      <w:pPr>
        <w:spacing w:after="0" w:line="117" w:lineRule="exact"/>
        <w:rPr>
          <w:rFonts w:ascii="Arial" w:cs="Arial" w:eastAsia="Arial" w:hAnsi="Arial"/>
          <w:sz w:val="18"/>
          <w:szCs w:val="18"/>
          <w:color w:val="auto"/>
        </w:rPr>
      </w:pPr>
    </w:p>
    <w:p>
      <w:pPr>
        <w:ind w:left="880" w:right="80" w:hanging="224"/>
        <w:spacing w:after="0" w:line="253"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1,667,865, 1,125,540, and 1,091,085 shares of our common stock available for future issuance as of September 30, 2022 under our 2019 Stock Incentive Plan, our 2022 Inducement Stock Incentive Plan and our 2019 Employee Stock Purchase Plan, respectively, as well as any automatic increases in the number of shares of common stock reserved under these plans.</w:t>
      </w:r>
    </w:p>
    <w:p>
      <w:pPr>
        <w:spacing w:after="0" w:line="169" w:lineRule="exact"/>
        <w:rPr>
          <w:sz w:val="20"/>
          <w:szCs w:val="20"/>
          <w:color w:val="auto"/>
        </w:rPr>
      </w:pPr>
    </w:p>
    <w:p>
      <w:pPr>
        <w:ind w:left="120" w:right="120" w:firstLine="551"/>
        <w:spacing w:after="0" w:line="253" w:lineRule="auto"/>
        <w:rPr>
          <w:sz w:val="20"/>
          <w:szCs w:val="20"/>
          <w:color w:val="auto"/>
        </w:rPr>
      </w:pPr>
      <w:r>
        <w:rPr>
          <w:rFonts w:ascii="Arial" w:cs="Arial" w:eastAsia="Arial" w:hAnsi="Arial"/>
          <w:sz w:val="18"/>
          <w:szCs w:val="18"/>
          <w:color w:val="auto"/>
        </w:rPr>
        <w:t>To the extent that outstanding stock options are exercised, new stock options are issued, or we issue additional shares of common stock in the future, including pursuant to our equity distribution agreement with Piper Sandler &amp; Co., there will be further dilution to investors purchasing shares of common stock in this offering.</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40"/>
          </w:cols>
          <w:pgMar w:left="320" w:top="455"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MATERIAL U.S. FEDERAL INCOME AND ESTATE TAX CONSIDERATIONS FOR NON U.S. HOLDERS OF COMMON STOCK</w:t>
      </w:r>
    </w:p>
    <w:p>
      <w:pPr>
        <w:spacing w:after="0" w:line="212" w:lineRule="exact"/>
        <w:rPr>
          <w:sz w:val="20"/>
          <w:szCs w:val="20"/>
          <w:color w:val="auto"/>
        </w:rPr>
      </w:pPr>
    </w:p>
    <w:p>
      <w:pPr>
        <w:ind w:left="120" w:firstLine="551"/>
        <w:spacing w:after="0" w:line="247" w:lineRule="auto"/>
        <w:rPr>
          <w:sz w:val="20"/>
          <w:szCs w:val="20"/>
          <w:color w:val="auto"/>
        </w:rPr>
      </w:pPr>
      <w:r>
        <w:rPr>
          <w:rFonts w:ascii="Arial" w:cs="Arial" w:eastAsia="Arial" w:hAnsi="Arial"/>
          <w:sz w:val="18"/>
          <w:szCs w:val="18"/>
          <w:color w:val="auto"/>
        </w:rPr>
        <w:t>The following is a discussion of material U.S. federal income and estate tax considerations relating to the ownership and disposition of shares of our common stock acquired in this offering by a non-U.S. holder. For purposes of this discussion, the term “non-U.S. holder” means a beneficial owner (other than a partnership or other pass-through entity) of our common stock that is not, for U.S. federal income tax purposes:</w:t>
      </w:r>
    </w:p>
    <w:p>
      <w:pPr>
        <w:spacing w:after="0" w:line="79" w:lineRule="exact"/>
        <w:rPr>
          <w:sz w:val="20"/>
          <w:szCs w:val="20"/>
          <w:color w:val="auto"/>
        </w:rPr>
      </w:pPr>
    </w:p>
    <w:p>
      <w:pPr>
        <w:ind w:left="880" w:hanging="224"/>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880" w:right="120" w:hanging="224"/>
        <w:spacing w:after="0" w:line="271"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of any political subdivision of the United States;</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17" w:lineRule="exact"/>
        <w:rPr>
          <w:rFonts w:ascii="Arial" w:cs="Arial" w:eastAsia="Arial" w:hAnsi="Arial"/>
          <w:sz w:val="18"/>
          <w:szCs w:val="18"/>
          <w:color w:val="auto"/>
        </w:rPr>
      </w:pPr>
    </w:p>
    <w:p>
      <w:pPr>
        <w:ind w:left="880" w:hanging="224"/>
        <w:spacing w:after="0" w:line="253" w:lineRule="auto"/>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trust if (1) a U.S. court is able to exercise primary supervision over the administration of the trust and one or more U.S. persons has authority to control all substantial decisions of the trust or (2) the trust has a valid election in effect under applicable U.S. Treasury Regulations to be treated as a U.S. person.</w:t>
      </w:r>
    </w:p>
    <w:p>
      <w:pPr>
        <w:spacing w:after="0" w:line="169" w:lineRule="exact"/>
        <w:rPr>
          <w:sz w:val="20"/>
          <w:szCs w:val="20"/>
          <w:color w:val="auto"/>
        </w:rPr>
      </w:pPr>
    </w:p>
    <w:p>
      <w:pPr>
        <w:ind w:left="120" w:right="140" w:firstLine="551"/>
        <w:spacing w:after="0" w:line="242" w:lineRule="auto"/>
        <w:rPr>
          <w:sz w:val="20"/>
          <w:szCs w:val="20"/>
          <w:color w:val="auto"/>
        </w:rPr>
      </w:pPr>
      <w:r>
        <w:rPr>
          <w:rFonts w:ascii="Arial" w:cs="Arial" w:eastAsia="Arial" w:hAnsi="Arial"/>
          <w:sz w:val="18"/>
          <w:szCs w:val="18"/>
          <w:color w:val="auto"/>
        </w:rPr>
        <w:t>This discussion does not address the tax treatment of partnerships or other entities that are pass- through entities for U.S. federal income tax purposes or persons who hold shares of our common stock through partnerships or such other pass-through entities. The tax treatment of a partner in a partnership or other entity that is treated as a pass-through entity for U.S. federal income tax purposes generally will depend upon the status of the partner and the activities of the partnership. A partner in a partnership or other pass-through entity that will hold our common stock should consult his, her or its own tax advisor regarding the tax consequences of the purchase, ownership and disposition of our common stock through a partnership or other pass-through entity, as applicable.</w:t>
      </w:r>
    </w:p>
    <w:p>
      <w:pPr>
        <w:spacing w:after="0" w:line="179" w:lineRule="exact"/>
        <w:rPr>
          <w:sz w:val="20"/>
          <w:szCs w:val="20"/>
          <w:color w:val="auto"/>
        </w:rPr>
      </w:pPr>
    </w:p>
    <w:p>
      <w:pPr>
        <w:ind w:left="120" w:right="60" w:firstLine="551"/>
        <w:spacing w:after="0" w:line="242" w:lineRule="auto"/>
        <w:rPr>
          <w:sz w:val="20"/>
          <w:szCs w:val="20"/>
          <w:color w:val="auto"/>
        </w:rPr>
      </w:pPr>
      <w:r>
        <w:rPr>
          <w:rFonts w:ascii="Arial" w:cs="Arial" w:eastAsia="Arial" w:hAnsi="Arial"/>
          <w:sz w:val="18"/>
          <w:szCs w:val="18"/>
          <w:color w:val="auto"/>
        </w:rPr>
        <w:t>This discussion is based on current provisions of the U.S. Internal Revenue Code of 1986, as amended, which we refer to as the Code, existing and proposed U.S. Treasury Regulations promulgated thereunder, current administrative rulings and judicial decisions, all as in effect as of the date of this prospectus supplement and all of which are subject to change or to differing interpretation, possibly with retroactive effect. Any change or differing interpretation could alter the tax consequences to non-U.S. holders described in this prospectus supplement. There can be no assurance that the Internal Revenue Service, or the IRS, will not challenge one or more of the tax consequences described in this prospectus supplement.</w:t>
      </w:r>
    </w:p>
    <w:p>
      <w:pPr>
        <w:spacing w:after="0" w:line="179" w:lineRule="exact"/>
        <w:rPr>
          <w:sz w:val="20"/>
          <w:szCs w:val="20"/>
          <w:color w:val="auto"/>
        </w:rPr>
      </w:pPr>
    </w:p>
    <w:p>
      <w:pPr>
        <w:ind w:left="120" w:right="100" w:firstLine="551"/>
        <w:spacing w:after="0" w:line="242" w:lineRule="auto"/>
        <w:rPr>
          <w:sz w:val="20"/>
          <w:szCs w:val="20"/>
          <w:color w:val="auto"/>
        </w:rPr>
      </w:pPr>
      <w:r>
        <w:rPr>
          <w:rFonts w:ascii="Arial" w:cs="Arial" w:eastAsia="Arial" w:hAnsi="Arial"/>
          <w:sz w:val="18"/>
          <w:szCs w:val="18"/>
          <w:color w:val="auto"/>
        </w:rPr>
        <w:t>This discussion addresses only non-U.S. holders that hold shares of our common stock as a capital asset (generally, property held for investment) for U.S. federal income tax purposes. This discussion does not address all aspects of U.S. federal income and estate taxation that may be relevant to a particular non-U.S. holder in light of that non-U.S. holder’s individual circumstances nor does it address any aspects of U.S. state, local or non-U.S. taxes, the alternative minimum tax, or the Medicare tax on net investment income. This discussion also does not consider any specific facts or circumstances that may apply to a non-U.S. holder and does not address the special tax rules applicable to particular non-U.S. holders, such as:</w:t>
      </w:r>
    </w:p>
    <w:p>
      <w:pPr>
        <w:spacing w:after="0" w:line="206" w:lineRule="exact"/>
        <w:rPr>
          <w:sz w:val="20"/>
          <w:szCs w:val="20"/>
          <w:color w:val="auto"/>
        </w:rPr>
      </w:pPr>
    </w:p>
    <w:p>
      <w:pPr>
        <w:ind w:left="880" w:hanging="224"/>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brokers or dealers in securities;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tax-exempt or governmental organizations;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880" w:hanging="224"/>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17" w:lineRule="exact"/>
        <w:rPr>
          <w:rFonts w:ascii="Arial" w:cs="Arial" w:eastAsia="Arial" w:hAnsi="Arial"/>
          <w:sz w:val="18"/>
          <w:szCs w:val="18"/>
          <w:color w:val="auto"/>
        </w:rPr>
      </w:pPr>
    </w:p>
    <w:p>
      <w:pPr>
        <w:ind w:left="880" w:right="260" w:hanging="224"/>
        <w:spacing w:after="0" w:line="271"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owners that hold our common stock as part of a straddle, hedge, conversion transaction, synthetic security or other integrated investment or who have elected to mark securities to market;</w:t>
      </w:r>
    </w:p>
    <w:p>
      <w:pPr>
        <w:spacing w:after="0" w:line="59" w:lineRule="exact"/>
        <w:rPr>
          <w:rFonts w:ascii="Arial" w:cs="Arial" w:eastAsia="Arial" w:hAnsi="Arial"/>
          <w:sz w:val="18"/>
          <w:szCs w:val="18"/>
          <w:color w:val="auto"/>
        </w:rPr>
      </w:pPr>
    </w:p>
    <w:p>
      <w:pPr>
        <w:ind w:left="880" w:hanging="224"/>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non-U.S. governments;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passive foreign investment companies;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U.S. expatriates.</w:t>
      </w:r>
    </w:p>
    <w:p>
      <w:pPr>
        <w:spacing w:after="0" w:line="212" w:lineRule="exact"/>
        <w:rPr>
          <w:sz w:val="20"/>
          <w:szCs w:val="20"/>
          <w:color w:val="auto"/>
        </w:rPr>
      </w:pPr>
    </w:p>
    <w:p>
      <w:pPr>
        <w:ind w:left="120" w:right="160" w:firstLine="551"/>
        <w:spacing w:after="0" w:line="250" w:lineRule="auto"/>
        <w:rPr>
          <w:sz w:val="20"/>
          <w:szCs w:val="20"/>
          <w:color w:val="auto"/>
        </w:rPr>
      </w:pPr>
      <w:r>
        <w:rPr>
          <w:rFonts w:ascii="Arial" w:cs="Arial" w:eastAsia="Arial" w:hAnsi="Arial"/>
          <w:sz w:val="18"/>
          <w:szCs w:val="18"/>
          <w:b w:val="1"/>
          <w:bCs w:val="1"/>
          <w:color w:val="auto"/>
        </w:rPr>
        <w:t>THIS DISCUSSION IS FOR INFORMATION ONLY AND IS NOT, AND IS NOT INTENDED TO BE, LEGAL OR TAX ADVICE. PROSPECTIVE INVESTORS SHOULD CONSULT THEIR OWN TAX ADVISORS REGARDING THE U.S. FEDERAL, STATE, LOCAL, ESTATE AND NON-U.S. INCOME AND OTHER TAX CONSIDERATIONS OF ACQUIRING, HOLDING AND DISPOSING OF OUR COMMON STOCK, INCLUDING THE CONSEQUENCES OF ANY PROPOSED CHANGES IN APPLICABLE LAWS.</w:t>
      </w:r>
    </w:p>
    <w:p>
      <w:pPr>
        <w:spacing w:after="0" w:line="27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Distributions</w:t>
      </w:r>
    </w:p>
    <w:p>
      <w:pPr>
        <w:spacing w:after="0" w:line="212" w:lineRule="exact"/>
        <w:rPr>
          <w:sz w:val="20"/>
          <w:szCs w:val="20"/>
          <w:color w:val="auto"/>
        </w:rPr>
      </w:pPr>
    </w:p>
    <w:p>
      <w:pPr>
        <w:ind w:left="120" w:right="40" w:firstLine="551"/>
        <w:spacing w:after="0" w:line="257" w:lineRule="auto"/>
        <w:rPr>
          <w:sz w:val="20"/>
          <w:szCs w:val="20"/>
          <w:color w:val="auto"/>
        </w:rPr>
      </w:pPr>
      <w:r>
        <w:rPr>
          <w:rFonts w:ascii="Arial" w:cs="Arial" w:eastAsia="Arial" w:hAnsi="Arial"/>
          <w:sz w:val="17"/>
          <w:szCs w:val="17"/>
          <w:color w:val="auto"/>
        </w:rPr>
        <w:t>We do not expect to pay cash dividends to holders of our common stock in the foreseeable future. If we make distributions in respect of our common stock, those distributions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the non-U.S. holder’s tax basis in the common stock. Any remaining excess will be treated as capital gain, subject to the tax treatment described below under the heading “Gain on Sale, Exchange or Other Taxable Disposition of Our Common Stock.” Any such distributions will also be subject to the discussions below under the headings “Information Reporting and Backup Withholding” and “FATCA.”</w:t>
      </w:r>
    </w:p>
    <w:p>
      <w:pPr>
        <w:spacing w:after="0" w:line="168" w:lineRule="exact"/>
        <w:rPr>
          <w:sz w:val="20"/>
          <w:szCs w:val="20"/>
          <w:color w:val="auto"/>
        </w:rPr>
      </w:pPr>
    </w:p>
    <w:p>
      <w:pPr>
        <w:ind w:left="120" w:right="160" w:firstLine="551"/>
        <w:spacing w:after="0" w:line="271" w:lineRule="auto"/>
        <w:rPr>
          <w:sz w:val="20"/>
          <w:szCs w:val="20"/>
          <w:color w:val="auto"/>
        </w:rPr>
      </w:pPr>
      <w:r>
        <w:rPr>
          <w:rFonts w:ascii="Arial" w:cs="Arial" w:eastAsia="Arial" w:hAnsi="Arial"/>
          <w:sz w:val="18"/>
          <w:szCs w:val="18"/>
          <w:color w:val="auto"/>
        </w:rPr>
        <w:t>Dividends paid to a non-U.S. holder generally will be subject to withholding of U.S. federal income tax at a 30% rate or such lower rate as may be specified by an applicable income tax treaty between the United States and such holder’s country of residence.</w:t>
      </w:r>
    </w:p>
    <w:p>
      <w:pPr>
        <w:spacing w:after="0" w:line="15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(generally including provision of a properly executed IRS Form W-8ECI (or applicable successor form) certifying that the dividends are effectively connected with the non-U.S. holder’s conduct of a trade or business within the United States). However, such U.S. effectively connected income is taxed on a net income basis at the same U.S. federal income tax rates applicable to U.S. persons (as defined in the Code). Any U.S. effectively connected income received by a non-U.S. holder that is classified as a corporation for U.S. federal income tax purposes may also, under certain circumstances, be subject to an additional “branch profits tax” at a 30% rate or such lower rate as may be specified by an applicable income tax treaty between the United States and such holder’s country of residence.</w:t>
      </w:r>
    </w:p>
    <w:p>
      <w:pPr>
        <w:spacing w:after="0" w:line="180" w:lineRule="exact"/>
        <w:rPr>
          <w:sz w:val="20"/>
          <w:szCs w:val="20"/>
          <w:color w:val="auto"/>
        </w:rPr>
      </w:pPr>
    </w:p>
    <w:p>
      <w:pPr>
        <w:ind w:left="120" w:right="240" w:firstLine="551"/>
        <w:spacing w:after="0" w:line="271" w:lineRule="auto"/>
        <w:rPr>
          <w:sz w:val="20"/>
          <w:szCs w:val="20"/>
          <w:color w:val="auto"/>
        </w:rPr>
      </w:pPr>
      <w:r>
        <w:rPr>
          <w:rFonts w:ascii="Arial" w:cs="Arial" w:eastAsia="Arial" w:hAnsi="Arial"/>
          <w:sz w:val="18"/>
          <w:szCs w:val="18"/>
          <w:color w:val="auto"/>
        </w:rPr>
        <w:t>A non-U.S. holder of our common stock who claims the benefit of an applicable income tax treaty between the United States and such holder’s country of residence generally will be required to provide</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properly executed IRS Form W-8BEN or W-8BEN-E (or successor form) and satisfy applicable certification and other requirements.</w:t>
      </w:r>
    </w:p>
    <w:p>
      <w:pPr>
        <w:spacing w:after="0" w:line="104" w:lineRule="exact"/>
        <w:rPr>
          <w:sz w:val="20"/>
          <w:szCs w:val="20"/>
          <w:color w:val="auto"/>
        </w:rPr>
      </w:pPr>
    </w:p>
    <w:p>
      <w:pPr>
        <w:ind w:left="120" w:right="360" w:firstLine="551"/>
        <w:spacing w:after="0" w:line="271" w:lineRule="auto"/>
        <w:rPr>
          <w:sz w:val="20"/>
          <w:szCs w:val="20"/>
          <w:color w:val="auto"/>
        </w:rPr>
      </w:pPr>
      <w:r>
        <w:rPr>
          <w:rFonts w:ascii="Arial" w:cs="Arial" w:eastAsia="Arial" w:hAnsi="Arial"/>
          <w:sz w:val="18"/>
          <w:szCs w:val="18"/>
          <w:color w:val="auto"/>
        </w:rPr>
        <w:t>Non-U.S. holders are urged to consult their own tax advisors regarding their entitlement to benefits under a relevant income tax treaty and the specific methods available to them to satisfy these requirements.</w:t>
      </w:r>
    </w:p>
    <w:p>
      <w:pPr>
        <w:spacing w:after="0" w:line="154" w:lineRule="exact"/>
        <w:rPr>
          <w:sz w:val="20"/>
          <w:szCs w:val="20"/>
          <w:color w:val="auto"/>
        </w:rPr>
      </w:pPr>
    </w:p>
    <w:p>
      <w:pPr>
        <w:ind w:left="120" w:right="60" w:firstLine="551"/>
        <w:spacing w:after="0" w:line="271" w:lineRule="auto"/>
        <w:rPr>
          <w:sz w:val="20"/>
          <w:szCs w:val="20"/>
          <w:color w:val="auto"/>
        </w:rPr>
      </w:pPr>
      <w:r>
        <w:rPr>
          <w:rFonts w:ascii="Arial" w:cs="Arial" w:eastAsia="Arial" w:hAnsi="Arial"/>
          <w:sz w:val="18"/>
          <w:szCs w:val="18"/>
          <w:color w:val="auto"/>
        </w:rPr>
        <w:t>A non-U.S. holder that is eligible for a reduced rate of U.S. withholding tax under an income tax treaty may obtain a refund or credit of any excess amounts withheld by timely filing an appropriate claim with the IRS.</w:t>
      </w:r>
    </w:p>
    <w:p>
      <w:pPr>
        <w:spacing w:after="0" w:line="26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Gain on Sale, Exchange or Other Taxable Disposition of Our Common Stock</w:t>
      </w:r>
    </w:p>
    <w:p>
      <w:pPr>
        <w:spacing w:after="0" w:line="212" w:lineRule="exact"/>
        <w:rPr>
          <w:sz w:val="20"/>
          <w:szCs w:val="20"/>
          <w:color w:val="auto"/>
        </w:rPr>
      </w:pPr>
    </w:p>
    <w:p>
      <w:pPr>
        <w:ind w:left="120" w:right="260" w:firstLine="551"/>
        <w:spacing w:after="0" w:line="253" w:lineRule="auto"/>
        <w:rPr>
          <w:sz w:val="20"/>
          <w:szCs w:val="20"/>
          <w:color w:val="auto"/>
        </w:rPr>
      </w:pPr>
      <w:r>
        <w:rPr>
          <w:rFonts w:ascii="Arial" w:cs="Arial" w:eastAsia="Arial" w:hAnsi="Arial"/>
          <w:sz w:val="18"/>
          <w:szCs w:val="18"/>
          <w:color w:val="auto"/>
        </w:rPr>
        <w:t>Subject to the discussion below under the headings “Information Reporting and Backup Withholding” and “FATCA,” a non-U.S. holder generally will not be subject to U.S. federal income tax or withholding tax on any gain realized upon such non-U.S. holder’s sale, exchange or other disposition of our common stock unless:</w:t>
      </w:r>
    </w:p>
    <w:p>
      <w:pPr>
        <w:spacing w:after="0" w:line="74" w:lineRule="exact"/>
        <w:rPr>
          <w:sz w:val="20"/>
          <w:szCs w:val="20"/>
          <w:color w:val="auto"/>
        </w:rPr>
      </w:pPr>
    </w:p>
    <w:p>
      <w:pPr>
        <w:ind w:left="880" w:hanging="224"/>
        <w:spacing w:after="0" w:line="242"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in the United States, and, if an applicable income tax treaty so provides, the gain is attributable to a permanent establishment or fixed base maintained by the non-U.S. holder in the United States, in which case, the non-U.S. holder generally will be taxed on a net income basis at the U.S. federal income tax rates applicable to U.S. persons with respect to the gain, and, if the non-U.S. holder is a foreign corporation, an additional branch profits tax at a rate of 30% (or a lower rate as may be specified by an applicable income tax treaty between the United States and such holder’s country of residence) may also apply;</w:t>
      </w:r>
    </w:p>
    <w:p>
      <w:pPr>
        <w:spacing w:after="0" w:line="84" w:lineRule="exact"/>
        <w:rPr>
          <w:rFonts w:ascii="Arial" w:cs="Arial" w:eastAsia="Arial" w:hAnsi="Arial"/>
          <w:sz w:val="18"/>
          <w:szCs w:val="18"/>
          <w:color w:val="auto"/>
        </w:rPr>
      </w:pPr>
    </w:p>
    <w:p>
      <w:pPr>
        <w:ind w:left="880" w:right="40" w:hanging="224"/>
        <w:spacing w:after="0" w:line="244"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non-U.S. holder is a non-resident alien present in the United States for 183 days or more in the taxable year of the disposition and certain other requirements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U.S.-source capital losses of the non-U.S. holder, if any; or</w:t>
      </w:r>
    </w:p>
    <w:p>
      <w:pPr>
        <w:spacing w:after="0" w:line="81" w:lineRule="exact"/>
        <w:rPr>
          <w:rFonts w:ascii="Arial" w:cs="Arial" w:eastAsia="Arial" w:hAnsi="Arial"/>
          <w:sz w:val="18"/>
          <w:szCs w:val="18"/>
          <w:color w:val="auto"/>
        </w:rPr>
      </w:pPr>
    </w:p>
    <w:p>
      <w:pPr>
        <w:ind w:left="880" w:right="20" w:hanging="224"/>
        <w:spacing w:after="0" w:line="253" w:lineRule="auto"/>
        <w:tabs>
          <w:tab w:leader="none" w:pos="8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are, or have been, at any time during the five-year period preceding such disposition (or the non-U.S. holder’s holding period, if shorter) a “U.S. real property holding corporation,” unless our common stock is regularly traded on an established securities market and the non-U.S. holder held no more than 5% of our outstanding common stock, directly or indirectly, during the shorter of the five-year period ending on the date of the disposition or the period that the non-U.S. holder held our common stock. If we are determined to be a “U.S. real property holding corporation” and the foregoing exception does not apply, then the non-U.S. holder generally will be taxed on its net gain derived from the disposition at the U.S. federal income tax rates applicable to U.S. persons. Generally, a corporation is a “U.S. real property holding corporation” only if the fair market value of its “U.S. real property interests” (as defined in the Code and applicable Treasury Regulations)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for U.S. federal income tax purposes, or that we are likely to become one in the future. No assurance can be provided that our common stock will be regularly traded on an established securities market for purposes of the rule described above.</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 Federal Estate Tax</w:t>
      </w:r>
    </w:p>
    <w:p>
      <w:pPr>
        <w:spacing w:after="0" w:line="212" w:lineRule="exact"/>
        <w:rPr>
          <w:sz w:val="20"/>
          <w:szCs w:val="20"/>
          <w:color w:val="auto"/>
        </w:rPr>
      </w:pPr>
    </w:p>
    <w:p>
      <w:pPr>
        <w:ind w:left="120" w:right="40" w:firstLine="551"/>
        <w:spacing w:after="0" w:line="247" w:lineRule="auto"/>
        <w:rPr>
          <w:sz w:val="20"/>
          <w:szCs w:val="20"/>
          <w:color w:val="auto"/>
        </w:rPr>
      </w:pPr>
      <w:r>
        <w:rPr>
          <w:rFonts w:ascii="Arial" w:cs="Arial" w:eastAsia="Arial" w:hAnsi="Arial"/>
          <w:sz w:val="18"/>
          <w:szCs w:val="18"/>
          <w:color w:val="auto"/>
        </w:rPr>
        <w:t>Shares of our common stock that are owned or treated as owned by an individual who is a non-U.S. holder (as specially defined for U.S. federal estate tax purposes) at the time of death are considered U.S.-situs assets and will be included in the individual’s gross estate for U.S. federal estate tax purposes. Such shares, therefore, may be subject to U.S. federal estate tax, unless an applicable estate tax or other treaty provides otherwise.</w:t>
      </w:r>
    </w:p>
    <w:p>
      <w:pPr>
        <w:spacing w:after="0" w:line="2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1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must report annually to the IRS and to each non-U.S. holder the gross amount of the distributions on our common stock paid to such holder and the tax withheld, if any, with respect to such distributions. Non-U.S. holders generally will have to comply with specific certification procedures to establish that the holder is not a U.S. person (as defined in the Code) in order to avoid backup withholding at the applicable rate with respect to dividends on our common stock. Generally, a non-U.S. holder will comply with such procedures if it provides a properly executed IRS Form W-8BEN or W-8BEN-E (or other applicable IRS Form W-8), or otherwise meets documentary evidence requirements for establishing that it is a non-U.S. holder, or otherwise establishes an exemption. Dividends paid to non-U.S. holders subject to withholding of U.S. federal income tax, as described above under the heading “—Distributions,” will generally be exempt from U.S. backup withholding.</w:t>
      </w:r>
    </w:p>
    <w:p>
      <w:pPr>
        <w:spacing w:after="0" w:line="180" w:lineRule="exact"/>
        <w:rPr>
          <w:sz w:val="20"/>
          <w:szCs w:val="20"/>
          <w:color w:val="auto"/>
        </w:rPr>
      </w:pPr>
    </w:p>
    <w:p>
      <w:pPr>
        <w:ind w:left="120" w:right="180" w:firstLine="551"/>
        <w:spacing w:after="0"/>
        <w:rPr>
          <w:sz w:val="20"/>
          <w:szCs w:val="20"/>
          <w:color w:val="auto"/>
        </w:rPr>
      </w:pPr>
      <w:r>
        <w:rPr>
          <w:rFonts w:ascii="Arial" w:cs="Arial" w:eastAsia="Arial" w:hAnsi="Arial"/>
          <w:sz w:val="18"/>
          <w:szCs w:val="18"/>
          <w:color w:val="auto"/>
        </w:rPr>
        <w:t>Information reporting and backup withholding generally will apply to the proceeds of a disposition of our common stock by a non-U.S. holder effected by or through the U.S. office of any broker, U.S. or non-U.S.,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 -U.S.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w:t>
      </w:r>
    </w:p>
    <w:p>
      <w:pPr>
        <w:spacing w:after="0" w:line="180" w:lineRule="exact"/>
        <w:rPr>
          <w:sz w:val="20"/>
          <w:szCs w:val="20"/>
          <w:color w:val="auto"/>
        </w:rPr>
      </w:pPr>
    </w:p>
    <w:p>
      <w:pPr>
        <w:ind w:left="120" w:right="100" w:firstLine="551"/>
        <w:spacing w:after="0" w:line="271" w:lineRule="auto"/>
        <w:rPr>
          <w:sz w:val="20"/>
          <w:szCs w:val="20"/>
          <w:color w:val="auto"/>
        </w:rPr>
      </w:pPr>
      <w:r>
        <w:rPr>
          <w:rFonts w:ascii="Arial" w:cs="Arial" w:eastAsia="Arial" w:hAnsi="Arial"/>
          <w:sz w:val="18"/>
          <w:szCs w:val="18"/>
          <w:color w:val="auto"/>
        </w:rPr>
        <w:t>Copies of information returns may be made available to the tax authorities of the country in which the non-U.S. holder resides or is incorporated under the provisions of a specific treaty or agreement.</w:t>
      </w:r>
    </w:p>
    <w:p>
      <w:pPr>
        <w:spacing w:after="0" w:line="154" w:lineRule="exact"/>
        <w:rPr>
          <w:sz w:val="20"/>
          <w:szCs w:val="20"/>
          <w:color w:val="auto"/>
        </w:rPr>
      </w:pPr>
    </w:p>
    <w:p>
      <w:pPr>
        <w:jc w:val="both"/>
        <w:ind w:left="120" w:right="720" w:firstLine="551"/>
        <w:spacing w:after="0" w:line="253"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from a payment to a non-U.S. holder can be refunded or credited against the non-U.S. holder’s U.S. federal income tax liability, if any, provided that an appropriate claim is timely filed with the IRS.</w:t>
      </w:r>
    </w:p>
    <w:p>
      <w:pPr>
        <w:spacing w:after="0" w:line="27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FATCA</w:t>
      </w:r>
    </w:p>
    <w:p>
      <w:pPr>
        <w:spacing w:after="0" w:line="212" w:lineRule="exact"/>
        <w:rPr>
          <w:sz w:val="20"/>
          <w:szCs w:val="20"/>
          <w:color w:val="auto"/>
        </w:rPr>
      </w:pPr>
    </w:p>
    <w:p>
      <w:pPr>
        <w:ind w:left="120" w:right="300" w:firstLine="551"/>
        <w:spacing w:after="0" w:line="244" w:lineRule="auto"/>
        <w:rPr>
          <w:sz w:val="20"/>
          <w:szCs w:val="20"/>
          <w:color w:val="auto"/>
        </w:rPr>
      </w:pPr>
      <w:r>
        <w:rPr>
          <w:rFonts w:ascii="Arial" w:cs="Arial" w:eastAsia="Arial" w:hAnsi="Arial"/>
          <w:sz w:val="18"/>
          <w:szCs w:val="18"/>
          <w:color w:val="auto"/>
        </w:rPr>
        <w:t>Provisions of the Code commonly referred to as the Foreign Account Tax Compliance Act, or FATCA, generally impose a 30% withholding tax on dividends on, and gross proceeds from the sale or other disposition of, our common stock if paid to a foreign entity unless (i) if the foreign entity is a “foreign financial institution,” the foreign entity undertakes certain due diligence, reporting, withholding and certification obligations, (ii) if the foreign entity is not a “foreign financial institution,” the foreign entity identifies certain of its U.S. investors, if any, or (iii) the foreign entity is otherwise exempt under FATCA.</w:t>
      </w:r>
    </w:p>
    <w:p>
      <w:pPr>
        <w:spacing w:after="0" w:line="176" w:lineRule="exact"/>
        <w:rPr>
          <w:sz w:val="20"/>
          <w:szCs w:val="20"/>
          <w:color w:val="auto"/>
        </w:rPr>
      </w:pPr>
    </w:p>
    <w:p>
      <w:pPr>
        <w:ind w:left="120" w:right="160" w:firstLine="551"/>
        <w:spacing w:after="0" w:line="271" w:lineRule="auto"/>
        <w:rPr>
          <w:sz w:val="20"/>
          <w:szCs w:val="20"/>
          <w:color w:val="auto"/>
        </w:rPr>
      </w:pPr>
      <w:r>
        <w:rPr>
          <w:rFonts w:ascii="Arial" w:cs="Arial" w:eastAsia="Arial" w:hAnsi="Arial"/>
          <w:sz w:val="18"/>
          <w:szCs w:val="18"/>
          <w:color w:val="auto"/>
        </w:rPr>
        <w:t>Withholding under FATCA generally applies to payments of dividends on our common stock. While withholding under FATCA may also apply to payments of gross proceeds from a sale or other</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disposition of our common stock, under proposed U.S. Treasury Regulations, withholding on payments of gross proceeds is not required. Although such proposed regulations are not final, applicable withholding agents may rely on the proposed regulations until final regulations are issued.</w:t>
      </w:r>
    </w:p>
    <w:p>
      <w:pPr>
        <w:spacing w:after="0" w:line="169" w:lineRule="exact"/>
        <w:rPr>
          <w:sz w:val="20"/>
          <w:szCs w:val="20"/>
          <w:color w:val="auto"/>
        </w:rPr>
      </w:pPr>
    </w:p>
    <w:p>
      <w:pPr>
        <w:ind w:left="120" w:right="20" w:firstLine="551"/>
        <w:spacing w:after="0" w:line="244" w:lineRule="auto"/>
        <w:rPr>
          <w:sz w:val="20"/>
          <w:szCs w:val="20"/>
          <w:color w:val="auto"/>
        </w:rPr>
      </w:pPr>
      <w:r>
        <w:rPr>
          <w:rFonts w:ascii="Arial" w:cs="Arial" w:eastAsia="Arial" w:hAnsi="Arial"/>
          <w:sz w:val="18"/>
          <w:szCs w:val="18"/>
          <w:color w:val="auto"/>
        </w:rPr>
        <w:t>If withholding under FATCA is required on any payment related to our common stock, investors not otherwise subject to withholding (or that otherwise would be entitled to a reduced rate of withholding) on such payment may be required to seek a refund or credit from the IRS. An intergovernmental agreement between the United States and an applicable foreign country may modify the requirements described in this section. Non-U.S. holders should consult their own tax advisors regarding the possible implications of FATCA on their investment in our common stock and the entities through which they hold our common stock.</w:t>
      </w:r>
    </w:p>
    <w:p>
      <w:pPr>
        <w:spacing w:after="0" w:line="176" w:lineRule="exact"/>
        <w:rPr>
          <w:sz w:val="20"/>
          <w:szCs w:val="20"/>
          <w:color w:val="auto"/>
        </w:rPr>
      </w:pPr>
    </w:p>
    <w:p>
      <w:pPr>
        <w:ind w:left="120" w:right="100" w:firstLine="551"/>
        <w:spacing w:after="0" w:line="250" w:lineRule="auto"/>
        <w:rPr>
          <w:sz w:val="20"/>
          <w:szCs w:val="20"/>
          <w:color w:val="auto"/>
        </w:rPr>
      </w:pPr>
      <w:r>
        <w:rPr>
          <w:rFonts w:ascii="Arial" w:cs="Arial" w:eastAsia="Arial" w:hAnsi="Arial"/>
          <w:sz w:val="18"/>
          <w:szCs w:val="18"/>
          <w:b w:val="1"/>
          <w:bCs w:val="1"/>
          <w:color w:val="auto"/>
        </w:rPr>
        <w:t>The preceding discussion of material U.S. federal tax considerations is for information only. It is not, and is not intended to be, legal or tax advice. Prospective investors should consult their own tax advisors regarding the particular U.S. federal, state, local, estate and non-U.S. income and other tax consequences of acquiring, holding and disposing of our common stock, including the consequences of any proposed changes in applicable laws.</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and the underwriters named below have entered into an underwriting agreement with respect to the shares being offered.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Subject to certain conditions, each underwriter has severally agreed to purchase the number of shares indicated in the following table.</w:t>
      </w:r>
    </w:p>
    <w:p>
      <w:pPr>
        <w:ind w:left="120"/>
        <w:spacing w:after="0"/>
        <w:rPr>
          <w:sz w:val="20"/>
          <w:szCs w:val="20"/>
          <w:color w:val="auto"/>
        </w:rPr>
      </w:pPr>
      <w:r>
        <w:rPr>
          <w:rFonts w:ascii="Arial" w:cs="Arial" w:eastAsia="Arial" w:hAnsi="Arial"/>
          <w:sz w:val="18"/>
          <w:szCs w:val="18"/>
          <w:color w:val="auto"/>
        </w:rPr>
        <w:t>Goldman Sachs &amp; Co. LLC, SVB Securities LLC and Piper Sandler &amp; Co., are the representatives of the underwriters.</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720" w:type="dxa"/>
            <w:vAlign w:val="bottom"/>
            <w:gridSpan w:val="2"/>
          </w:tcPr>
          <w:p>
            <w:pPr>
              <w:spacing w:after="0"/>
              <w:rPr>
                <w:sz w:val="20"/>
                <w:szCs w:val="20"/>
                <w:color w:val="auto"/>
              </w:rPr>
            </w:pPr>
            <w:r>
              <w:rPr>
                <w:rFonts w:ascii="Arial" w:cs="Arial" w:eastAsia="Arial" w:hAnsi="Arial"/>
                <w:sz w:val="14"/>
                <w:szCs w:val="14"/>
                <w:b w:val="1"/>
                <w:bCs w:val="1"/>
                <w:color w:val="auto"/>
              </w:rPr>
              <w:t>Underwriters</w:t>
            </w: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Number of Shares</w:t>
            </w:r>
          </w:p>
        </w:tc>
      </w:tr>
      <w:tr>
        <w:trPr>
          <w:trHeight w:val="20"/>
        </w:trPr>
        <w:tc>
          <w:tcPr>
            <w:tcW w:w="880" w:type="dxa"/>
            <w:vAlign w:val="bottom"/>
            <w:tcBorders>
              <w:bottom w:val="single" w:sz="8" w:color="CCEEFF"/>
            </w:tcBorders>
            <w:shd w:val="clear" w:color="auto" w:fill="000000"/>
          </w:tcPr>
          <w:p>
            <w:pPr>
              <w:spacing w:after="0" w:line="20" w:lineRule="exact"/>
              <w:rPr>
                <w:sz w:val="1"/>
                <w:szCs w:val="1"/>
                <w:color w:val="auto"/>
              </w:rPr>
            </w:pPr>
          </w:p>
        </w:tc>
        <w:tc>
          <w:tcPr>
            <w:tcW w:w="88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190"/>
        </w:trPr>
        <w:tc>
          <w:tcPr>
            <w:tcW w:w="97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Goldman Sachs &amp; Co. LLC</w:t>
            </w: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4,038,461</w:t>
            </w:r>
          </w:p>
        </w:tc>
        <w:tc>
          <w:tcPr>
            <w:tcW w:w="60" w:type="dxa"/>
            <w:vAlign w:val="bottom"/>
            <w:shd w:val="clear" w:color="auto" w:fill="CCEEFF"/>
          </w:tcPr>
          <w:p>
            <w:pPr>
              <w:spacing w:after="0"/>
              <w:rPr>
                <w:sz w:val="16"/>
                <w:szCs w:val="16"/>
                <w:color w:val="auto"/>
              </w:rPr>
            </w:pPr>
          </w:p>
        </w:tc>
      </w:tr>
      <w:tr>
        <w:trPr>
          <w:trHeight w:val="203"/>
        </w:trPr>
        <w:tc>
          <w:tcPr>
            <w:tcW w:w="9720" w:type="dxa"/>
            <w:vAlign w:val="bottom"/>
            <w:gridSpan w:val="2"/>
          </w:tcPr>
          <w:p>
            <w:pPr>
              <w:spacing w:after="0" w:line="202" w:lineRule="exact"/>
              <w:rPr>
                <w:sz w:val="20"/>
                <w:szCs w:val="20"/>
                <w:color w:val="auto"/>
              </w:rPr>
            </w:pPr>
            <w:r>
              <w:rPr>
                <w:rFonts w:ascii="Arial" w:cs="Arial" w:eastAsia="Arial" w:hAnsi="Arial"/>
                <w:sz w:val="18"/>
                <w:szCs w:val="18"/>
                <w:color w:val="auto"/>
              </w:rPr>
              <w:t>SVB Securities LLC</w:t>
            </w:r>
          </w:p>
        </w:tc>
        <w:tc>
          <w:tcPr>
            <w:tcW w:w="13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3,028,846</w:t>
            </w:r>
          </w:p>
        </w:tc>
      </w:tr>
      <w:tr>
        <w:trPr>
          <w:trHeight w:val="203"/>
        </w:trPr>
        <w:tc>
          <w:tcPr>
            <w:tcW w:w="9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Piper Sandler &amp; Co.</w:t>
            </w:r>
          </w:p>
        </w:tc>
        <w:tc>
          <w:tcPr>
            <w:tcW w:w="13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2,259,615</w:t>
            </w:r>
          </w:p>
        </w:tc>
      </w:tr>
      <w:tr>
        <w:trPr>
          <w:trHeight w:val="209"/>
        </w:trPr>
        <w:tc>
          <w:tcPr>
            <w:tcW w:w="9720" w:type="dxa"/>
            <w:vAlign w:val="bottom"/>
            <w:gridSpan w:val="2"/>
          </w:tcPr>
          <w:p>
            <w:pPr>
              <w:spacing w:after="0" w:line="202" w:lineRule="exact"/>
              <w:rPr>
                <w:sz w:val="20"/>
                <w:szCs w:val="20"/>
                <w:color w:val="auto"/>
              </w:rPr>
            </w:pPr>
            <w:r>
              <w:rPr>
                <w:rFonts w:ascii="Arial" w:cs="Arial" w:eastAsia="Arial" w:hAnsi="Arial"/>
                <w:sz w:val="18"/>
                <w:szCs w:val="18"/>
                <w:color w:val="auto"/>
              </w:rPr>
              <w:t>H.C. Wainwright &amp; Co., LLC</w:t>
            </w: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288,462</w:t>
            </w:r>
          </w:p>
        </w:tc>
        <w:tc>
          <w:tcPr>
            <w:tcW w:w="60" w:type="dxa"/>
            <w:vAlign w:val="bottom"/>
          </w:tcPr>
          <w:p>
            <w:pPr>
              <w:spacing w:after="0"/>
              <w:rPr>
                <w:sz w:val="18"/>
                <w:szCs w:val="18"/>
                <w:color w:val="auto"/>
              </w:rPr>
            </w:pPr>
          </w:p>
        </w:tc>
      </w:tr>
      <w:tr>
        <w:trPr>
          <w:trHeight w:val="203"/>
        </w:trPr>
        <w:tc>
          <w:tcPr>
            <w:tcW w:w="9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3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9,615,384</w:t>
            </w:r>
          </w:p>
        </w:tc>
      </w:tr>
      <w:tr>
        <w:trPr>
          <w:trHeight w:val="20"/>
        </w:trPr>
        <w:tc>
          <w:tcPr>
            <w:tcW w:w="88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60" w:firstLine="551"/>
        <w:spacing w:after="0" w:line="271"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54" w:lineRule="exact"/>
        <w:rPr>
          <w:sz w:val="20"/>
          <w:szCs w:val="20"/>
          <w:color w:val="auto"/>
        </w:rPr>
      </w:pPr>
    </w:p>
    <w:p>
      <w:pPr>
        <w:ind w:left="120" w:right="260" w:firstLine="551"/>
        <w:spacing w:after="0" w:line="253" w:lineRule="auto"/>
        <w:rPr>
          <w:sz w:val="20"/>
          <w:szCs w:val="20"/>
          <w:color w:val="auto"/>
        </w:rPr>
      </w:pPr>
      <w:r>
        <w:rPr>
          <w:rFonts w:ascii="Arial" w:cs="Arial" w:eastAsia="Arial" w:hAnsi="Arial"/>
          <w:sz w:val="18"/>
          <w:szCs w:val="18"/>
          <w:color w:val="auto"/>
        </w:rPr>
        <w:t>The underwriters have an option to buy up to an additional 1,442,307 shares of common stock from us. They may exercise that option for 30 days. If any shares are purchased pursuant to this option, the underwriters will severally purchase shares in approximately the same proportion as set forth in the table above.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us.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Such amounts are shown assuming both no exercise and full exercise of the underwriters’ option to purchase additional shares.</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rPr>
              <w:t>Paid by Us</w:t>
            </w:r>
          </w:p>
        </w:tc>
        <w:tc>
          <w:tcPr>
            <w:tcW w:w="784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No</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740" w:type="dxa"/>
            <w:vAlign w:val="bottom"/>
            <w:tcBorders>
              <w:bottom w:val="single" w:sz="8" w:color="auto"/>
            </w:tcBorders>
            <w:vMerge w:val="continue"/>
          </w:tcPr>
          <w:p>
            <w:pPr>
              <w:spacing w:after="0"/>
              <w:rPr>
                <w:sz w:val="15"/>
                <w:szCs w:val="15"/>
                <w:color w:val="auto"/>
              </w:rPr>
            </w:pPr>
          </w:p>
        </w:tc>
        <w:tc>
          <w:tcPr>
            <w:tcW w:w="78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right"/>
              <w:ind w:right="360"/>
              <w:spacing w:after="0" w:line="158" w:lineRule="exact"/>
              <w:rPr>
                <w:sz w:val="20"/>
                <w:szCs w:val="20"/>
                <w:color w:val="auto"/>
              </w:rPr>
            </w:pPr>
            <w:r>
              <w:rPr>
                <w:rFonts w:ascii="Arial" w:cs="Arial" w:eastAsia="Arial" w:hAnsi="Arial"/>
                <w:sz w:val="14"/>
                <w:szCs w:val="14"/>
                <w:b w:val="1"/>
                <w:bCs w:val="1"/>
                <w:color w:val="auto"/>
              </w:rPr>
              <w:t>Exercise</w:t>
            </w:r>
          </w:p>
        </w:tc>
        <w:tc>
          <w:tcPr>
            <w:tcW w:w="140" w:type="dxa"/>
            <w:vAlign w:val="bottom"/>
          </w:tcPr>
          <w:p>
            <w:pPr>
              <w:spacing w:after="0"/>
              <w:rPr>
                <w:sz w:val="15"/>
                <w:szCs w:val="15"/>
                <w:color w:val="auto"/>
              </w:rPr>
            </w:pPr>
          </w:p>
        </w:tc>
        <w:tc>
          <w:tcPr>
            <w:tcW w:w="1120" w:type="dxa"/>
            <w:vAlign w:val="bottom"/>
            <w:gridSpan w:val="3"/>
          </w:tcPr>
          <w:p>
            <w:pPr>
              <w:jc w:val="right"/>
              <w:ind w:right="160"/>
              <w:spacing w:after="0" w:line="158" w:lineRule="exact"/>
              <w:rPr>
                <w:sz w:val="20"/>
                <w:szCs w:val="20"/>
                <w:color w:val="auto"/>
              </w:rPr>
            </w:pPr>
            <w:r>
              <w:rPr>
                <w:rFonts w:ascii="Arial" w:cs="Arial" w:eastAsia="Arial" w:hAnsi="Arial"/>
                <w:sz w:val="14"/>
                <w:szCs w:val="14"/>
                <w:b w:val="1"/>
                <w:bCs w:val="1"/>
                <w:color w:val="auto"/>
              </w:rPr>
              <w:t>Full Exercise</w:t>
            </w:r>
          </w:p>
        </w:tc>
        <w:tc>
          <w:tcPr>
            <w:tcW w:w="0" w:type="dxa"/>
            <w:vAlign w:val="bottom"/>
          </w:tcPr>
          <w:p>
            <w:pPr>
              <w:spacing w:after="0"/>
              <w:rPr>
                <w:sz w:val="1"/>
                <w:szCs w:val="1"/>
                <w:color w:val="auto"/>
              </w:rPr>
            </w:pPr>
          </w:p>
        </w:tc>
      </w:tr>
      <w:tr>
        <w:trPr>
          <w:trHeight w:val="190"/>
        </w:trPr>
        <w:tc>
          <w:tcPr>
            <w:tcW w:w="85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Per Share</w:t>
            </w:r>
          </w:p>
        </w:tc>
        <w:tc>
          <w:tcPr>
            <w:tcW w:w="1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0.78</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0.78</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85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7,500,000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8,624,999</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estimate that our total expenses of the offering, excluding underwriting discounts and commissions, will be approximately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$200,000. We have agreed to reimburse the underwriters for expenses relating to the clearance of this offering with the Financial Industry</w:t>
      </w:r>
    </w:p>
    <w:p>
      <w:pPr>
        <w:ind w:left="120"/>
        <w:spacing w:after="0"/>
        <w:rPr>
          <w:sz w:val="20"/>
          <w:szCs w:val="20"/>
          <w:color w:val="auto"/>
        </w:rPr>
      </w:pPr>
      <w:r>
        <w:rPr>
          <w:rFonts w:ascii="Arial" w:cs="Arial" w:eastAsia="Arial" w:hAnsi="Arial"/>
          <w:sz w:val="18"/>
          <w:szCs w:val="18"/>
          <w:color w:val="auto"/>
        </w:rPr>
        <w:t>Regulatory Authority, Inc.</w:t>
      </w:r>
    </w:p>
    <w:p>
      <w:pPr>
        <w:spacing w:after="0" w:line="194" w:lineRule="exact"/>
        <w:rPr>
          <w:sz w:val="20"/>
          <w:szCs w:val="20"/>
          <w:color w:val="auto"/>
        </w:rPr>
      </w:pPr>
    </w:p>
    <w:p>
      <w:pPr>
        <w:ind w:left="120" w:right="60" w:firstLine="551"/>
        <w:spacing w:after="0" w:line="244" w:lineRule="auto"/>
        <w:rPr>
          <w:sz w:val="20"/>
          <w:szCs w:val="20"/>
          <w:color w:val="auto"/>
        </w:rPr>
      </w:pPr>
      <w:r>
        <w:rPr>
          <w:rFonts w:ascii="Arial" w:cs="Arial" w:eastAsia="Arial" w:hAnsi="Arial"/>
          <w:sz w:val="18"/>
          <w:szCs w:val="18"/>
          <w:color w:val="auto"/>
        </w:rPr>
        <w:t>Shares sold by the underwriters to the public will initially be offered at the public offering price set forth on the cover of this prospectus supplement. Any shares sold by the underwriters to securities dealers may be sold at a discount of up to $0.4680 per share from the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76" w:lineRule="exact"/>
        <w:rPr>
          <w:sz w:val="20"/>
          <w:szCs w:val="20"/>
          <w:color w:val="auto"/>
        </w:rPr>
      </w:pPr>
    </w:p>
    <w:p>
      <w:pPr>
        <w:ind w:left="120" w:right="120" w:firstLine="551"/>
        <w:spacing w:after="0" w:line="244" w:lineRule="auto"/>
        <w:rPr>
          <w:sz w:val="20"/>
          <w:szCs w:val="20"/>
          <w:color w:val="auto"/>
        </w:rPr>
      </w:pPr>
      <w:r>
        <w:rPr>
          <w:rFonts w:ascii="Arial" w:cs="Arial" w:eastAsia="Arial" w:hAnsi="Arial"/>
          <w:sz w:val="18"/>
          <w:szCs w:val="18"/>
          <w:color w:val="auto"/>
        </w:rPr>
        <w:t>We, our executive officers and our directors have agreed with the underwriters, subject to certain exceptions, not to dispose of or hedge any of our common stock or securities convertible into or exchangeable for shares of our common stock during the period from the date of this prospectus supplement continuing through the date 60 days, in our case, and 30 days, in the case of our executive officers and our directors, after the date of this prospectus supplement, except with the prior written consent of Goldman Sachs &amp; Co. LLC, SVB Securities LLC and Piper Sandler &amp; Co. This agreement does not apply to any existing employee benefit plans.</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40"/>
          </w:cols>
          <w:pgMar w:left="320" w:top="455"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Global Market under the symbol “FULC.”</w:t>
      </w:r>
    </w:p>
    <w:p>
      <w:pPr>
        <w:spacing w:after="0" w:line="212" w:lineRule="exact"/>
        <w:rPr>
          <w:sz w:val="20"/>
          <w:szCs w:val="20"/>
          <w:color w:val="auto"/>
        </w:rPr>
      </w:pPr>
    </w:p>
    <w:p>
      <w:pPr>
        <w:ind w:left="120" w:right="100" w:firstLine="551"/>
        <w:spacing w:after="0" w:line="237" w:lineRule="auto"/>
        <w:rPr>
          <w:sz w:val="20"/>
          <w:szCs w:val="20"/>
          <w:color w:val="auto"/>
        </w:rPr>
      </w:pPr>
      <w:r>
        <w:rPr>
          <w:rFonts w:ascii="Arial" w:cs="Arial" w:eastAsia="Arial" w:hAnsi="Arial"/>
          <w:sz w:val="18"/>
          <w:szCs w:val="18"/>
          <w:color w:val="auto"/>
        </w:rPr>
        <w:t>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our common stock made by the underwriters in the open market prior to the completion of the offering.</w:t>
      </w:r>
    </w:p>
    <w:p>
      <w:pPr>
        <w:spacing w:after="0" w:line="189" w:lineRule="exact"/>
        <w:rPr>
          <w:sz w:val="20"/>
          <w:szCs w:val="20"/>
          <w:color w:val="auto"/>
        </w:rPr>
      </w:pPr>
    </w:p>
    <w:p>
      <w:pPr>
        <w:ind w:left="120" w:right="160" w:firstLine="551"/>
        <w:spacing w:after="0" w:line="25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69" w:lineRule="exact"/>
        <w:rPr>
          <w:sz w:val="20"/>
          <w:szCs w:val="20"/>
          <w:color w:val="auto"/>
        </w:rPr>
      </w:pPr>
    </w:p>
    <w:p>
      <w:pPr>
        <w:ind w:left="120" w:right="40" w:firstLine="551"/>
        <w:spacing w:after="0" w:line="242"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our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Nasdaq Global Market, in the over-the-counter market or otherwise.</w:t>
      </w:r>
    </w:p>
    <w:p>
      <w:pPr>
        <w:spacing w:after="0" w:line="179" w:lineRule="exact"/>
        <w:rPr>
          <w:sz w:val="20"/>
          <w:szCs w:val="20"/>
          <w:color w:val="auto"/>
        </w:rPr>
      </w:pPr>
    </w:p>
    <w:p>
      <w:pPr>
        <w:ind w:left="120" w:firstLine="551"/>
        <w:spacing w:after="0" w:line="271"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of 1933, as amended, or the Securities Act.</w:t>
      </w:r>
    </w:p>
    <w:p>
      <w:pPr>
        <w:spacing w:after="0" w:line="154" w:lineRule="exact"/>
        <w:rPr>
          <w:sz w:val="20"/>
          <w:szCs w:val="20"/>
          <w:color w:val="auto"/>
        </w:rPr>
      </w:pPr>
    </w:p>
    <w:p>
      <w:pPr>
        <w:ind w:left="120" w:right="80" w:firstLine="551"/>
        <w:spacing w:after="0" w:line="244"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176" w:lineRule="exact"/>
        <w:rPr>
          <w:sz w:val="20"/>
          <w:szCs w:val="20"/>
          <w:color w:val="auto"/>
        </w:rPr>
      </w:pPr>
    </w:p>
    <w:p>
      <w:pPr>
        <w:ind w:left="120" w:right="280" w:firstLine="551"/>
        <w:spacing w:after="0" w:line="244"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and/or instruments (directly, as collateral securing other obligations or otherwise) and/or persons and entities with</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47" w:lineRule="auto"/>
        <w:rPr>
          <w:sz w:val="20"/>
          <w:szCs w:val="20"/>
          <w:color w:val="auto"/>
        </w:rPr>
      </w:pPr>
      <w:r>
        <w:rPr>
          <w:rFonts w:ascii="Arial" w:cs="Arial" w:eastAsia="Arial" w:hAnsi="Arial"/>
          <w:sz w:val="18"/>
          <w:szCs w:val="18"/>
          <w:color w:val="auto"/>
        </w:rPr>
        <w:t>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212" w:lineRule="exact"/>
        <w:rPr>
          <w:sz w:val="20"/>
          <w:szCs w:val="20"/>
          <w:color w:val="auto"/>
        </w:rPr>
      </w:pPr>
    </w:p>
    <w:p>
      <w:pPr>
        <w:ind w:left="120" w:right="60" w:firstLine="551"/>
        <w:spacing w:after="0" w:line="244" w:lineRule="auto"/>
        <w:rPr>
          <w:sz w:val="20"/>
          <w:szCs w:val="20"/>
          <w:color w:val="auto"/>
        </w:rPr>
      </w:pPr>
      <w:r>
        <w:rPr>
          <w:rFonts w:ascii="Arial" w:cs="Arial" w:eastAsia="Arial" w:hAnsi="Arial"/>
          <w:sz w:val="18"/>
          <w:szCs w:val="18"/>
          <w:color w:val="auto"/>
        </w:rPr>
        <w:t>In relation to each Member State of the European Economic Area (each a “Relevant Member State”), no common shares have been offered or will be offered pursuant to the offering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Regulation, except that the shares may be offered to the public in that Relevant Member State at any time:</w:t>
      </w:r>
    </w:p>
    <w:p>
      <w:pPr>
        <w:spacing w:after="0" w:line="82"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Prospectus Regulation;</w:t>
      </w:r>
    </w:p>
    <w:p>
      <w:pPr>
        <w:spacing w:after="0" w:line="117" w:lineRule="exact"/>
        <w:rPr>
          <w:rFonts w:ascii="Arial" w:cs="Arial" w:eastAsia="Arial" w:hAnsi="Arial"/>
          <w:sz w:val="18"/>
          <w:szCs w:val="18"/>
          <w:color w:val="auto"/>
        </w:rPr>
      </w:pPr>
    </w:p>
    <w:p>
      <w:pPr>
        <w:ind w:left="1300" w:right="540" w:hanging="644"/>
        <w:spacing w:after="0" w:line="271"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Prospectus Regulation), subject to obtaining the prior consent of representatives for any such offer; or</w:t>
      </w:r>
    </w:p>
    <w:p>
      <w:pPr>
        <w:spacing w:after="0" w:line="5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12" w:lineRule="exact"/>
        <w:rPr>
          <w:sz w:val="20"/>
          <w:szCs w:val="20"/>
          <w:color w:val="auto"/>
        </w:rPr>
      </w:pPr>
    </w:p>
    <w:p>
      <w:pPr>
        <w:ind w:left="120" w:right="180" w:firstLine="551"/>
        <w:spacing w:after="0" w:line="271" w:lineRule="auto"/>
        <w:rPr>
          <w:sz w:val="20"/>
          <w:szCs w:val="20"/>
          <w:color w:val="auto"/>
        </w:rPr>
      </w:pPr>
      <w:r>
        <w:rPr>
          <w:rFonts w:ascii="Arial" w:cs="Arial" w:eastAsia="Arial" w:hAnsi="Arial"/>
          <w:sz w:val="18"/>
          <w:szCs w:val="18"/>
          <w:color w:val="auto"/>
        </w:rPr>
        <w:t>provided that no such offer of shares shall require us or any of the representatives to publish a prospectus pursuant to Article 3 of the Prospectus Regulation or supplement a prospectus pursuant to Article 23 of the Prospectus Regulation.</w:t>
      </w:r>
    </w:p>
    <w:p>
      <w:pPr>
        <w:spacing w:after="0" w:line="154" w:lineRule="exact"/>
        <w:rPr>
          <w:sz w:val="20"/>
          <w:szCs w:val="20"/>
          <w:color w:val="auto"/>
        </w:rPr>
      </w:pPr>
    </w:p>
    <w:p>
      <w:pPr>
        <w:ind w:left="120" w:right="20" w:firstLine="551"/>
        <w:spacing w:after="0" w:line="247" w:lineRule="auto"/>
        <w:rPr>
          <w:sz w:val="20"/>
          <w:szCs w:val="20"/>
          <w:color w:val="auto"/>
        </w:rPr>
      </w:pPr>
      <w:r>
        <w:rPr>
          <w:rFonts w:ascii="Arial" w:cs="Arial" w:eastAsia="Arial" w:hAnsi="Arial"/>
          <w:sz w:val="18"/>
          <w:szCs w:val="18"/>
          <w:color w:val="auto"/>
        </w:rPr>
        <w:t>For the purposes of this provision, the expression an “offer to the public” in relation to the shares in any Relevant Member State means the communication in any form and by any means of sufficient information on the terms of the offer and any shares to be offered so as to enable an investor to decide to purchase any shares, and the expression “Prospectus Regulation” means Regulation (EU) 2017/1129.</w:t>
      </w:r>
    </w:p>
    <w:p>
      <w:pPr>
        <w:spacing w:after="0" w:line="174" w:lineRule="exact"/>
        <w:rPr>
          <w:sz w:val="20"/>
          <w:szCs w:val="20"/>
          <w:color w:val="auto"/>
        </w:rPr>
      </w:pPr>
    </w:p>
    <w:p>
      <w:pPr>
        <w:jc w:val="both"/>
        <w:ind w:left="120" w:right="240" w:firstLine="551"/>
        <w:spacing w:after="0" w:line="253" w:lineRule="auto"/>
        <w:rPr>
          <w:sz w:val="20"/>
          <w:szCs w:val="20"/>
          <w:color w:val="auto"/>
        </w:rPr>
      </w:pPr>
      <w:r>
        <w:rPr>
          <w:rFonts w:ascii="Arial" w:cs="Arial" w:eastAsia="Arial" w:hAnsi="Arial"/>
          <w:sz w:val="18"/>
          <w:szCs w:val="18"/>
          <w:color w:val="auto"/>
        </w:rPr>
        <w:t>Each person in a Relevant Member State who receives any communication in respect of, or who acquires any shares under, the offering contemplated hereby will be deemed to have represented, warranted and agreed to and with each of the Underwriters and their affiliates and the Company that:</w:t>
      </w:r>
    </w:p>
    <w:p>
      <w:pPr>
        <w:spacing w:after="0" w:line="169" w:lineRule="exact"/>
        <w:rPr>
          <w:sz w:val="20"/>
          <w:szCs w:val="20"/>
          <w:color w:val="auto"/>
        </w:rPr>
      </w:pPr>
    </w:p>
    <w:p>
      <w:pPr>
        <w:ind w:left="880" w:hanging="213"/>
        <w:spacing w:after="0"/>
        <w:tabs>
          <w:tab w:leader="none" w:pos="8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it is a qualified investor within the meaning of the Prospectus Regulation; and</w:t>
      </w:r>
    </w:p>
    <w:p>
      <w:pPr>
        <w:spacing w:after="0" w:line="211" w:lineRule="exact"/>
        <w:rPr>
          <w:rFonts w:ascii="Arial" w:cs="Arial" w:eastAsia="Arial" w:hAnsi="Arial"/>
          <w:sz w:val="18"/>
          <w:szCs w:val="18"/>
          <w:color w:val="auto"/>
        </w:rPr>
      </w:pPr>
    </w:p>
    <w:p>
      <w:pPr>
        <w:ind w:left="880" w:hanging="213"/>
        <w:spacing w:after="0"/>
        <w:tabs>
          <w:tab w:leader="none" w:pos="880" w:val="left"/>
        </w:tabs>
        <w:numPr>
          <w:ilvl w:val="1"/>
          <w:numId w:val="16"/>
        </w:numPr>
        <w:rPr>
          <w:rFonts w:ascii="Arial" w:cs="Arial" w:eastAsia="Arial" w:hAnsi="Arial"/>
          <w:sz w:val="17"/>
          <w:szCs w:val="17"/>
          <w:color w:val="auto"/>
        </w:rPr>
      </w:pPr>
      <w:r>
        <w:rPr>
          <w:rFonts w:ascii="Arial" w:cs="Arial" w:eastAsia="Arial" w:hAnsi="Arial"/>
          <w:sz w:val="17"/>
          <w:szCs w:val="17"/>
          <w:color w:val="auto"/>
        </w:rPr>
        <w:t>in the case of any Shares acquired by it as a financial intermediary, as that term is used in Article 5 of the Prospectus Regulation,</w:t>
      </w:r>
    </w:p>
    <w:p>
      <w:pPr>
        <w:spacing w:after="0" w:line="25" w:lineRule="exact"/>
        <w:rPr>
          <w:rFonts w:ascii="Arial" w:cs="Arial" w:eastAsia="Arial" w:hAnsi="Arial"/>
          <w:sz w:val="17"/>
          <w:szCs w:val="17"/>
          <w:color w:val="auto"/>
        </w:rPr>
      </w:pPr>
    </w:p>
    <w:p>
      <w:pPr>
        <w:ind w:left="120" w:right="100" w:hanging="4"/>
        <w:spacing w:after="0" w:line="238" w:lineRule="auto"/>
        <w:tabs>
          <w:tab w:leader="none" w:pos="33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shares acquired by it in the offering have not been acquired on a non-discretionary basis on behalf of, nor have they been acquired with a view to their offer or resale to, persons in any Relevant Member State other than qualified investors, as that term is defined in the Prospectus Regulation, or have been acquired in other circumstances falling within the points (a) to (d) of Article 1(4) of the Prospectus Regulation and the prior consent of the representatives has been given to the offer or resale; or (ii) where the Shares have been acquired by it on behalf of persons in any Relevant Member State other than qualified investors, the offer of those Shares to it is not treated under the Prospectus Regulation as having been made to such persons.</w:t>
      </w:r>
    </w:p>
    <w:p>
      <w:pPr>
        <w:spacing w:after="0" w:line="181" w:lineRule="exact"/>
        <w:rPr>
          <w:sz w:val="20"/>
          <w:szCs w:val="20"/>
          <w:color w:val="auto"/>
        </w:rPr>
      </w:pPr>
    </w:p>
    <w:p>
      <w:pPr>
        <w:ind w:left="120" w:right="360" w:firstLine="551"/>
        <w:spacing w:after="0" w:line="275" w:lineRule="auto"/>
        <w:rPr>
          <w:sz w:val="20"/>
          <w:szCs w:val="20"/>
          <w:color w:val="auto"/>
        </w:rPr>
      </w:pPr>
      <w:r>
        <w:rPr>
          <w:rFonts w:ascii="Arial" w:cs="Arial" w:eastAsia="Arial" w:hAnsi="Arial"/>
          <w:sz w:val="17"/>
          <w:szCs w:val="17"/>
          <w:color w:val="auto"/>
        </w:rPr>
        <w:t>We, the underwriters and their affiliates, and others will rely upon the truth and accuracy of the foregoing representation, acknowledgement and agreement. Notwithstanding the above, a person who is not a qualified investor and who has notified the representatives of such fact in writing may, with the prior consent of the representatives, be permitted to acquire shares in the offering.</w:t>
      </w:r>
    </w:p>
    <w:p>
      <w:pPr>
        <w:spacing w:after="0" w:line="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212"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color w:val="auto"/>
        </w:rPr>
        <w:t>This prospectus supplement and any other material in relation to the common shares described herein is only being distributed to, and is only directed at, and any investment or investment activity to which this prospectus supplement relates is available only to, and will be engaged in only with persons who are (i) persons having professional experience in matters relating to investments who fall within the definition of investment professionals in Article 19(5) of the FPO; or (ii) high net worth entities falling within Article 49(2)(a) to (d) of the FPO; (iii) outside the UK; or (iv) persons to whom an invitation or inducement to engage in investment activity (within the meaning of Section 21 of the FSMA) in connection with the issue or sale of any Shares may otherwise lawfully be communicated or caused to be communicated, (all such persons together being referred to as “Relevant Persons”). The shares are only available in the United Kingdom to, and any invitation, offer or agreement to purchase or otherwise acquire the shares will be engaged in only with, the Relevant Persons. This prospectus supplement and its contents are confidential and should not be distributed, published or reproduced (in whole or in part) or disclosed by recipients to any other person in the United Kingdom. Any person in the United Kingdom that is not a Relevant Person should not act or rely on this prospectus supplement or any of its contents.</w:t>
      </w:r>
    </w:p>
    <w:p>
      <w:pPr>
        <w:spacing w:after="0" w:line="186" w:lineRule="exact"/>
        <w:rPr>
          <w:sz w:val="20"/>
          <w:szCs w:val="20"/>
          <w:color w:val="auto"/>
        </w:rPr>
      </w:pPr>
    </w:p>
    <w:p>
      <w:pPr>
        <w:jc w:val="both"/>
        <w:ind w:left="120" w:firstLine="551"/>
        <w:spacing w:after="0" w:line="253" w:lineRule="auto"/>
        <w:rPr>
          <w:sz w:val="20"/>
          <w:szCs w:val="20"/>
          <w:color w:val="auto"/>
        </w:rPr>
      </w:pPr>
      <w:r>
        <w:rPr>
          <w:rFonts w:ascii="Arial" w:cs="Arial" w:eastAsia="Arial" w:hAnsi="Arial"/>
          <w:sz w:val="18"/>
          <w:szCs w:val="18"/>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74"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17" w:lineRule="exact"/>
        <w:rPr>
          <w:rFonts w:ascii="Arial" w:cs="Arial" w:eastAsia="Arial" w:hAnsi="Arial"/>
          <w:sz w:val="18"/>
          <w:szCs w:val="18"/>
          <w:color w:val="auto"/>
        </w:rPr>
      </w:pPr>
    </w:p>
    <w:p>
      <w:pPr>
        <w:ind w:left="1300" w:right="220" w:hanging="644"/>
        <w:spacing w:after="0" w:line="271"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representatives for any such offer; or</w:t>
      </w:r>
    </w:p>
    <w:p>
      <w:pPr>
        <w:spacing w:after="0" w:line="59"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w:t>
      </w:r>
    </w:p>
    <w:p>
      <w:pPr>
        <w:spacing w:after="0" w:line="212" w:lineRule="exact"/>
        <w:rPr>
          <w:sz w:val="20"/>
          <w:szCs w:val="20"/>
          <w:color w:val="auto"/>
        </w:rPr>
      </w:pPr>
    </w:p>
    <w:p>
      <w:pPr>
        <w:ind w:left="120" w:firstLine="551"/>
        <w:spacing w:after="0" w:line="242" w:lineRule="auto"/>
        <w:rPr>
          <w:sz w:val="20"/>
          <w:szCs w:val="20"/>
          <w:color w:val="auto"/>
        </w:rPr>
      </w:pPr>
      <w:r>
        <w:rPr>
          <w:rFonts w:ascii="Arial" w:cs="Arial" w:eastAsia="Arial" w:hAnsi="Arial"/>
          <w:sz w:val="18"/>
          <w:szCs w:val="18"/>
          <w:color w:val="auto"/>
        </w:rPr>
        <w:t>provided that no such offer of the shares shall require us and/or any underwriters or any of their affiliates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79" w:lineRule="exact"/>
        <w:rPr>
          <w:sz w:val="20"/>
          <w:szCs w:val="20"/>
          <w:color w:val="auto"/>
        </w:rPr>
      </w:pPr>
    </w:p>
    <w:p>
      <w:pPr>
        <w:ind w:left="120" w:right="20" w:firstLine="551"/>
        <w:spacing w:after="0" w:line="301" w:lineRule="auto"/>
        <w:rPr>
          <w:sz w:val="20"/>
          <w:szCs w:val="20"/>
          <w:color w:val="auto"/>
        </w:rPr>
      </w:pPr>
      <w:r>
        <w:rPr>
          <w:rFonts w:ascii="Arial" w:cs="Arial" w:eastAsia="Arial" w:hAnsi="Arial"/>
          <w:sz w:val="17"/>
          <w:szCs w:val="17"/>
          <w:color w:val="auto"/>
        </w:rPr>
        <w:t>Each person in the United Kingdom who acquires any shares in the offering or to whom any offer is made will be deemed to have represented, acknowledged and agreed to and with us, the underwriters and their affiliates that it meets the criteria outlined in this section.</w:t>
      </w:r>
    </w:p>
    <w:p>
      <w:pPr>
        <w:spacing w:after="0" w:line="23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12" w:lineRule="exact"/>
        <w:rPr>
          <w:sz w:val="20"/>
          <w:szCs w:val="20"/>
          <w:color w:val="auto"/>
        </w:rPr>
      </w:pPr>
    </w:p>
    <w:p>
      <w:pPr>
        <w:ind w:left="120" w:right="80" w:firstLine="551"/>
        <w:spacing w:after="0" w:line="244" w:lineRule="auto"/>
        <w:rPr>
          <w:sz w:val="20"/>
          <w:szCs w:val="20"/>
          <w:color w:val="auto"/>
        </w:rPr>
      </w:pPr>
      <w:r>
        <w:rPr>
          <w:rFonts w:ascii="Arial" w:cs="Arial" w:eastAsia="Arial" w:hAnsi="Arial"/>
          <w:sz w:val="18"/>
          <w:szCs w:val="18"/>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551"/>
        <w:spacing w:after="0" w:line="244"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6" w:lineRule="exact"/>
        <w:rPr>
          <w:sz w:val="20"/>
          <w:szCs w:val="20"/>
          <w:color w:val="auto"/>
        </w:rPr>
      </w:pPr>
    </w:p>
    <w:p>
      <w:pPr>
        <w:ind w:left="120" w:right="380" w:firstLine="551"/>
        <w:spacing w:after="0" w:line="271"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21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9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212"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80" w:lineRule="exact"/>
        <w:rPr>
          <w:sz w:val="20"/>
          <w:szCs w:val="20"/>
          <w:color w:val="auto"/>
        </w:rPr>
      </w:pPr>
    </w:p>
    <w:p>
      <w:pPr>
        <w:ind w:left="120" w:right="60" w:firstLine="551"/>
        <w:spacing w:after="0" w:line="242"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00"/>
          </w:cols>
          <w:pgMar w:left="320" w:top="455"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3" w:lineRule="auto"/>
        <w:rPr>
          <w:sz w:val="20"/>
          <w:szCs w:val="20"/>
          <w:color w:val="auto"/>
        </w:rPr>
      </w:pPr>
      <w:r>
        <w:rPr>
          <w:rFonts w:ascii="Arial" w:cs="Arial" w:eastAsia="Arial" w:hAnsi="Arial"/>
          <w:sz w:val="18"/>
          <w:szCs w:val="18"/>
          <w:color w:val="auto"/>
        </w:rPr>
        <w:t>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69"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29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212" w:lineRule="exact"/>
        <w:rPr>
          <w:sz w:val="20"/>
          <w:szCs w:val="20"/>
          <w:color w:val="auto"/>
        </w:rPr>
      </w:pPr>
    </w:p>
    <w:p>
      <w:pPr>
        <w:ind w:left="120" w:right="80" w:firstLine="551"/>
        <w:spacing w:after="0" w:line="244"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8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212" w:lineRule="exact"/>
        <w:rPr>
          <w:sz w:val="20"/>
          <w:szCs w:val="20"/>
          <w:color w:val="auto"/>
        </w:rPr>
      </w:pPr>
    </w:p>
    <w:p>
      <w:pPr>
        <w:ind w:left="120" w:right="20" w:firstLine="551"/>
        <w:spacing w:after="0" w:line="247" w:lineRule="auto"/>
        <w:rPr>
          <w:sz w:val="20"/>
          <w:szCs w:val="20"/>
          <w:color w:val="auto"/>
        </w:rPr>
      </w:pPr>
      <w:r>
        <w:rPr>
          <w:rFonts w:ascii="Arial" w:cs="Arial" w:eastAsia="Arial" w:hAnsi="Arial"/>
          <w:sz w:val="18"/>
          <w:szCs w:val="18"/>
          <w:color w:val="auto"/>
        </w:rPr>
        <w:t>No prospectus or other disclosure document, as defined in the Corporations Act 2001 (“Cth”) of Australia, or the Corporations Act, in relation to our shares has been or will be lodged with the Australian Securities &amp; Investments Commission ( the “ASIC”). This document has not been lodged with ASIC and is only directed to certain categories of exempt persons. Accordingly, if you receive this document in Australia:</w:t>
      </w:r>
    </w:p>
    <w:p>
      <w:pPr>
        <w:spacing w:after="0" w:line="79"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you confirm and warrant that you are either:</w:t>
      </w:r>
    </w:p>
    <w:p>
      <w:pPr>
        <w:spacing w:after="0" w:line="117" w:lineRule="exact"/>
        <w:rPr>
          <w:rFonts w:ascii="Arial" w:cs="Arial" w:eastAsia="Arial" w:hAnsi="Arial"/>
          <w:sz w:val="18"/>
          <w:szCs w:val="18"/>
          <w:color w:val="auto"/>
        </w:rPr>
      </w:pPr>
    </w:p>
    <w:p>
      <w:pPr>
        <w:ind w:left="1860" w:hanging="543"/>
        <w:spacing w:after="0"/>
        <w:tabs>
          <w:tab w:leader="none" w:pos="18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“sophisticated investor” under section 708(8)(a) or (b) of the Corporations Act;</w:t>
      </w:r>
    </w:p>
    <w:p>
      <w:pPr>
        <w:spacing w:after="0" w:line="117" w:lineRule="exact"/>
        <w:rPr>
          <w:rFonts w:ascii="Arial" w:cs="Arial" w:eastAsia="Arial" w:hAnsi="Arial"/>
          <w:sz w:val="18"/>
          <w:szCs w:val="18"/>
          <w:color w:val="auto"/>
        </w:rPr>
      </w:pPr>
    </w:p>
    <w:p>
      <w:pPr>
        <w:ind w:left="1860" w:right="120" w:hanging="543"/>
        <w:spacing w:after="0" w:line="253" w:lineRule="auto"/>
        <w:tabs>
          <w:tab w:leader="none" w:pos="18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“sophisticated investor” under section 708(8)(c) or (d) of the Corporations Act and that you have provided an accountant’s certificate to us which complies with the requirements of section 708(8)(c)(i) or (ii) of the Corporations Act and related regulations before the offer has been made;</w:t>
      </w:r>
    </w:p>
    <w:p>
      <w:pPr>
        <w:spacing w:after="0" w:line="74" w:lineRule="exact"/>
        <w:rPr>
          <w:rFonts w:ascii="Arial" w:cs="Arial" w:eastAsia="Arial" w:hAnsi="Arial"/>
          <w:sz w:val="18"/>
          <w:szCs w:val="18"/>
          <w:color w:val="auto"/>
        </w:rPr>
      </w:pPr>
    </w:p>
    <w:p>
      <w:pPr>
        <w:ind w:left="1860" w:hanging="543"/>
        <w:spacing w:after="0"/>
        <w:tabs>
          <w:tab w:leader="none" w:pos="18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person associated with us under section 708(12) of the Corporations Act; or</w:t>
      </w:r>
    </w:p>
    <w:p>
      <w:pPr>
        <w:spacing w:after="0" w:line="117" w:lineRule="exact"/>
        <w:rPr>
          <w:rFonts w:ascii="Arial" w:cs="Arial" w:eastAsia="Arial" w:hAnsi="Arial"/>
          <w:sz w:val="18"/>
          <w:szCs w:val="18"/>
          <w:color w:val="auto"/>
        </w:rPr>
      </w:pPr>
    </w:p>
    <w:p>
      <w:pPr>
        <w:ind w:left="1860" w:right="120" w:hanging="543"/>
        <w:spacing w:after="0" w:line="247" w:lineRule="auto"/>
        <w:tabs>
          <w:tab w:leader="none" w:pos="18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“professional investor” within the meaning of section 708(11)(a) or (b) of the Corporations Act, and to the extent that you are unable to confirm or warrant that you are an exempt sophisticated investor, associated person or professional investor under the Corporations Act, any offer made to you under this document is void and incapable of acceptance; and</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080"/>
          </w:cols>
          <w:pgMar w:left="320" w:top="455" w:right="4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300" w:hanging="644"/>
        <w:spacing w:after="0" w:line="253"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you warrant and agree that you will not offer any of our shares for resale in Australia within 12 months of that security being issued unless any such resale offer is exempt from the requirement to issue a disclosure document under section 708 of the Corporations Act.</w:t>
      </w:r>
    </w:p>
    <w:p>
      <w:pPr>
        <w:spacing w:after="0" w:line="27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Notice to Prospective Investors in Israel</w:t>
      </w:r>
    </w:p>
    <w:p>
      <w:pPr>
        <w:spacing w:after="0" w:line="212"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In the State of Israel this prospectus supplement shall not be regarded as an offer to the public to purchase shares of our common stock under the Israeli Securities Law, 5728 – 1968, or the Israeli Securities Law, which requires a prospectus to be published and authorized by the Israel Securities Authority if it complies with certain provisions of Section 15 of the Israeli Securities Law,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subject to certain conditions (the “Qualified Investors”). The Qualified Investors shall not be taken into account in the count of the Addressed Investors and may be offered to purchase securities in addition to the 35 Addressed Investors. We have not and will not take any action that would require it to publish a prospectus in accordance with and subject to the Israeli Securities Law. We have not and will not distribute this prospectus supplement or make, distribute or direct an offer to subscribe for our common stock to any person within the State of Israel, other than to Qualified Investors and up to 35 Addressed Investors.</w:t>
      </w:r>
    </w:p>
    <w:p>
      <w:pPr>
        <w:spacing w:after="0" w:line="180"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Qualified Investors may have to submit written evidence that they meet the definitions set out in of the First Addendum to the Israeli Securities Law. In particular, we may request, as a condition to be offered shares of our common stock, that Qualified Investors will each represent, warrant and certify to us and/or to anyone acting on our behalf: (i) that it is an investor falling within one of the categories listed in the First Addendum to the Israeli Securities Law; (ii) which of the categories listed in the First Addendum to the Israeli Securities Law regarding Qualified Investors is applicable to it; (iii) that it will abide by all provisions set forth in the Israeli Securities Law and the regulations promulgated thereunder in connection with the offer to be issued shares of our common stock; (iv) that the shares of our common stock and that it will be issued are subject to exemptions available under the Israeli Securities Law (a) for its own account, (b) for investment purposes only and (c) not issued with a view to resale within the State of Israel, other than in accordance with the provisions of the Israeli Securities Law;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100"/>
          </w:cols>
          <w:pgMar w:left="320" w:top="455"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12" w:lineRule="exact"/>
        <w:rPr>
          <w:sz w:val="20"/>
          <w:szCs w:val="20"/>
          <w:color w:val="auto"/>
        </w:rPr>
      </w:pPr>
    </w:p>
    <w:p>
      <w:pPr>
        <w:ind w:left="120" w:right="220" w:firstLine="551"/>
        <w:spacing w:after="0" w:line="253" w:lineRule="auto"/>
        <w:rPr>
          <w:sz w:val="20"/>
          <w:szCs w:val="20"/>
          <w:color w:val="auto"/>
        </w:rPr>
      </w:pPr>
      <w:r>
        <w:rPr>
          <w:rFonts w:ascii="Arial" w:cs="Arial" w:eastAsia="Arial" w:hAnsi="Arial"/>
          <w:sz w:val="18"/>
          <w:szCs w:val="18"/>
          <w:color w:val="auto"/>
        </w:rPr>
        <w:t>The validity of the shares of common stock offered hereby will be passed upon by Goodwin Procter LLP, Boston, Massachusetts. Mintz, Levin, Cohn, Ferris, Glovsky, and Popeo, P.C., New York, New York, is acting as counsel for the underwriters in connection with certain legal matters relating to this offering.</w:t>
      </w:r>
    </w:p>
    <w:p>
      <w:pPr>
        <w:spacing w:after="0" w:line="38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12" w:lineRule="exact"/>
        <w:rPr>
          <w:sz w:val="20"/>
          <w:szCs w:val="20"/>
          <w:color w:val="auto"/>
        </w:rPr>
      </w:pPr>
    </w:p>
    <w:p>
      <w:pPr>
        <w:ind w:left="120" w:firstLine="551"/>
        <w:spacing w:after="0" w:line="266" w:lineRule="auto"/>
        <w:rPr>
          <w:sz w:val="20"/>
          <w:szCs w:val="20"/>
          <w:color w:val="auto"/>
        </w:rPr>
      </w:pPr>
      <w:r>
        <w:rPr>
          <w:rFonts w:ascii="Arial" w:cs="Arial" w:eastAsia="Arial" w:hAnsi="Arial"/>
          <w:sz w:val="17"/>
          <w:szCs w:val="17"/>
          <w:color w:val="auto"/>
        </w:rPr>
        <w:t>The consolidated financial statements of Fulcrum Therapeutics, Inc. appearing in Fulcrum Therapeutics, Inc.’s Annual Report on Form 10-K for the year ended December 31, 2021,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37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12" w:lineRule="exact"/>
        <w:rPr>
          <w:sz w:val="20"/>
          <w:szCs w:val="20"/>
          <w:color w:val="auto"/>
        </w:rPr>
      </w:pPr>
    </w:p>
    <w:p>
      <w:pPr>
        <w:ind w:left="120" w:right="40" w:firstLine="551"/>
        <w:spacing w:after="0" w:line="244"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over the Internet at the SEC’s website at http:// www.sec.gov. Copies of certain information filed by us with the SEC are also available on our website at http://www.fulcrumtx.com. Our website is not a part of this prospectus supplement and information contained on, or that can be accessed through our website, is not incorporated by reference in this prospectus supplement and the accompanying base prospectus.</w:t>
      </w:r>
    </w:p>
    <w:p>
      <w:pPr>
        <w:spacing w:after="0" w:line="176"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This prospectus supplement is part of a registration statement we filed with the SEC. This prospectus supplement omits some information contained in the registration statement in accordance with SEC rules and regulations. You should review the information and exhibits in the registration statement for further information about us and our consolidated subsidiary and the securities we are offering. Statements in this prospectus supplement and the accompanying base prospectus concerning any document we filed as an exhibit to the registration statement or that we otherwise filed with the SEC are not intended to be comprehensive and are qualified by reference to these filings and the exhibits attached thereto. You should review the complete document to evaluate these statements. You can obtain a copy of the registration statement from the SEC’s website.</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12" w:lineRule="exact"/>
        <w:rPr>
          <w:sz w:val="20"/>
          <w:szCs w:val="20"/>
          <w:color w:val="auto"/>
        </w:rPr>
      </w:pPr>
    </w:p>
    <w:p>
      <w:pPr>
        <w:ind w:left="120" w:right="120" w:firstLine="551"/>
        <w:spacing w:after="0" w:line="239" w:lineRule="auto"/>
        <w:rPr>
          <w:sz w:val="20"/>
          <w:szCs w:val="20"/>
          <w:color w:val="auto"/>
        </w:rPr>
      </w:pPr>
      <w:r>
        <w:rPr>
          <w:rFonts w:ascii="Arial" w:cs="Arial" w:eastAsia="Arial" w:hAnsi="Arial"/>
          <w:sz w:val="18"/>
          <w:szCs w:val="18"/>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supplement and the accompanying base prospectus is considered to be part of this prospectus supplement. Because we are incorporating by reference future filings with the SEC, this prospectus supplement is continually updated and those future filings may modify or supersede some of the information included or incorporated in this prospectus supplement and the accompanying base prospectus.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 (File No. 001-38978) and any future filings we make with the SEC under Sections 13(a), 13(c), 14 or 15(d) of the Exchange Act (in each case, other than those documents or the portions of those documents not deemed to be filed) until the offering of the securities offered hereby is terminated or completed:</w:t>
      </w:r>
    </w:p>
    <w:p>
      <w:pPr>
        <w:spacing w:after="0" w:line="85" w:lineRule="exact"/>
        <w:rPr>
          <w:sz w:val="20"/>
          <w:szCs w:val="20"/>
          <w:color w:val="auto"/>
        </w:rPr>
      </w:pPr>
    </w:p>
    <w:p>
      <w:pPr>
        <w:jc w:val="both"/>
        <w:ind w:left="880" w:hanging="224"/>
        <w:spacing w:after="0" w:line="253"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Annual Report on </w:t>
      </w:r>
      <w:hyperlink r:id="rId57">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year ended December 31, 2021 filed on March 3, 2022, including the information specifically incorporated by reference into our Annual Report on Form 10-K from our </w:t>
      </w:r>
      <w:hyperlink r:id="rId58">
        <w:r>
          <w:rPr>
            <w:rFonts w:ascii="Arial" w:cs="Arial" w:eastAsia="Arial" w:hAnsi="Arial"/>
            <w:sz w:val="18"/>
            <w:szCs w:val="18"/>
            <w:u w:val="single" w:color="auto"/>
            <w:color w:val="0000EE"/>
          </w:rPr>
          <w:t>definitive proxy statement on 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(other than information furnished rather than filed) filed on April 28, 2022;</w:t>
      </w:r>
    </w:p>
    <w:p>
      <w:pPr>
        <w:spacing w:after="0" w:line="74" w:lineRule="exact"/>
        <w:rPr>
          <w:rFonts w:ascii="Arial" w:cs="Arial" w:eastAsia="Arial" w:hAnsi="Arial"/>
          <w:sz w:val="18"/>
          <w:szCs w:val="18"/>
          <w:color w:val="auto"/>
        </w:rPr>
      </w:pPr>
    </w:p>
    <w:p>
      <w:pPr>
        <w:ind w:left="880" w:right="140" w:hanging="224"/>
        <w:spacing w:after="0" w:line="271" w:lineRule="auto"/>
        <w:tabs>
          <w:tab w:leader="none" w:pos="880" w:val="left"/>
        </w:tabs>
        <w:numPr>
          <w:ilvl w:val="0"/>
          <w:numId w:val="21"/>
        </w:numPr>
        <w:rPr>
          <w:rFonts w:ascii="Arial" w:cs="Arial" w:eastAsia="Arial" w:hAnsi="Arial"/>
          <w:sz w:val="18"/>
          <w:szCs w:val="18"/>
          <w:color w:val="0000EE"/>
        </w:rPr>
      </w:pPr>
      <w:hyperlink r:id="rId59">
        <w:r>
          <w:rPr>
            <w:rFonts w:ascii="Arial" w:cs="Arial" w:eastAsia="Arial" w:hAnsi="Arial"/>
            <w:sz w:val="18"/>
            <w:szCs w:val="18"/>
            <w:color w:val="auto"/>
          </w:rPr>
          <w:t xml:space="preserve">Quarterly Reports on Form 10-Q for the quarters ended March 31, 2022, June 30, 2022, and September 30, 2022, filed on </w:t>
        </w:r>
        <w:r>
          <w:rPr>
            <w:rFonts w:ascii="Arial" w:cs="Arial" w:eastAsia="Arial" w:hAnsi="Arial"/>
            <w:sz w:val="18"/>
            <w:szCs w:val="18"/>
            <w:u w:val="single" w:color="auto"/>
            <w:color w:val="0000EE"/>
          </w:rPr>
          <w:t>May</w:t>
        </w:r>
      </w:hyperlink>
      <w:r>
        <w:rPr>
          <w:rFonts w:ascii="Arial" w:cs="Arial" w:eastAsia="Arial" w:hAnsi="Arial"/>
          <w:sz w:val="18"/>
          <w:szCs w:val="18"/>
          <w:color w:val="auto"/>
        </w:rPr>
        <w:t xml:space="preserve"> </w:t>
      </w:r>
      <w:hyperlink r:id="rId59">
        <w:r>
          <w:rPr>
            <w:rFonts w:ascii="Arial" w:cs="Arial" w:eastAsia="Arial" w:hAnsi="Arial"/>
            <w:sz w:val="18"/>
            <w:szCs w:val="18"/>
            <w:u w:val="single" w:color="auto"/>
            <w:color w:val="0000EE"/>
          </w:rPr>
          <w:t>9, 2022</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60">
        <w:r>
          <w:rPr>
            <w:rFonts w:ascii="Arial" w:cs="Arial" w:eastAsia="Arial" w:hAnsi="Arial"/>
            <w:sz w:val="18"/>
            <w:szCs w:val="18"/>
            <w:u w:val="single" w:color="auto"/>
            <w:color w:val="0000EE"/>
          </w:rPr>
          <w:t xml:space="preserve">August 11, 2022 </w:t>
        </w:r>
      </w:hyperlink>
      <w:hyperlink r:id="rId59">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61">
        <w:r>
          <w:rPr>
            <w:rFonts w:ascii="Arial" w:cs="Arial" w:eastAsia="Arial" w:hAnsi="Arial"/>
            <w:sz w:val="18"/>
            <w:szCs w:val="18"/>
            <w:u w:val="single" w:color="auto"/>
            <w:color w:val="0000EE"/>
          </w:rPr>
          <w:t>November 8, 2022</w:t>
        </w:r>
      </w:hyperlink>
      <w:hyperlink r:id="rId59">
        <w:r>
          <w:rPr>
            <w:rFonts w:ascii="Arial" w:cs="Arial" w:eastAsia="Arial" w:hAnsi="Arial"/>
            <w:sz w:val="18"/>
            <w:szCs w:val="18"/>
            <w:color w:val="000000"/>
          </w:rPr>
          <w:t>, respectively;</w:t>
        </w:r>
      </w:hyperlink>
    </w:p>
    <w:p>
      <w:pPr>
        <w:spacing w:after="0" w:line="59" w:lineRule="exact"/>
        <w:rPr>
          <w:rFonts w:ascii="Arial" w:cs="Arial" w:eastAsia="Arial" w:hAnsi="Arial"/>
          <w:sz w:val="18"/>
          <w:szCs w:val="18"/>
          <w:color w:val="0000EE"/>
        </w:rPr>
      </w:pPr>
    </w:p>
    <w:p>
      <w:pPr>
        <w:ind w:left="880" w:right="80" w:hanging="224"/>
        <w:spacing w:after="0" w:line="247" w:lineRule="auto"/>
        <w:tabs>
          <w:tab w:leader="none" w:pos="880" w:val="left"/>
        </w:tabs>
        <w:numPr>
          <w:ilvl w:val="0"/>
          <w:numId w:val="21"/>
        </w:numPr>
        <w:rPr>
          <w:rFonts w:ascii="Arial" w:cs="Arial" w:eastAsia="Arial" w:hAnsi="Arial"/>
          <w:sz w:val="18"/>
          <w:szCs w:val="18"/>
          <w:color w:val="0000EE"/>
        </w:rPr>
      </w:pPr>
      <w:r>
        <w:rPr>
          <w:rFonts w:ascii="Arial" w:cs="Arial" w:eastAsia="Arial" w:hAnsi="Arial"/>
          <w:sz w:val="18"/>
          <w:szCs w:val="18"/>
          <w:color w:val="auto"/>
        </w:rPr>
        <w:t xml:space="preserve">Current Reports on Form 8-K filed on </w:t>
      </w:r>
      <w:hyperlink r:id="rId62">
        <w:r>
          <w:rPr>
            <w:rFonts w:ascii="Arial" w:cs="Arial" w:eastAsia="Arial" w:hAnsi="Arial"/>
            <w:sz w:val="18"/>
            <w:szCs w:val="18"/>
            <w:u w:val="single" w:color="auto"/>
            <w:color w:val="0000EE"/>
          </w:rPr>
          <w:t>January 4, 2022</w:t>
        </w:r>
      </w:hyperlink>
      <w:r>
        <w:rPr>
          <w:rFonts w:ascii="Arial" w:cs="Arial" w:eastAsia="Arial" w:hAnsi="Arial"/>
          <w:sz w:val="18"/>
          <w:szCs w:val="18"/>
          <w:color w:val="auto"/>
        </w:rPr>
        <w:t xml:space="preserve">, </w:t>
      </w:r>
      <w:hyperlink r:id="rId63">
        <w:r>
          <w:rPr>
            <w:rFonts w:ascii="Arial" w:cs="Arial" w:eastAsia="Arial" w:hAnsi="Arial"/>
            <w:sz w:val="18"/>
            <w:szCs w:val="18"/>
            <w:u w:val="single" w:color="auto"/>
            <w:color w:val="0000EE"/>
          </w:rPr>
          <w:t>January 10,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(other than Item 2.02 and Item 9.01), </w:t>
      </w:r>
      <w:hyperlink r:id="rId64">
        <w:r>
          <w:rPr>
            <w:rFonts w:ascii="Arial" w:cs="Arial" w:eastAsia="Arial" w:hAnsi="Arial"/>
            <w:sz w:val="18"/>
            <w:szCs w:val="18"/>
            <w:u w:val="single" w:color="auto"/>
            <w:color w:val="0000EE"/>
          </w:rPr>
          <w:t>March 10, 2022</w:t>
        </w:r>
      </w:hyperlink>
      <w:r>
        <w:rPr>
          <w:rFonts w:ascii="Arial" w:cs="Arial" w:eastAsia="Arial" w:hAnsi="Arial"/>
          <w:sz w:val="18"/>
          <w:szCs w:val="18"/>
          <w:color w:val="auto"/>
        </w:rPr>
        <w:t xml:space="preserve">, </w:t>
      </w:r>
      <w:hyperlink r:id="rId65">
        <w:r>
          <w:rPr>
            <w:rFonts w:ascii="Arial" w:cs="Arial" w:eastAsia="Arial" w:hAnsi="Arial"/>
            <w:sz w:val="18"/>
            <w:szCs w:val="18"/>
            <w:u w:val="single" w:color="auto"/>
            <w:color w:val="0000EE"/>
          </w:rPr>
          <w:t>May 10, 2022</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66">
        <w:r>
          <w:rPr>
            <w:rFonts w:ascii="Arial" w:cs="Arial" w:eastAsia="Arial" w:hAnsi="Arial"/>
            <w:sz w:val="18"/>
            <w:szCs w:val="18"/>
            <w:u w:val="single" w:color="auto"/>
            <w:color w:val="0000EE"/>
          </w:rPr>
          <w:t>June 6, 2022</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67">
        <w:r>
          <w:rPr>
            <w:rFonts w:ascii="Arial" w:cs="Arial" w:eastAsia="Arial" w:hAnsi="Arial"/>
            <w:sz w:val="18"/>
            <w:szCs w:val="18"/>
            <w:u w:val="single" w:color="auto"/>
            <w:color w:val="0000EE"/>
          </w:rPr>
          <w:t>June 9, 2022</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68">
        <w:r>
          <w:rPr>
            <w:rFonts w:ascii="Arial" w:cs="Arial" w:eastAsia="Arial" w:hAnsi="Arial"/>
            <w:sz w:val="18"/>
            <w:szCs w:val="18"/>
            <w:u w:val="single" w:color="auto"/>
            <w:color w:val="0000EE"/>
          </w:rPr>
          <w:t>June 10, 2022</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69">
        <w:r>
          <w:rPr>
            <w:rFonts w:ascii="Arial" w:cs="Arial" w:eastAsia="Arial" w:hAnsi="Arial"/>
            <w:sz w:val="18"/>
            <w:szCs w:val="18"/>
            <w:u w:val="single" w:color="auto"/>
            <w:color w:val="0000EE"/>
          </w:rPr>
          <w:t>July 11, 2022</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70">
        <w:r>
          <w:rPr>
            <w:rFonts w:ascii="Arial" w:cs="Arial" w:eastAsia="Arial" w:hAnsi="Arial"/>
            <w:sz w:val="18"/>
            <w:szCs w:val="18"/>
            <w:u w:val="single" w:color="auto"/>
            <w:color w:val="0000EE"/>
          </w:rPr>
          <w:t xml:space="preserve">August 11, 2022 </w:t>
        </w:r>
      </w:hyperlink>
      <w:r>
        <w:rPr>
          <w:rFonts w:ascii="Arial" w:cs="Arial" w:eastAsia="Arial" w:hAnsi="Arial"/>
          <w:sz w:val="18"/>
          <w:szCs w:val="18"/>
          <w:color w:val="000000"/>
        </w:rPr>
        <w:t>(other</w:t>
      </w:r>
      <w:r>
        <w:rPr>
          <w:rFonts w:ascii="Arial" w:cs="Arial" w:eastAsia="Arial" w:hAnsi="Arial"/>
          <w:sz w:val="18"/>
          <w:szCs w:val="18"/>
          <w:color w:val="0000EE"/>
        </w:rPr>
        <w:t xml:space="preserve"> </w:t>
      </w:r>
      <w:r>
        <w:rPr>
          <w:rFonts w:ascii="Arial" w:cs="Arial" w:eastAsia="Arial" w:hAnsi="Arial"/>
          <w:sz w:val="18"/>
          <w:szCs w:val="18"/>
          <w:color w:val="000000"/>
        </w:rPr>
        <w:t>than Item 2.02 and 9.01),</w:t>
      </w:r>
      <w:r>
        <w:rPr>
          <w:rFonts w:ascii="Arial" w:cs="Arial" w:eastAsia="Arial" w:hAnsi="Arial"/>
          <w:sz w:val="18"/>
          <w:szCs w:val="18"/>
          <w:color w:val="0000EE"/>
        </w:rPr>
        <w:t xml:space="preserve"> </w:t>
      </w:r>
      <w:hyperlink r:id="rId71">
        <w:r>
          <w:rPr>
            <w:rFonts w:ascii="Arial" w:cs="Arial" w:eastAsia="Arial" w:hAnsi="Arial"/>
            <w:sz w:val="18"/>
            <w:szCs w:val="18"/>
            <w:u w:val="single" w:color="auto"/>
            <w:color w:val="0000EE"/>
          </w:rPr>
          <w:t>August 11, 2022</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August 17, 2022</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August 23, 2022</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October 19, 2022</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January 4, 2023</w:t>
        </w:r>
        <w:r>
          <w:rPr>
            <w:rFonts w:ascii="Arial" w:cs="Arial" w:eastAsia="Arial" w:hAnsi="Arial"/>
            <w:sz w:val="18"/>
            <w:szCs w:val="18"/>
            <w:color w:val="0000EE"/>
          </w:rPr>
          <w:t xml:space="preserve"> </w:t>
        </w:r>
        <w:r>
          <w:rPr>
            <w:rFonts w:ascii="Arial" w:cs="Arial" w:eastAsia="Arial" w:hAnsi="Arial"/>
            <w:sz w:val="18"/>
            <w:szCs w:val="18"/>
            <w:color w:val="000000"/>
          </w:rPr>
          <w:t>(other than Item 2.02) and</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January</w:t>
        </w:r>
      </w:hyperlink>
      <w:r>
        <w:rPr>
          <w:rFonts w:ascii="Arial" w:cs="Arial" w:eastAsia="Arial" w:hAnsi="Arial"/>
          <w:sz w:val="18"/>
          <w:szCs w:val="18"/>
          <w:color w:val="0000EE"/>
        </w:rPr>
        <w:t xml:space="preserve"> </w:t>
      </w:r>
      <w:hyperlink r:id="rId71">
        <w:r>
          <w:rPr>
            <w:rFonts w:ascii="Arial" w:cs="Arial" w:eastAsia="Arial" w:hAnsi="Arial"/>
            <w:sz w:val="18"/>
            <w:szCs w:val="18"/>
            <w:u w:val="single" w:color="auto"/>
            <w:color w:val="0000EE"/>
          </w:rPr>
          <w:t>17, 2023</w:t>
        </w:r>
        <w:r>
          <w:rPr>
            <w:rFonts w:ascii="Arial" w:cs="Arial" w:eastAsia="Arial" w:hAnsi="Arial"/>
            <w:sz w:val="18"/>
            <w:szCs w:val="18"/>
            <w:color w:val="0000EE"/>
          </w:rPr>
          <w:t xml:space="preserve"> </w:t>
        </w:r>
        <w:r>
          <w:rPr>
            <w:rFonts w:ascii="Arial" w:cs="Arial" w:eastAsia="Arial" w:hAnsi="Arial"/>
            <w:sz w:val="18"/>
            <w:szCs w:val="18"/>
            <w:color w:val="000000"/>
          </w:rPr>
          <w:t>(other than Item 2.02); and</w:t>
        </w:r>
      </w:hyperlink>
    </w:p>
    <w:p>
      <w:pPr>
        <w:spacing w:after="0" w:line="79" w:lineRule="exact"/>
        <w:rPr>
          <w:rFonts w:ascii="Arial" w:cs="Arial" w:eastAsia="Arial" w:hAnsi="Arial"/>
          <w:sz w:val="18"/>
          <w:szCs w:val="18"/>
          <w:color w:val="0000EE"/>
        </w:rPr>
      </w:pPr>
    </w:p>
    <w:p>
      <w:pPr>
        <w:ind w:left="880" w:hanging="224"/>
        <w:spacing w:after="0" w:line="253"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72">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filed on July 12, 2019, as updated and superseded by the description of our capital stock contained in </w:t>
      </w:r>
      <w:hyperlink r:id="rId73">
        <w:r>
          <w:rPr>
            <w:rFonts w:ascii="Arial" w:cs="Arial" w:eastAsia="Arial" w:hAnsi="Arial"/>
            <w:sz w:val="18"/>
            <w:szCs w:val="18"/>
            <w:u w:val="single" w:color="auto"/>
            <w:color w:val="0000EE"/>
          </w:rPr>
          <w:t>Exhibit 4.2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Annual Report on Form 10-K for the fiscal year ended December 31, 2020, and including any amendments and reports filed for the purpose of updating such description.</w:t>
      </w:r>
    </w:p>
    <w:p>
      <w:pPr>
        <w:spacing w:after="0" w:line="169" w:lineRule="exact"/>
        <w:rPr>
          <w:rFonts w:ascii="Arial" w:cs="Arial" w:eastAsia="Arial" w:hAnsi="Arial"/>
          <w:sz w:val="18"/>
          <w:szCs w:val="18"/>
          <w:color w:val="auto"/>
        </w:rPr>
      </w:pPr>
    </w:p>
    <w:p>
      <w:pPr>
        <w:jc w:val="center"/>
        <w:ind w:right="220"/>
        <w:spacing w:after="0"/>
        <w:rPr>
          <w:sz w:val="20"/>
          <w:szCs w:val="20"/>
          <w:color w:val="auto"/>
        </w:rPr>
      </w:pPr>
      <w:r>
        <w:rPr>
          <w:rFonts w:ascii="Arial" w:cs="Arial" w:eastAsia="Arial" w:hAnsi="Arial"/>
          <w:sz w:val="18"/>
          <w:szCs w:val="18"/>
          <w:color w:val="auto"/>
        </w:rPr>
        <w:t>You may request a copy of these filings, at no cost, by writing or calling us at the following address or telephone number:</w:t>
      </w:r>
    </w:p>
    <w:p>
      <w:pPr>
        <w:spacing w:after="0" w:line="212"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Fulcrum Therapeutics, Inc.</w:t>
      </w:r>
    </w:p>
    <w:p>
      <w:pPr>
        <w:spacing w:after="0" w:line="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26 Landsdowne Street</w:t>
      </w:r>
    </w:p>
    <w:p>
      <w:pPr>
        <w:jc w:val="center"/>
        <w:ind w:right="-119"/>
        <w:spacing w:after="0" w:line="234" w:lineRule="auto"/>
        <w:rPr>
          <w:sz w:val="20"/>
          <w:szCs w:val="20"/>
          <w:color w:val="auto"/>
        </w:rPr>
      </w:pPr>
      <w:r>
        <w:rPr>
          <w:rFonts w:ascii="Arial" w:cs="Arial" w:eastAsia="Arial" w:hAnsi="Arial"/>
          <w:sz w:val="18"/>
          <w:szCs w:val="18"/>
          <w:color w:val="auto"/>
        </w:rPr>
        <w:t>Cambridge, Massachusetts 02139</w:t>
      </w:r>
    </w:p>
    <w:p>
      <w:pPr>
        <w:jc w:val="center"/>
        <w:ind w:right="-119"/>
        <w:spacing w:after="0" w:line="235" w:lineRule="auto"/>
        <w:rPr>
          <w:sz w:val="20"/>
          <w:szCs w:val="20"/>
          <w:color w:val="auto"/>
        </w:rPr>
      </w:pPr>
      <w:r>
        <w:rPr>
          <w:rFonts w:ascii="Arial" w:cs="Arial" w:eastAsia="Arial" w:hAnsi="Arial"/>
          <w:sz w:val="18"/>
          <w:szCs w:val="18"/>
          <w:color w:val="auto"/>
        </w:rPr>
        <w:t>Attn: Investor Relations</w:t>
      </w:r>
    </w:p>
    <w:p>
      <w:pPr>
        <w:spacing w:after="0" w:line="1" w:lineRule="exact"/>
        <w:rPr>
          <w:rFonts w:ascii="Arial" w:cs="Arial" w:eastAsia="Arial" w:hAnsi="Arial"/>
          <w:sz w:val="18"/>
          <w:szCs w:val="18"/>
          <w:color w:val="auto"/>
        </w:rPr>
      </w:pPr>
    </w:p>
    <w:p>
      <w:pPr>
        <w:ind w:left="5440" w:right="4880" w:hanging="431"/>
        <w:spacing w:after="0" w:line="462" w:lineRule="auto"/>
        <w:tabs>
          <w:tab w:leader="none" w:pos="5485" w:val="left"/>
        </w:tabs>
        <w:numPr>
          <w:ilvl w:val="0"/>
          <w:numId w:val="22"/>
        </w:numPr>
        <w:rPr>
          <w:rFonts w:ascii="Arial" w:cs="Arial" w:eastAsia="Arial" w:hAnsi="Arial"/>
          <w:sz w:val="17"/>
          <w:szCs w:val="17"/>
          <w:color w:val="auto"/>
        </w:rPr>
      </w:pPr>
      <w:r>
        <w:rPr>
          <w:rFonts w:ascii="Arial" w:cs="Arial" w:eastAsia="Arial" w:hAnsi="Arial"/>
          <w:sz w:val="17"/>
          <w:szCs w:val="17"/>
          <w:color w:val="auto"/>
        </w:rPr>
        <w:t>651-8851 S-30</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173990</wp:posOffset>
            </wp:positionV>
            <wp:extent cx="2897505" cy="7200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5">
                      <a:extLst>
                        <a:ext uri="{28A0092B-C50C-407E-A947-70E740481C1C}"/>
                      </a:extLst>
                    </a:blip>
                    <a:srcRect/>
                    <a:stretch>
                      <a:fillRect/>
                    </a:stretch>
                  </pic:blipFill>
                  <pic:spPr bwMode="auto">
                    <a:xfrm>
                      <a:off x="0" y="0"/>
                      <a:ext cx="289750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$250,000,000</w:t>
      </w:r>
    </w:p>
    <w:p>
      <w:pPr>
        <w:spacing w:after="0" w:line="2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Depositary Shares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We may offer and sell securities from time to time in one or more offerings, up to an aggregate value of $250,000,000.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or incorporated by reference in this document. You should read this prospectus, the applicable prospectus supplement and any related free writing prospectus, as well as the documents incorporated by reference herein and therein, carefully before you invest.</w:t>
      </w:r>
    </w:p>
    <w:p>
      <w:pPr>
        <w:spacing w:after="0" w:line="187"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We may offer these securities in amounts, at prices and on terms determined at the time of offering. The securities may be sold directly to you, through agents, or through underwriters and dealers. If agents, underwriters or dealers are used to sell the securities, we will name them and describe their compensation in a prospectus supplement.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“FULC”.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20" w:right="38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these securities involves significant risks.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included in any accompanying prospectus supplement and in the documents incorporated by reference in this prospectus for a discussion of the factors you should carefully consider before deciding to purchase these securities.</w:t>
      </w:r>
    </w:p>
    <w:p>
      <w:pPr>
        <w:spacing w:after="0" w:line="176" w:lineRule="exact"/>
        <w:rPr>
          <w:sz w:val="20"/>
          <w:szCs w:val="20"/>
          <w:color w:val="auto"/>
        </w:rPr>
      </w:pPr>
    </w:p>
    <w:p>
      <w:pPr>
        <w:jc w:val="both"/>
        <w:ind w:left="120" w:right="300"/>
        <w:spacing w:after="0" w:line="268" w:lineRule="auto"/>
        <w:rPr>
          <w:sz w:val="20"/>
          <w:szCs w:val="20"/>
          <w:color w:val="auto"/>
        </w:rPr>
      </w:pPr>
      <w:r>
        <w:rPr>
          <w:rFonts w:ascii="Times New Roman" w:cs="Times New Roman" w:eastAsia="Times New Roman" w:hAnsi="Times New Roman"/>
          <w:sz w:val="18"/>
          <w:szCs w:val="18"/>
          <w:b w:val="1"/>
          <w:bCs w:val="1"/>
          <w:color w:val="auto"/>
        </w:rPr>
        <w:t>We may amend or supplement this prospectus from time to time by filing amendments or supplements as required. We urge you to read the entire prospectus, any amendments or supplements, any free writing prospectuses, and any documents incorporated by reference carefully before you make your investment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208280</wp:posOffset>
            </wp:positionV>
            <wp:extent cx="1474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date of this prospectus is April 28, 2022</w:t>
      </w:r>
    </w:p>
    <w:p>
      <w:pPr>
        <w:sectPr>
          <w:pgSz w:w="11900" w:h="16838" w:orient="portrait"/>
          <w:cols w:equalWidth="0" w:num="1">
            <w:col w:w="11100"/>
          </w:cols>
          <w:pgMar w:left="320" w:top="455"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3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94"/>
        </w:trPr>
        <w:tc>
          <w:tcPr>
            <w:tcW w:w="766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33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222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5440" w:type="dxa"/>
            <w:vAlign w:val="bottom"/>
            <w:gridSpan w:val="8"/>
          </w:tcPr>
          <w:p>
            <w:pPr>
              <w:spacing w:after="0"/>
              <w:rPr>
                <w:sz w:val="18"/>
                <w:szCs w:val="18"/>
                <w:color w:val="auto"/>
              </w:rPr>
            </w:pPr>
          </w:p>
        </w:tc>
        <w:tc>
          <w:tcPr>
            <w:tcW w:w="33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3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line="20" w:lineRule="exact"/>
              <w:rPr>
                <w:sz w:val="1"/>
                <w:szCs w:val="1"/>
                <w:color w:val="auto"/>
              </w:rPr>
            </w:pPr>
          </w:p>
        </w:tc>
      </w:tr>
      <w:tr>
        <w:trPr>
          <w:trHeight w:val="209"/>
        </w:trPr>
        <w:tc>
          <w:tcPr>
            <w:tcW w:w="76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3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3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line="20" w:lineRule="exact"/>
              <w:rPr>
                <w:sz w:val="1"/>
                <w:szCs w:val="1"/>
                <w:color w:val="auto"/>
              </w:rPr>
            </w:pPr>
          </w:p>
        </w:tc>
      </w:tr>
      <w:tr>
        <w:trPr>
          <w:trHeight w:val="209"/>
        </w:trPr>
        <w:tc>
          <w:tcPr>
            <w:tcW w:w="50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8"/>
              </w:rPr>
              <w:t>INCORPORATION OF CERTAIN DOCUMENTS BY REFERENCE</w:t>
            </w:r>
          </w:p>
        </w:tc>
        <w:tc>
          <w:tcPr>
            <w:tcW w:w="2600" w:type="dxa"/>
            <w:vAlign w:val="bottom"/>
          </w:tcPr>
          <w:p>
            <w:pPr>
              <w:spacing w:after="0"/>
              <w:rPr>
                <w:sz w:val="18"/>
                <w:szCs w:val="18"/>
                <w:color w:val="auto"/>
              </w:rPr>
            </w:pPr>
          </w:p>
        </w:tc>
        <w:tc>
          <w:tcPr>
            <w:tcW w:w="3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8"/>
              </w:rPr>
              <w:t>CAUTIONARY NOTE REGARDING FORWARD-LOOKING STATEMENTS AND INDUSTRY DATA</w:t>
            </w:r>
          </w:p>
        </w:tc>
        <w:tc>
          <w:tcPr>
            <w:tcW w:w="33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209"/>
        </w:trPr>
        <w:tc>
          <w:tcPr>
            <w:tcW w:w="76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ABOUT FULCRUM THERAPEUTICS, INC.</w:t>
            </w:r>
          </w:p>
        </w:tc>
        <w:tc>
          <w:tcPr>
            <w:tcW w:w="33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10"/>
        </w:trPr>
        <w:tc>
          <w:tcPr>
            <w:tcW w:w="158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USE OF PROCEEDS</w:t>
            </w:r>
          </w:p>
        </w:tc>
        <w:tc>
          <w:tcPr>
            <w:tcW w:w="1760" w:type="dxa"/>
            <w:vAlign w:val="bottom"/>
            <w:tcBorders>
              <w:top w:val="single" w:sz="8" w:color="0000EE"/>
            </w:tcBorders>
            <w:gridSpan w:val="9"/>
          </w:tcPr>
          <w:p>
            <w:pPr>
              <w:spacing w:after="0"/>
              <w:rPr>
                <w:sz w:val="18"/>
                <w:szCs w:val="18"/>
                <w:color w:val="auto"/>
              </w:rPr>
            </w:pPr>
          </w:p>
        </w:tc>
        <w:tc>
          <w:tcPr>
            <w:tcW w:w="4320" w:type="dxa"/>
            <w:vAlign w:val="bottom"/>
            <w:gridSpan w:val="3"/>
          </w:tcPr>
          <w:p>
            <w:pPr>
              <w:spacing w:after="0"/>
              <w:rPr>
                <w:sz w:val="18"/>
                <w:szCs w:val="18"/>
                <w:color w:val="auto"/>
              </w:rPr>
            </w:pPr>
          </w:p>
        </w:tc>
        <w:tc>
          <w:tcPr>
            <w:tcW w:w="33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209"/>
        </w:trPr>
        <w:tc>
          <w:tcPr>
            <w:tcW w:w="30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DESCRIPTION OF DEBT SECURITIES</w:t>
            </w:r>
          </w:p>
        </w:tc>
        <w:tc>
          <w:tcPr>
            <w:tcW w:w="4640" w:type="dxa"/>
            <w:vAlign w:val="bottom"/>
            <w:gridSpan w:val="5"/>
          </w:tcPr>
          <w:p>
            <w:pPr>
              <w:spacing w:after="0"/>
              <w:rPr>
                <w:sz w:val="18"/>
                <w:szCs w:val="18"/>
                <w:color w:val="auto"/>
              </w:rPr>
            </w:pPr>
          </w:p>
        </w:tc>
        <w:tc>
          <w:tcPr>
            <w:tcW w:w="33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rPr>
                <w:sz w:val="1"/>
                <w:szCs w:val="1"/>
                <w:color w:val="auto"/>
              </w:rPr>
            </w:pPr>
          </w:p>
        </w:tc>
      </w:tr>
      <w:tr>
        <w:trPr>
          <w:trHeight w:val="209"/>
        </w:trPr>
        <w:tc>
          <w:tcPr>
            <w:tcW w:w="76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DESCRIPTION OF CAPITAL STOCK</w:t>
            </w:r>
          </w:p>
        </w:tc>
        <w:tc>
          <w:tcPr>
            <w:tcW w:w="33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17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340" w:type="dxa"/>
            <w:vAlign w:val="bottom"/>
            <w:gridSpan w:val="4"/>
          </w:tcPr>
          <w:p>
            <w:pPr>
              <w:spacing w:after="0" w:line="20" w:lineRule="exact"/>
              <w:rPr>
                <w:sz w:val="1"/>
                <w:szCs w:val="1"/>
                <w:color w:val="auto"/>
              </w:rPr>
            </w:pPr>
          </w:p>
        </w:tc>
        <w:tc>
          <w:tcPr>
            <w:tcW w:w="33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line="20" w:lineRule="exact"/>
              <w:rPr>
                <w:sz w:val="1"/>
                <w:szCs w:val="1"/>
                <w:color w:val="auto"/>
              </w:rPr>
            </w:pPr>
          </w:p>
        </w:tc>
      </w:tr>
      <w:tr>
        <w:trPr>
          <w:trHeight w:val="210"/>
        </w:trPr>
        <w:tc>
          <w:tcPr>
            <w:tcW w:w="33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DESCRIPTION OF DEPOSITARY SHARES</w:t>
            </w:r>
          </w:p>
        </w:tc>
        <w:tc>
          <w:tcPr>
            <w:tcW w:w="4340" w:type="dxa"/>
            <w:vAlign w:val="bottom"/>
            <w:gridSpan w:val="4"/>
          </w:tcPr>
          <w:p>
            <w:pPr>
              <w:spacing w:after="0"/>
              <w:rPr>
                <w:sz w:val="18"/>
                <w:szCs w:val="18"/>
                <w:color w:val="auto"/>
              </w:rPr>
            </w:pPr>
          </w:p>
        </w:tc>
        <w:tc>
          <w:tcPr>
            <w:tcW w:w="3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DESCRIPTION OF UNITS</w:t>
            </w:r>
          </w:p>
        </w:tc>
        <w:tc>
          <w:tcPr>
            <w:tcW w:w="5640" w:type="dxa"/>
            <w:vAlign w:val="bottom"/>
            <w:gridSpan w:val="10"/>
          </w:tcPr>
          <w:p>
            <w:pPr>
              <w:spacing w:after="0"/>
              <w:rPr>
                <w:sz w:val="18"/>
                <w:szCs w:val="18"/>
                <w:color w:val="auto"/>
              </w:rPr>
            </w:pPr>
          </w:p>
        </w:tc>
        <w:tc>
          <w:tcPr>
            <w:tcW w:w="33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28</w:t>
            </w:r>
          </w:p>
        </w:tc>
        <w:tc>
          <w:tcPr>
            <w:tcW w:w="0" w:type="dxa"/>
            <w:vAlign w:val="bottom"/>
          </w:tcPr>
          <w:p>
            <w:pPr>
              <w:spacing w:after="0"/>
              <w:rPr>
                <w:sz w:val="1"/>
                <w:szCs w:val="1"/>
                <w:color w:val="auto"/>
              </w:rPr>
            </w:pPr>
          </w:p>
        </w:tc>
      </w:tr>
      <w:tr>
        <w:trPr>
          <w:trHeight w:val="209"/>
        </w:trPr>
        <w:tc>
          <w:tcPr>
            <w:tcW w:w="24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DESCRIPTION OF WARRANTS</w:t>
            </w:r>
          </w:p>
        </w:tc>
        <w:tc>
          <w:tcPr>
            <w:tcW w:w="5180" w:type="dxa"/>
            <w:vAlign w:val="bottom"/>
            <w:gridSpan w:val="7"/>
          </w:tcPr>
          <w:p>
            <w:pPr>
              <w:spacing w:after="0"/>
              <w:rPr>
                <w:sz w:val="18"/>
                <w:szCs w:val="18"/>
                <w:color w:val="auto"/>
              </w:rPr>
            </w:pPr>
          </w:p>
        </w:tc>
        <w:tc>
          <w:tcPr>
            <w:tcW w:w="33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29</w:t>
            </w:r>
          </w:p>
        </w:tc>
        <w:tc>
          <w:tcPr>
            <w:tcW w:w="0" w:type="dxa"/>
            <w:vAlign w:val="bottom"/>
          </w:tcPr>
          <w:p>
            <w:pPr>
              <w:spacing w:after="0"/>
              <w:rPr>
                <w:sz w:val="1"/>
                <w:szCs w:val="1"/>
                <w:color w:val="auto"/>
              </w:rPr>
            </w:pPr>
          </w:p>
        </w:tc>
      </w:tr>
      <w:tr>
        <w:trPr>
          <w:trHeight w:val="210"/>
        </w:trPr>
        <w:tc>
          <w:tcPr>
            <w:tcW w:w="76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FORMS OF SECURITIES</w:t>
            </w:r>
          </w:p>
        </w:tc>
        <w:tc>
          <w:tcPr>
            <w:tcW w:w="33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30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20" w:type="dxa"/>
            <w:vAlign w:val="bottom"/>
            <w:gridSpan w:val="9"/>
          </w:tcPr>
          <w:p>
            <w:pPr>
              <w:spacing w:after="0" w:line="20" w:lineRule="exact"/>
              <w:rPr>
                <w:sz w:val="1"/>
                <w:szCs w:val="1"/>
                <w:color w:val="auto"/>
              </w:rPr>
            </w:pPr>
          </w:p>
        </w:tc>
        <w:tc>
          <w:tcPr>
            <w:tcW w:w="33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32</w:t>
            </w:r>
          </w:p>
        </w:tc>
        <w:tc>
          <w:tcPr>
            <w:tcW w:w="0" w:type="dxa"/>
            <w:vAlign w:val="bottom"/>
          </w:tcPr>
          <w:p>
            <w:pPr>
              <w:spacing w:after="0" w:line="20" w:lineRule="exact"/>
              <w:rPr>
                <w:sz w:val="1"/>
                <w:szCs w:val="1"/>
                <w:color w:val="auto"/>
              </w:rPr>
            </w:pPr>
          </w:p>
        </w:tc>
      </w:tr>
      <w:tr>
        <w:trPr>
          <w:trHeight w:val="209"/>
        </w:trPr>
        <w:tc>
          <w:tcPr>
            <w:tcW w:w="76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3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6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4"/>
          </w:tcPr>
          <w:p>
            <w:pPr>
              <w:spacing w:after="0"/>
              <w:rPr>
                <w:sz w:val="18"/>
                <w:szCs w:val="18"/>
                <w:color w:val="auto"/>
              </w:rPr>
            </w:pPr>
          </w:p>
        </w:tc>
        <w:tc>
          <w:tcPr>
            <w:tcW w:w="5620" w:type="dxa"/>
            <w:vAlign w:val="bottom"/>
            <w:gridSpan w:val="9"/>
          </w:tcPr>
          <w:p>
            <w:pPr>
              <w:spacing w:after="0"/>
              <w:rPr>
                <w:sz w:val="18"/>
                <w:szCs w:val="18"/>
                <w:color w:val="auto"/>
              </w:rPr>
            </w:pPr>
          </w:p>
        </w:tc>
        <w:tc>
          <w:tcPr>
            <w:tcW w:w="33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35</w:t>
            </w:r>
          </w:p>
        </w:tc>
        <w:tc>
          <w:tcPr>
            <w:tcW w:w="0" w:type="dxa"/>
            <w:vAlign w:val="bottom"/>
          </w:tcPr>
          <w:p>
            <w:pPr>
              <w:spacing w:after="0"/>
              <w:rPr>
                <w:sz w:val="1"/>
                <w:szCs w:val="1"/>
                <w:color w:val="auto"/>
              </w:rPr>
            </w:pPr>
          </w:p>
        </w:tc>
      </w:tr>
      <w:tr>
        <w:trPr>
          <w:trHeight w:val="209"/>
        </w:trPr>
        <w:tc>
          <w:tcPr>
            <w:tcW w:w="76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EXPERTS</w:t>
            </w:r>
          </w:p>
        </w:tc>
        <w:tc>
          <w:tcPr>
            <w:tcW w:w="33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35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which we refer to as the “SEC,” utilizing a “shelf” registration process. Under this shelf registration process, we may from time to time sell any combination of the securities described in this prospectus in one or more offerings for an aggregate offering amount of up to $250,000,000.</w:t>
      </w:r>
    </w:p>
    <w:p>
      <w:pPr>
        <w:spacing w:after="0" w:line="17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Each time we sell securities, we will provide one or more prospectus supplements that will contain specific information about the terms of the offering. We may also authorize one or more free writing prospectuses to be provided to you that may contain material information relating to these offerings. The prospectus supplement may also add, update or change information contained in this prospectus or in any documents that we have incorporated by reference into this prospectus and, accordingly, to the extent inconsistent, information in this prospectus is superseded by the information in the prospectus supplement or any related free writing prospectus. You should read both this prospectus and the accompanying prospectus supplement together with the additional information described under the heading “Where You Can Find More Information” of this prospectus.</w:t>
      </w:r>
    </w:p>
    <w:p>
      <w:pPr>
        <w:spacing w:after="0" w:line="18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other than that contained or incorporated by reference in this prospectus or any accompanying prospectus supplement or free writing prospectus to which we have referred you. We take no responsibility for, and can provide no assurance as to the reliability of, any other information others may give you. This prospectus and any accompanying prospectus supplement do not constitute an offer to sell or the solicitation of an offer to buy any securities other than the securities described in this prospectus or such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 offer of these securities will be made in any jurisdiction where the offer is not permitted.</w:t>
      </w:r>
    </w:p>
    <w:p>
      <w:pPr>
        <w:spacing w:after="0" w:line="225"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Unless the context otherwise indicates, references in this prospectus to “we,” “our” and “us” refer, collectively, to Fulcrum Therapeutics, Inc., a Delaware corporation, and its consolidated subsidiary.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You should carefully consider the risks and uncertainties described under “Risk Factors” in our most recent Annual Report on Form 10-K and in any accompanying prospectus supplement, together with all of the other information included or incorporated by reference in this prospectus and in any accompanying prospectus supplement, including our consolidated financial statements and related notes, before deciding whether to purchase our securities.</w:t>
      </w:r>
    </w:p>
    <w:p>
      <w:pPr>
        <w:spacing w:after="0" w:line="180"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Our business, financial condition and results of operations could be materially and adversely affected by any or all of these risks or by additional risks and uncertainties not presently known to us or that we currently deem immaterial that may adversely affect us in the future.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 the Internet at the SEC’s website at http://www.sec.gov. Copies of certain information filed by us with the SEC are also available on our website at http://www.fulcrumtx.com. Our website is not a part of this prospectus and information contained on, or that can be accessed through our website, is not incorporated by reference in this prospectus.</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subsidiary and the securities we are offering. Statements in this prospectus concerning any document we filed as an exhibit to the registration statement or that we otherwise filed with the SEC are not intended to be comprehensive and are qualified by reference to these filings and the exhibits attached thereto. You should review the complete document to evaluate these statements. You can obtain a copy of the registration statement from the SEC’s website.</w:t>
      </w: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 No. 001-38978) and any future filings we make with the SEC under Sections 13(a), 13(c), 14 or 15(d) of the Securities Exchange Act of 1934, as amended, or the Exchange Act (in each case, other than those documents or the portions of those documents not deemed to be filed) until the offering of the securities under the registration statement is terminated or completed:</w:t>
      </w:r>
    </w:p>
    <w:p>
      <w:pPr>
        <w:spacing w:after="0" w:line="94"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5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2021 filed on March 3, 2022;</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Reports on Form 8-K filed on </w:t>
      </w:r>
      <w:hyperlink r:id="rId83">
        <w:r>
          <w:rPr>
            <w:rFonts w:ascii="Times New Roman" w:cs="Times New Roman" w:eastAsia="Times New Roman" w:hAnsi="Times New Roman"/>
            <w:sz w:val="18"/>
            <w:szCs w:val="18"/>
            <w:u w:val="single" w:color="auto"/>
            <w:color w:val="0000EE"/>
          </w:rPr>
          <w:t>January 4,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84">
        <w:r>
          <w:rPr>
            <w:rFonts w:ascii="Times New Roman" w:cs="Times New Roman" w:eastAsia="Times New Roman" w:hAnsi="Times New Roman"/>
            <w:sz w:val="18"/>
            <w:szCs w:val="18"/>
            <w:u w:val="single" w:color="auto"/>
            <w:color w:val="0000EE"/>
          </w:rPr>
          <w:t>January 10,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(other than Item 2.02); and</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61"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72">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on July 12, 2019, as the description therein has been updated and superseded by the description of our capital stock contained in </w:t>
      </w:r>
      <w:hyperlink r:id="rId73">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fiscal year ended December 31, 2020, and including any amendments and reports filed for the purpose of updating such description.</w:t>
      </w:r>
    </w:p>
    <w:p>
      <w:pPr>
        <w:spacing w:after="0" w:line="180" w:lineRule="exact"/>
        <w:rPr>
          <w:rFonts w:ascii="Times New Roman" w:cs="Times New Roman" w:eastAsia="Times New Roman" w:hAnsi="Times New Roman"/>
          <w:sz w:val="18"/>
          <w:szCs w:val="18"/>
          <w:color w:val="auto"/>
        </w:rPr>
      </w:pPr>
    </w:p>
    <w:p>
      <w:pPr>
        <w:ind w:left="12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calling us at the following address or telephone number:</w:t>
      </w:r>
    </w:p>
    <w:p>
      <w:pPr>
        <w:spacing w:after="0" w:line="225"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Fulcrum Therapeutics, Inc.</w:t>
      </w:r>
    </w:p>
    <w:p>
      <w:pPr>
        <w:spacing w:after="0" w:line="27"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 Landsdowne Street</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Cambridge, Massachusetts 02139</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651-8851</w:t>
      </w:r>
    </w:p>
    <w:p>
      <w:pPr>
        <w:spacing w:after="0" w:line="139"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ectPr>
          <w:pgSz w:w="11900" w:h="16838" w:orient="portrait"/>
          <w:cols w:equalWidth="0" w:num="1">
            <w:col w:w="11100"/>
          </w:cols>
          <w:pgMar w:left="320" w:top="455"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 AND INDUSTRY DATA</w:t>
      </w:r>
    </w:p>
    <w:p>
      <w:pPr>
        <w:spacing w:after="0" w:line="229"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include “forward-looking statements” within the meaning of Section 27A of the Securities Act and Section 21E of the Exchange Act. All statements, other than statements of historical fact, contained or incorporated by reference in this prospectus, including statements regarding our strategy, future operations, future financial position, future revenue, projected costs, prospects, plans and objectives of management, are forward-looking statements. The words “anticipate,” “believe,” “estimate,” “expect,” “intend,” “may,” “might,” “plan,” “predict,” “project,” “target,” “potential,” “would,” “could,” “should,” “continue” and similar expressions are intended to identify forward-looking statements, although not all forward-looking statements contain these identifying words.</w:t>
      </w:r>
    </w:p>
    <w:p>
      <w:pPr>
        <w:spacing w:after="0" w:line="187"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or incorporated by reference, in this prospectus, particularly in the “Risk Factors” section, that we believe could cause actual results or events to differ materially from the forward-looking statements that we make. You should also carefully review the risk factors and cautionary statements described in the other documents we file from time to time with the SEC, specifically our most recent Annual Report on Form 10-K, our Quarterly Reports on Form 10-Q and our Current Reports on Form 8-K. Our forward-looking statements do not reflect the potential impact of any future acquisitions, mergers, dispositions, joint ventures or investments we may make.</w:t>
      </w:r>
    </w:p>
    <w:p>
      <w:pPr>
        <w:spacing w:after="0" w:line="192"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You should read this prospectus, the documents incorporated by reference in this prospectus and the documents that we have filed as exhibits to the registration statement of which this prospectus is a part completely and with the understanding that our actual future results may be materially different from what we expect. The forward-looking statements contained in this prospectus and incorporated by reference herein are made as of the date hereof, and we do not assume any obligation to update any forward-looking statements except as required by applicable law.</w:t>
      </w:r>
    </w:p>
    <w:p>
      <w:pPr>
        <w:spacing w:after="0" w:line="180"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This prospectus includes or incorporates by reference certain statistical and other industry and market data that we obtained from industry publications and research, surveys and studies conducted by third parties as well as our own estimates of potential market opportunities.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80"/>
          </w:cols>
          <w:pgMar w:left="320" w:top="455" w:right="4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FULCRUM THERAPEUTICS, INC.</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improving the lives of patients with genetically defined rare diseases in areas of high unmet medical need. Our most advanced clinical product candidate, losmamipod, is in development to treat the root cause of facioscapulohumeral muscular dystrophy, or FSHD. Our other clinical product candidate is FTX-6058, which is being developed for the treatment of certain hemoglobinopathies, including sickle cell disease, or SCD, and ß-thalassemia. We expect to initiate FSHD: REACH, a randomized, double-blind, placebo-controlled, multi-national Phase 3 clinical trial of losmapimod, our product candidate for FSHD, in the second quarter of 2022. We initiated a Phase 1b clinical trial of FTX-6058 in people with SCD in the fourth quarter of 2021, and we expect to report initial data from that Phase 1b trial in the second quarter of 2022. Additionally, we submitted an investigational new drug application, or IND, in the fourth quarter of 2021 for FTX-6058 in other select hemoglobinopathies, including ß-thalassemia, and expect to initiate a Phase 1b study in the second quarter of 2022.</w:t>
      </w:r>
    </w:p>
    <w:p>
      <w:pPr>
        <w:spacing w:after="0" w:line="192"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We have developed a proprietary product engine, FulcrumSeek, that we employ to systematically identify and validate cellular drug targets that can potentially modulate gene expression to treat known root causes of genetically defined diseases. Our product engine integrates patient-derived tissue and disease-relevant cell models that we interrogate using our pharmacologically diverse and highly annotated small-molecule compound library and customized CRISPR and RNAi libraries. These screens generate tens of millions of data points and high-content imaging. We then apply computational biology and analytics to identify targets with specificity and selectivity accompanied by a comprehensive data set that significantly accelerates development. This approach led to the identification of both losmamipod for FSHD and FTX-6058 for hemoglobinopathies, as well as a robust discovery pipeline. We expect to nominate our next development candidate this year to support our fourth IND by the end of the first quarter of 2023.</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were incorporated under the laws of the State of Delaware on August 18, 2015 under the name Fulcrum Therapeutics, Inc. Our principal executive offices are located at 26 Landsdowne Street, Cambridge, Massachusetts 02139, and our telephone number is (617) 651-8851. Our website address is http://www.fulcrumtx.com. The information contained on, or that can be accessed through, our website is not a part of this prospectus. We have included our website address in this prospectus solely as an inactive textual reference.</w:t>
      </w:r>
    </w:p>
    <w:p>
      <w:pPr>
        <w:spacing w:after="0" w:line="180" w:lineRule="exact"/>
        <w:rPr>
          <w:sz w:val="20"/>
          <w:szCs w:val="20"/>
          <w:color w:val="auto"/>
        </w:rPr>
      </w:pPr>
    </w:p>
    <w:p>
      <w:pPr>
        <w:ind w:left="120" w:right="120"/>
        <w:spacing w:after="0" w:line="278" w:lineRule="auto"/>
        <w:rPr>
          <w:sz w:val="20"/>
          <w:szCs w:val="20"/>
          <w:color w:val="auto"/>
        </w:rPr>
      </w:pPr>
      <w:r>
        <w:rPr>
          <w:rFonts w:ascii="Times New Roman" w:cs="Times New Roman" w:eastAsia="Times New Roman" w:hAnsi="Times New Roman"/>
          <w:sz w:val="17"/>
          <w:szCs w:val="17"/>
          <w:color w:val="auto"/>
        </w:rPr>
        <w:t xml:space="preserve">We own or have rights to, or have applied for, trademarks, service marks and trade names that we use in connection with the operation of our business, including our corporate name, logos and website names. Other trademarks, service marks and trade names appearing in this prospectus are the property of their respective owners. Solely for convenience, some of the trademarks, service marks and trade names referred to in this prospectus are listed without the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symbols, but we will assert, to the fullest extent under applicable law, our rights to our trademarks, service marks and trade names.</w:t>
      </w: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intend to use the net proceeds from the sale of any securities offered under this prospectus for general corporate purposes unless otherwise indicated in the applicable prospectus supplement. General corporate purposes may include working capital and capital expenditures, research and development expenses, including clinical trial costs, general and administrative expenses, potential acquisition of, or investment in, companies, technologies, products or assets that complement our business, and repayment and refinancing of debt. We have not determined the amount of net proceeds to be used specifically for such purposes. As a result, management will retain broad discretion over the allocation of the net proceeds of any offering.</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may offer debt securities which may be senior or subordinated. We refer to the senior debt securities and the subordinated debt securities collectively as debt securities. The following description summarizes the general terms and provisions of the debt securities.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 When we refer to “the Company,” “we,” “our,” and “us” in this section, we mean Fulcrum Therapeutics, Inc. excluding, unless the context otherwise requires or as otherwise expressly stated, our subsidiary.</w:t>
      </w:r>
    </w:p>
    <w:p>
      <w:pPr>
        <w:spacing w:after="0" w:line="187"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The senior indenture and the subordinated indenture are referred to individually as an indenture and together as the indentures and the senior trustee and the subordinated trustee are referred to individually as a trustee and together as the trustees. This section summarizes some of the provisions of the indentures and is qualified in its entirety by the specific text of the indentures, including definitions of terms used in the indentures. Wherever we refer to particular sections of, or defined terms in,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w:t>
      </w:r>
    </w:p>
    <w:p>
      <w:pPr>
        <w:spacing w:after="0" w:line="194"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Neither indenture will limit the amount of debt securities that we may issue. The applicable indenture will provide that debt securities may be issued up to an aggregate principal amount authorized from time to time by us and may be payable in any currency or currency unit designated by us or in amounts determined by reference to an index.</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senior debt securities will constitute our unsecured and unsubordinated general obligations and will rank equally in right of payment with our other unsecured and unsubordinated obligations. The subordinated debt securities will constitute our unsecured and subordinated general obligations and will be junior in right of payment to our senior indebtedness (including senior debt securities), as described under the heading “—Certain Terms of the Subordinated Debt Securities—Subordination.” The debt securities will be structurally subordinated to all existing and future indebtedness and other liabilities of our subsidiary unless such subsidiary expressly guarantee such debt securities.</w:t>
      </w:r>
    </w:p>
    <w:p>
      <w:pPr>
        <w:spacing w:after="0" w:line="183"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debt securities will be our unsecured obligations. Any secured debt or other secured obligations will be effectively senior to the debt securities to the extent of the value of the assets securing such debt or other obligations. Unless otherwise indicated in the applicable prospectus supplement, the debt securities will not be guaranteed by our subsidiary.</w:t>
      </w:r>
    </w:p>
    <w:p>
      <w:pPr>
        <w:spacing w:after="0" w:line="176"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and/or free writing prospectus will include any additional or different terms of the debt securities of any series being offered, including the following terms:</w:t>
      </w:r>
    </w:p>
    <w:p>
      <w:pPr>
        <w:spacing w:after="0" w:line="67"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type of the debt securities;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senior or subordinated debt securities, and, with respect to any subordinated debt securities the terms on which they are subordinated;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aggregate principal amount of the debt securities;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455"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we will sell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 of the debt securities and the right, if any, to extend such date or 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if any, at which the debt securities will bear interest, or the method of determining such rate or rates;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will accrue, the interest payment dates on which such interest will be payable or the method of determination of such 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and the duration of that extension;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paying principal and interest and the place or places where principal and interest will be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of the debt securities if other than $1,000 or multiples of $1,000;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a sinking fund, purchase fund or other analogous fund,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dates, prices, obligations and restrictions on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or currency units in which the debt securities will be denominated and the currency, currencies or currency units in which principal and interest, if any, on the debt securities may be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or exchange features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subject to the defeasance provisions in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definitive or global form or in definitive form only upon satisfaction of certain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guaranteed as to payment or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special tax implications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defaults or covenants in addition to or in lieu of those set forth in the indenture;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debt securities.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When we refer to “principal” in this section with reference to the debt securities, we are also referring to “premium, if any.”</w:t>
      </w:r>
    </w:p>
    <w:p>
      <w:pPr>
        <w:spacing w:after="0" w:line="22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(1) the payment of interest accruing prior to the issue date of such further debt securities or (2)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83"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Debt securities may bear interest at a fixed rate or a floating rate. Debt securities bearing no interest or interest at a rate that at the time of issuance is below the prevailing market rate (original issue discount securities) may be sold at a discount below their stated principal amount.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5"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related tax considerations will be set forth in the applicable prospectus supplement.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Terms of the Senior Debt Securities</w:t>
      </w:r>
    </w:p>
    <w:p>
      <w:pPr>
        <w:spacing w:after="0" w:line="11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Covenants. </w:t>
      </w:r>
      <w:r>
        <w:rPr>
          <w:rFonts w:ascii="Times New Roman" w:cs="Times New Roman" w:eastAsia="Times New Roman" w:hAnsi="Times New Roman"/>
          <w:sz w:val="18"/>
          <w:szCs w:val="18"/>
          <w:color w:val="auto"/>
        </w:rPr>
        <w:t>Unless we indicate otherwise in a prospectus supplement with respect to a particular series of senior debt securities, the senior debt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not contain any financial or restrictive covenants, including covenants restricting either us or our subsidiary from incurring, issuing, assuming or guaranteeing any indebtedness secured by a lien on any of our or our subsidiary’s property or capital stock, or restricting either us or our subsidiary from entering into sale and leaseback transactions.</w:t>
      </w:r>
    </w:p>
    <w:p>
      <w:pPr>
        <w:spacing w:after="0" w:line="180" w:lineRule="exact"/>
        <w:rPr>
          <w:sz w:val="20"/>
          <w:szCs w:val="20"/>
          <w:color w:val="auto"/>
        </w:rPr>
      </w:pPr>
    </w:p>
    <w:p>
      <w:pPr>
        <w:ind w:left="120" w:right="3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Consolidation, Merger and Sale of Assets. </w:t>
      </w:r>
      <w:r>
        <w:rPr>
          <w:rFonts w:ascii="Times New Roman" w:cs="Times New Roman" w:eastAsia="Times New Roman" w:hAnsi="Times New Roman"/>
          <w:sz w:val="18"/>
          <w:szCs w:val="18"/>
          <w:color w:val="auto"/>
        </w:rPr>
        <w:t>Unless we indicate otherwise in a prospectus supplement with respect to a particular series of senior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we may not consolidate with or merge into any other person, in a transaction in which we are not the surviving corporation, or convey, transfer or lease our properties and assets substantially as an entirety to any person, in either case, unless:</w:t>
      </w:r>
    </w:p>
    <w:p>
      <w:pPr>
        <w:spacing w:after="0" w:line="81"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entity, if any, is a U.S. corporation, limited liability company, partnership or trust;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entity assumes our obligations on the senior debt securities and under the senior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 and</w:t>
      </w:r>
    </w:p>
    <w:p>
      <w:pPr>
        <w:spacing w:after="0" w:line="130"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senior trustee an officer’s certificate and an opinion of counsel, each stating that the consolidation, merger, conveyance, transfer or lease and, if a supplemental indenture is required in connection with such transaction, such supplemental indenture, comply with the senior indenture and all conditions precedent provided for in the senior indenture relating to such transaction have been complied with.</w:t>
      </w:r>
    </w:p>
    <w:p>
      <w:pPr>
        <w:spacing w:after="0" w:line="180"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restrictions described in the bullets above do not apply (1) to our consolidation with or merging into one of our affiliates, if our board of directors determines in good faith that the purpose of the consolidation or merger is principally to change our state of incorporation or our form of organization to another form or (2) if we merge with or into a single direct or indirect wholly-owned subsidiary of ours.</w:t>
      </w:r>
    </w:p>
    <w:p>
      <w:pPr>
        <w:spacing w:after="0" w:line="176"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surviving business entity will succeed to, and be substituted for, us under the senior indenture and the senior debt securities and, except in the case of a lease, we shall be released from all obligations under the senior indenture and the senior debt securities.</w:t>
      </w:r>
    </w:p>
    <w:p>
      <w:pPr>
        <w:spacing w:after="0" w:line="160" w:lineRule="exact"/>
        <w:rPr>
          <w:sz w:val="20"/>
          <w:szCs w:val="20"/>
          <w:color w:val="auto"/>
        </w:rPr>
      </w:pPr>
    </w:p>
    <w:p>
      <w:pPr>
        <w:jc w:val="both"/>
        <w:ind w:left="120"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 Protection in the Event of a Change in Control. </w:t>
      </w:r>
      <w:r>
        <w:rPr>
          <w:rFonts w:ascii="Times New Roman" w:cs="Times New Roman" w:eastAsia="Times New Roman" w:hAnsi="Times New Roman"/>
          <w:sz w:val="18"/>
          <w:szCs w:val="18"/>
          <w:color w:val="auto"/>
        </w:rPr>
        <w:t>Unless we indicate otherwise in a prospectus supplement with respect to a particular series of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securities, the senior debt securities will not contain any provisions that may afford holders of the senior debt securities protection in the event we have a change in control or in the event of a highly leveraged transaction (whether or not such transaction results in a change in control).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40"/>
          </w:cols>
          <w:pgMar w:left="320" w:top="455"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Events of Default. </w:t>
      </w:r>
      <w:r>
        <w:rPr>
          <w:rFonts w:ascii="Times New Roman" w:cs="Times New Roman" w:eastAsia="Times New Roman" w:hAnsi="Times New Roman"/>
          <w:sz w:val="18"/>
          <w:szCs w:val="18"/>
          <w:color w:val="auto"/>
        </w:rPr>
        <w:t>Unless we indicate otherwise in a prospectus supplement with respect to a particular series of senior debt securities, the following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events of default under the senior indenture with respect to senior debt securities of each series:</w:t>
      </w:r>
    </w:p>
    <w:p>
      <w:pPr>
        <w:spacing w:after="0" w:line="66" w:lineRule="exact"/>
        <w:rPr>
          <w:sz w:val="20"/>
          <w:szCs w:val="20"/>
          <w:color w:val="auto"/>
        </w:rPr>
      </w:pPr>
    </w:p>
    <w:p>
      <w:pPr>
        <w:ind w:left="10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interest on any senior debt securities of such series when due and payable, if that default continues for a period of 30 days (or such other period as may be specified for such series);</w:t>
      </w:r>
    </w:p>
    <w:p>
      <w:pPr>
        <w:spacing w:after="0" w:line="67"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on the senior debt securities of such series when due and payable whether at maturity, upon redemption, by declaration or otherwise (and, if specified for such series, the continuance of such failure for a specified period);</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of or breach of any of our covenants or agreements in the senior indenture applicable to senior debt securities of such series, other than a covenant breach which is specifically dealt with elsewhere in the senior indenture, and that default or breach continues for a period of 90 days after we receive written notice from the trustee or from the holders of 25% or more in aggregate principal amount of the senior debt securities of such series;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or insolvency, whether or not voluntary;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for in such series of senior debt securities as may be specified in the applicable prospectus supplement.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default by us under any other debt, including any other series of debt securities, is not a default under the senior indenture.</w:t>
      </w:r>
    </w:p>
    <w:p>
      <w:pPr>
        <w:spacing w:after="0" w:line="225"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If an event of default other than an event of default specified in the fourth bullet point above occurs with respect to a series of senior debt securities and is continuing under the senior indenture, then, and in each such case, either the trustee or the holders of not less than 25% in aggregate principal amount of such series then outstanding under the senior indenture (each such series voting as a separate class) by written notice to us and to the trustee, if such notice is given by the holders, may, and the trustee at the request of such holders shall, declare the principal amount of and accrued interest on such series of senior debt securities to be immediately due and payable, and upon this declaration, the same shall become immediately due and payable.</w:t>
      </w:r>
    </w:p>
    <w:p>
      <w:pPr>
        <w:spacing w:after="0" w:line="183"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If an event of default specified in the fourth bullet point above occurs and is continuing, the entire principal amount of and accrued interest on each series of senior debt securities then outstanding shall automatically become immediately due and payable.</w:t>
      </w:r>
    </w:p>
    <w:p>
      <w:pPr>
        <w:spacing w:after="0" w:line="162"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Unless otherwise specified in the prospectus supplement relating to a series of senior debt securities originally issued at a discount, the amount due upon acceleration shall include only the original issue price of the senior debt securities, the amount of original issue discount accrued to the date of acceleration and accrued interest, if any.</w:t>
      </w:r>
    </w:p>
    <w:p>
      <w:pPr>
        <w:spacing w:after="0" w:line="176"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Upon certain conditions, declarations of acceleration may be rescinded and annulled and past defaults may be waived by the holders of a majority in aggregate principal amount of all the senior debt securities of such series affected by the default, each series voting as a separate class. Furthermore, subject to various provisions in the senior indenture, the holders of a majority in aggregate principal amount of a series of senior debt securities, by notice to the trustee, may waive a continuing default or event of default with respect to such senior debt securities and its consequences, except a default in the payment of principal of or interest on such senior debt securities (other than any such default in payment resulting solely from an acceleration of the senior debt securities) or in respect of a covenant or provision of the senior indenture which cannot be modified or amended without the consent of the holders of each such senior debt security.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74" w:lineRule="auto"/>
        <w:rPr>
          <w:sz w:val="20"/>
          <w:szCs w:val="20"/>
          <w:color w:val="auto"/>
        </w:rPr>
      </w:pPr>
      <w:r>
        <w:rPr>
          <w:rFonts w:ascii="Times New Roman" w:cs="Times New Roman" w:eastAsia="Times New Roman" w:hAnsi="Times New Roman"/>
          <w:sz w:val="17"/>
          <w:szCs w:val="17"/>
          <w:color w:val="auto"/>
        </w:rPr>
        <w:t>The holders of a majority in aggregate principal amount of a series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may be unduly prejudicial to the rights of holders of such series of senior debt securities not joining in the giving of such direction and may take any other action it deems proper that is not inconsistent with any such direction received from holders of such series of senior debt securities. A holder may not pursue any remedy with respect to the senior indenture or any series of senior debt securities unless:</w:t>
      </w:r>
    </w:p>
    <w:p>
      <w:pPr>
        <w:spacing w:after="0" w:line="78"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the trustee written notice of a continuing event of default;</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such series of senior debt securities make a written request to the trustee to pursue the remedy in respect of such event of default;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requesting holder or holders offer the trustee indemnity satisfactory to the trustee against any costs, liability or expense;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 the request within 60 days after receipt of the request and the offer of indemnity; and</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60-day period, the holders of a majority in aggregate principal amount of such series of senior debt securities do not give the trustee a direction that is inconsistent with the request.</w:t>
      </w:r>
    </w:p>
    <w:p>
      <w:pPr>
        <w:spacing w:after="0" w:line="162"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These limitations, however, do not apply to the right of any holder of a senior debt security of any affected series to receive payment of the principal of and interest on such senior debt security in accordance with the terms of such debt security, or to bring suit for the enforcement of any such payment in accordance with the terms of such debt security, on or after the due date for the senior debt securities, which right shall not be impaired or affected without the consent of the holder.</w:t>
      </w:r>
    </w:p>
    <w:p>
      <w:pPr>
        <w:spacing w:after="0" w:line="180"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senior indenture requires certain of our officers to certify, on or before a fixed date in each year in which any senior debt security is outstanding, as to their knowledge of our compliance with all covenants, agreements and conditions under the senior indenture.</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Satisfaction and Discharge</w:t>
      </w:r>
      <w:r>
        <w:rPr>
          <w:rFonts w:ascii="Times New Roman" w:cs="Times New Roman" w:eastAsia="Times New Roman" w:hAnsi="Times New Roman"/>
          <w:sz w:val="18"/>
          <w:szCs w:val="18"/>
          <w:color w:val="auto"/>
        </w:rPr>
        <w:t>. We can satisfy and discharge our obligations to holders of any series of debt securities if:</w:t>
      </w:r>
    </w:p>
    <w:p>
      <w:pPr>
        <w:spacing w:after="0" w:line="133" w:lineRule="exact"/>
        <w:rPr>
          <w:sz w:val="20"/>
          <w:szCs w:val="20"/>
          <w:color w:val="auto"/>
        </w:rPr>
      </w:pPr>
    </w:p>
    <w:p>
      <w:pPr>
        <w:ind w:left="1080" w:right="10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the principal of and interest on all senior debt securities of such series (with certain limited exceptions) when due and payable; or</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senior trustee for cancellation all senior debt securities of such series theretofore authenticated under the senior indenture (with certain limited exceptions); or</w:t>
      </w:r>
    </w:p>
    <w:p>
      <w:pPr>
        <w:spacing w:after="0" w:line="67"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senior debt securities of such series have become due and payable or will become due and payable within one year (or are to be called for redemption within one year under arrangements satisfactory to the senior trustee) and we deposit in trust an amount of cash or a combination of cash and U.S. government or U.S. government agency obligations (or in the case of senior debt securities denominated in a foreign currency, foreign government securities or foreign government agency securities) sufficient to make interest, principal and any other payments on the debt securities of that series on their various due dates;</w:t>
      </w:r>
    </w:p>
    <w:p>
      <w:pPr>
        <w:spacing w:after="0" w:line="183" w:lineRule="exact"/>
        <w:rPr>
          <w:sz w:val="20"/>
          <w:szCs w:val="20"/>
          <w:color w:val="auto"/>
        </w:rPr>
      </w:pPr>
    </w:p>
    <w:p>
      <w:pPr>
        <w:ind w:left="120" w:right="380"/>
        <w:spacing w:after="0" w:line="312" w:lineRule="auto"/>
        <w:rPr>
          <w:sz w:val="20"/>
          <w:szCs w:val="20"/>
          <w:color w:val="auto"/>
        </w:rPr>
      </w:pPr>
      <w:r>
        <w:rPr>
          <w:rFonts w:ascii="Times New Roman" w:cs="Times New Roman" w:eastAsia="Times New Roman" w:hAnsi="Times New Roman"/>
          <w:sz w:val="17"/>
          <w:szCs w:val="17"/>
          <w:color w:val="auto"/>
        </w:rPr>
        <w:t>and if, in any such case, we also pay or cause to be paid all other sums payable under the senior indenture, as and when the same shall be due and payable and we deliver to the senior trustee an officer’s certificate and an opinion of counsel, each stating that these conditions have been satisfied.</w:t>
      </w:r>
    </w:p>
    <w:p>
      <w:pPr>
        <w:spacing w:after="0" w:line="140"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Under current U.S. federal income tax law, the deposit and our legal release from the debt securities would be treated as though we took back your debt securities and gave you your share of the cash and debt securities or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80"/>
          </w:cols>
          <w:pgMar w:left="320" w:top="455" w:right="4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bonds deposited in trust. In that event, you could recognize gain or loss on the debt securities you give back to us. Purchasers of the debt securities should consult their own advisers with respect to the tax consequences to them of such deposit and discharge, including the applicability and effect of tax laws other than the U.S. federal income tax law.</w:t>
      </w:r>
    </w:p>
    <w:p>
      <w:pPr>
        <w:spacing w:after="0" w:line="174" w:lineRule="exact"/>
        <w:rPr>
          <w:sz w:val="20"/>
          <w:szCs w:val="20"/>
          <w:color w:val="auto"/>
        </w:rPr>
      </w:pPr>
    </w:p>
    <w:p>
      <w:pPr>
        <w:ind w:left="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Defeasance. </w:t>
      </w:r>
      <w:r>
        <w:rPr>
          <w:rFonts w:ascii="Times New Roman" w:cs="Times New Roman" w:eastAsia="Times New Roman" w:hAnsi="Times New Roman"/>
          <w:sz w:val="18"/>
          <w:szCs w:val="18"/>
          <w:color w:val="auto"/>
        </w:rPr>
        <w:t>Unless the applicable prospectus supplement provides otherwise, the following discussion of legal defeasance and covenant defeasance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apply to any series of debt securities issued under the indentures.</w:t>
      </w:r>
    </w:p>
    <w:p>
      <w:pPr>
        <w:spacing w:after="0" w:line="158" w:lineRule="exact"/>
        <w:rPr>
          <w:sz w:val="20"/>
          <w:szCs w:val="20"/>
          <w:color w:val="auto"/>
        </w:rPr>
      </w:pPr>
    </w:p>
    <w:p>
      <w:pPr>
        <w:ind w:left="120" w:right="940"/>
        <w:spacing w:after="0" w:line="284" w:lineRule="auto"/>
        <w:rPr>
          <w:sz w:val="20"/>
          <w:szCs w:val="20"/>
          <w:color w:val="auto"/>
        </w:rPr>
      </w:pP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We can legally release ourselves from any payment or other obligations on the debt securities of any series (called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defeasance”) if certain conditions are met, including the following:</w:t>
      </w:r>
    </w:p>
    <w:p>
      <w:pPr>
        <w:spacing w:after="0" w:line="66" w:lineRule="exact"/>
        <w:rPr>
          <w:sz w:val="20"/>
          <w:szCs w:val="20"/>
          <w:color w:val="auto"/>
        </w:rPr>
      </w:pPr>
    </w:p>
    <w:p>
      <w:pPr>
        <w:ind w:left="1080" w:right="20" w:hanging="424"/>
        <w:spacing w:after="0" w:line="261"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w:t>
      </w:r>
    </w:p>
    <w:p>
      <w:pPr>
        <w:spacing w:after="0" w:line="85" w:lineRule="exact"/>
        <w:rPr>
          <w:rFonts w:ascii="Times New Roman" w:cs="Times New Roman" w:eastAsia="Times New Roman" w:hAnsi="Times New Roman"/>
          <w:sz w:val="18"/>
          <w:szCs w:val="18"/>
          <w:color w:val="auto"/>
        </w:rPr>
      </w:pPr>
    </w:p>
    <w:p>
      <w:pPr>
        <w:ind w:left="1080" w:right="180" w:hanging="424"/>
        <w:spacing w:after="0" w:line="258"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change in current U.S. federal income tax law or an IRS ruling that lets us make the above deposit without causing you to be taxed on the debt securities any differently than if we did not make the deposit and instead repaid the debt securities ourselves when due. Under current U.S. federal income tax law, the deposit and our legal release from the debt securities would be treated as though we took back your debt securities and gave you your share of the cash and debt securities or bonds deposited in trust. In that event, you could recognize gain or loss on the debt securities you give back to us.</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trustee a legal opinion of our counsel confirming the tax law change or ruling described above.</w:t>
      </w:r>
    </w:p>
    <w:p>
      <w:pPr>
        <w:spacing w:after="0" w:line="225"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If we accomplish legal defeasance, as described above, you would have to rely solely on the trust deposit for repayment of the debt securities. You could not look to us for repayment in the event of any shortfall.</w:t>
      </w:r>
    </w:p>
    <w:p>
      <w:pPr>
        <w:spacing w:after="0" w:line="16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i w:val="1"/>
          <w:iCs w:val="1"/>
          <w:color w:val="auto"/>
        </w:rPr>
        <w:t>Covenant Defeasance</w:t>
      </w:r>
      <w:r>
        <w:rPr>
          <w:rFonts w:ascii="Times New Roman" w:cs="Times New Roman" w:eastAsia="Times New Roman" w:hAnsi="Times New Roman"/>
          <w:sz w:val="18"/>
          <w:szCs w:val="18"/>
          <w:color w:val="auto"/>
        </w:rPr>
        <w:t>. Without any change in current U.S. federal tax law, we can make the same type of deposit described above and be released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some of the covenants in the debt securities (called “covenant defeasance”). In that event, you would lose the protection of those covenants but would gain the protection of having money and securities set aside in trust to repay the debt securities. In order to achieve covenant defeasance, we must do the following (among other things):</w:t>
      </w:r>
    </w:p>
    <w:p>
      <w:pPr>
        <w:spacing w:after="0" w:line="87" w:lineRule="exact"/>
        <w:rPr>
          <w:sz w:val="20"/>
          <w:szCs w:val="20"/>
          <w:color w:val="auto"/>
        </w:rPr>
      </w:pPr>
    </w:p>
    <w:p>
      <w:pPr>
        <w:ind w:left="1080" w:right="20" w:hanging="424"/>
        <w:spacing w:after="0" w:line="261"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 and</w:t>
      </w:r>
    </w:p>
    <w:p>
      <w:pPr>
        <w:spacing w:after="0" w:line="85" w:lineRule="exact"/>
        <w:rPr>
          <w:rFonts w:ascii="Times New Roman" w:cs="Times New Roman" w:eastAsia="Times New Roman" w:hAnsi="Times New Roman"/>
          <w:sz w:val="18"/>
          <w:szCs w:val="18"/>
          <w:color w:val="auto"/>
        </w:rPr>
      </w:pPr>
    </w:p>
    <w:p>
      <w:pPr>
        <w:jc w:val="both"/>
        <w:ind w:left="1080" w:right="30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trustee a legal opinion of our counsel confirming that under current U.S. federal income tax law we may make the above deposit without causing you to be taxed on the debt securities any differently than if we did not make the deposit and instead repaid the debt securities ourselves when due.</w:t>
      </w:r>
    </w:p>
    <w:p>
      <w:pPr>
        <w:spacing w:after="0" w:line="176"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If we accomplish covenant defeasance, you could still look to us for repayment of the debt securities if there were a shortfall in the trust deposit. In fact, if one of the events of default occurred (such as our bankruptcy) and the debt securities become immediately due and payable, there may be such a shortfall. Depending on the events causing the default, you may not be able to obtain payment of the shortfall.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5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Modification and Waiver. </w:t>
      </w:r>
      <w:r>
        <w:rPr>
          <w:rFonts w:ascii="Times New Roman" w:cs="Times New Roman" w:eastAsia="Times New Roman" w:hAnsi="Times New Roman"/>
          <w:sz w:val="18"/>
          <w:szCs w:val="18"/>
          <w:color w:val="auto"/>
        </w:rPr>
        <w:t>We and the trustee may amend or supplement the senior indenture or the senior debt securities of any series without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consent of any holder:</w:t>
      </w:r>
    </w:p>
    <w:p>
      <w:pPr>
        <w:spacing w:after="0" w:line="66"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convey, transfer, assign, mortgage or pledge any assets as security for the senior debt securities of one or more series;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 corporation, limited liability company, partnership or trust to us, and the assumption by such successor of our covenants, agreements and obligations under the senior indenture or to otherwise comply with the covenant relating to mergers, consolidations and sales of assets;</w:t>
      </w:r>
    </w:p>
    <w:p>
      <w:pPr>
        <w:spacing w:after="0" w:line="81"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requirements of the SEC in order to effect or maintain the qualification of the senior indenture under the Trust Indenture Act of 1939, as amended (the “Trust Indenture Act”);</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w:t>
      </w:r>
    </w:p>
    <w:p>
      <w:pPr>
        <w:spacing w:after="0" w:line="81"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senior indenture or in any supplemental indenture or to conform the senior indenture or the senior debt securities to the description of senior debt securities of such series set forth in this prospectus or any applicable prospectus supplement;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or add guarantors with respect to the senior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forms or terms of the senior debt securities as permitted by the senior indenture;</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the senior indenture by a successor trustee, or to make such changes as shall be necessary to provide for or facilitate the administration of the trusts in the senior indenture by more than one trustee;</w:t>
      </w:r>
    </w:p>
    <w:p>
      <w:pPr>
        <w:spacing w:after="0" w:line="67" w:lineRule="exact"/>
        <w:rPr>
          <w:rFonts w:ascii="Times New Roman" w:cs="Times New Roman" w:eastAsia="Times New Roman" w:hAnsi="Times New Roman"/>
          <w:sz w:val="18"/>
          <w:szCs w:val="18"/>
          <w:color w:val="auto"/>
        </w:rPr>
      </w:pPr>
    </w:p>
    <w:p>
      <w:pPr>
        <w:ind w:left="1080" w:right="180" w:hanging="424"/>
        <w:spacing w:after="0" w:line="258"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change or eliminate any of the provisions of the senior indenture in respect of one or more series of senior debt securities, provided that any such addition, change or elimination shall (a) neither (1) apply to any senior debt security of any series created prior to the execution of such supplemental indenture and entitled to the benefit of such provision nor (2) modify the rights of the holder of any such senior debt security with respect to such provision or (b) become effective only when there is no senior debt security described in clause (a)(1) outstanding;</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to the senior debt securities of any series so long as no senior debt securities of such series are outstanding;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in any material respect.</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Other amendments and modifications of the senior indenture or the senior debt securities issued may be made, and our compliance with any provision of the senior indenture with respect to any series of senior debt securities may be waived, with the consent of the holders of a majority of the aggregate principal amount of the outstanding senior debt securities of each series affected by the amendment or modification (voting as separate series); provided, however, that each affected holder must consent to any modification, amendment or waiver that:</w:t>
      </w:r>
    </w:p>
    <w:p>
      <w:pPr>
        <w:spacing w:after="0" w:line="85"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extends the final maturity of any senior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principal amount of any senior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rate, or extends the time for payment of, interest on any senior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amount payable upon the redemption of any senior debt securities of such series;</w:t>
      </w:r>
    </w:p>
    <w:p>
      <w:pPr>
        <w:spacing w:after="0" w:line="130" w:lineRule="exact"/>
        <w:rPr>
          <w:rFonts w:ascii="Times New Roman" w:cs="Times New Roman" w:eastAsia="Times New Roman" w:hAnsi="Times New Roman"/>
          <w:sz w:val="18"/>
          <w:szCs w:val="18"/>
          <w:color w:val="auto"/>
        </w:rPr>
      </w:pPr>
    </w:p>
    <w:p>
      <w:pPr>
        <w:ind w:left="5540" w:right="2640" w:hanging="4884"/>
        <w:spacing w:after="0" w:line="454" w:lineRule="auto"/>
        <w:tabs>
          <w:tab w:leader="none" w:pos="109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the currency of payment of principal of or interest on any senior debt securities of such series; 13</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70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principal amount of original issue discount securities payable upon acceleration of maturity or the amount provable in bankruptcy;</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a continuing default in the payment of principal of or interest on the senior debt securities (other than any such default in payment resulting solely from an acceleration of the senior debt securities);</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the provisions relating to the waiver of past defaults or impairs the right of holders to receive payment or to institute suit for the enforcement of any payment or conversion of any senior debt securities of such series on or after the due date therefor;</w:t>
      </w:r>
    </w:p>
    <w:p>
      <w:pPr>
        <w:spacing w:after="0" w:line="67"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modifies any of the provisions of these restrictions on amendments and modifications, except to increase any required percentage or to provide that certain other provisions cannot be modified or waived without the consent of the holder of each senior debt security of such series affected by the modification;</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affects the right to convert or exchange senior debt securities into common stock, other securities or property in accordance with the terms of the senior debt securities; or</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above-stated percentage of outstanding senior debt securities of such series whose holders must consent to a supplemental indenture or modifies or amends or waives certain provisions of or defaults under the senior indenture.</w:t>
      </w:r>
    </w:p>
    <w:p>
      <w:pPr>
        <w:spacing w:after="0" w:line="162"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It shall not be necessary for the holders to approve the particular form of any proposed amendment, supplement or waiver, but it shall be sufficient if the holders’ consent approves the substance thereof. After an amendment, supplement or waiver of the senior indenture in accordance with the provisions described in this section becomes effective, the trustee must give to the holders affected thereby certain notice briefly describing the amendment, supplement or waiver. Any failure by the trustee to give such notice, or any defect therein, shall not, however, in any way impair or affect the validity of any such amendment, supplemental indenture or waiver.</w:t>
      </w:r>
    </w:p>
    <w:p>
      <w:pPr>
        <w:spacing w:after="0" w:line="18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Notice of Redemption. </w:t>
      </w:r>
      <w:r>
        <w:rPr>
          <w:rFonts w:ascii="Times New Roman" w:cs="Times New Roman" w:eastAsia="Times New Roman" w:hAnsi="Times New Roman"/>
          <w:sz w:val="18"/>
          <w:szCs w:val="18"/>
          <w:color w:val="auto"/>
        </w:rPr>
        <w:t>Notice of any redemption of senior debt securities will be mailed at least 10 days but not more than 60 days before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 date to each holder of senior debt securities of a series to be redeemed. Any notice may, at our discretion, be subject to the satisfaction or waiver of one or more conditions precedent. In that case, such notice shall state the nature of such condition precedent. If we elect to redeem a portion but not all of such senior debt securities, the trustee will select the senior debt securities to be redeemed in a method determined manner that complies with applicable legal and stock exchange requirements, if any. Interest on such debt securities or portions of senior debt securities will cease to accrue on and after the date fixed for redemption, unless we default in the payment of such redemption price and accrued interest with respect to any such senior debt security or portion thereof.</w:t>
      </w:r>
    </w:p>
    <w:p>
      <w:pPr>
        <w:spacing w:after="0" w:line="185"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If any date of redemption of any senior debt security is not a business day, then payment of principal and interest may be made on the next succeeding business day with the same force and effect as if made on the nominal date of redemption and no interest will accrue for the period after such nominal date.</w:t>
      </w:r>
    </w:p>
    <w:p>
      <w:pPr>
        <w:spacing w:after="0" w:line="17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Conversion Rights. </w:t>
      </w:r>
      <w:r>
        <w:rPr>
          <w:rFonts w:ascii="Times New Roman" w:cs="Times New Roman" w:eastAsia="Times New Roman" w:hAnsi="Times New Roman"/>
          <w:sz w:val="18"/>
          <w:szCs w:val="18"/>
          <w:color w:val="auto"/>
        </w:rPr>
        <w:t>We will describe the terms upon which senior debt securities may be convertible into our common stock or other securities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supplement. These terms will include the type of securities the senior debt securities are convertible into, the conversion price or manner of calculation thereof, the conversion period, provisions as to whether conversion will be at our option or the option of the holders, the events requiring an adjustment of the conversion price and provisions affecting conversion in the event of the redemption of the senior debt securities and any restrictions on conversion. They may also include provisions adjusting the number of shares of our common stock or other securities issuable upon conversion.</w:t>
      </w:r>
    </w:p>
    <w:p>
      <w:pPr>
        <w:spacing w:after="0" w:line="183" w:lineRule="exact"/>
        <w:rPr>
          <w:sz w:val="20"/>
          <w:szCs w:val="20"/>
          <w:color w:val="auto"/>
        </w:rPr>
      </w:pPr>
    </w:p>
    <w:p>
      <w:pPr>
        <w:ind w:left="120" w:right="5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 Personal Liability of Incorporators, Stockholders, Officers or Directors. </w:t>
      </w:r>
      <w:r>
        <w:rPr>
          <w:rFonts w:ascii="Times New Roman" w:cs="Times New Roman" w:eastAsia="Times New Roman" w:hAnsi="Times New Roman"/>
          <w:sz w:val="18"/>
          <w:szCs w:val="18"/>
          <w:color w:val="auto"/>
        </w:rPr>
        <w:t>The senior indenture provides that no recourse shall be had under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 covenant or agreement of ours in the senior indenture or any</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455"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supplemental indenture, or in any of the senior debt securities or because of the creation of any indebtedness represented thereby, against any of our incorporators,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178"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Concerning the Trustee. </w:t>
      </w:r>
      <w:r>
        <w:rPr>
          <w:rFonts w:ascii="Times New Roman" w:cs="Times New Roman" w:eastAsia="Times New Roman" w:hAnsi="Times New Roman"/>
          <w:sz w:val="18"/>
          <w:szCs w:val="18"/>
          <w:color w:val="auto"/>
        </w:rPr>
        <w:t>The senior indenture provides that, except during the continuance of an event of default, the trustee will not be liable except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182"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senior indenture and the provisions of the Trust Indenture Act incorporated by reference therein contain limitations on the rights of the trustee thereunder, should it become a creditor of ours or our subsidiary, to obtain payment of claims in certain cases or to realize on certain property received by it in respect of any such claims, as security or otherwise. The trustee is permitted to engage in other transactions, provided that if it acquires any conflicting interest (as defined in the Trust Indenture Act), it must eliminate such conflict or resign.</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may have normal banking relationships with the senior trustee in the ordinary course of business.</w:t>
      </w:r>
    </w:p>
    <w:p>
      <w:pPr>
        <w:spacing w:after="0" w:line="223"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Unclaimed Funds. </w:t>
      </w:r>
      <w:r>
        <w:rPr>
          <w:rFonts w:ascii="Times New Roman" w:cs="Times New Roman" w:eastAsia="Times New Roman" w:hAnsi="Times New Roman"/>
          <w:sz w:val="18"/>
          <w:szCs w:val="18"/>
          <w:color w:val="auto"/>
        </w:rPr>
        <w:t>All funds deposited with the trustee or any paying agent for the payment of principal, premium, interest or additional amounts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of the senior debt securities that remain unclaimed for two years after the date upon which such amounts became due and payable will be repaid to us. Thereafter, any right of any holder of senior debt securities to such funds shall be enforceable only against us, and the trustee and paying agents will have no liability therefor.</w:t>
      </w:r>
    </w:p>
    <w:p>
      <w:pPr>
        <w:spacing w:after="0" w:line="180" w:lineRule="exact"/>
        <w:rPr>
          <w:sz w:val="20"/>
          <w:szCs w:val="20"/>
          <w:color w:val="auto"/>
        </w:rPr>
      </w:pPr>
    </w:p>
    <w:p>
      <w:pPr>
        <w:ind w:left="120" w:right="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The senior indenture and the senior debt securities will be governed by, and construed in accordance with, the internal laws of the 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New York.</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Terms of the Subordinated Debt Securities</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Additional or different subordination terms may be specified in the prospectus supplement applicable to a particular series.</w:t>
      </w:r>
    </w:p>
    <w:p>
      <w:pPr>
        <w:spacing w:after="0" w:line="223"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Subordination. </w:t>
      </w:r>
      <w:r>
        <w:rPr>
          <w:rFonts w:ascii="Times New Roman" w:cs="Times New Roman" w:eastAsia="Times New Roman" w:hAnsi="Times New Roman"/>
          <w:sz w:val="18"/>
          <w:szCs w:val="18"/>
          <w:color w:val="auto"/>
        </w:rPr>
        <w:t>The indebtedness evidenced by the subordinated debt securities is subordinate to the prior payment in full of all of our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indebtedness, as defined in the subordinated indenture. During the continuance beyond any applicable grace period of any default in the payment of principal, premium, interest or any other payment due on any of our senior indebtedness, we may not make any payment of principal of or interest on the subordinated debt securities (except for certain sinking fund payments). In addition, upon any payment or distribution of our assets upon any dissolution, winding-up, liquidation or reorganization, the payment of the principal of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80"/>
          </w:cols>
          <w:pgMar w:left="320" w:top="455" w:right="4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w:t>
      </w:r>
    </w:p>
    <w:p>
      <w:pPr>
        <w:spacing w:after="0" w:line="67"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indebtedness of that person for money borrowed;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indebtedness of that person evidenced by notes, debentures, bonds or other securities sold by that person for money;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lease obligations that are capitalized on the books of that person in accordance with generally accepted accounting principles;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w:t>
      </w:r>
    </w:p>
    <w:p>
      <w:pPr>
        <w:spacing w:after="0" w:line="81"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unless, in the case of any particular indebtedness, renewal, extension or refunding, the instrument creating or evidencing it or the assumption or guarantee relating to it expressly provides that such indebtedness, renewal, extension or refunding is not superior in right of payment to the subordinated debt securities. Our senior debt securities constitute senior indebtedness for purposes of the subordinated indenture.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320" w:top="455"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following description of our capital stock and provisions of our certificate of incorporation and bylaws are summaries. You should also refer to the restated certificate of incorporation and the amended and restated bylaws, which are filed as exhibits to the registration statement of which this prospectus is part.</w:t>
      </w:r>
    </w:p>
    <w:p>
      <w:pPr>
        <w:spacing w:after="0" w:line="176"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200,000,000 shares of our common stock, par value $0.001 per share, and 5,000,000 shares of our preferred stock, par value $0.001 per share, all of which preferred stock is undesignated.</w:t>
      </w:r>
    </w:p>
    <w:p>
      <w:pPr>
        <w:spacing w:after="0" w:line="162"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As of December 31, 2021, we had issued and outstanding 40,636,398 shares of our common stock held by 33 stockholders of record (not including beneficial owners whose shares are held in “nominee” or “street” name), including 10,174 shares of unvested restricted stock subject to repurchase by 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on all matters submitted to a vote of stockholders and do not have cumulative voting rights. Each election of directors by our stockholders will be determined by a plurality of the votes cast by the stockholders entitled to vote on the election. Any matters other than the election of directors to be voted upon by the stockholders at a meeting are decided by the vote of the holders of shares of stock having a majority in voting power of the votes cast by the holders of all of the shares of stock present or represented at the meeting and voting affirmatively or negatively on such matter, except when a different vote is required by law, our certificate of incorporation or our bylaws. Holders of common stock are entitled to receive proportionately any dividends as may be declared by our board of directors, subject to any preferential dividend or other rights of any outstanding preferred stock.</w:t>
      </w:r>
    </w:p>
    <w:p>
      <w:pPr>
        <w:spacing w:after="0" w:line="18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In the event of our liquidation, dissolution or winding up, the holders of our common stock are entitled to receive proportionately all assets available for distribution to stockholders after the payment of all debts and other liabilities and subject to any preferential or other rights of any outstanding preferred stock. Holders of our common stock have no preemptive, subscription, redemption or conversion rights. The rights, preferences and privileges of holders of our common stock are subject to and may be adversely affected by the rights of the holders of shares of any series of our preferred stock that we may designate and issue in the future.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are authorized to issue “blank check” preferred stock, which may be issued in one or more series upon authorization of our board of directors. Our board of directors is authorized to fix the designations, powers, preferences and the relative, participating, optional or other special rights and any qualifications, limitations and restrictions of the shares of each series of preferred stock. The authorized shares of our preferred stock are available for issuance without further action by our stockholders, unless such action is required by applicable law or the rules of any stock exchange on which our securities may be listed. If the approval of our stockholders is not required for the issuance of shares of our preferred stock, our board may determine not to seek stockholder approval. The specific terms of any series of preferred stock offered pursuant to this prospectus will be described in the prospectus supplement relating to that series of preferred stock.</w:t>
      </w:r>
    </w:p>
    <w:p>
      <w:pPr>
        <w:spacing w:after="0" w:line="18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 series of our preferred stock could, depending on the terms of such series, impede the completion of a merger, tender offer or other takeover attempt. Our board of directors will make any determination to issue preferred shares based upon its judgment as to the best interests of our stockholders. Our directors, in so acting, could issue preferred stock having terms that could discourage an acquisition attempt through which an acquirer may be able to change the composition of our board of directors, including a tender offer or other transaction that some, or a majority, of our stockholders might believe to be in their best interests or in which stockholders might receive a premium for their stock over the then-current market price of the stock.</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312" w:lineRule="auto"/>
        <w:rPr>
          <w:sz w:val="20"/>
          <w:szCs w:val="20"/>
          <w:color w:val="auto"/>
        </w:rPr>
      </w:pPr>
      <w:r>
        <w:rPr>
          <w:rFonts w:ascii="Times New Roman" w:cs="Times New Roman" w:eastAsia="Times New Roman" w:hAnsi="Times New Roman"/>
          <w:sz w:val="17"/>
          <w:szCs w:val="17"/>
          <w:color w:val="auto"/>
        </w:rPr>
        <w:t>The preferred stock has the terms described below unless otherwise provided in the prospectus supplement relating to a particular series of preferred stock. You should read the prospectus supplement relating to the particular series of preferred stock being offered for specific terms, including:</w:t>
      </w:r>
    </w:p>
    <w:p>
      <w:pPr>
        <w:spacing w:after="0" w:line="45"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stated value per share of the preferred stock and the number of shares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liquidation preference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preferred stock will be issued;</w:t>
      </w:r>
    </w:p>
    <w:p>
      <w:pPr>
        <w:spacing w:after="0" w:line="130"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or method of calculation of dividends, the dates on which dividends will be payable, whether dividends will be cumulative or noncumulative and, if cumulative, the dates from which dividends will commence to accumulate;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sinking fund provisions;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currency of the United States, the currency or currencies including composite currencies in which the preferred stock is denominated and/or in which payments will or may be payable;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provisions;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have elected to offer depositary shares as described under “Description of Depositary Shares;”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rights, preferences, privileges, limitations and restrictions on the preferred stock.</w:t>
      </w:r>
    </w:p>
    <w:p>
      <w:pPr>
        <w:spacing w:after="0" w:line="225"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The preferred stock will, when issued, be fully paid and non-assessable. Unless otherwise specified in the prospectus supplement, each series of preferred stock will rank equally as to dividends and liquidation rights in all respects with each other series of preferred stock. The rights of holders of shares of each series of preferred stock will be subordinate to those of our general creditors.</w:t>
      </w:r>
    </w:p>
    <w:p>
      <w:pPr>
        <w:spacing w:after="0" w:line="176"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As described under “Description of Depositary Shares,” we may, at our option, with respect to any series of preferred stock, elect to offer fractional interests in shares of preferred stock, and provide for the issuance of depositary receipts representing depositary shares, each of which will represent a fractional interest in a share of the series of preferred stock. The fractional interest will be specified in the prospectus supplement relating to a particular series of preferred stock.</w:t>
      </w:r>
    </w:p>
    <w:p>
      <w:pPr>
        <w:spacing w:after="0" w:line="178" w:lineRule="exact"/>
        <w:rPr>
          <w:sz w:val="20"/>
          <w:szCs w:val="20"/>
          <w:color w:val="auto"/>
        </w:rPr>
      </w:pPr>
    </w:p>
    <w:p>
      <w:pPr>
        <w:ind w:left="120" w:right="80"/>
        <w:spacing w:after="0" w:line="284" w:lineRule="auto"/>
        <w:rPr>
          <w:sz w:val="20"/>
          <w:szCs w:val="20"/>
          <w:color w:val="auto"/>
        </w:rPr>
      </w:pPr>
      <w:r>
        <w:rPr>
          <w:rFonts w:ascii="Times New Roman" w:cs="Times New Roman" w:eastAsia="Times New Roman" w:hAnsi="Times New Roman"/>
          <w:sz w:val="18"/>
          <w:szCs w:val="18"/>
          <w:i w:val="1"/>
          <w:iCs w:val="1"/>
          <w:color w:val="auto"/>
        </w:rPr>
        <w:t>Rank</w:t>
      </w:r>
      <w:r>
        <w:rPr>
          <w:rFonts w:ascii="Times New Roman" w:cs="Times New Roman" w:eastAsia="Times New Roman" w:hAnsi="Times New Roman"/>
          <w:sz w:val="18"/>
          <w:szCs w:val="18"/>
          <w:color w:val="auto"/>
        </w:rPr>
        <w:t>. Unless otherwise specified in the prospectus supplement, the preferred stock will, with respect to dividend rights and rights upon our liquidation,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dissolution or winding up of our affairs, rank:</w:t>
      </w:r>
    </w:p>
    <w:p>
      <w:pPr>
        <w:spacing w:after="0" w:line="66" w:lineRule="exact"/>
        <w:rPr>
          <w:sz w:val="20"/>
          <w:szCs w:val="20"/>
          <w:color w:val="auto"/>
        </w:rPr>
      </w:pPr>
    </w:p>
    <w:p>
      <w:pPr>
        <w:ind w:left="108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to our common stock and to all equity securities ranking junior to such preferred stock with respect to dividend rights or rights upon our liquidation, dissolution or winding up of our affairs;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parity with all equity securities issued by us, the terms of which specifically provide that such equity securities rank on a parity with the preferred stock with respect to dividend rights or rights upon our liquidation, dissolution or winding up of our affairs; and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to all equity securities issued by us, the terms of which specifically provide that such equity securities rank senior to the preferred stock with respect to dividend rights or rights upon our liquidation, dissolution or winding up of our affairs.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term “equity securities” does not include convertible debt securities.</w:t>
      </w:r>
    </w:p>
    <w:p>
      <w:pPr>
        <w:spacing w:after="0" w:line="223" w:lineRule="exact"/>
        <w:rPr>
          <w:sz w:val="20"/>
          <w:szCs w:val="20"/>
          <w:color w:val="auto"/>
        </w:rPr>
      </w:pPr>
    </w:p>
    <w:p>
      <w:pPr>
        <w:ind w:left="120" w:right="100"/>
        <w:spacing w:after="0" w:line="284"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Holders of the preferred stock of each series will be entitled to receive, when, as and if declared by our board of directors, cash dividends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rates and on such dates described in the prospectus supplement.</w:t>
      </w:r>
    </w:p>
    <w:p>
      <w:pPr>
        <w:spacing w:after="0" w:line="160"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Different series of preferred stock may be entitled to dividends at different rates or based on different methods of calculation. The dividend rate may be fixed or variable or both. Dividends will be payable to the holders of</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80"/>
          </w:cols>
          <w:pgMar w:left="320" w:top="455" w:right="4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record as they appear on our stock books on record dates fixed by our board of directors, as specified in the applicable prospectus supplement.</w:t>
      </w:r>
    </w:p>
    <w:p>
      <w:pPr>
        <w:spacing w:after="0" w:line="225"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Dividends on any series of preferred stock may be cumulative or noncumulative, as described in the applicable prospectus supplement. If our board of directors does not declare a dividend payable on a dividend payment date on any series of noncumulative preferred stock, then the holders of that noncumulative preferred stock will have no right to receive a dividend for that dividend payment date, and we will have no obligation to pay the dividend accrued for that period, whether or not dividends on that series are declared payable on any future dividend payment dates. Dividends on any series of cumulative preferred stock will accrue from the date we initially issue shares of such series or such other date specified in the applicable prospectus supplement.</w:t>
      </w:r>
    </w:p>
    <w:p>
      <w:pPr>
        <w:spacing w:after="0" w:line="187" w:lineRule="exact"/>
        <w:rPr>
          <w:sz w:val="20"/>
          <w:szCs w:val="20"/>
          <w:color w:val="auto"/>
        </w:rPr>
      </w:pPr>
    </w:p>
    <w:p>
      <w:pPr>
        <w:jc w:val="both"/>
        <w:ind w:left="120" w:right="120"/>
        <w:spacing w:after="0" w:line="312" w:lineRule="auto"/>
        <w:rPr>
          <w:sz w:val="20"/>
          <w:szCs w:val="20"/>
          <w:color w:val="auto"/>
        </w:rPr>
      </w:pPr>
      <w:r>
        <w:rPr>
          <w:rFonts w:ascii="Times New Roman" w:cs="Times New Roman" w:eastAsia="Times New Roman" w:hAnsi="Times New Roman"/>
          <w:sz w:val="17"/>
          <w:szCs w:val="17"/>
          <w:color w:val="auto"/>
        </w:rPr>
        <w:t>No dividends may be declared or paid or funds set apart for the payment of any dividends on any parity securities unless full dividends have been paid or set apart for payment on the preferred stock. If full dividends are not paid, the preferred stock will share dividends pro rata with the parity securities.</w:t>
      </w:r>
    </w:p>
    <w:p>
      <w:pPr>
        <w:spacing w:after="0" w:line="140"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No dividends may be declared or paid or funds set apart for the payment of dividends on any junior securities unless full dividends for all dividend periods terminating on or prior to the date of the declaration or payment will have been paid or declared and a sum sufficient for the payment set apart for payment on the preferred stock.</w:t>
      </w:r>
    </w:p>
    <w:p>
      <w:pPr>
        <w:spacing w:after="0" w:line="17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i w:val="1"/>
          <w:iCs w:val="1"/>
          <w:color w:val="auto"/>
        </w:rPr>
        <w:t>Liquidation Preference</w:t>
      </w:r>
      <w:r>
        <w:rPr>
          <w:rFonts w:ascii="Times New Roman" w:cs="Times New Roman" w:eastAsia="Times New Roman" w:hAnsi="Times New Roman"/>
          <w:sz w:val="18"/>
          <w:szCs w:val="18"/>
          <w:color w:val="auto"/>
        </w:rPr>
        <w:t>. Upon any voluntary or involuntary liquidation, dissolution or winding up of our affairs, then, before we make any distribution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to the holders of any common stock or any other class or series of our capital stock ranking junior to the preferred stock in the distribution of assets upon any liquidation, dissolution or winding up of our affairs, the holders of each series of preferred stock shall be entitled to receive out of assets legally available for distribution to stockholders, liquidating distributions in the amount of the liquidation preference per share set forth in the prospectus supplement, plus any accrued and unpaid dividends thereon. Such dividends will not include any accumulation in respect of unpaid noncumulative dividends for prior dividend periods. Unless otherwise specified in the prospectus supplement, after payment of the full amount of their liquidating distributions, the holders of preferred stock will have no right or claim to any of our remaining assets. Upon any such voluntary or involuntary liquidation, dissolution or winding up, if our available assets are insufficient to pay the amount of the liquidating distributions on all outstanding preferred stock and the corresponding amounts payable on all other classes or series of our capital stock ranking on parity with the preferred stock and all other such classes or series of shares of capital stock ranking on parity with the preferred stock in the distribution of assets, then the holders of the preferred stock and all other such classes or series of capital stock ranking on parity with the preferred stock will share ratably in any such distribution of assets in proportion to the full liquidating distributions to which they would otherwise be entitled.</w:t>
      </w:r>
    </w:p>
    <w:p>
      <w:pPr>
        <w:spacing w:after="0" w:line="192"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Upon any such liquidation, dissolution or winding up and if we have made liquidating distributions in full to all holders of preferred stock, we will distribute our remaining assets among the holders of any other classes or series of capital stock ranking junior to the preferred stock according to their respective rights and preferences and, in each case, according to their respective number of shares. For such purposes, our consolidation or merger with or into any other corporation, trust or entity, or the sale, lease or conveyance of all or substantially all of our property or assets will not be deemed to constitute a liquidation, dissolution or winding up of our affairs.</w:t>
      </w:r>
    </w:p>
    <w:p>
      <w:pPr>
        <w:spacing w:after="0" w:line="181" w:lineRule="exact"/>
        <w:rPr>
          <w:sz w:val="20"/>
          <w:szCs w:val="20"/>
          <w:color w:val="auto"/>
        </w:rPr>
      </w:pPr>
    </w:p>
    <w:p>
      <w:pPr>
        <w:ind w:left="120" w:right="200"/>
        <w:spacing w:after="0" w:line="284" w:lineRule="auto"/>
        <w:rPr>
          <w:sz w:val="20"/>
          <w:szCs w:val="20"/>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If so provided in the applicable prospectus supplement, the preferred stock will be subject to mandatory redemption or redemption at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as a whole or in part, in each case upon the terms, at the times and at the redemption prices set forth in such prospectus supplement.</w:t>
      </w:r>
    </w:p>
    <w:p>
      <w:pPr>
        <w:spacing w:after="0" w:line="160"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prospectus supplement relating to a series of preferred stock that is subject to mandatory redemption will specify the number of shares of preferred stock that shall be redeemed by us in each year commencing after a date to be specified, at a redemption price per share to be specified, together with an amount equal to all accrued and unpaid dividends thereon to the date of redemption. Unless the shares have a cumulative dividend, such accrued dividends will not include any accumulation in respect of unpaid dividends for prior dividend periods.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We may pay the redemption price in cash or other property, as specified in the applicable prospectus supplement. If the redemption price for preferred stock of any series is payable only from the net proceeds of the issuance of shares of our capital stock, the terms of such preferred stock may provide that, if no such shares of our capital stock shall have been issued or to the extent the net proceeds from any issuance are insufficient to pay in full the aggregate redemption price then due, such preferred stock shall automatically and mandatorily be converted into the applicable shares of our capital stock pursuant to conversion provisions specified in the applicable prospectus supplement. Notwithstanding the foregoing, we will not redeem any preferred stock of a series unless:</w:t>
      </w:r>
    </w:p>
    <w:p>
      <w:pPr>
        <w:spacing w:after="0" w:line="93" w:lineRule="exact"/>
        <w:rPr>
          <w:sz w:val="20"/>
          <w:szCs w:val="20"/>
          <w:color w:val="auto"/>
        </w:rPr>
      </w:pPr>
    </w:p>
    <w:p>
      <w:pPr>
        <w:ind w:left="1080" w:right="14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that series of preferred stock has a cumulative dividend, we have declared and paid or contemporaneously declare and pay or set aside funds to pay full cumulative dividends on the preferred stock for all past dividend periods and the then current dividend period; or</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series of preferred stock does not have a cumulative dividend, we have declared and paid or contemporaneously declare and pay or set aside funds to pay full dividends for the then current dividend period.</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addition, we will not acquire any preferred stock of a series unless:</w:t>
      </w:r>
    </w:p>
    <w:p>
      <w:pPr>
        <w:spacing w:after="0" w:line="131" w:lineRule="exact"/>
        <w:rPr>
          <w:sz w:val="20"/>
          <w:szCs w:val="20"/>
          <w:color w:val="auto"/>
        </w:rPr>
      </w:pPr>
    </w:p>
    <w:p>
      <w:pPr>
        <w:ind w:left="1080" w:right="20" w:hanging="424"/>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that series of preferred stock has a cumulative dividend, we have declared and paid or contemporaneously declare and pay or set aside funds to pay full cumulative dividends on all outstanding shares of such series of preferred stock for all past dividend periods and the then current dividend period; or</w:t>
      </w:r>
    </w:p>
    <w:p>
      <w:pPr>
        <w:spacing w:after="0" w:line="81"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that series of preferred stock does not have a cumulative dividend, we have declared and paid or contemporaneously declare and pay or set aside funds to pay full dividends on the preferred stock of such series for the then current dividend period.</w:t>
      </w:r>
    </w:p>
    <w:p>
      <w:pPr>
        <w:spacing w:after="0" w:line="16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However, at any time we may purchase or acquire preferred stock of that series (1) pursuant to a purchase or exchange offer made on the same terms to holders of all outstanding preferred stock of such series or (2) by conversion into or exchange for shares of our capital stock ranking junior to the preferred stock of such series as to dividends and upon liquidation.</w:t>
      </w:r>
    </w:p>
    <w:p>
      <w:pPr>
        <w:spacing w:after="0" w:line="176" w:lineRule="exact"/>
        <w:rPr>
          <w:sz w:val="20"/>
          <w:szCs w:val="20"/>
          <w:color w:val="auto"/>
        </w:rPr>
      </w:pPr>
    </w:p>
    <w:p>
      <w:pPr>
        <w:ind w:left="120" w:right="140"/>
        <w:spacing w:after="0" w:line="289" w:lineRule="auto"/>
        <w:rPr>
          <w:sz w:val="20"/>
          <w:szCs w:val="20"/>
          <w:color w:val="auto"/>
        </w:rPr>
      </w:pPr>
      <w:r>
        <w:rPr>
          <w:rFonts w:ascii="Times New Roman" w:cs="Times New Roman" w:eastAsia="Times New Roman" w:hAnsi="Times New Roman"/>
          <w:sz w:val="17"/>
          <w:szCs w:val="17"/>
          <w:color w:val="auto"/>
        </w:rPr>
        <w:t>If fewer than all of the outstanding shares of preferred stock of any series are to be redeemed, we will determine the number of shares that may be redeemed pro rata from the holders of record of such shares in proportion to the number of such shares held or for which redemption is requested by such holder or by any other equitable manner that we determine. Such determination will reflect adjustments to avoid redemption of fractional shares.</w:t>
      </w:r>
    </w:p>
    <w:p>
      <w:pPr>
        <w:spacing w:after="0" w:line="158" w:lineRule="exact"/>
        <w:rPr>
          <w:sz w:val="20"/>
          <w:szCs w:val="20"/>
          <w:color w:val="auto"/>
        </w:rPr>
      </w:pPr>
    </w:p>
    <w:p>
      <w:pPr>
        <w:ind w:left="120" w:right="240"/>
        <w:spacing w:after="0" w:line="312" w:lineRule="auto"/>
        <w:rPr>
          <w:sz w:val="20"/>
          <w:szCs w:val="20"/>
          <w:color w:val="auto"/>
        </w:rPr>
      </w:pPr>
      <w:r>
        <w:rPr>
          <w:rFonts w:ascii="Times New Roman" w:cs="Times New Roman" w:eastAsia="Times New Roman" w:hAnsi="Times New Roman"/>
          <w:sz w:val="17"/>
          <w:szCs w:val="17"/>
          <w:color w:val="auto"/>
        </w:rPr>
        <w:t>Unless otherwise specified in the prospectus supplement, we will mail notice of redemption at least 30 days but not more than 60 days before the redemption date to each holder of record of preferred stock to be redeemed at the address shown on our stock transfer books. Each notice shall state:</w:t>
      </w:r>
    </w:p>
    <w:p>
      <w:pPr>
        <w:spacing w:after="0" w:line="45"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and series of preferred stock to be redeemed;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certificates for such preferred stock are to be surrendered for payment of the redemption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dividends on the shares to be redeemed will cease to accrue on such redemption 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holder’s conversion rights, if any, as to such shares shall terminate;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number of shares to be redeemed from each such holder if fewer than all the shares of any series are to be redeemed.</w:t>
      </w:r>
    </w:p>
    <w:p>
      <w:pPr>
        <w:spacing w:after="0" w:line="15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w:t>
      </w:r>
    </w:p>
    <w:p>
      <w:pPr>
        <w:sectPr>
          <w:pgSz w:w="11900" w:h="16838" w:orient="portrait"/>
          <w:cols w:equalWidth="0" w:num="1">
            <w:col w:w="11040"/>
          </w:cols>
          <w:pgMar w:left="320" w:top="455" w:right="5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If notice of redemption has been given and we have set aside the funds necessary for such redemption in trust for the benefit of the holders of any shares called for redemption, then from and after the redemption date, dividends will cease to accrue on such shares, and all rights of the holders of such shares will terminate, except the right to receive the redemption price.</w:t>
      </w:r>
    </w:p>
    <w:p>
      <w:pPr>
        <w:spacing w:after="0" w:line="174" w:lineRule="exact"/>
        <w:rPr>
          <w:sz w:val="20"/>
          <w:szCs w:val="20"/>
          <w:color w:val="auto"/>
        </w:rPr>
      </w:pPr>
    </w:p>
    <w:p>
      <w:pPr>
        <w:ind w:left="120" w:right="700"/>
        <w:spacing w:after="0" w:line="284"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Holders of preferred stock will not have any voting rights, except as required by law or as indicated in the applicable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supplement.</w:t>
      </w:r>
    </w:p>
    <w:p>
      <w:pPr>
        <w:spacing w:after="0" w:line="160"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Unless otherwise provided for under the terms of any series of preferred stock, no consent or vote of the holders of shares of preferred stock or any series thereof shall be required for any amendment to our certificate of incorporation that would increase the number of authorized shares of preferred stock or the number of authorized shares of any series thereof or decrease the number of authorized shares of preferred stock or the number of authorized shares of any series thereof (but not below the number of authorized shares of preferred stock or such series, as the case may be, then outstanding).</w:t>
      </w:r>
    </w:p>
    <w:p>
      <w:pPr>
        <w:spacing w:after="0" w:line="18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i w:val="1"/>
          <w:iCs w:val="1"/>
          <w:color w:val="auto"/>
        </w:rPr>
        <w:t>Conversion Rights</w:t>
      </w:r>
      <w:r>
        <w:rPr>
          <w:rFonts w:ascii="Times New Roman" w:cs="Times New Roman" w:eastAsia="Times New Roman" w:hAnsi="Times New Roman"/>
          <w:sz w:val="18"/>
          <w:szCs w:val="18"/>
          <w:color w:val="auto"/>
        </w:rPr>
        <w:t>. The terms and conditions, if any, upon which any series of preferred stock is convertible into shares of our common stock will be 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forth in the applicable prospectus supplement relating thereto. Such terms will include the number of shares of common stock into which the shares of preferred stock are convertible, the conversion price, rate or manner of calculation thereof, the conversion period, provisions as to whether conversion will be at our option or at the option of the holders of the preferred stock, the events requiring an adjustment of the conversion price and provisions affecting conversion in the event of the redemption.</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Transfer Agent and Registrar</w:t>
      </w:r>
      <w:r>
        <w:rPr>
          <w:rFonts w:ascii="Times New Roman" w:cs="Times New Roman" w:eastAsia="Times New Roman" w:hAnsi="Times New Roman"/>
          <w:sz w:val="18"/>
          <w:szCs w:val="18"/>
          <w:color w:val="auto"/>
        </w:rPr>
        <w:t>. The transfer agent and registrar for the preferred stock will be set forth in the applicable prospectus supplement.</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Delaware Anti-Takeover Law and Certain Charter and Bylaw Provisions</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Certain provisions of our certificate of incorporation, our bylaws and Delaware law may have the effect of making it more difficult for a third party to acquire, or of discouraging a third party from attempting to acquire, control of us. Such provisions could limit the price that certain investors might be willing to pay in the future for shares of our common stock and may limit the ability of stockholders to remove current management or directors or approve transactions that stockholders may deem to be in their best interest and, therefore, could adversely affect the price of our common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Delaware Law</w:t>
      </w:r>
    </w:p>
    <w:p>
      <w:pPr>
        <w:spacing w:after="0" w:line="121"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or DGCL. Subject to certain exceptions, Section 203 prevents a publicly held Delaware corporation from engaging in a “business combination” with any “interested stockholder” for three years following the date that the person became an interested stockholder, unless either the interested stockholder attained such status with the approval of our board of directors, the business combination is approved by our board of directors and stockholders in a prescribed manner or the interested stockholder acquired at least 85% of our outstanding voting stock in the transaction in which it became an interested stockholder.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Staggered Board; Removal of Directors</w:t>
      </w:r>
    </w:p>
    <w:p>
      <w:pPr>
        <w:spacing w:after="0" w:line="121"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our bylaws divide our board of directors into three classes with staggered three-year terms. In addition, our certificate of incorporation and our bylaws provide that directors may be removed only for cause and only by the affirmative vote of the holders of at least 75% of our shares of capital</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80"/>
          </w:cols>
          <w:pgMar w:left="320" w:top="455" w:right="4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stock present in person or by proxy and entitled to vote in an election of directors or class of directors. Under our certificate of incorporation and our bylaws, any vacancy on our board of directors, including a vacancy resulting from an enlargement of our board of directors, may be filled only by vote of a majority of our directors then in office. Furthermore, our certificate of incorporation provides that the authorized number of directors may be changed only by the resolution of our board of directors. The classification of our board of directors and the limitations on the ability of our stockholders to remove directors, change the authorized number of directors and fill vacancies could make it more difficult for a third party to acquire, or discourage a third party from seeking to acquire, control of our company.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Special Meeting of Stockholders; Advance Notice Requirements for Stockholder Proposals and Director Nominations</w:t>
      </w:r>
    </w:p>
    <w:p>
      <w:pPr>
        <w:spacing w:after="0" w:line="12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and our bylaws provide that any action required or permitted to be taken by our stockholders at an annual meeting or special meeting of stockholders may only be taken if it is properly brought before such meeting and may not be taken by written action in lieu of a meeting. Our certificate of incorporation and our bylaws also provide that, except as otherwise required by law, special meetings of the stockholders can only be called by our board of directors. In addition, our bylaws establish an advance notice procedure for stockholder proposals to be brought before an annual meeting of stockholders, including proposed nominations of candidates for election to our board of directors. Stockholders at an annual meeting may only consider proposals or nominations specified in the notice of meeting or brought before the meeting by or at the direction of our board of directors,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 These provisions also could discourage a third party from making a tender offer for our common stock because even if the third party acquired a majority of our outstanding voting stock, it would be able to take action as a stockholder, such as electing new directors or approving a merger, only at a duly called stockholders meeting and not by written consent.</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Super-Majority Voting</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may be amended or repealed by a majority vote of our board of directors or the affirmative vote of the holders of at least 75% of the votes that all our stockholders would be entitled to cast in any annual election of directors. In addition, the affirmative vote of the holders of at least 75% of the votes that all our stockholders would be entitled to cast in any election of directors is required to amend or repeal or to adopt any provisions inconsistent with any of the provisions of our certificate of incorporation described above.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 Selection</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shall be the sole and exclusive forum for (1) any derivative action or proceeding brought on our behalf, (2) any action asserting a claim of breach of a fiduciary duty owed by any of our directors, officers, other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This exclusive forum provision will not apply to actions arising under the Securities Act or the Exchange Act. Although our certificate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of incorporation contains the choice of forum provision described above, it is possible that a court could rule that such a provision is inapplicable for a particular claim or action or that such provision is unenforceable.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Investors’ Rights Agreement</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We have entered into an amended and restated investors’ rights agreement dated as of August 24, 2018, or the investors’ rights agreement, with certain holders of our common stock who have the right to require us to register such shares of common stock under the Securities Act under specified circumstances. We refer to the shares with these registration rights as registrable securities. After registration pursuant to these rights, the registrable securities will become freely tradable without restriction under the Securities Act.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Demand and Form S-3 Registration Rights</w:t>
      </w:r>
    </w:p>
    <w:p>
      <w:pPr>
        <w:spacing w:after="0" w:line="121"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Subject to specified limitations set forth in the investors’ rights agreement, at any time, the holders of at least 40% of the then outstanding registrable securities may demand that we register at least 40% of the registrable securities then outstanding under the Securities Act for purposes of a public offering having an aggregate offering price to the public of not less than $5.0 million. We are not obligated to file a registration statement pursuant to this provision on more than two occasions.</w:t>
      </w:r>
    </w:p>
    <w:p>
      <w:pPr>
        <w:spacing w:after="0" w:line="180"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In addition, subject to specified limitations set forth in the investors’ rights agreement, at any time after we become eligible to file a registration statement on Form S-3, the holders of at least 25% of the then outstanding registrable securities may request that we register their registrable securities on Form S-3 for purposes of a public offering for which the reasonably anticipated aggregate offering price to the public would be at least $3.0 million. We are not obligated to file a registration statement pursuant to this provision on more than two occasions in any 12-month period.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Incidental Registration Rights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If, at any time, we propose to register for our own account (including, for this purpose, a registration effected by us for stockholders who are not holders of registrable securities under the investors’ rights agreement) any of our securities under the Securities Act, the holders of registrable securities will be entitled to notice of the registration and, subject to specified exceptions, have the right to require us to use our commercially reasonable efforts to register all or a portion of the registrable securities then held by them in that registration.</w:t>
      </w:r>
    </w:p>
    <w:p>
      <w:pPr>
        <w:spacing w:after="0" w:line="180"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In the event that any registration in which the holders of registrable securities participate pursuant to our investors’ rights agreement is an underwritten public offering, we have agreed to enter into an underwriting agreement in usual and customary form and use our reasonable best efforts to facilitate such offering.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Pursuant to the investors’ rights agreement, we are required to pay all registration expenses, including all registration and filing fees, exchange listing fees, printing expenses, fees and expenses of one counsel selected by the selling stockholders to represent the selling stockholders, state Blue Sky fees and expenses, and the expense of any special audits incident to or required by any such registration, but excluding underwriting discounts, selling commissions, stock transfer taxes applicable to the sale any registrable securities and the fees and expenses of the selling stockholders’ own counsel (other than the counsel selected to represent all selling stockholders). If a registration is withdrawn at the request of the stockholders initiating the registration, then the stockholders will bear the expenses of the registration.</w:t>
      </w:r>
    </w:p>
    <w:p>
      <w:pPr>
        <w:spacing w:after="0" w:line="187"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The investors’ rights agreement contains customary cross-indemnification provisions, pursuant to which we are obligated to indemnify the selling stockholders in the event of material misstatements or omissions in the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80"/>
          </w:cols>
          <w:pgMar w:left="320" w:top="455" w:right="4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registration statement attributable to us or any violation or alleged violation whether by action or inaction by us under the Securities Act, the Exchange Act, any state securities or Blue Sky law or any rule or regulation promulgated under the Securities Act, the Exchange Act or any state securities or Blue Sky law in connection with such registration statement or the qualification or compliance of the offering, and they are obligated to indemnify us for material misstatements or omissions in the registration statement attributable to them.</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Nasdaq Global Market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“FULC.”</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00"/>
          </w:cols>
          <w:pgMar w:left="320" w:top="455" w:right="4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DEPOSITARY SHARES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We may, at our option, elect to offer fractional shares of preferred stock, which we call depositary shares, rather than full shares of preferred stock. If we do, we will issue to the public receipts, called depositary receipts, for depositary shares, each of which will represent a fraction, to be described in the applicable prospectus supplement, of a share of a particular series of preferred stock. Unless otherwise provided in the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w:t>
      </w:r>
    </w:p>
    <w:p>
      <w:pPr>
        <w:spacing w:after="0" w:line="187"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spacing w:after="0" w:line="176"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The depositary shares will be evidenced by depositary receipts issued pursuant to the deposit agreement. Holders of depositary receipts agree to be bound by the deposit agreement, which requires holders to take certain actions such as filing proof of residence with and paying certain charges to the depositary.</w:t>
      </w:r>
    </w:p>
    <w:p>
      <w:pPr>
        <w:spacing w:after="0" w:line="176"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summary of terms of the depositary shares contained in this prospectus is not a complete description of the terms of the depositary shares. You should refer to the form of the deposit agreement, our certificate of incorporation and the certificate of designation for the applicable series of preferred stock that are, or will be, filed with the SEC.</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121"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w:t>
      </w:r>
    </w:p>
    <w:p>
      <w:pPr>
        <w:spacing w:after="0" w:line="176"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Liquidation Preference</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Withdrawal of Stock</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 number of depositary shares in excess of the number of depositary shares representing the number of whole shares of preferred stock to be 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of Depositary Shares</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spacing w:after="0" w:line="187"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the Preferred Stock</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it receives specific instructions from the holders of depositary shares representing that number of shares of preferred stock.</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Charges of Depositary</w:t>
      </w:r>
    </w:p>
    <w:p>
      <w:pPr>
        <w:spacing w:after="0" w:line="121"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We will pay all transfer and other taxes and governmental charges arising solely from the existence of the depositary arrangements. We will pay the charges due to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and Termination of the Deposit Agreement</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form of depositary receipt evidencing the depositary shares and any provision of the deposit agreement may be amended by agreement between us and the depositary. However, any amendment that materially and</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60"/>
          </w:cols>
          <w:pgMar w:left="320" w:top="455" w:right="5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adversely alters the rights of the holders of depositary shares, other than fee changes, will not be effective unless the amendment has been approved by the holders of a majority of the outstanding depositary shares affected by the amendment. The deposit agreement may be terminated by the depositary or us only if:</w:t>
      </w:r>
    </w:p>
    <w:p>
      <w:pPr>
        <w:spacing w:after="0" w:line="81"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depositary shares have been redeemed; or</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final distribution of the preferred stock in connection with our dissolution and such distribution has been made to all the holders of depositary shares.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Resignation and Removal of Depositary</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of Liability</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Neither we nor the depositary will be liable if either we or it is prevented or delayed by law or any circumstance beyond its control in performing its obligations. Our obligations and those of the depositary will be limited to performance in good faith of our and their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55" w:right="4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We may issue units consisting of one or more of the other securities that may be offered under this prospectus in any combination. The following, together with the additional information we may include in any applicable prospectus supplement, summarizes the material terms and provisions of the units that we may offer under this prospectus. We may issue units in one or more series, which will be described in the applicable prospectus. While the terms summarized below will apply generally to any units we may offer, we will describe the particular terms of any series of units in more detail in the applicable prospectus supplement. If we indicate in the prospectus supplement, the terms of any units offered under that prospectus supplement may differ from the terms described below. Specific unit agreements will contain additional important terms and provisions and will be incorporated by reference as an exhibit to the registration statement that includes this prospectus.</w:t>
      </w:r>
    </w:p>
    <w:p>
      <w:pPr>
        <w:spacing w:after="0" w:line="18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units being offered, including:</w:t>
      </w:r>
    </w:p>
    <w:p>
      <w:pPr>
        <w:spacing w:after="0" w:line="131" w:lineRule="exact"/>
        <w:rPr>
          <w:sz w:val="20"/>
          <w:szCs w:val="20"/>
          <w:color w:val="auto"/>
        </w:rPr>
      </w:pPr>
    </w:p>
    <w:p>
      <w:pPr>
        <w:ind w:left="1080" w:right="28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comprising the units may be traded separately;</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any unit agent for the units, if applicable, and of any other depositaries, execution or paying agents, transfer agents, registrars or other agents;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provisions for the issuance, payment, settlement, transfer or exchange of the units or of the securities comprising the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governing unit agreement, if applicable.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may issue units in such amounts and in such numbers of distinct series as we determine.</w:t>
      </w:r>
    </w:p>
    <w:p>
      <w:pPr>
        <w:spacing w:after="0" w:line="225"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provisions described in this section, as well as those described under “Description of Debt Securities,” “Description of Capital Stock,” “Description of Depositary Shares” and “Description of Warrants” will apply to each unit, as applicable, and to any debt securities, common stock, preferred stock, depositary share or warrant included in each unit, as applicable.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 Agent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name and address of the unit agent for any units we offer will be set forth in the applicable prospectus supplement.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Units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00"/>
          </w:cols>
          <w:pgMar w:left="320" w:top="455" w:right="4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may issue warrants to purchase common stock, preferred stock, depositary shares or debt securities. We may offer warrants separately or together with one or more additional warrants, common stock, preferred stock, depositary shares or debt securities, or any combination of those securities in the form of units, as described in the applicable prospectus supplement. If we issue warrants as part of a unit, the accompanying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89" w:lineRule="exact"/>
        <w:rPr>
          <w:sz w:val="20"/>
          <w:szCs w:val="20"/>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and aggregate number of, and the offering price at which we will issue,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are to be sold separately or with other securities as parts of units;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material U.S. federal income tax consequences;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the warrant agent for the warrants and of any other depositaries, execution or paying agents, transfer agents, registrars or other agents;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listing, if any, of the warrants or any securities purchasable upon exercise of the warrants on any securities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equity securities purchasable upon exercise of the warrants;</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aggregate principal amount, currency and terms of any debt securities that may be purchased upon exercise of the warrants;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preferred stock or depositary shares with which the warrants are issued and the number of warrants issued with each security;</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any warrants issued as part of a unit and the related debt securities, preferred stock, depositary shares or common stock will be separately transferable;</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preferred stock or depositary shares purchasable upon exercise of a warrant and the price at which those shares may be purchased;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and other provisions for changes to or adjustment in the exercise price of, the warrants,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call provisions;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or exercise of the warrants.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60"/>
          </w:cols>
          <w:pgMar w:left="320" w:top="455" w:right="5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FORMS OF SECURITIES</w:t>
      </w:r>
    </w:p>
    <w:p>
      <w:pPr>
        <w:spacing w:after="0" w:line="22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Each debt security, depositary share, unit and warrant will be represented either by a certificate issued in definitive form to a particular investor or by one or more global securities representing the entire issuance of securities. Unless the applicable prospectus supplement provides otherwise,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depositary shares, units or warrants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may issue the debt securities of a particular series, depositary shares, units and warrants in the form of one or more fully registered global securities that will be deposited with a depositary or its nominee identified in the applicable prospectus supplement and registered in the name of that depositary or nominee. In those cases, one or more global securities will be issued in a denomination or aggregate denominations equal to the portion of the aggregate principal or face amount of the securities to be represented by global securities. Unless and until it is exchanged in whole for securities in definitive registered form, a global security may not be transferred except as a whole by and among the depositary for the global security, the nominees of the depositary or any successors of the depositary or those nominees.</w:t>
      </w:r>
    </w:p>
    <w:p>
      <w:pPr>
        <w:spacing w:after="0" w:line="187" w:lineRule="exact"/>
        <w:rPr>
          <w:sz w:val="20"/>
          <w:szCs w:val="20"/>
          <w:color w:val="auto"/>
        </w:rPr>
      </w:pPr>
    </w:p>
    <w:p>
      <w:pPr>
        <w:ind w:left="120" w:right="20"/>
        <w:spacing w:after="0" w:line="312" w:lineRule="auto"/>
        <w:rPr>
          <w:sz w:val="20"/>
          <w:szCs w:val="20"/>
          <w:color w:val="auto"/>
        </w:rPr>
      </w:pPr>
      <w:r>
        <w:rPr>
          <w:rFonts w:ascii="Times New Roman" w:cs="Times New Roman" w:eastAsia="Times New Roman" w:hAnsi="Times New Roman"/>
          <w:sz w:val="17"/>
          <w:szCs w:val="17"/>
          <w:color w:val="auto"/>
        </w:rPr>
        <w:t>If not described below, any specific terms of the depositary arrangement with respect to any securities to be represented by a global security will be described in the prospectus supplement relating to those securities. We anticipate that the following provisions will apply to all depositary arrangements.</w:t>
      </w:r>
    </w:p>
    <w:p>
      <w:pPr>
        <w:spacing w:after="0" w:line="140"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Ownership of beneficial interests in a global security will be limited to persons, called participants, that have accounts with the depositary or persons that may hold interests through participants. Upon the issuance of a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global securities.</w:t>
      </w:r>
    </w:p>
    <w:p>
      <w:pPr>
        <w:spacing w:after="0" w:line="19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global security, that depositary or its nominee, as the case may be, will be considered the sole owner or holder of the securities represented by the global security for all purposes under the applicable indenture, deposit agreement, warrant agreement or unit agreement. Except as described below, owners of beneficial interests in a global security will not be entitled to have the securities represented by the global security registered in their names, will not receive or be entitled to receive physical delivery of the securities in definitive form and will not be considered the owners or holders of the securities under the applicable indenture, deposit agreement, unit agreement or warrant agreement. Accordingly, each person owning a beneficial interest in a global security must rely on the procedures of the depositary for that global security and, if that person is not a participant, on the procedures of the participant through which the person owns its interest, to exercise any rights of a holder under the applicable indenture, deposit agreement, unit agreement or warrant agreement. We understand that under existing industry practices, if</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we request any action of holders or if an owner of a beneficial interest in a global security desires to give or take any action that a holder is entitled to give or take under the applicable indenture, deposit agreement, unit agreement or warrant agreement, the depositary for the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80" w:lineRule="exact"/>
        <w:rPr>
          <w:sz w:val="20"/>
          <w:szCs w:val="20"/>
          <w:color w:val="auto"/>
        </w:rPr>
      </w:pPr>
    </w:p>
    <w:p>
      <w:pPr>
        <w:ind w:left="120" w:right="100"/>
        <w:spacing w:after="0" w:line="277" w:lineRule="auto"/>
        <w:rPr>
          <w:sz w:val="20"/>
          <w:szCs w:val="20"/>
          <w:color w:val="auto"/>
        </w:rPr>
      </w:pPr>
      <w:r>
        <w:rPr>
          <w:rFonts w:ascii="Times New Roman" w:cs="Times New Roman" w:eastAsia="Times New Roman" w:hAnsi="Times New Roman"/>
          <w:sz w:val="17"/>
          <w:szCs w:val="17"/>
          <w:color w:val="auto"/>
        </w:rPr>
        <w:t>Principal, premium, if any, and interest payments on debt securities, and any payments to holders with respect to depositary shares, warrants or units, represented by a global security registered in the name of a depositary or its nominee will be made to the depositary or its nominee, as the case may be, as the registered owner of the global security. None of us, or any trustee, warrant agent, unit agent or other agent of ours, or any agent of any trustee, warrant agent or unit agent will have any responsibility or liability for any aspect of the records relating to payments made on account of beneficial ownership interests in the global security or for maintaining, supervising or reviewing any records relating to those beneficial ownership interests.</w:t>
      </w:r>
    </w:p>
    <w:p>
      <w:pPr>
        <w:spacing w:after="0" w:line="168"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expect that the depositary for any of the securities represented by a global security, upon receipt of any payment to holders of principal, premium, interest or other distribution of underlying securities or other property on that registered global security, will immediately credit participants’ accounts in amounts proportionate to their respective beneficial interests in that global security as shown on the records of the depositary. We also expect that payments by participants to owners of beneficial interests in a global security held through participants will be governed by standing customer instructions and customary practices, as is now the case with the securities held for the accounts of customers or registered in “street name,” and will be the responsibility of those participants.</w:t>
      </w:r>
    </w:p>
    <w:p>
      <w:pPr>
        <w:spacing w:after="0" w:line="187" w:lineRule="exact"/>
        <w:rPr>
          <w:sz w:val="20"/>
          <w:szCs w:val="20"/>
          <w:color w:val="auto"/>
        </w:rPr>
      </w:pPr>
    </w:p>
    <w:p>
      <w:pPr>
        <w:ind w:left="120" w:right="80"/>
        <w:spacing w:after="0" w:line="274" w:lineRule="auto"/>
        <w:rPr>
          <w:sz w:val="20"/>
          <w:szCs w:val="20"/>
          <w:color w:val="auto"/>
        </w:rPr>
      </w:pPr>
      <w:r>
        <w:rPr>
          <w:rFonts w:ascii="Times New Roman" w:cs="Times New Roman" w:eastAsia="Times New Roman" w:hAnsi="Times New Roman"/>
          <w:sz w:val="17"/>
          <w:szCs w:val="17"/>
          <w:color w:val="auto"/>
        </w:rPr>
        <w:t>If the depositary for any of the securities represented by a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global security that had been held by the depositary. Any securities issued in definitive form in exchange for a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global security that had been held by the depositary.</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00"/>
          </w:cols>
          <w:pgMar w:left="320" w:top="455" w:right="4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may sell securities:</w:t>
      </w:r>
    </w:p>
    <w:p>
      <w:pPr>
        <w:spacing w:after="0" w:line="131"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brokers or 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one or more purchasers in negotiated sales or competitively bid transactions;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block trade in which the broker or dealer engaged to handle the block trade will attempt to sell the securities as agent, but may position and resell a portion of the block as principal to facilitate the transaction;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these methods of sale.</w:t>
      </w:r>
    </w:p>
    <w:p>
      <w:pPr>
        <w:spacing w:after="0" w:line="225"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In addition, we may issue the securities as a dividend or distribution or in a subscription rights offering to our existing security holders. This prospectus may be used in connection with any offering of our securities through any of these methods or other methods described in the applicable prospectus supplement.</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w:t>
      </w:r>
    </w:p>
    <w:p>
      <w:pPr>
        <w:spacing w:after="0" w:line="131" w:lineRule="exact"/>
        <w:rPr>
          <w:sz w:val="20"/>
          <w:szCs w:val="20"/>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 from time to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The prospectus supplement with respect to the securities of a particular series will describe the terms of the offering of the securities, including the following:</w:t>
      </w:r>
    </w:p>
    <w:p>
      <w:pPr>
        <w:spacing w:after="0" w:line="67"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agent or any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or purchase price and the proceeds we will receive from the sale of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re-allowed or paid to the agent or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and commissions to be allowed or re-allowed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exchanges on which the securities will be listed.</w:t>
      </w:r>
    </w:p>
    <w:p>
      <w:pPr>
        <w:spacing w:after="0" w:line="225"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80"/>
          </w:cols>
          <w:pgMar w:left="320" w:top="455" w:right="4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a dealer is utilized in the sale of the securities in respect of which this prospectus is delivered, we will sell such securities to the dealer, as principal.</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dealer may then resell such securities to the public at varying prices to be determined by such dealer at the time of resale.</w:t>
      </w:r>
    </w:p>
    <w:p>
      <w:pPr>
        <w:spacing w:after="0" w:line="207"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76"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Remarketing firms, 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76"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93" w:lineRule="exact"/>
        <w:rPr>
          <w:sz w:val="20"/>
          <w:szCs w:val="20"/>
          <w:color w:val="auto"/>
        </w:rPr>
      </w:pPr>
    </w:p>
    <w:p>
      <w:pPr>
        <w:ind w:left="1080" w:right="14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76"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92"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162"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9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880"/>
          </w:cols>
          <w:pgMar w:left="320" w:top="455" w:right="6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Unless the applicable prospectus supplement indicates otherwise, the validity of the securities in respect of which this prospectus is being delivered will be passed upon by Goodwin Procter LLP.</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Fulcrum Therapeutics, Inc. appearing in Fulcrum Therapeutics, Inc.’s Annual Report (Form 10-K) for the year ended December 31, 2021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40"/>
          </w:cols>
          <w:pgMar w:left="320" w:top="455"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19"/>
        <w:spacing w:after="0"/>
        <w:rPr>
          <w:sz w:val="20"/>
          <w:szCs w:val="20"/>
          <w:color w:val="auto"/>
        </w:rPr>
      </w:pPr>
      <w:r>
        <w:rPr>
          <w:rFonts w:ascii="Arial" w:cs="Arial" w:eastAsia="Arial" w:hAnsi="Arial"/>
          <w:sz w:val="25"/>
          <w:szCs w:val="25"/>
          <w:color w:val="auto"/>
        </w:rPr>
        <w:t>9,615,384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337820</wp:posOffset>
            </wp:positionV>
            <wp:extent cx="2922905" cy="7289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0">
                      <a:extLst>
                        <a:ext uri="{28A0092B-C50C-407E-A947-70E740481C1C}"/>
                      </a:extLst>
                    </a:blip>
                    <a:srcRect/>
                    <a:stretch>
                      <a:fillRect/>
                    </a:stretch>
                  </pic:blipFill>
                  <pic:spPr bwMode="auto">
                    <a:xfrm>
                      <a:off x="0" y="0"/>
                      <a:ext cx="292290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19"/>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1349375</wp:posOffset>
            </wp:positionV>
            <wp:extent cx="11144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1">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321945</wp:posOffset>
            </wp:positionV>
            <wp:extent cx="11144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2">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Joint Book-Running Managers</w:t>
      </w:r>
    </w:p>
    <w:p>
      <w:pPr>
        <w:spacing w:after="0" w:line="227" w:lineRule="exact"/>
        <w:rPr>
          <w:sz w:val="20"/>
          <w:szCs w:val="20"/>
          <w:color w:val="auto"/>
        </w:rPr>
      </w:pPr>
    </w:p>
    <w:p>
      <w:pPr>
        <w:ind w:left="120"/>
        <w:spacing w:after="0"/>
        <w:tabs>
          <w:tab w:leader="none" w:pos="5020" w:val="left"/>
          <w:tab w:leader="none" w:pos="9720" w:val="left"/>
        </w:tabs>
        <w:rPr>
          <w:sz w:val="20"/>
          <w:szCs w:val="20"/>
          <w:color w:val="auto"/>
        </w:rPr>
      </w:pPr>
      <w:r>
        <w:rPr>
          <w:rFonts w:ascii="Arial" w:cs="Arial" w:eastAsia="Arial" w:hAnsi="Arial"/>
          <w:sz w:val="22"/>
          <w:szCs w:val="22"/>
          <w:b w:val="1"/>
          <w:bCs w:val="1"/>
          <w:color w:val="auto"/>
        </w:rPr>
        <w:t>Goldman Sachs &amp; Co. LLC</w:t>
      </w:r>
      <w:r>
        <w:rPr>
          <w:sz w:val="20"/>
          <w:szCs w:val="20"/>
          <w:color w:val="auto"/>
        </w:rPr>
        <w:tab/>
      </w:r>
      <w:r>
        <w:rPr>
          <w:rFonts w:ascii="Arial" w:cs="Arial" w:eastAsia="Arial" w:hAnsi="Arial"/>
          <w:sz w:val="22"/>
          <w:szCs w:val="22"/>
          <w:b w:val="1"/>
          <w:bCs w:val="1"/>
          <w:color w:val="auto"/>
        </w:rPr>
        <w:t>SVB Securities</w:t>
      </w:r>
      <w:r>
        <w:rPr>
          <w:sz w:val="20"/>
          <w:szCs w:val="20"/>
          <w:color w:val="auto"/>
        </w:rPr>
        <w:tab/>
      </w:r>
      <w:r>
        <w:rPr>
          <w:rFonts w:ascii="Arial" w:cs="Arial" w:eastAsia="Arial" w:hAnsi="Arial"/>
          <w:sz w:val="21"/>
          <w:szCs w:val="21"/>
          <w:b w:val="1"/>
          <w:bCs w:val="1"/>
          <w:color w:val="auto"/>
        </w:rPr>
        <w:t>Piper Sandler</w:t>
      </w:r>
    </w:p>
    <w:p>
      <w:pPr>
        <w:spacing w:after="0" w:line="222" w:lineRule="exact"/>
        <w:rPr>
          <w:sz w:val="20"/>
          <w:szCs w:val="20"/>
          <w:color w:val="auto"/>
        </w:rPr>
      </w:pPr>
    </w:p>
    <w:p>
      <w:pPr>
        <w:jc w:val="center"/>
        <w:ind w:right="-119"/>
        <w:spacing w:after="0"/>
        <w:rPr>
          <w:sz w:val="20"/>
          <w:szCs w:val="20"/>
          <w:color w:val="auto"/>
        </w:rPr>
      </w:pPr>
      <w:r>
        <w:rPr>
          <w:rFonts w:ascii="Arial" w:cs="Arial" w:eastAsia="Arial" w:hAnsi="Arial"/>
          <w:sz w:val="16"/>
          <w:szCs w:val="16"/>
          <w:i w:val="1"/>
          <w:iCs w:val="1"/>
          <w:color w:val="auto"/>
        </w:rPr>
        <w:t>Lead Manager</w:t>
      </w:r>
    </w:p>
    <w:p>
      <w:pPr>
        <w:spacing w:after="0" w:line="18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H.C. Wainwright &amp; Co.</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January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1303655</wp:posOffset>
            </wp:positionV>
            <wp:extent cx="69951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1372235</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1140"/>
      </w:cols>
      <w:pgMar w:left="320" w:top="45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decimal"/>
      <w:start w:val="1"/>
    </w:lvl>
  </w:abstractNum>
  <w:abstractNum w:abstractNumId="1">
    <w:nsid w:val="79838CB2"/>
    <w:multiLevelType w:val="hybridMultilevel"/>
    <w:lvl w:ilvl="0">
      <w:lvlJc w:val="left"/>
      <w:lvlText w:val="(%1)"/>
      <w:numFmt w:val="decimal"/>
      <w:start w:val="617"/>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1)"/>
      <w:numFmt w:val="lowerLetter"/>
      <w:start w:val="1"/>
    </w:lvl>
  </w:abstractNum>
  <w:abstractNum w:abstractNumId="15">
    <w:nsid w:val="6CEAF087"/>
    <w:multiLevelType w:val="hybridMultilevel"/>
    <w:lvl w:ilvl="0">
      <w:lvlJc w:val="left"/>
      <w:lvlText w:val="%1"/>
      <w:numFmt w:val="lowerRoman"/>
      <w:start w:val="1"/>
    </w:lvl>
    <w:lvl w:ilvl="1">
      <w:lvlJc w:val="left"/>
      <w:lvlText w:val="%2)"/>
      <w:numFmt w:val="lowerLetter"/>
      <w:start w:val="1"/>
    </w:lvl>
  </w:abstractNum>
  <w:abstractNum w:abstractNumId="16">
    <w:nsid w:val="22221A70"/>
    <w:multiLevelType w:val="hybridMultilevel"/>
    <w:lvl w:ilvl="0">
      <w:lvlJc w:val="left"/>
      <w:lvlText w:val="(%1)"/>
      <w:numFmt w:val="lowerRoman"/>
      <w:start w:val="1"/>
    </w:lvl>
    <w:lvl w:ilvl="1">
      <w:lvlJc w:val="left"/>
      <w:lvlText w:val="%2"/>
      <w:numFmt w:val="lowerLetter"/>
      <w:start w:val="1"/>
    </w:lvl>
  </w:abstractNum>
  <w:abstractNum w:abstractNumId="17">
    <w:nsid w:val="4516DDE9"/>
    <w:multiLevelType w:val="hybridMultilevel"/>
    <w:lvl w:ilvl="0">
      <w:lvlJc w:val="left"/>
      <w:lvlText w:val="(%1)"/>
      <w:numFmt w:val="lowerLetter"/>
      <w:start w:val="1"/>
    </w:lvl>
  </w:abstractNum>
  <w:abstractNum w:abstractNumId="18">
    <w:nsid w:val="3006C83E"/>
    <w:multiLevelType w:val="hybridMultilevel"/>
    <w:lvl w:ilvl="0">
      <w:lvlJc w:val="left"/>
      <w:lvlText w:val="(%1)"/>
      <w:numFmt w:val="lowerLetter"/>
      <w:start w:val="1"/>
    </w:lvl>
    <w:lvl w:ilvl="1">
      <w:lvlJc w:val="left"/>
      <w:lvlText w:val="(%2)"/>
      <w:numFmt w:val="lowerRoman"/>
      <w:start w:val="1"/>
    </w:lvl>
  </w:abstractNum>
  <w:abstractNum w:abstractNumId="19">
    <w:nsid w:val="614FD4A1"/>
    <w:multiLevelType w:val="hybridMultilevel"/>
    <w:lvl w:ilvl="0">
      <w:lvlJc w:val="left"/>
      <w:lvlText w:val="(%1)"/>
      <w:numFmt w:val="lowerLetter"/>
      <w:start w:val="2"/>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1)"/>
      <w:numFmt w:val="decimal"/>
      <w:start w:val="617"/>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1)"/>
      <w:numFmt w:val="decimal"/>
      <w:start w:val="617"/>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
      <w:numFmt w:val="bullet"/>
      <w:start w:val="1"/>
    </w:lvl>
  </w:abstractNum>
  <w:abstractNum w:abstractNumId="46">
    <w:nsid w:val="38437FDB"/>
    <w:multiLevelType w:val="hybridMultilevel"/>
    <w:lvl w:ilvl="0">
      <w:lvlJc w:val="left"/>
      <w:lvlText w:val="•"/>
      <w:numFmt w:val="bullet"/>
      <w:start w:val="1"/>
    </w:lvl>
  </w:abstractNum>
  <w:abstractNum w:abstractNumId="47">
    <w:nsid w:val="7644A4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74" Type="http://schemas.openxmlformats.org/officeDocument/2006/relationships/image" Target="media/image50.png"/><Relationship Id="rId75" Type="http://schemas.openxmlformats.org/officeDocument/2006/relationships/image" Target="media/image51.jpeg"/><Relationship Id="rId76" Type="http://schemas.openxmlformats.org/officeDocument/2006/relationships/image" Target="media/image52.png"/><Relationship Id="rId77" Type="http://schemas.openxmlformats.org/officeDocument/2006/relationships/image" Target="media/image53.png"/><Relationship Id="rId78" Type="http://schemas.openxmlformats.org/officeDocument/2006/relationships/image" Target="media/image54.png"/><Relationship Id="rId79" Type="http://schemas.openxmlformats.org/officeDocument/2006/relationships/image" Target="media/image55.png"/><Relationship Id="rId80" Type="http://schemas.openxmlformats.org/officeDocument/2006/relationships/image" Target="media/image56.png"/><Relationship Id="rId81" Type="http://schemas.openxmlformats.org/officeDocument/2006/relationships/image" Target="media/image57.png"/><Relationship Id="rId82" Type="http://schemas.openxmlformats.org/officeDocument/2006/relationships/image" Target="media/image58.png"/><Relationship Id="rId85" Type="http://schemas.openxmlformats.org/officeDocument/2006/relationships/image" Target="media/image59.png"/><Relationship Id="rId86" Type="http://schemas.openxmlformats.org/officeDocument/2006/relationships/image" Target="media/image60.png"/><Relationship Id="rId87" Type="http://schemas.openxmlformats.org/officeDocument/2006/relationships/image" Target="media/image61.png"/><Relationship Id="rId88" Type="http://schemas.openxmlformats.org/officeDocument/2006/relationships/image" Target="media/image62.png"/><Relationship Id="rId89" Type="http://schemas.openxmlformats.org/officeDocument/2006/relationships/image" Target="media/image63.png"/><Relationship Id="rId90" Type="http://schemas.openxmlformats.org/officeDocument/2006/relationships/image" Target="media/image64.png"/><Relationship Id="rId91" Type="http://schemas.openxmlformats.org/officeDocument/2006/relationships/image" Target="media/image65.png"/><Relationship Id="rId92" Type="http://schemas.openxmlformats.org/officeDocument/2006/relationships/image" Target="media/image66.png"/><Relationship Id="rId93" Type="http://schemas.openxmlformats.org/officeDocument/2006/relationships/image" Target="media/image67.png"/><Relationship Id="rId94" Type="http://schemas.openxmlformats.org/officeDocument/2006/relationships/image" Target="media/image68.png"/><Relationship Id="rId95" Type="http://schemas.openxmlformats.org/officeDocument/2006/relationships/image" Target="media/image69.png"/><Relationship Id="rId96" Type="http://schemas.openxmlformats.org/officeDocument/2006/relationships/image" Target="media/image70.png"/><Relationship Id="rId97" Type="http://schemas.openxmlformats.org/officeDocument/2006/relationships/image" Target="media/image71.png"/><Relationship Id="rId98" Type="http://schemas.openxmlformats.org/officeDocument/2006/relationships/image" Target="media/image72.png"/><Relationship Id="rId99" Type="http://schemas.openxmlformats.org/officeDocument/2006/relationships/image" Target="media/image73.png"/><Relationship Id="rId100" Type="http://schemas.openxmlformats.org/officeDocument/2006/relationships/image" Target="media/image74.png"/><Relationship Id="rId101" Type="http://schemas.openxmlformats.org/officeDocument/2006/relationships/image" Target="media/image75.png"/><Relationship Id="rId102" Type="http://schemas.openxmlformats.org/officeDocument/2006/relationships/image" Target="media/image76.png"/><Relationship Id="rId103" Type="http://schemas.openxmlformats.org/officeDocument/2006/relationships/image" Target="media/image77.png"/><Relationship Id="rId104" Type="http://schemas.openxmlformats.org/officeDocument/2006/relationships/image" Target="media/image78.png"/><Relationship Id="rId105" Type="http://schemas.openxmlformats.org/officeDocument/2006/relationships/image" Target="media/image79.png"/><Relationship Id="rId106" Type="http://schemas.openxmlformats.org/officeDocument/2006/relationships/image" Target="media/image80.png"/><Relationship Id="rId107" Type="http://schemas.openxmlformats.org/officeDocument/2006/relationships/image" Target="media/image81.png"/><Relationship Id="rId108" Type="http://schemas.openxmlformats.org/officeDocument/2006/relationships/image" Target="media/image82.png"/><Relationship Id="rId109" Type="http://schemas.openxmlformats.org/officeDocument/2006/relationships/image" Target="media/image83.png"/><Relationship Id="rId110" Type="http://schemas.openxmlformats.org/officeDocument/2006/relationships/image" Target="media/image84.png"/><Relationship Id="rId111" Type="http://schemas.openxmlformats.org/officeDocument/2006/relationships/image" Target="media/image85.png"/><Relationship Id="rId112" Type="http://schemas.openxmlformats.org/officeDocument/2006/relationships/image" Target="media/image86.png"/><Relationship Id="rId113" Type="http://schemas.openxmlformats.org/officeDocument/2006/relationships/image" Target="media/image87.png"/><Relationship Id="rId114" Type="http://schemas.openxmlformats.org/officeDocument/2006/relationships/image" Target="media/image88.png"/><Relationship Id="rId115" Type="http://schemas.openxmlformats.org/officeDocument/2006/relationships/image" Target="media/image89.png"/><Relationship Id="rId116" Type="http://schemas.openxmlformats.org/officeDocument/2006/relationships/image" Target="media/image90.png"/><Relationship Id="rId117" Type="http://schemas.openxmlformats.org/officeDocument/2006/relationships/image" Target="media/image91.png"/><Relationship Id="rId118" Type="http://schemas.openxmlformats.org/officeDocument/2006/relationships/image" Target="media/image92.png"/><Relationship Id="rId119" Type="http://schemas.openxmlformats.org/officeDocument/2006/relationships/image" Target="media/image93.png"/><Relationship Id="rId120" Type="http://schemas.openxmlformats.org/officeDocument/2006/relationships/image" Target="media/image94.jpeg"/><Relationship Id="rId121" Type="http://schemas.openxmlformats.org/officeDocument/2006/relationships/image" Target="media/image95.png"/><Relationship Id="rId122" Type="http://schemas.openxmlformats.org/officeDocument/2006/relationships/image" Target="media/image96.png"/><Relationship Id="rId123" Type="http://schemas.openxmlformats.org/officeDocument/2006/relationships/image" Target="media/image97.png"/><Relationship Id="rId124" Type="http://schemas.openxmlformats.org/officeDocument/2006/relationships/image" Target="media/image98.png"/><Relationship Id="rId57" Type="http://schemas.openxmlformats.org/officeDocument/2006/relationships/hyperlink" Target="http://www.sec.gov/ix?doc=/Archives/edgar/data/1680581/000095017022002727/fulc-20211231.htm" TargetMode="External"/><Relationship Id="rId58" Type="http://schemas.openxmlformats.org/officeDocument/2006/relationships/hyperlink" Target="http://www.sec.gov/Archives/edgar/data/1680581/000119312522127507/d53754ddef14a.htm" TargetMode="External"/><Relationship Id="rId59" Type="http://schemas.openxmlformats.org/officeDocument/2006/relationships/hyperlink" Target="http://www.sec.gov/ix?doc=/Archives/edgar/data/1680581/000095017022008235/fulc-20220331.htm" TargetMode="External"/><Relationship Id="rId60" Type="http://schemas.openxmlformats.org/officeDocument/2006/relationships/hyperlink" Target="http://www.sec.gov/ix?doc=/Archives/edgar/data/1680581/000095017022016644/fulc-20220630.htm" TargetMode="External"/><Relationship Id="rId61" Type="http://schemas.openxmlformats.org/officeDocument/2006/relationships/hyperlink" Target="http://www.sec.gov/ix?doc=/Archives/edgar/data/1680581/000095017022022913/fulc-20220930.htm" TargetMode="External"/><Relationship Id="rId62" Type="http://schemas.openxmlformats.org/officeDocument/2006/relationships/hyperlink" Target="http://www.sec.gov/ix?doc=/Archives/edgar/data/1680581/000119312522001760/d237013d8k.htm" TargetMode="External"/><Relationship Id="rId63" Type="http://schemas.openxmlformats.org/officeDocument/2006/relationships/hyperlink" Target="http://www.sec.gov/ix?doc=/Archives/edgar/data/1680581/000119312522005038/d157429d8k.htm" TargetMode="External"/><Relationship Id="rId64" Type="http://schemas.openxmlformats.org/officeDocument/2006/relationships/hyperlink" Target="http://www.sec.gov/ix?doc=/Archives/edgar/data/1680581/000119312522072011/d306646d8k.htm" TargetMode="External"/><Relationship Id="rId65" Type="http://schemas.openxmlformats.org/officeDocument/2006/relationships/hyperlink" Target="http://www.sec.gov/ix?doc=/Archives/edgar/data/1680581/000119312522145361/d335800d8k.htm" TargetMode="External"/><Relationship Id="rId66" Type="http://schemas.openxmlformats.org/officeDocument/2006/relationships/hyperlink" Target="http://www.sec.gov/ix?doc=/Archives/edgar/data/1680581/000119312522168375/d318754d8k.htm" TargetMode="External"/><Relationship Id="rId67" Type="http://schemas.openxmlformats.org/officeDocument/2006/relationships/hyperlink" Target="http://www.sec.gov/ix?doc=/Archives/edgar/data/1680581/000119312522171026/d334925d8k.htm" TargetMode="External"/><Relationship Id="rId68" Type="http://schemas.openxmlformats.org/officeDocument/2006/relationships/hyperlink" Target="http://www.sec.gov/ix?doc=/Archives/edgar/data/1680581/000119312522171957/d369471d8k.htm" TargetMode="External"/><Relationship Id="rId69" Type="http://schemas.openxmlformats.org/officeDocument/2006/relationships/hyperlink" Target="http://www.sec.gov/ix?doc=/Archives/edgar/data/1680581/000119312522191340/d338706d8k.htm" TargetMode="External"/><Relationship Id="rId70" Type="http://schemas.openxmlformats.org/officeDocument/2006/relationships/hyperlink" Target="http://www.sec.gov/ix?doc=/Archives/edgar/data/0001680581/000095017022016633/fulc-20220811.htm" TargetMode="External"/><Relationship Id="rId71" Type="http://schemas.openxmlformats.org/officeDocument/2006/relationships/hyperlink" Target="http://www.sec.gov/ix?doc=/Archives/edgar/data/1680581/000119312523009500/d436290d8k.htm" TargetMode="External"/><Relationship Id="rId72" Type="http://schemas.openxmlformats.org/officeDocument/2006/relationships/hyperlink" Target="http://www.sec.gov/Archives/edgar/data/1680581/000110465919040208/a19-3408_78a12b.htm" TargetMode="External"/><Relationship Id="rId73" Type="http://schemas.openxmlformats.org/officeDocument/2006/relationships/hyperlink" Target="http://www.sec.gov/Archives/edgar/data/1680581/000156459020008951/fulc-ex42_198.htm" TargetMode="External"/><Relationship Id="rId83" Type="http://schemas.openxmlformats.org/officeDocument/2006/relationships/hyperlink" Target="http://www.sec.gov/ix?doc=/Archives/edgar/data/0001680581/000119312522001760/d237013d8k.htm" TargetMode="External"/><Relationship Id="rId84" Type="http://schemas.openxmlformats.org/officeDocument/2006/relationships/hyperlink" Target="http://www.sec.gov/ix?doc=/Archives/edgar/data/0001680581/000119312522005038/d157429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2023-01-18T16:11:12Z</dcterms:created>
  <dcterms:modified xsi:type="dcterms:W3CDTF">2023-01-18T16:11:12Z</dcterms:modified>
</cp:coreProperties>
</file>