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12,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001-38978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47-4839948</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26 Landsdowne Street</w:t>
      </w:r>
    </w:p>
    <w:p>
      <w:pPr>
        <w:spacing w:after="0" w:line="3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Cambridge, Massachusetts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02139</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651-8851</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FULC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 Global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9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September 12, 2024, Fulcrum Therapeutics, Inc., or Fulcrum, issued a press release announcing topline results from its Phase 3 REACH clinical trial of losmapimod in facioscapulohumeral muscular dystrophy, or FSHD. As announced, Fulcrum’s Phase 3 REACH trial did not achieve its primary endpoint of change from baseline in relative surface area with losmapimod compared to placebo. In addition, secondary endpoints did not achieve nominal statistical significance. The safety and tolerability profile of losmapimod was consistent with previously reported studies.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filed as Exhibit 99.1 hereto and incorporated by reference herein.</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9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September 12, 2024.</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80"/>
          </w:cols>
          <w:pgMar w:left="440" w:top="293"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FULCRUM THERAPEUTICS, INC.</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12, 2024</w:t>
            </w: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 C. Sapir</w:t>
            </w:r>
          </w:p>
        </w:tc>
      </w:tr>
      <w:tr>
        <w:trPr>
          <w:trHeight w:val="205"/>
        </w:trPr>
        <w:tc>
          <w:tcPr>
            <w:tcW w:w="3700" w:type="dxa"/>
            <w:vAlign w:val="bottom"/>
          </w:tcPr>
          <w:p>
            <w:pPr>
              <w:spacing w:after="0"/>
              <w:rPr>
                <w:sz w:val="17"/>
                <w:szCs w:val="17"/>
                <w:color w:val="auto"/>
              </w:rPr>
            </w:pPr>
          </w:p>
        </w:tc>
        <w:tc>
          <w:tcPr>
            <w:tcW w:w="2460" w:type="dxa"/>
            <w:vAlign w:val="bottom"/>
          </w:tcPr>
          <w:p>
            <w:pPr>
              <w:ind w:left="18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Alex C. Sapir</w:t>
            </w:r>
          </w:p>
        </w:tc>
      </w:tr>
      <w:tr>
        <w:trPr>
          <w:trHeight w:val="234"/>
        </w:trPr>
        <w:tc>
          <w:tcPr>
            <w:tcW w:w="3700" w:type="dxa"/>
            <w:vAlign w:val="bottom"/>
          </w:tcPr>
          <w:p>
            <w:pPr>
              <w:spacing w:after="0"/>
              <w:rPr>
                <w:sz w:val="20"/>
                <w:szCs w:val="20"/>
                <w:color w:val="auto"/>
              </w:rPr>
            </w:pP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Fulcrum Therapeutics Announces Topline Results from Phase 3 REACH Clinical Trial of Losmapimod in Facioscapulohumeral Muscular Dystrophy (FSHD)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Losmapimod failed to show an improvement in relative surface area (RSA), a measure of reachable workspace (RWS), versus placebo at week 48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Fulcrum to suspend future losmapimod development —</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Robust cash position enables Fulcrum to continue its mission to develop therapies addressing diseases of high unmet need including pociredir for the</w:t>
      </w:r>
    </w:p>
    <w:p>
      <w:pPr>
        <w:spacing w:after="0" w:line="2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i w:val="1"/>
          <w:iCs w:val="1"/>
          <w:color w:val="auto"/>
        </w:rPr>
        <w:t>treatment of sickle cell disease (SCD) —</w:t>
      </w:r>
    </w:p>
    <w:p>
      <w:pPr>
        <w:spacing w:after="0" w:line="207"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CAMBRIDGE, Mass., September 12, 2024 (GLOBE NEWSWIRE) – Fulcrum Therapeutics, Inc.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(the “Company”) (Nasdaq: FULC), a clinical-stage biopharmaceutical company focused on developing small molecules to improve the lives of patients with genetically defined rare diseases, today announced that its Phase 3 REACH trial evaluating losmapimod in patients with FSHD, did not achieve its primary endpoint of change from baseline in RSA with losmapimod compared to placebo. In addition, secondary endpoints did not achieve nominal statistical significance. The safety and tolerability profile of losmapimod was consistent with previously reported studies. The Company will complete a full evaluation of the data it received this week and plans to share the results at an upcoming medical meeting.</w:t>
      </w:r>
    </w:p>
    <w:p>
      <w:pPr>
        <w:spacing w:after="0" w:line="20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deeply disappointed that the REACH trial did not replicate the clinical results observed in the Phase 2 ReDUX4 trial,” said Alex C. Sapir, Fulcrum’s president and chief executive officer. “In light of these results, we plan to suspend the losmapimod program in FSHD. We would like to thank the FSHD patients who participated in losmapimod clinical trials, their families, the investigators, the FSHD Society, and the broader FSHD community for their unwavering support for this program.”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Top-line REACH study results:</w:t>
      </w:r>
    </w:p>
    <w:p>
      <w:pPr>
        <w:spacing w:after="0" w:line="131" w:lineRule="exact"/>
        <w:rPr>
          <w:sz w:val="20"/>
          <w:szCs w:val="20"/>
          <w:color w:val="auto"/>
        </w:rPr>
      </w:pPr>
    </w:p>
    <w:p>
      <w:pPr>
        <w:ind w:left="960" w:right="520" w:hanging="424"/>
        <w:spacing w:after="0" w:line="28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Reachable Workspace (RWS)</w:t>
      </w:r>
      <w:r>
        <w:rPr>
          <w:rFonts w:ascii="Times New Roman" w:cs="Times New Roman" w:eastAsia="Times New Roman" w:hAnsi="Times New Roman"/>
          <w:sz w:val="18"/>
          <w:szCs w:val="18"/>
          <w:color w:val="auto"/>
        </w:rPr>
        <w:t>: Participants receiving losmapimod demonstrated a 0.013 (±0.007) improvement in RSA at week 48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placebo patients who showed a 0.010 (±0.007) improvement in RWS (p-value = 0.75).</w:t>
      </w:r>
    </w:p>
    <w:p>
      <w:pPr>
        <w:spacing w:after="0" w:line="60" w:lineRule="exact"/>
        <w:rPr>
          <w:rFonts w:ascii="Times New Roman" w:cs="Times New Roman" w:eastAsia="Times New Roman" w:hAnsi="Times New Roman"/>
          <w:sz w:val="18"/>
          <w:szCs w:val="18"/>
          <w:color w:val="auto"/>
        </w:rPr>
      </w:pPr>
    </w:p>
    <w:p>
      <w:pPr>
        <w:jc w:val="both"/>
        <w:ind w:left="960" w:right="80" w:hanging="424"/>
        <w:spacing w:after="0" w:line="268"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Muscle Fat Infiltration (MFI) as measured by Magnetic Resonance Imaging (MRI): </w:t>
      </w:r>
      <w:r>
        <w:rPr>
          <w:rFonts w:ascii="Times New Roman" w:cs="Times New Roman" w:eastAsia="Times New Roman" w:hAnsi="Times New Roman"/>
          <w:sz w:val="18"/>
          <w:szCs w:val="18"/>
          <w:color w:val="auto"/>
        </w:rPr>
        <w:t>Participants receiving losmapimod demonstrated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increase of 0.42% in MFI at week 48 compared to participants receiving placebo who showed an increase of 0.576% in MFI (p-value = 0.16).</w:t>
      </w:r>
    </w:p>
    <w:p>
      <w:pPr>
        <w:spacing w:after="0" w:line="76" w:lineRule="exact"/>
        <w:rPr>
          <w:rFonts w:ascii="Times New Roman" w:cs="Times New Roman" w:eastAsia="Times New Roman" w:hAnsi="Times New Roman"/>
          <w:sz w:val="18"/>
          <w:szCs w:val="18"/>
          <w:color w:val="auto"/>
        </w:rPr>
      </w:pPr>
    </w:p>
    <w:p>
      <w:pPr>
        <w:ind w:left="960" w:right="80" w:hanging="424"/>
        <w:spacing w:after="0" w:line="268"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Shoulder Abductor Strength as measured by Hand-Held Dynamometry: </w:t>
      </w:r>
      <w:r>
        <w:rPr>
          <w:rFonts w:ascii="Times New Roman" w:cs="Times New Roman" w:eastAsia="Times New Roman" w:hAnsi="Times New Roman"/>
          <w:sz w:val="18"/>
          <w:szCs w:val="18"/>
          <w:color w:val="auto"/>
        </w:rPr>
        <w:t>Participants receiving losmapimod demonstrated a 9.63%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improvement in abductor strength at week 48 compared to a 2.24% improvement in abductor strength seen in the placebo arm of the study (p-value = 0.51).</w:t>
      </w:r>
    </w:p>
    <w:p>
      <w:pPr>
        <w:spacing w:after="0" w:line="76" w:lineRule="exact"/>
        <w:rPr>
          <w:rFonts w:ascii="Times New Roman" w:cs="Times New Roman" w:eastAsia="Times New Roman" w:hAnsi="Times New Roman"/>
          <w:sz w:val="18"/>
          <w:szCs w:val="18"/>
          <w:color w:val="auto"/>
        </w:rPr>
      </w:pPr>
    </w:p>
    <w:p>
      <w:pPr>
        <w:ind w:left="960" w:right="580" w:hanging="424"/>
        <w:spacing w:after="0" w:line="28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Patient Reported Outcomes (PRO): </w:t>
      </w:r>
      <w:r>
        <w:rPr>
          <w:rFonts w:ascii="Times New Roman" w:cs="Times New Roman" w:eastAsia="Times New Roman" w:hAnsi="Times New Roman"/>
          <w:sz w:val="18"/>
          <w:szCs w:val="18"/>
          <w:color w:val="auto"/>
        </w:rPr>
        <w:t>Across the two PRO secondary endpoints in the REACH study, Patient Global Impression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(PGIC) and the Neuro QoL Upper Extremity, there were no statistically significant differences observed.</w:t>
      </w:r>
    </w:p>
    <w:p>
      <w:pPr>
        <w:spacing w:after="0" w:line="60" w:lineRule="exact"/>
        <w:rPr>
          <w:rFonts w:ascii="Times New Roman" w:cs="Times New Roman" w:eastAsia="Times New Roman" w:hAnsi="Times New Roman"/>
          <w:sz w:val="18"/>
          <w:szCs w:val="18"/>
          <w:color w:val="auto"/>
        </w:rPr>
      </w:pPr>
    </w:p>
    <w:p>
      <w:pPr>
        <w:ind w:left="960" w:right="120" w:hanging="424"/>
        <w:spacing w:after="0" w:line="28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Safety and Tolerability: </w:t>
      </w:r>
      <w:r>
        <w:rPr>
          <w:rFonts w:ascii="Times New Roman" w:cs="Times New Roman" w:eastAsia="Times New Roman" w:hAnsi="Times New Roman"/>
          <w:sz w:val="18"/>
          <w:szCs w:val="18"/>
          <w:color w:val="auto"/>
        </w:rPr>
        <w:t>The rate of treatment-related adverse events was similar in the two treatment arms, and there were no treatment-related serious adverse events in participants receiving losmapimod.</w:t>
      </w:r>
    </w:p>
    <w:p>
      <w:pPr>
        <w:spacing w:after="0" w:line="15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“These results in patients receiving losmapimod when compared to baseline were similar to those observed in our Phase 2 study,” said Dr. Pat Horn, Fulcrum’s chief medical officer. “However, in contrast to what was seen in the ReDUX4 study as well as what has been reported in other FSHD studies, the patients receiving placebo in REACH did not show a decline in functional status as measured by RWS and shoulder dynamometry over the 48 weeks of the study. As the largest interventional study ever completed in FSHD, we intend to share the full trial results with patients, study investigators, and the broader FSHD community to ensure others developing treatments for FSHD can benefit from these data.”</w:t>
      </w:r>
    </w:p>
    <w:p>
      <w:pPr>
        <w:spacing w:after="0" w:line="183"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As previously disclosed, Fulcrum had approximately $273.8 million in cash, cash equivalents, and marketable securities as of June 30, 2024. Fulcrum intends to use these resources to advance pociredir for the treatment of SCD, novel therapeutic agents for the treatment of Diamond-Blackfan Anemia (DBA), and early discovery programs.</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the REACH Trial</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REACH (NCT05397470) is a Phase 3 multi-center, randomized, double-blind, placebo-controlled trial designed to evaluate the efficacy and safety of losmapimod for the treatment of FSHD. The trial enrolled 260 patients who were randomized 1:1 to receive either losmapimod, administered orally as a 15 mg tablet twice a day, or placebo over a 48-week treatment period. The primary endpoint was the absolute change from baseline in Reachable Workspace (RWS). Secondary endpoint measurements included Muscle Fat Infiltration (MFI) as measured by MRI, shoulder abductor strength as measured by hand-held dynamometry, Patient Global Impression of Change (PGIC), and the Neuro QoL Upper Extremity.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Losmapimod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Losmapimod is a selective p38α/ß mitogen activated protein kinase (MAPK) inhibitor. Fulcrum exclusively in-licensed losmapimod from GSK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Fulcrum’s discovery of the role of p38α/ß inhibitors in the reduction of DUX4 expression and an extensive review of known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compounds. Although losmapimod had never previously been explored in muscular dystrophies, it had been evaluated in more than 3,600 subjects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trials across multiple other indications with no safety signals attributed to losmapimod. Losmapimod has been granted U.S. Food and Drug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Administration (FDA) Fast Track designation and Orphan Drug Designation for the treatment of FSHD.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FSHD</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FSHD is a serious, rare, progressive and debilitating disease for which there are no approved treatments. It is characterized by fat infiltration of skeletal muscle leading to muscular atrophy involving primarily the face, scapula and shoulders, upper arms, and abdomen. Impact on patients includes relentless and accumulating muscle and functional loss impacting their ability to perform activities of daily living, loss of upper limb function, loss of mobility and independence, and chronic pain. FSHD is one of the most common forms of muscular dystrophy and has an estimated patient population of 30,000 in the United States alone.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Fulcrum Therapeutics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Fulcrum Therapeutics is a clinical-stage biopharmaceutical company focused on developing small molecules to improve the lives of patients with genetically defined rare diseases in areas of high unmet medical need. Fulcrum’s two lead programs in clinical development are losmapimod, a small molecule in development for the treatment of facioscapulohumeral muscular dystrophy (FSHD), and pociredir, a small molecule designed to increase expression of fetal hemoglobin and in development for the treatment of sickle cell disease (SCD). Fulcrum uses proprietary technology to identify drug targets that can modulate gene expression to treat the known root cause of gene mis-expression. For more information, visit www.fulcrumtx.com and follow us on Twitter/X (@FulcrumTx) and LinkedIn.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that involve substantial risks and uncertainties. All statements, other than statements of historical fact, contained in this press release are forward-looking statements, including express or implied statements regarding suspending losmapimod development and the future of the program; completing a full evaluation of the REACH data and sharing the same; intended use of cash and cash equivalents and marketable securities; further advancement of pociredir and Fulcrum’s earlier stage program for DBA and other discovery programs; among others.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continued development of losmapimod; resuming development of losmapimod following an unsuccessful Phase 3 trial; sufficiency of Fulcrum’s cash resources; Fulcrum’s ability to advance any earlier stage product candidates in or into clinical trials; initiating and enrolling clinical trials on the timeline expected or at all; replicating in clinical trials positive results found in preclinical studies and/or earlier-stage clinical trials; obtaining, maintaining or protecting intellectual property rights related to any product candidates; obtaining and maintaining necessary approvals from the FDA and other regulatory authorities; managing expenses; managing executive and employee turnover; and raising the substantial additional capital needed to achieve its business objectives, among others. For a discussion of other risks and uncertainties, and other important factors, any of which could cause Fulcrum’s actual results to differ from those contained in the forward-looking statements, see the “Risk Factors” section, as well as discussions of potential risks, uncertainties, and other important factors, in Fulcrum’s most recent filings with the Securities and Exchange Commission. In addition, the forward-looking statements included in this press release represent Fulcrum’s views as of the date hereof and should not be relied upon as representing Fulcrum’s views as of any date subsequent to the date hereof. Fulcrum anticipates that subsequent events and developments will cause Fulcrum’s views to change. However, while Fulcrum may elect to update these forward-looking statements at some point in the future, Fulcrum specifically disclaims any obligation to do so.</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Calabrese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ccalabrese@lifesciadvisors.com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917-680-5608</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emdash "/>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2024-09-12T11:47:51Z</dcterms:created>
  <dcterms:modified xsi:type="dcterms:W3CDTF">2024-09-12T11:47:51Z</dcterms:modified>
</cp:coreProperties>
</file>