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Fulcrum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359616109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12,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359616109</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84"/>
        <w:spacing w:after="0"/>
        <w:tabs>
          <w:tab w:leader="none" w:pos="624" w:val="left"/>
        </w:tabs>
        <w:rPr>
          <w:sz w:val="20"/>
          <w:szCs w:val="20"/>
          <w:color w:val="auto"/>
        </w:rPr>
      </w:pPr>
      <w:r>
        <w:rPr>
          <w:rFonts w:ascii="Times New Roman" w:cs="Times New Roman" w:eastAsia="Times New Roman" w:hAnsi="Times New Roman"/>
          <w:sz w:val="18"/>
          <w:szCs w:val="18"/>
          <w:color w:val="auto"/>
        </w:rPr>
        <w:t>  1. </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TCG Crossover GP II, LLC</w:t>
      </w:r>
    </w:p>
    <w:p>
      <w:pPr>
        <w:spacing w:after="0" w:line="3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3.</w:t>
      </w:r>
      <w:r>
        <w:rPr>
          <w:sz w:val="20"/>
          <w:szCs w:val="20"/>
          <w:color w:val="auto"/>
        </w:rPr>
        <w:tab/>
      </w:r>
      <w:r>
        <w:rPr>
          <w:rFonts w:ascii="Times New Roman" w:cs="Times New Roman" w:eastAsia="Times New Roman" w:hAnsi="Times New Roman"/>
          <w:sz w:val="17"/>
          <w:szCs w:val="17"/>
          <w:color w:val="auto"/>
        </w:rPr>
        <w:t>SEC USE ONLY</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4.</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44"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5. </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5,000,000 (1)</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4"/>
        <w:spacing w:after="0"/>
        <w:rPr>
          <w:sz w:val="20"/>
          <w:szCs w:val="20"/>
          <w:color w:val="auto"/>
        </w:rPr>
      </w:pPr>
      <w:r>
        <w:rPr>
          <w:rFonts w:ascii="Times New Roman" w:cs="Times New Roman" w:eastAsia="Times New Roman" w:hAnsi="Times New Roman"/>
          <w:sz w:val="18"/>
          <w:szCs w:val="18"/>
          <w:color w:val="auto"/>
        </w:rPr>
        <w:t>5,000,000 (1)</w:t>
      </w:r>
    </w:p>
    <w:p>
      <w:pPr>
        <w:spacing w:after="0" w:line="36" w:lineRule="exact"/>
        <w:rPr>
          <w:sz w:val="20"/>
          <w:szCs w:val="20"/>
          <w:color w:val="auto"/>
        </w:rPr>
      </w:pPr>
    </w:p>
    <w:p>
      <w:pPr>
        <w:ind w:left="184"/>
        <w:spacing w:after="0"/>
        <w:tabs>
          <w:tab w:leader="none" w:pos="624" w:val="left"/>
        </w:tabs>
        <w:rPr>
          <w:sz w:val="20"/>
          <w:szCs w:val="20"/>
          <w:color w:val="auto"/>
        </w:rPr>
      </w:pPr>
      <w:r>
        <w:rPr>
          <w:rFonts w:ascii="Times New Roman" w:cs="Times New Roman" w:eastAsia="Times New Roman" w:hAnsi="Times New Roman"/>
          <w:sz w:val="18"/>
          <w:szCs w:val="18"/>
          <w:color w:val="auto"/>
        </w:rPr>
        <w:t>  9. </w:t>
      </w:r>
      <w:r>
        <w:rPr>
          <w:sz w:val="20"/>
          <w:szCs w:val="20"/>
          <w:color w:val="auto"/>
        </w:rPr>
        <w:tab/>
      </w:r>
      <w:r>
        <w:rPr>
          <w:rFonts w:ascii="Times New Roman" w:cs="Times New Roman" w:eastAsia="Times New Roman" w:hAnsi="Times New Roman"/>
          <w:sz w:val="17"/>
          <w:szCs w:val="17"/>
          <w:color w:val="auto"/>
        </w:rPr>
        <w:t>AGGREGATE AMOUNT BENEFICIALLY OWNED BY EACH REPORTING PERSON</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5,000,000 (1)</w:t>
      </w:r>
    </w:p>
    <w:p>
      <w:pPr>
        <w:spacing w:after="0" w:line="36" w:lineRule="exact"/>
        <w:rPr>
          <w:sz w:val="20"/>
          <w:szCs w:val="20"/>
          <w:color w:val="auto"/>
        </w:rPr>
      </w:pPr>
    </w:p>
    <w:p>
      <w:pPr>
        <w:ind w:left="644" w:hanging="415"/>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1"/>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16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53,050,770 shares of Common Stock outstanding, which is the difference of (i) 62,400,770 shares of Common Stock outstanding as of July 24, 2024, as reported by the Issuer in its Quarterly Report on Form 10-Q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July 31, 2024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9,350,000 shares of Common Stock which were exchanged for pre-funded warrants to purchase shares of Common Stock on August 21, 2024 (the “</w:t>
      </w:r>
      <w:r>
        <w:rPr>
          <w:rFonts w:ascii="Times New Roman" w:cs="Times New Roman" w:eastAsia="Times New Roman" w:hAnsi="Times New Roman"/>
          <w:sz w:val="18"/>
          <w:szCs w:val="18"/>
          <w:u w:val="single" w:color="auto"/>
          <w:color w:val="auto"/>
        </w:rPr>
        <w:t>Converted Pre-Funded Warrant Shares</w:t>
      </w:r>
      <w:r>
        <w:rPr>
          <w:rFonts w:ascii="Times New Roman" w:cs="Times New Roman" w:eastAsia="Times New Roman" w:hAnsi="Times New Roman"/>
          <w:sz w:val="18"/>
          <w:szCs w:val="18"/>
          <w:color w:val="auto"/>
        </w:rPr>
        <w:t>”), as reported by the Issuer in its Current Report on Form 8-K filed with the Commission on August 22, 2024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359616109</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84"/>
        <w:spacing w:after="0"/>
        <w:tabs>
          <w:tab w:leader="none" w:pos="624" w:val="left"/>
        </w:tabs>
        <w:rPr>
          <w:sz w:val="20"/>
          <w:szCs w:val="20"/>
          <w:color w:val="auto"/>
        </w:rPr>
      </w:pPr>
      <w:r>
        <w:rPr>
          <w:rFonts w:ascii="Times New Roman" w:cs="Times New Roman" w:eastAsia="Times New Roman" w:hAnsi="Times New Roman"/>
          <w:sz w:val="18"/>
          <w:szCs w:val="18"/>
          <w:color w:val="auto"/>
        </w:rPr>
        <w:t>  1. </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TCG Crossover Fund II, L.P.</w:t>
      </w:r>
    </w:p>
    <w:p>
      <w:pPr>
        <w:spacing w:after="0" w:line="3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3.</w:t>
      </w:r>
      <w:r>
        <w:rPr>
          <w:sz w:val="20"/>
          <w:szCs w:val="20"/>
          <w:color w:val="auto"/>
        </w:rPr>
        <w:tab/>
      </w:r>
      <w:r>
        <w:rPr>
          <w:rFonts w:ascii="Times New Roman" w:cs="Times New Roman" w:eastAsia="Times New Roman" w:hAnsi="Times New Roman"/>
          <w:sz w:val="17"/>
          <w:szCs w:val="17"/>
          <w:color w:val="auto"/>
        </w:rPr>
        <w:t>SEC USE ONLY</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4.</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44"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5. </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5,000,000 (1)</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4"/>
        <w:spacing w:after="0"/>
        <w:rPr>
          <w:sz w:val="20"/>
          <w:szCs w:val="20"/>
          <w:color w:val="auto"/>
        </w:rPr>
      </w:pPr>
      <w:r>
        <w:rPr>
          <w:rFonts w:ascii="Times New Roman" w:cs="Times New Roman" w:eastAsia="Times New Roman" w:hAnsi="Times New Roman"/>
          <w:sz w:val="18"/>
          <w:szCs w:val="18"/>
          <w:color w:val="auto"/>
        </w:rPr>
        <w:t>5,000,000 (1)</w:t>
      </w:r>
    </w:p>
    <w:p>
      <w:pPr>
        <w:spacing w:after="0" w:line="36" w:lineRule="exact"/>
        <w:rPr>
          <w:sz w:val="20"/>
          <w:szCs w:val="20"/>
          <w:color w:val="auto"/>
        </w:rPr>
      </w:pPr>
    </w:p>
    <w:p>
      <w:pPr>
        <w:ind w:left="184"/>
        <w:spacing w:after="0"/>
        <w:tabs>
          <w:tab w:leader="none" w:pos="624" w:val="left"/>
        </w:tabs>
        <w:rPr>
          <w:sz w:val="20"/>
          <w:szCs w:val="20"/>
          <w:color w:val="auto"/>
        </w:rPr>
      </w:pPr>
      <w:r>
        <w:rPr>
          <w:rFonts w:ascii="Times New Roman" w:cs="Times New Roman" w:eastAsia="Times New Roman" w:hAnsi="Times New Roman"/>
          <w:sz w:val="18"/>
          <w:szCs w:val="18"/>
          <w:color w:val="auto"/>
        </w:rPr>
        <w:t>  9. </w:t>
      </w:r>
      <w:r>
        <w:rPr>
          <w:sz w:val="20"/>
          <w:szCs w:val="20"/>
          <w:color w:val="auto"/>
        </w:rPr>
        <w:tab/>
      </w:r>
      <w:r>
        <w:rPr>
          <w:rFonts w:ascii="Times New Roman" w:cs="Times New Roman" w:eastAsia="Times New Roman" w:hAnsi="Times New Roman"/>
          <w:sz w:val="17"/>
          <w:szCs w:val="17"/>
          <w:color w:val="auto"/>
        </w:rPr>
        <w:t>AGGREGATE AMOUNT BENEFICIALLY OWNED BY EACH REPORTING PERSON</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5,000,000 (1)</w:t>
      </w:r>
    </w:p>
    <w:p>
      <w:pPr>
        <w:spacing w:after="0" w:line="36" w:lineRule="exact"/>
        <w:rPr>
          <w:sz w:val="20"/>
          <w:szCs w:val="20"/>
          <w:color w:val="auto"/>
        </w:rPr>
      </w:pPr>
    </w:p>
    <w:p>
      <w:pPr>
        <w:ind w:left="644" w:hanging="415"/>
        <w:spacing w:after="0"/>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1"/>
        <w:spacing w:after="0"/>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5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jc w:val="both"/>
        <w:ind w:left="424" w:right="16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on 53,050,770 shares of Common Stock outstanding, which is the difference of (i) 62,400,770 shares of Common Stock outstanding as of July 24, 2024, as reported by the Issuer in its Form 10-Q,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9,350,000 Converted Pre-Funded Warrant Shares as reported by the Issuer in its Form 8-K.</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359616109</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84"/>
        <w:spacing w:after="0"/>
        <w:tabs>
          <w:tab w:leader="none" w:pos="624" w:val="left"/>
        </w:tabs>
        <w:rPr>
          <w:sz w:val="20"/>
          <w:szCs w:val="20"/>
          <w:color w:val="auto"/>
        </w:rPr>
      </w:pPr>
      <w:r>
        <w:rPr>
          <w:rFonts w:ascii="Times New Roman" w:cs="Times New Roman" w:eastAsia="Times New Roman" w:hAnsi="Times New Roman"/>
          <w:sz w:val="18"/>
          <w:szCs w:val="18"/>
          <w:color w:val="auto"/>
        </w:rPr>
        <w:t>  1. </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35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Chen Yu</w:t>
      </w:r>
    </w:p>
    <w:p>
      <w:pPr>
        <w:spacing w:after="0" w:line="3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3.</w:t>
      </w:r>
      <w:r>
        <w:rPr>
          <w:sz w:val="20"/>
          <w:szCs w:val="20"/>
          <w:color w:val="auto"/>
        </w:rPr>
        <w:tab/>
      </w:r>
      <w:r>
        <w:rPr>
          <w:rFonts w:ascii="Times New Roman" w:cs="Times New Roman" w:eastAsia="Times New Roman" w:hAnsi="Times New Roman"/>
          <w:sz w:val="17"/>
          <w:szCs w:val="17"/>
          <w:color w:val="auto"/>
        </w:rPr>
        <w:t>SEC USE ONLY</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224"/>
        <w:spacing w:after="0"/>
        <w:tabs>
          <w:tab w:leader="none" w:pos="624" w:val="left"/>
        </w:tabs>
        <w:rPr>
          <w:sz w:val="20"/>
          <w:szCs w:val="20"/>
          <w:color w:val="auto"/>
        </w:rPr>
      </w:pPr>
      <w:r>
        <w:rPr>
          <w:rFonts w:ascii="Times New Roman" w:cs="Times New Roman" w:eastAsia="Times New Roman" w:hAnsi="Times New Roman"/>
          <w:sz w:val="18"/>
          <w:szCs w:val="18"/>
          <w:color w:val="auto"/>
        </w:rPr>
        <w:t>  4.</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864"/>
        <w:spacing w:after="0"/>
        <w:tabs>
          <w:tab w:leader="none" w:pos="2384" w:val="left"/>
        </w:tabs>
        <w:rPr>
          <w:sz w:val="20"/>
          <w:szCs w:val="20"/>
          <w:color w:val="auto"/>
        </w:rPr>
      </w:pPr>
      <w:r>
        <w:rPr>
          <w:rFonts w:ascii="Times New Roman" w:cs="Times New Roman" w:eastAsia="Times New Roman" w:hAnsi="Times New Roman"/>
          <w:sz w:val="18"/>
          <w:szCs w:val="18"/>
          <w:color w:val="auto"/>
        </w:rPr>
        <w:t>  5. </w:t>
      </w:r>
      <w:r>
        <w:rPr>
          <w:sz w:val="20"/>
          <w:szCs w:val="20"/>
          <w:color w:val="auto"/>
        </w:rPr>
        <w:tab/>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1"/>
                <w:szCs w:val="21"/>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5,000,000 (1)</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4"/>
        <w:spacing w:after="0"/>
        <w:rPr>
          <w:sz w:val="20"/>
          <w:szCs w:val="20"/>
          <w:color w:val="auto"/>
        </w:rPr>
      </w:pPr>
      <w:r>
        <w:rPr>
          <w:rFonts w:ascii="Times New Roman" w:cs="Times New Roman" w:eastAsia="Times New Roman" w:hAnsi="Times New Roman"/>
          <w:sz w:val="18"/>
          <w:szCs w:val="18"/>
          <w:color w:val="auto"/>
        </w:rPr>
        <w:t>5,000,000 (1)</w:t>
      </w:r>
    </w:p>
    <w:p>
      <w:pPr>
        <w:spacing w:after="0" w:line="36" w:lineRule="exact"/>
        <w:rPr>
          <w:sz w:val="20"/>
          <w:szCs w:val="20"/>
          <w:color w:val="auto"/>
        </w:rPr>
      </w:pPr>
    </w:p>
    <w:p>
      <w:pPr>
        <w:ind w:left="184"/>
        <w:spacing w:after="0"/>
        <w:tabs>
          <w:tab w:leader="none" w:pos="624" w:val="left"/>
        </w:tabs>
        <w:rPr>
          <w:sz w:val="20"/>
          <w:szCs w:val="20"/>
          <w:color w:val="auto"/>
        </w:rPr>
      </w:pPr>
      <w:r>
        <w:rPr>
          <w:rFonts w:ascii="Times New Roman" w:cs="Times New Roman" w:eastAsia="Times New Roman" w:hAnsi="Times New Roman"/>
          <w:sz w:val="18"/>
          <w:szCs w:val="18"/>
          <w:color w:val="auto"/>
        </w:rPr>
        <w:t>  9. </w:t>
      </w:r>
      <w:r>
        <w:rPr>
          <w:sz w:val="20"/>
          <w:szCs w:val="20"/>
          <w:color w:val="auto"/>
        </w:rPr>
        <w:tab/>
      </w:r>
      <w:r>
        <w:rPr>
          <w:rFonts w:ascii="Times New Roman" w:cs="Times New Roman" w:eastAsia="Times New Roman" w:hAnsi="Times New Roman"/>
          <w:sz w:val="17"/>
          <w:szCs w:val="17"/>
          <w:color w:val="auto"/>
        </w:rPr>
        <w:t>AGGREGATE AMOUNT BENEFICIALLY OWNED BY EACH REPORTING PERSON</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5,000,000 (1)</w:t>
      </w:r>
    </w:p>
    <w:p>
      <w:pPr>
        <w:spacing w:after="0" w:line="36" w:lineRule="exact"/>
        <w:rPr>
          <w:sz w:val="20"/>
          <w:szCs w:val="20"/>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1"/>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57"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jc w:val="both"/>
        <w:ind w:left="424" w:right="16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on 53,050,770 shares of Common Stock outstanding, which is the difference of (i) 62,400,770 shares of Common Stock outstanding as of July 24, 2024, as reported by the Issuer in its Form 10-Q,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9,350,000 Converted Pre-Funded Warrant Shares as reported by the Issuer in its Form 8-K.</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359616109</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joint statement on Schedule 13G is being filed by TCG Crossover Fund II, L.P. (“</w:t>
      </w:r>
      <w:r>
        <w:rPr>
          <w:rFonts w:ascii="Times New Roman" w:cs="Times New Roman" w:eastAsia="Times New Roman" w:hAnsi="Times New Roman"/>
          <w:sz w:val="18"/>
          <w:szCs w:val="18"/>
          <w:u w:val="single" w:color="auto"/>
          <w:color w:val="auto"/>
        </w:rPr>
        <w:t>TCG Crossover II</w:t>
      </w:r>
      <w:r>
        <w:rPr>
          <w:rFonts w:ascii="Times New Roman" w:cs="Times New Roman" w:eastAsia="Times New Roman" w:hAnsi="Times New Roman"/>
          <w:sz w:val="18"/>
          <w:szCs w:val="18"/>
          <w:color w:val="auto"/>
        </w:rPr>
        <w:t>”), TCG Crossover GP II, LLC (“</w:t>
      </w:r>
      <w:r>
        <w:rPr>
          <w:rFonts w:ascii="Times New Roman" w:cs="Times New Roman" w:eastAsia="Times New Roman" w:hAnsi="Times New Roman"/>
          <w:sz w:val="18"/>
          <w:szCs w:val="18"/>
          <w:u w:val="single" w:color="auto"/>
          <w:color w:val="auto"/>
        </w:rPr>
        <w:t>TCG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Crossover GP II</w:t>
      </w:r>
      <w:r>
        <w:rPr>
          <w:rFonts w:ascii="Times New Roman" w:cs="Times New Roman" w:eastAsia="Times New Roman" w:hAnsi="Times New Roman"/>
          <w:sz w:val="18"/>
          <w:szCs w:val="18"/>
          <w:color w:val="auto"/>
        </w:rPr>
        <w:t>” and together with TCG Crossover II, the “</w:t>
      </w:r>
      <w:r>
        <w:rPr>
          <w:rFonts w:ascii="Times New Roman" w:cs="Times New Roman" w:eastAsia="Times New Roman" w:hAnsi="Times New Roman"/>
          <w:sz w:val="18"/>
          <w:szCs w:val="18"/>
          <w:u w:val="single" w:color="auto"/>
          <w:color w:val="auto"/>
        </w:rPr>
        <w:t>Reporting Entities</w:t>
      </w:r>
      <w:r>
        <w:rPr>
          <w:rFonts w:ascii="Times New Roman" w:cs="Times New Roman" w:eastAsia="Times New Roman" w:hAnsi="Times New Roman"/>
          <w:sz w:val="18"/>
          <w:szCs w:val="18"/>
          <w:color w:val="auto"/>
        </w:rPr>
        <w:t>”) and Chen Yu (the “</w:t>
      </w:r>
      <w:r>
        <w:rPr>
          <w:rFonts w:ascii="Times New Roman" w:cs="Times New Roman" w:eastAsia="Times New Roman" w:hAnsi="Times New Roman"/>
          <w:sz w:val="18"/>
          <w:szCs w:val="18"/>
          <w:u w:val="single" w:color="auto"/>
          <w:color w:val="auto"/>
        </w:rPr>
        <w:t>Reporting Individual</w:t>
      </w:r>
      <w:r>
        <w:rPr>
          <w:rFonts w:ascii="Times New Roman" w:cs="Times New Roman" w:eastAsia="Times New Roman" w:hAnsi="Times New Roman"/>
          <w:sz w:val="18"/>
          <w:szCs w:val="18"/>
          <w:color w:val="auto"/>
        </w:rPr>
        <w:t>”). The Reporting Entities and the Reporting Individual are collectively referred to as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xml:space="preserve">.” The Reporting Persons expressly disclaim status as a “group” for purposes of this Schedule 13G. The agreement among the Reporting Persons to file jointly in accordance with the provisions of Rule 13d-1(k)(1) under the Act is attached to this Statement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Other than those securities reported herein as being held directly by such Reporting Person, each Reporting Person disclaims beneficial ownership of all securities reported in this Statement except to the extent of such Reporting Person’s pecuniary interest therein.</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tab/>
        <w:t>Address of Principal Business Office, or if None, Residence: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principal business office of each Reporting Person is 705 High St., Palo Alto, CA 94301.</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tab/>
        <w:t>Citizenship:</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TCG Crossover GP II is a limited liability company organized under the laws of the State of Delaware. TCG Crossover II is a limited partnership organized under the laws of the State of Delaware. The Reporting Individual is a citizen of the United States of America.</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359616109</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359616109</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9 of the cover page for each Reporting Person and the corresponding footnotes.*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11 of the cover page for each Reporting Person and the corresponding footnotes.*</w:t>
      </w:r>
    </w:p>
    <w:p>
      <w:pPr>
        <w:spacing w:after="0" w:line="225" w:lineRule="exact"/>
        <w:rPr>
          <w:sz w:val="20"/>
          <w:szCs w:val="20"/>
          <w:color w:val="auto"/>
        </w:rPr>
      </w:pPr>
    </w:p>
    <w:p>
      <w:pPr>
        <w:ind w:left="244" w:hanging="244"/>
        <w:spacing w:after="0"/>
        <w:tabs>
          <w:tab w:leader="none" w:pos="2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5 of the cover page for each Reporting Person and the corresponding footnotes.*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6 of the cover page for each Reporting Person and the corresponding footnotes.*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7 of the cover page for each Reporting Person and the corresponding footnotes.*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8 of the cover page for each Reporting Person and the corresponding footnotes.*</w:t>
      </w:r>
    </w:p>
    <w:p>
      <w:pPr>
        <w:spacing w:after="0" w:line="252" w:lineRule="exact"/>
        <w:rPr>
          <w:sz w:val="20"/>
          <w:szCs w:val="20"/>
          <w:color w:val="auto"/>
        </w:rPr>
      </w:pPr>
    </w:p>
    <w:p>
      <w:pPr>
        <w:ind w:left="224" w:right="180" w:hanging="224"/>
        <w:spacing w:after="0" w:line="282" w:lineRule="auto"/>
        <w:tabs>
          <w:tab w:leader="none" w:pos="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of his or its pecuniary interest therein, each Reporting Person disclaims beneficial ownership of such shares of Common Stock, except for the shares, if any, such Reporting Person holds of record.</w:t>
      </w:r>
    </w:p>
    <w:p>
      <w:pPr>
        <w:sectPr>
          <w:pgSz w:w="11900" w:h="16838" w:orient="portrait"/>
          <w:cols w:equalWidth="0" w:num="1">
            <w:col w:w="11024"/>
          </w:cols>
          <w:pgMar w:left="436" w:top="270" w:right="439" w:bottom="1440" w:gutter="0" w:footer="0" w:header="0"/>
        </w:sectPr>
      </w:pP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524" w:space="460"/>
            <w:col w:w="100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524" w:space="460"/>
            <w:col w:w="10040"/>
          </w:cols>
          <w:pgMar w:left="436" w:top="270" w:right="439" w:bottom="1440" w:gutter="0" w:footer="0" w:header="0"/>
          <w:type w:val="continuous"/>
        </w:sectPr>
      </w:pPr>
    </w:p>
    <w:p>
      <w:pPr>
        <w:jc w:val="both"/>
        <w:ind w:left="4" w:right="240"/>
        <w:spacing w:after="0" w:line="261" w:lineRule="auto"/>
        <w:rPr>
          <w:sz w:val="20"/>
          <w:szCs w:val="20"/>
          <w:color w:val="auto"/>
        </w:rPr>
      </w:pPr>
      <w:r>
        <w:rPr>
          <w:rFonts w:ascii="Times New Roman" w:cs="Times New Roman" w:eastAsia="Times New Roman" w:hAnsi="Times New Roman"/>
          <w:sz w:val="18"/>
          <w:szCs w:val="18"/>
          <w:color w:val="auto"/>
        </w:rPr>
        <w:t>Under certain circumstances set forth in the limited partnership agreement of TCG Crossover II and the limited liability company agreement of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ectPr>
          <w:pgSz w:w="11900" w:h="16838" w:orient="portrait"/>
          <w:cols w:equalWidth="0" w:num="1">
            <w:col w:w="11024"/>
          </w:cols>
          <w:pgMar w:left="436" w:top="270" w:right="439" w:bottom="1440" w:gutter="0" w:footer="0" w:header="0"/>
          <w:type w:val="continuous"/>
        </w:sectPr>
      </w:pP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4" w:space="460"/>
            <w:col w:w="100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4" w:space="460"/>
            <w:col w:w="100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359616109</w:t>
            </w:r>
          </w:p>
        </w:tc>
        <w:tc>
          <w:tcPr>
            <w:tcW w:w="3840" w:type="dxa"/>
            <w:vAlign w:val="bottom"/>
          </w:tcPr>
          <w:p>
            <w:pPr>
              <w:ind w:left="3520"/>
              <w:spacing w:after="0"/>
              <w:rPr>
                <w:sz w:val="20"/>
                <w:szCs w:val="20"/>
                <w:color w:val="auto"/>
              </w:rPr>
            </w:pPr>
            <w:r>
              <w:rPr>
                <w:rFonts w:ascii="Times New Roman" w:cs="Times New Roman" w:eastAsia="Times New Roman" w:hAnsi="Times New Roman"/>
                <w:sz w:val="18"/>
                <w:szCs w:val="18"/>
                <w:color w:val="auto"/>
                <w:w w:val="96"/>
              </w:rPr>
              <w:t>13G</w:t>
            </w:r>
          </w:p>
        </w:tc>
      </w:tr>
      <w:tr>
        <w:trPr>
          <w:trHeight w:val="823"/>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Notice of Dissolution of the Group.</w:t>
            </w:r>
          </w:p>
        </w:tc>
        <w:tc>
          <w:tcPr>
            <w:tcW w:w="3840" w:type="dxa"/>
            <w:vAlign w:val="bottom"/>
          </w:tcPr>
          <w:p>
            <w:pPr>
              <w:spacing w:after="0"/>
              <w:rPr>
                <w:sz w:val="24"/>
                <w:szCs w:val="24"/>
                <w:color w:val="auto"/>
              </w:rPr>
            </w:pPr>
          </w:p>
        </w:tc>
      </w:tr>
      <w:tr>
        <w:trPr>
          <w:trHeight w:val="32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840" w:type="dxa"/>
            <w:vAlign w:val="bottom"/>
          </w:tcPr>
          <w:p>
            <w:pPr>
              <w:spacing w:after="0"/>
              <w:rPr>
                <w:sz w:val="24"/>
                <w:szCs w:val="24"/>
                <w:color w:val="auto"/>
              </w:rPr>
            </w:pP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Rule 14a-11 promulgated under the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to be Filed as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 – Joint Filing Agreement.</w:t>
      </w:r>
    </w:p>
    <w:p>
      <w:pPr>
        <w:sectPr>
          <w:pgSz w:w="11900" w:h="16838" w:orient="portrait"/>
          <w:cols w:equalWidth="0" w:num="1">
            <w:col w:w="11020"/>
          </w:cols>
          <w:pgMar w:left="440" w:top="27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359616109</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Crossover Fund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Crossover GP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Craig Skaling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Crossover GP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Craig Skaling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Skaling, as attorney-in-fact for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 Yu</w:t>
      </w:r>
    </w:p>
    <w:p>
      <w:pPr>
        <w:sectPr>
          <w:pgSz w:w="11900" w:h="16838" w:orient="portrait"/>
          <w:cols w:equalWidth="0" w:num="1">
            <w:col w:w="11020"/>
          </w:cols>
          <w:pgMar w:left="440" w:top="270"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it knows or has reason to believe that such information is inaccurate or incomplete. This Joint Filing Agreement may be executed in any number of counterparts, all of which taken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Crossover Fund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Crossover GP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Craig Skaling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Crossover GP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Craig Skaling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Skaling, as attorney-in-fact for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 Yu</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lvl w:ilvl="1">
      <w:lvlJc w:val="left"/>
      <w:lvlText w:val="%2."/>
      <w:numFmt w:val="decimal"/>
      <w:start w:val="10"/>
    </w:lvl>
  </w:abstractNum>
  <w:abstractNum w:abstractNumId="5">
    <w:nsid w:val="12200854"/>
    <w:multiLevelType w:val="hybridMultilevel"/>
    <w:lvl w:ilvl="0">
      <w:lvlJc w:val="left"/>
      <w:lvlText w:val="(%1)"/>
      <w:numFmt w:val="decimal"/>
      <w:start w:val="1"/>
    </w:lvl>
    <w:lvl w:ilvl="1">
      <w:lvlJc w:val="left"/>
      <w:lvlText w:val="%2"/>
      <w:numFmt w:val="decimal"/>
      <w:start w:val="1"/>
    </w:lvl>
  </w:abstractNum>
  <w:abstractNum w:abstractNumId="6">
    <w:nsid w:val="4DB127F8"/>
    <w:multiLevelType w:val="hybridMultilevel"/>
    <w:lvl w:ilvl="0">
      <w:lvlJc w:val="left"/>
      <w:lvlText w:val="%1"/>
      <w:numFmt w:val="decimal"/>
      <w:start w:val="1"/>
    </w:lvl>
    <w:lvl w:ilvl="1">
      <w:lvlJc w:val="left"/>
      <w:lvlText w:val="%2."/>
      <w:numFmt w:val="decimal"/>
      <w:start w:val="10"/>
    </w:lvl>
  </w:abstractNum>
  <w:abstractNum w:abstractNumId="7">
    <w:nsid w:val="216231B"/>
    <w:multiLevelType w:val="hybridMultilevel"/>
    <w:lvl w:ilvl="0">
      <w:lvlJc w:val="left"/>
      <w:lvlText w:val="(%1)"/>
      <w:numFmt w:val="decimal"/>
      <w:start w:val="1"/>
    </w:lvl>
    <w:lvl w:ilvl="1">
      <w:lvlJc w:val="left"/>
      <w:lvlText w:val="%2"/>
      <w:numFmt w:val="decimal"/>
      <w:start w:val="1"/>
    </w:lvl>
  </w:abstractNum>
  <w:abstractNum w:abstractNumId="8">
    <w:nsid w:val="1F16E9E8"/>
    <w:multiLevelType w:val="hybridMultilevel"/>
    <w:lvl w:ilvl="0">
      <w:lvlJc w:val="left"/>
      <w:lvlText w:val="%1"/>
      <w:numFmt w:val="decimal"/>
      <w:start w:val="1"/>
    </w:lvl>
    <w:lvl w:ilvl="1">
      <w:lvlJc w:val="left"/>
      <w:lvlText w:val="%2."/>
      <w:numFmt w:val="decimal"/>
      <w:start w:val="10"/>
    </w:lvl>
  </w:abstractNum>
  <w:abstractNum w:abstractNumId="9">
    <w:nsid w:val="1190CDE7"/>
    <w:multiLevelType w:val="hybridMultilevel"/>
    <w:lvl w:ilvl="0">
      <w:lvlJc w:val="left"/>
      <w:lvlText w:val="(%1)"/>
      <w:numFmt w:val="decimal"/>
      <w:start w:val="1"/>
    </w:lvl>
    <w:lvl w:ilvl="1">
      <w:lvlJc w:val="left"/>
      <w:lvlText w:val="%2"/>
      <w:numFmt w:val="decimal"/>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Letter"/>
      <w:start w:val="9"/>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2024-09-20T15:38:11Z</dcterms:created>
  <dcterms:modified xsi:type="dcterms:W3CDTF">2024-09-20T15:38:11Z</dcterms:modified>
</cp:coreProperties>
</file>