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63"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1"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359616109</w:t>
            </w:r>
          </w:p>
        </w:tc>
      </w:tr>
    </w:tbl>
    <w:p>
      <w:pPr>
        <w:spacing w:after="0" w:line="202"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78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2,375,571</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2,375,571</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2,375,571</w:t>
      </w:r>
    </w:p>
    <w:p>
      <w:pPr>
        <w:spacing w:after="0" w:line="2" w:lineRule="exact"/>
        <w:rPr>
          <w:sz w:val="20"/>
          <w:szCs w:val="20"/>
          <w:color w:val="auto"/>
        </w:rPr>
      </w:pPr>
    </w:p>
    <w:p>
      <w:pPr>
        <w:spacing w:after="0"/>
        <w:tabs>
          <w:tab w:leader="none" w:pos="880" w:val="left"/>
          <w:tab w:leader="none" w:pos="103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359616109</w:t>
            </w:r>
          </w:p>
        </w:tc>
      </w:tr>
    </w:tbl>
    <w:p>
      <w:pPr>
        <w:spacing w:after="0" w:line="202" w:lineRule="exact"/>
        <w:rPr>
          <w:sz w:val="20"/>
          <w:szCs w:val="20"/>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00" w:right="786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2,375,571</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2,375,571</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520" w:type="dxa"/>
            <w:vAlign w:val="bottom"/>
          </w:tcPr>
          <w:p>
            <w:pPr>
              <w:ind w:left="340"/>
              <w:spacing w:after="0"/>
              <w:rPr>
                <w:sz w:val="20"/>
                <w:szCs w:val="20"/>
                <w:color w:val="auto"/>
              </w:rPr>
            </w:pPr>
            <w:r>
              <w:rPr>
                <w:rFonts w:ascii="Arial" w:cs="Arial" w:eastAsia="Arial" w:hAnsi="Arial"/>
                <w:sz w:val="18"/>
                <w:szCs w:val="18"/>
                <w:color w:val="auto"/>
              </w:rPr>
              <w:t>2,375,571</w:t>
            </w:r>
          </w:p>
        </w:tc>
        <w:tc>
          <w:tcPr>
            <w:tcW w:w="480" w:type="dxa"/>
            <w:vAlign w:val="bottom"/>
          </w:tcPr>
          <w:p>
            <w:pPr>
              <w:spacing w:after="0"/>
              <w:rPr>
                <w:sz w:val="20"/>
                <w:szCs w:val="20"/>
                <w:color w:val="auto"/>
              </w:rPr>
            </w:pP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10.</w:t>
            </w:r>
          </w:p>
        </w:tc>
        <w:tc>
          <w:tcPr>
            <w:tcW w:w="9520" w:type="dxa"/>
            <w:vAlign w:val="bottom"/>
          </w:tcPr>
          <w:p>
            <w:pPr>
              <w:ind w:left="340"/>
              <w:spacing w:after="0"/>
              <w:rPr>
                <w:sz w:val="20"/>
                <w:szCs w:val="20"/>
                <w:color w:val="auto"/>
              </w:rPr>
            </w:pPr>
            <w:r>
              <w:rPr>
                <w:rFonts w:ascii="Arial" w:cs="Arial" w:eastAsia="Arial" w:hAnsi="Arial"/>
                <w:sz w:val="18"/>
                <w:szCs w:val="18"/>
                <w:color w:val="auto"/>
                <w:w w:val="98"/>
              </w:rPr>
              <w:t>CHECK BOX IF THE AGGREGATE AMOUNT IN ROW (9) EXCLUDES CERTAIN SHARES (SEE INSTRUCTIONS)</w:t>
            </w:r>
          </w:p>
        </w:tc>
        <w:tc>
          <w:tcPr>
            <w:tcW w:w="48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2" w:lineRule="exact"/>
        <w:rPr>
          <w:sz w:val="20"/>
          <w:szCs w:val="20"/>
          <w:color w:val="auto"/>
        </w:rPr>
      </w:pPr>
    </w:p>
    <w:p>
      <w:pPr>
        <w:ind w:left="900" w:right="4660" w:hanging="895"/>
        <w:spacing w:after="0" w:line="50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359616109</w:t>
            </w:r>
          </w:p>
        </w:tc>
      </w:tr>
    </w:tbl>
    <w:p>
      <w:pPr>
        <w:spacing w:after="0" w:line="202"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1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900" w:hanging="89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right="6040" w:hanging="895"/>
        <w:spacing w:after="0" w:line="52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387" w:lineRule="exact"/>
        <w:rPr>
          <w:sz w:val="20"/>
          <w:szCs w:val="20"/>
          <w:color w:val="auto"/>
        </w:rPr>
      </w:pPr>
    </w:p>
    <w:p>
      <w:pPr>
        <w:ind w:left="900" w:right="78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758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2,375,571</w:t>
      </w:r>
    </w:p>
    <w:p>
      <w:pPr>
        <w:spacing w:after="0" w:line="1" w:lineRule="exact"/>
        <w:rPr>
          <w:rFonts w:ascii="Arial" w:cs="Arial" w:eastAsia="Arial" w:hAnsi="Arial"/>
          <w:sz w:val="18"/>
          <w:szCs w:val="18"/>
          <w:color w:val="auto"/>
        </w:rPr>
      </w:pPr>
    </w:p>
    <w:p>
      <w:pPr>
        <w:ind w:left="900" w:right="74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18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2,375,571</w:t>
      </w:r>
    </w:p>
    <w:p>
      <w:pPr>
        <w:spacing w:after="0" w:line="1" w:lineRule="exact"/>
        <w:rPr>
          <w:rFonts w:ascii="Arial" w:cs="Arial" w:eastAsia="Arial" w:hAnsi="Arial"/>
          <w:sz w:val="18"/>
          <w:szCs w:val="18"/>
          <w:color w:val="auto"/>
        </w:rPr>
      </w:pPr>
    </w:p>
    <w:p>
      <w:pPr>
        <w:ind w:left="900" w:right="3160" w:hanging="895"/>
        <w:spacing w:after="0" w:line="50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2,375,571</w:t>
      </w:r>
    </w:p>
    <w:p>
      <w:pPr>
        <w:spacing w:after="0" w:line="2" w:lineRule="exact"/>
        <w:rPr>
          <w:sz w:val="20"/>
          <w:szCs w:val="20"/>
          <w:color w:val="auto"/>
        </w:rPr>
      </w:pPr>
    </w:p>
    <w:p>
      <w:pPr>
        <w:spacing w:after="0"/>
        <w:tabs>
          <w:tab w:leader="none" w:pos="880" w:val="left"/>
          <w:tab w:leader="none" w:pos="103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spacing w:after="0" w:line="1" w:lineRule="exact"/>
        <w:rPr>
          <w:rFonts w:ascii="Arial" w:cs="Arial" w:eastAsia="Arial" w:hAnsi="Arial"/>
          <w:sz w:val="18"/>
          <w:szCs w:val="18"/>
          <w:color w:val="auto"/>
        </w:rPr>
      </w:pPr>
    </w:p>
    <w:p>
      <w:pPr>
        <w:ind w:left="900" w:right="5380" w:hanging="895"/>
        <w:spacing w:after="0" w:line="52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476"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60" w:type="dxa"/>
            <w:vAlign w:val="bottom"/>
          </w:tcPr>
          <w:p>
            <w:pPr>
              <w:ind w:left="100"/>
              <w:spacing w:after="0"/>
              <w:rPr>
                <w:sz w:val="20"/>
                <w:szCs w:val="20"/>
                <w:color w:val="auto"/>
              </w:rPr>
            </w:pPr>
            <w:r>
              <w:rPr>
                <w:rFonts w:ascii="Arial" w:cs="Arial" w:eastAsia="Arial" w:hAnsi="Arial"/>
                <w:sz w:val="18"/>
                <w:szCs w:val="18"/>
                <w:color w:val="auto"/>
                <w:w w:val="95"/>
              </w:rPr>
              <w:t>CUSIP No.</w:t>
            </w:r>
          </w:p>
        </w:tc>
        <w:tc>
          <w:tcPr>
            <w:tcW w:w="280" w:type="dxa"/>
            <w:vAlign w:val="bottom"/>
          </w:tcPr>
          <w:p>
            <w:pPr>
              <w:spacing w:after="0"/>
              <w:rPr>
                <w:sz w:val="20"/>
                <w:szCs w:val="20"/>
                <w:color w:val="auto"/>
              </w:rPr>
            </w:pPr>
          </w:p>
        </w:tc>
        <w:tc>
          <w:tcPr>
            <w:tcW w:w="226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99"/>
              </w:rPr>
              <w:t>359616109</w:t>
            </w:r>
          </w:p>
        </w:tc>
        <w:tc>
          <w:tcPr>
            <w:tcW w:w="7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60" w:type="dxa"/>
            <w:vAlign w:val="bottom"/>
          </w:tcPr>
          <w:p>
            <w:pPr>
              <w:ind w:left="100"/>
              <w:spacing w:after="0"/>
              <w:rPr>
                <w:sz w:val="20"/>
                <w:szCs w:val="20"/>
                <w:color w:val="auto"/>
              </w:rPr>
            </w:pPr>
            <w:r>
              <w:rPr>
                <w:rFonts w:ascii="Arial" w:cs="Arial" w:eastAsia="Arial" w:hAnsi="Arial"/>
                <w:sz w:val="18"/>
                <w:szCs w:val="18"/>
                <w:color w:val="auto"/>
              </w:rPr>
              <w:t>Item 1.</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Fulcrum Therapeutics, Inc.</w:t>
            </w:r>
          </w:p>
        </w:tc>
        <w:tc>
          <w:tcPr>
            <w:tcW w:w="0" w:type="dxa"/>
            <w:vAlign w:val="bottom"/>
          </w:tcPr>
          <w:p>
            <w:pPr>
              <w:spacing w:after="0"/>
              <w:rPr>
                <w:sz w:val="1"/>
                <w:szCs w:val="1"/>
                <w:color w:val="auto"/>
              </w:rPr>
            </w:pPr>
          </w:p>
        </w:tc>
      </w:tr>
      <w:tr>
        <w:trPr>
          <w:trHeight w:val="425"/>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26 Landsdowne Street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Cambridge, MA 02139</w:t>
            </w:r>
          </w:p>
        </w:tc>
        <w:tc>
          <w:tcPr>
            <w:tcW w:w="0" w:type="dxa"/>
            <w:vAlign w:val="bottom"/>
          </w:tcPr>
          <w:p>
            <w:pPr>
              <w:spacing w:after="0"/>
              <w:rPr>
                <w:sz w:val="1"/>
                <w:szCs w:val="1"/>
                <w:color w:val="auto"/>
              </w:rPr>
            </w:pPr>
          </w:p>
        </w:tc>
      </w:tr>
      <w:tr>
        <w:trPr>
          <w:trHeight w:val="642"/>
        </w:trPr>
        <w:tc>
          <w:tcPr>
            <w:tcW w:w="960" w:type="dxa"/>
            <w:vAlign w:val="bottom"/>
          </w:tcPr>
          <w:p>
            <w:pPr>
              <w:ind w:left="100"/>
              <w:spacing w:after="0"/>
              <w:rPr>
                <w:sz w:val="20"/>
                <w:szCs w:val="20"/>
                <w:color w:val="auto"/>
              </w:rPr>
            </w:pPr>
            <w:r>
              <w:rPr>
                <w:rFonts w:ascii="Arial" w:cs="Arial" w:eastAsia="Arial" w:hAnsi="Arial"/>
                <w:sz w:val="18"/>
                <w:szCs w:val="18"/>
                <w:color w:val="auto"/>
              </w:rPr>
              <w:t>Item 2.</w:t>
            </w: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color w:val="auto"/>
              </w:rPr>
              <w:t>(a) – (c)</w:t>
            </w:r>
          </w:p>
        </w:tc>
        <w:tc>
          <w:tcPr>
            <w:tcW w:w="9420" w:type="dxa"/>
            <w:vAlign w:val="bottom"/>
            <w:gridSpan w:val="2"/>
            <w:vMerge w:val="restart"/>
          </w:tcPr>
          <w:p>
            <w:pPr>
              <w:ind w:left="100"/>
              <w:spacing w:after="0"/>
              <w:rPr>
                <w:sz w:val="20"/>
                <w:szCs w:val="20"/>
                <w:color w:val="auto"/>
              </w:rPr>
            </w:pPr>
            <w:r>
              <w:rPr>
                <w:rFonts w:ascii="Arial" w:cs="Arial" w:eastAsia="Arial" w:hAnsi="Arial"/>
                <w:sz w:val="18"/>
                <w:szCs w:val="18"/>
                <w:color w:val="auto"/>
              </w:rPr>
              <w:t>Name, Principal Business Address, and Citizenship of Persons Filing: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Suvretta Capital Management, LLC – Delaware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Averill Master Fund, Ltd. – Cayman Islands</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Aaron Cowen – U.S.A.</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Suvretta Capital Management, LLC:</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540 Madison Avenue, 7th Floor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Averill Master Fund,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c/o Maples Corporate Services Limited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P.O. Box 309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Ugland House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Grand Cayman KY1-1104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Aaron Cowen: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c/o Suvretta Capital Management, LLC</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540 Madison Avenue, 7th Floor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Stock, par value $0.001 per share (the “Common Stock”)</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359616109</w:t>
            </w:r>
          </w:p>
        </w:tc>
        <w:tc>
          <w:tcPr>
            <w:tcW w:w="7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6" w:right="339" w:bottom="1440" w:gutter="0" w:footer="0" w:header="0"/>
        </w:sectPr>
      </w:pPr>
    </w:p>
    <w:bookmarkStart w:id="5" w:name="page6"/>
    <w:bookmarkEnd w:id="5"/>
    <w:p>
      <w:pPr>
        <w:spacing w:after="0"/>
        <w:tabs>
          <w:tab w:leader="none" w:pos="1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Bank as defined in Section 3(a)(6)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Exchange Act (15 U.S.C. 78c).</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25"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60" w:hanging="1350"/>
        <w:spacing w:after="0" w:line="277" w:lineRule="auto"/>
        <w:tabs>
          <w:tab w:leader="none" w:pos="1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820" w:hanging="910"/>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   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820" w:hanging="910"/>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820" w:right="548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2,375,571 Averill Master Fund, Ltd. – 2,375,571</w:t>
      </w:r>
    </w:p>
    <w:p>
      <w:pPr>
        <w:spacing w:after="0" w:line="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Aaron Cowen – 2,375,571</w:t>
      </w:r>
    </w:p>
    <w:p>
      <w:pPr>
        <w:spacing w:after="0" w:line="237" w:lineRule="exact"/>
        <w:rPr>
          <w:rFonts w:ascii="Arial" w:cs="Arial" w:eastAsia="Arial" w:hAnsi="Arial"/>
          <w:sz w:val="18"/>
          <w:szCs w:val="18"/>
          <w:color w:val="auto"/>
        </w:rPr>
      </w:pPr>
    </w:p>
    <w:p>
      <w:pPr>
        <w:ind w:left="1820" w:hanging="910"/>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820" w:right="584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5.9% Averill Master Fund, Ltd. – 5.9%</w:t>
      </w:r>
    </w:p>
    <w:p>
      <w:pPr>
        <w:spacing w:after="0" w:line="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Aaron Cowen – 5.9%</w:t>
      </w:r>
    </w:p>
    <w:p>
      <w:pPr>
        <w:spacing w:after="0" w:line="237" w:lineRule="exact"/>
        <w:rPr>
          <w:rFonts w:ascii="Arial" w:cs="Arial" w:eastAsia="Arial" w:hAnsi="Arial"/>
          <w:sz w:val="18"/>
          <w:szCs w:val="18"/>
          <w:color w:val="auto"/>
        </w:rPr>
      </w:pPr>
    </w:p>
    <w:p>
      <w:pPr>
        <w:ind w:left="1820" w:hanging="910"/>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720" w:hanging="906"/>
        <w:spacing w:after="0"/>
        <w:tabs>
          <w:tab w:leader="none" w:pos="2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720" w:right="522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720" w:hanging="906"/>
        <w:spacing w:after="0"/>
        <w:tabs>
          <w:tab w:leader="none" w:pos="2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720" w:right="458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2,375,571 Averill Master Fund, Ltd. – 2,375,571</w:t>
      </w:r>
    </w:p>
    <w:p>
      <w:pPr>
        <w:spacing w:after="0" w:line="1"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Aaron Cowen – 2,375,571</w:t>
      </w:r>
    </w:p>
    <w:p>
      <w:pPr>
        <w:spacing w:after="0" w:line="237" w:lineRule="exact"/>
        <w:rPr>
          <w:rFonts w:ascii="Arial" w:cs="Arial" w:eastAsia="Arial" w:hAnsi="Arial"/>
          <w:sz w:val="18"/>
          <w:szCs w:val="18"/>
          <w:color w:val="auto"/>
        </w:rPr>
      </w:pPr>
    </w:p>
    <w:p>
      <w:pPr>
        <w:ind w:left="2720" w:hanging="906"/>
        <w:spacing w:after="0"/>
        <w:tabs>
          <w:tab w:leader="none" w:pos="2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720" w:right="522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720" w:hanging="906"/>
        <w:spacing w:after="0"/>
        <w:tabs>
          <w:tab w:leader="none" w:pos="2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720" w:right="4580"/>
        <w:spacing w:after="0" w:line="299" w:lineRule="auto"/>
        <w:rPr>
          <w:rFonts w:ascii="Arial" w:cs="Arial" w:eastAsia="Arial" w:hAnsi="Arial"/>
          <w:sz w:val="18"/>
          <w:szCs w:val="18"/>
          <w:color w:val="auto"/>
        </w:rPr>
      </w:pPr>
      <w:r>
        <w:rPr>
          <w:rFonts w:ascii="Arial" w:cs="Arial" w:eastAsia="Arial" w:hAnsi="Arial"/>
          <w:sz w:val="16"/>
          <w:szCs w:val="16"/>
          <w:color w:val="auto"/>
        </w:rPr>
        <w:t>Suvretta Capital Management, LLC – 2,375,571 Averill Master Fund, Ltd. – 2,375,571</w:t>
      </w:r>
    </w:p>
    <w:p>
      <w:pPr>
        <w:spacing w:after="0" w:line="1"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Aaron Cowen – 2,375,571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-1682115</wp:posOffset>
            </wp:positionV>
            <wp:extent cx="5408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-1828165</wp:posOffset>
            </wp:positionV>
            <wp:extent cx="5408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-1973580</wp:posOffset>
            </wp:positionV>
            <wp:extent cx="5408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-2531110</wp:posOffset>
            </wp:positionV>
            <wp:extent cx="5408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-2676525</wp:posOffset>
            </wp:positionV>
            <wp:extent cx="54089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-2822575</wp:posOffset>
            </wp:positionV>
            <wp:extent cx="5408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-3653790</wp:posOffset>
            </wp:positionV>
            <wp:extent cx="5983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-3799840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-3945255</wp:posOffset>
            </wp:positionV>
            <wp:extent cx="5983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-4502785</wp:posOffset>
            </wp:positionV>
            <wp:extent cx="5983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-4648200</wp:posOffset>
            </wp:positionV>
            <wp:extent cx="5983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-4794250</wp:posOffset>
            </wp:positionV>
            <wp:extent cx="5983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14605</wp:posOffset>
            </wp:positionV>
            <wp:extent cx="54089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-130810</wp:posOffset>
            </wp:positionV>
            <wp:extent cx="54089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-276225</wp:posOffset>
            </wp:positionV>
            <wp:extent cx="5408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-833755</wp:posOffset>
            </wp:positionV>
            <wp:extent cx="5408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-979170</wp:posOffset>
            </wp:positionV>
            <wp:extent cx="54089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-1125220</wp:posOffset>
            </wp:positionV>
            <wp:extent cx="5408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177165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780"/>
          </w:cols>
          <w:pgMar w:left="420" w:top="476" w:right="69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480" w:hanging="462"/>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1480" w:right="8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144780</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*Each Reporting Person disclaims beneficial ownership over the securities reported herein except to the extent of its pecuniary interest therein.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Amendment 1 to Schedule 13G dated February 11, 2022 relating to the Common Stock, par value $0.001 per share of Fulcrum Therapeutics, Inc. shall be filed on behalf of the undersigned.</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2022-02-12T02:41:28Z</dcterms:created>
  <dcterms:modified xsi:type="dcterms:W3CDTF">2022-02-12T02:41:28Z</dcterms:modified>
</cp:coreProperties>
</file>