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64770</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83820</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4020" w:right="2080" w:hanging="4012"/>
        <w:spacing w:after="0" w:line="305" w:lineRule="auto"/>
        <w:tabs>
          <w:tab w:leader="none" w:pos="56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ind w:left="55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63"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w:t>
      </w:r>
    </w:p>
    <w:p>
      <w:pPr>
        <w:spacing w:after="0" w:line="29" w:lineRule="exact"/>
        <w:rPr>
          <w:sz w:val="24"/>
          <w:szCs w:val="24"/>
          <w:color w:val="auto"/>
        </w:rPr>
      </w:pPr>
    </w:p>
    <w:p>
      <w:pPr>
        <w:ind w:left="560"/>
        <w:spacing w:after="0"/>
        <w:tabs>
          <w:tab w:leader="none" w:pos="40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68580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64770</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45"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47-4839948</w:t>
            </w:r>
          </w:p>
        </w:tc>
      </w:tr>
      <w:tr>
        <w:trPr>
          <w:trHeight w:val="135"/>
        </w:trPr>
        <w:tc>
          <w:tcPr>
            <w:tcW w:w="4180" w:type="dxa"/>
            <w:vAlign w:val="bottom"/>
          </w:tcPr>
          <w:p>
            <w:pPr>
              <w:jc w:val="center"/>
              <w:ind w:right="200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80" w:type="dxa"/>
            <w:vAlign w:val="bottom"/>
          </w:tcPr>
          <w:p>
            <w:pPr>
              <w:jc w:val="center"/>
              <w:ind w:right="2023"/>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80" w:type="dxa"/>
            <w:vAlign w:val="bottom"/>
          </w:tcPr>
          <w:p>
            <w:pPr>
              <w:jc w:val="center"/>
              <w:ind w:right="2003"/>
              <w:spacing w:after="0"/>
              <w:rPr>
                <w:sz w:val="20"/>
                <w:szCs w:val="20"/>
                <w:color w:val="auto"/>
              </w:rPr>
            </w:pPr>
            <w:r>
              <w:rPr>
                <w:rFonts w:ascii="Arial" w:cs="Arial" w:eastAsia="Arial" w:hAnsi="Arial"/>
                <w:sz w:val="18"/>
                <w:szCs w:val="18"/>
                <w:b w:val="1"/>
                <w:bCs w:val="1"/>
                <w:color w:val="auto"/>
                <w:w w:val="88"/>
              </w:rPr>
              <w:t>26 Landsdowne Street</w:t>
            </w:r>
          </w:p>
        </w:tc>
        <w:tc>
          <w:tcPr>
            <w:tcW w:w="3060" w:type="dxa"/>
            <w:vAlign w:val="bottom"/>
          </w:tcPr>
          <w:p>
            <w:pPr>
              <w:spacing w:after="0"/>
              <w:rPr>
                <w:sz w:val="18"/>
                <w:szCs w:val="18"/>
                <w:color w:val="auto"/>
              </w:rPr>
            </w:pPr>
          </w:p>
        </w:tc>
      </w:t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89"/>
              </w:rPr>
              <w:t>Cambridge, Massachusetts</w:t>
            </w:r>
          </w:p>
        </w:tc>
        <w:tc>
          <w:tcPr>
            <w:tcW w:w="3060" w:type="dxa"/>
            <w:vAlign w:val="bottom"/>
          </w:tcPr>
          <w:p>
            <w:pPr>
              <w:jc w:val="right"/>
              <w:ind w:right="186"/>
              <w:spacing w:after="0"/>
              <w:rPr>
                <w:sz w:val="20"/>
                <w:szCs w:val="20"/>
                <w:color w:val="auto"/>
              </w:rPr>
            </w:pPr>
            <w:r>
              <w:rPr>
                <w:rFonts w:ascii="Arial" w:cs="Arial" w:eastAsia="Arial" w:hAnsi="Arial"/>
                <w:sz w:val="18"/>
                <w:szCs w:val="18"/>
                <w:b w:val="1"/>
                <w:bCs w:val="1"/>
                <w:color w:val="auto"/>
              </w:rPr>
              <w:t>02139</w:t>
            </w:r>
          </w:p>
        </w:tc>
      </w:tr>
      <w:tr>
        <w:trPr>
          <w:trHeight w:val="164"/>
        </w:trPr>
        <w:tc>
          <w:tcPr>
            <w:tcW w:w="4180" w:type="dxa"/>
            <w:vAlign w:val="bottom"/>
          </w:tcPr>
          <w:p>
            <w:pPr>
              <w:jc w:val="center"/>
              <w:ind w:right="202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77470</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4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Symbol(s)</w:t>
            </w:r>
          </w:p>
        </w:tc>
        <w:tc>
          <w:tcPr>
            <w:tcW w:w="4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FULC</w:t>
            </w:r>
          </w:p>
        </w:tc>
        <w:tc>
          <w:tcPr>
            <w:tcW w:w="120" w:type="dxa"/>
            <w:vAlign w:val="bottom"/>
          </w:tcPr>
          <w:p>
            <w:pPr>
              <w:spacing w:after="0"/>
              <w:rPr>
                <w:sz w:val="19"/>
                <w:szCs w:val="19"/>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bl>
    <w:p>
      <w:pPr>
        <w:spacing w:after="0" w:line="40"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22" w:lineRule="exact"/>
        <w:rPr>
          <w:sz w:val="24"/>
          <w:szCs w:val="24"/>
          <w:color w:val="auto"/>
        </w:rPr>
      </w:pPr>
    </w:p>
    <w:p>
      <w:pPr>
        <w:ind w:right="3240"/>
        <w:spacing w:after="0" w:line="27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ind w:right="80"/>
        <w:spacing w:after="0" w:line="20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ind w:right="100"/>
        <w:spacing w:after="0" w:line="20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jc w:val="both"/>
        <w:ind w:right="4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34" w:lineRule="exact"/>
        <w:rPr>
          <w:sz w:val="24"/>
          <w:szCs w:val="24"/>
          <w:color w:val="auto"/>
        </w:rPr>
      </w:pPr>
    </w:p>
    <w:p>
      <w:pPr>
        <w:jc w:val="both"/>
        <w:ind w:right="80"/>
        <w:spacing w:after="0" w:line="20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4" w:lineRule="exact"/>
        <w:rPr>
          <w:sz w:val="24"/>
          <w:szCs w:val="24"/>
          <w:color w:val="auto"/>
        </w:rPr>
      </w:pPr>
    </w:p>
    <w:p>
      <w:pPr>
        <w:jc w:val="both"/>
        <w:ind w:right="40"/>
        <w:spacing w:after="0" w:line="266" w:lineRule="auto"/>
        <w:rPr>
          <w:sz w:val="20"/>
          <w:szCs w:val="20"/>
          <w:color w:val="auto"/>
        </w:rPr>
      </w:pPr>
      <w:r>
        <w:rPr>
          <w:rFonts w:ascii="Arial" w:cs="Arial" w:eastAsia="Arial" w:hAnsi="Arial"/>
          <w:sz w:val="14"/>
          <w:szCs w:val="14"/>
          <w:color w:val="auto"/>
        </w:rPr>
        <w:t>As of June 28, 2019, the last business day of the registrant’s most recently completed second fiscal quarter, there was no public market for the registrant’s common stock. The registrant’s common stock began trading on the Nasdaq Global Market on July 18, 2019. As of February 28, 2020, the aggregate market value of the registrant’s common stock held by non-affiliates of the registrant, based on the closing price of the shares of common stock on the Nasdaq Global Market on February 28, 2020, was approximately $267,415,356.</w:t>
      </w:r>
    </w:p>
    <w:p>
      <w:pPr>
        <w:spacing w:after="0" w:line="5"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February 28, 2020 was 23,357,004.</w:t>
      </w:r>
    </w:p>
    <w:p>
      <w:pPr>
        <w:spacing w:after="0" w:line="40"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48" w:lineRule="exact"/>
        <w:rPr>
          <w:sz w:val="24"/>
          <w:szCs w:val="24"/>
          <w:color w:val="auto"/>
        </w:rPr>
      </w:pPr>
    </w:p>
    <w:p>
      <w:pPr>
        <w:ind w:right="140"/>
        <w:spacing w:after="0"/>
        <w:rPr>
          <w:sz w:val="20"/>
          <w:szCs w:val="20"/>
          <w:color w:val="auto"/>
        </w:rPr>
      </w:pPr>
      <w:r>
        <w:rPr>
          <w:rFonts w:ascii="Arial" w:cs="Arial" w:eastAsia="Arial" w:hAnsi="Arial"/>
          <w:sz w:val="15"/>
          <w:szCs w:val="15"/>
          <w:color w:val="auto"/>
        </w:rPr>
        <w:t>The registrant intends to file a definitive proxy statement pursuant to Regulation 14A relating to the 2020 Annual Meeting of Stockholders within 120 days of the end of the registrant’s fiscal year ended December 31, 2019. Portions of such definitive proxy statement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447675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20" w:type="dxa"/>
            <w:vAlign w:val="bottom"/>
            <w:gridSpan w:val="8"/>
          </w:tcPr>
          <w:p>
            <w:pPr>
              <w:ind w:left="54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9460" w:type="dxa"/>
            <w:vAlign w:val="bottom"/>
            <w:gridSpan w:val="20"/>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Risk Factors</w:t>
              </w:r>
            </w:hyperlink>
          </w:p>
        </w:tc>
        <w:tc>
          <w:tcPr>
            <w:tcW w:w="8540" w:type="dxa"/>
            <w:vAlign w:val="bottom"/>
            <w:gridSpan w:val="1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Unresolved Staff Comments</w:t>
              </w:r>
            </w:hyperlink>
          </w:p>
        </w:tc>
        <w:tc>
          <w:tcPr>
            <w:tcW w:w="7400" w:type="dxa"/>
            <w:vAlign w:val="bottom"/>
            <w:gridSpan w:val="11"/>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03">
              <w:r>
                <w:rPr>
                  <w:rFonts w:ascii="Arial" w:cs="Arial" w:eastAsia="Arial" w:hAnsi="Arial"/>
                  <w:sz w:val="18"/>
                  <w:szCs w:val="18"/>
                  <w:color w:val="0000EE"/>
                  <w:w w:val="87"/>
                </w:rPr>
                <w:t>Properties</w:t>
              </w:r>
            </w:hyperlink>
          </w:p>
        </w:tc>
        <w:tc>
          <w:tcPr>
            <w:tcW w:w="8720" w:type="dxa"/>
            <w:vAlign w:val="bottom"/>
            <w:gridSpan w:val="18"/>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460" w:type="dxa"/>
            <w:vAlign w:val="bottom"/>
            <w:gridSpan w:val="20"/>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460" w:type="dxa"/>
            <w:vAlign w:val="bottom"/>
            <w:gridSpan w:val="20"/>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460" w:type="dxa"/>
            <w:vAlign w:val="bottom"/>
            <w:gridSpan w:val="20"/>
          </w:tcPr>
          <w:p>
            <w:pPr>
              <w:spacing w:after="0" w:line="190" w:lineRule="exact"/>
              <w:rPr>
                <w:rFonts w:ascii="Arial" w:cs="Arial" w:eastAsia="Arial" w:hAnsi="Arial"/>
                <w:sz w:val="18"/>
                <w:szCs w:val="18"/>
                <w:color w:val="0000EE"/>
              </w:rPr>
            </w:pPr>
            <w:hyperlink w:anchor="page104">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9460" w:type="dxa"/>
            <w:vAlign w:val="bottom"/>
            <w:gridSpan w:val="20"/>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Quantitative and Qualitative Disclosures About Market Risk</w:t>
              </w:r>
            </w:hyperlink>
          </w:p>
        </w:tc>
        <w:tc>
          <w:tcPr>
            <w:tcW w:w="300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118">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510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9460" w:type="dxa"/>
            <w:vAlign w:val="bottom"/>
            <w:gridSpan w:val="20"/>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119">
              <w:r>
                <w:rPr>
                  <w:rFonts w:ascii="Arial" w:cs="Arial" w:eastAsia="Arial" w:hAnsi="Arial"/>
                  <w:sz w:val="18"/>
                  <w:szCs w:val="18"/>
                  <w:color w:val="0000EE"/>
                  <w:w w:val="88"/>
                </w:rPr>
                <w:t>Controls and Procedures</w:t>
              </w:r>
            </w:hyperlink>
          </w:p>
        </w:tc>
        <w:tc>
          <w:tcPr>
            <w:tcW w:w="4740" w:type="dxa"/>
            <w:vAlign w:val="bottom"/>
            <w:tcBorders>
              <w:top w:val="single" w:sz="8" w:color="0000EE"/>
            </w:tcBorders>
            <w:gridSpan w:val="10"/>
          </w:tcPr>
          <w:p>
            <w:pPr>
              <w:spacing w:after="0"/>
              <w:rPr>
                <w:sz w:val="18"/>
                <w:szCs w:val="18"/>
                <w:color w:val="auto"/>
              </w:rPr>
            </w:pPr>
          </w:p>
        </w:tc>
        <w:tc>
          <w:tcPr>
            <w:tcW w:w="294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460" w:type="dxa"/>
            <w:vAlign w:val="bottom"/>
            <w:gridSpan w:val="20"/>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460" w:type="dxa"/>
            <w:vAlign w:val="bottom"/>
            <w:gridSpan w:val="20"/>
          </w:tcPr>
          <w:p>
            <w:pPr>
              <w:spacing w:after="0" w:line="190" w:lineRule="exact"/>
              <w:rPr>
                <w:rFonts w:ascii="Arial" w:cs="Arial" w:eastAsia="Arial" w:hAnsi="Arial"/>
                <w:sz w:val="18"/>
                <w:szCs w:val="18"/>
                <w:color w:val="0000EE"/>
              </w:rPr>
            </w:pPr>
            <w:hyperlink w:anchor="page120">
              <w:r>
                <w:rPr>
                  <w:rFonts w:ascii="Arial" w:cs="Arial" w:eastAsia="Arial" w:hAnsi="Arial"/>
                  <w:sz w:val="18"/>
                  <w:szCs w:val="18"/>
                  <w:color w:val="0000EE"/>
                </w:rPr>
                <w:t>Directors, Executive Officers and Corporate Governance</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120">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36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460" w:type="dxa"/>
            <w:vAlign w:val="bottom"/>
            <w:gridSpan w:val="20"/>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18"/>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15"/>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Principal Accounting Fees and Services</w:t>
              </w:r>
            </w:hyperlink>
          </w:p>
        </w:tc>
        <w:tc>
          <w:tcPr>
            <w:tcW w:w="400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460" w:type="dxa"/>
            <w:vAlign w:val="bottom"/>
            <w:gridSpan w:val="20"/>
          </w:tcPr>
          <w:p>
            <w:pPr>
              <w:spacing w:after="0" w:line="190" w:lineRule="exact"/>
              <w:rPr>
                <w:rFonts w:ascii="Arial" w:cs="Arial" w:eastAsia="Arial" w:hAnsi="Arial"/>
                <w:sz w:val="18"/>
                <w:szCs w:val="18"/>
                <w:color w:val="0000EE"/>
              </w:rPr>
            </w:pPr>
            <w:hyperlink w:anchor="page121">
              <w:r>
                <w:rPr>
                  <w:rFonts w:ascii="Arial" w:cs="Arial" w:eastAsia="Arial" w:hAnsi="Arial"/>
                  <w:sz w:val="18"/>
                  <w:szCs w:val="18"/>
                  <w:color w:val="0000EE"/>
                </w:rPr>
                <w:t>Exhibits and Financial Statement Schedules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3160" w:type="dxa"/>
            <w:vAlign w:val="bottom"/>
            <w:tcBorders>
              <w:top w:val="single" w:sz="8" w:color="0000EE"/>
            </w:tcBorders>
            <w:gridSpan w:val="11"/>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Form 10-K Summary</w:t>
              </w:r>
            </w:hyperlink>
          </w:p>
        </w:tc>
        <w:tc>
          <w:tcPr>
            <w:tcW w:w="6300" w:type="dxa"/>
            <w:vAlign w:val="bottom"/>
            <w:gridSpan w:val="9"/>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0"/>
        </w:trPr>
        <w:tc>
          <w:tcPr>
            <w:tcW w:w="116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This Annual Report on Form 10-K contains forward-looking statements, which reflect our current views with respect to, among other things, our operations and financial performance.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the “Risk Factors” section and include, among other things:</w:t>
      </w:r>
    </w:p>
    <w:p>
      <w:pPr>
        <w:spacing w:after="0" w:line="87" w:lineRule="exact"/>
        <w:rPr>
          <w:sz w:val="20"/>
          <w:szCs w:val="20"/>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Phase 2b and Phase 2 open label clinical trials of losmapimod;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investigational new drug application, or IND, enabling studies and planned Phase 1 clinical trial of FTX-6058;</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960" w:right="480" w:hanging="398"/>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62"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and any other product candidates, including in combination with other drugs and therapies;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of and our ability to submit applications for, obtain and maintain regulatory approvals for losmapimod and other product candidates;</w:t>
      </w:r>
    </w:p>
    <w:p>
      <w:pPr>
        <w:spacing w:after="0" w:line="140" w:lineRule="exact"/>
        <w:rPr>
          <w:rFonts w:ascii="Arial" w:cs="Arial" w:eastAsia="Arial" w:hAnsi="Arial"/>
          <w:sz w:val="16"/>
          <w:szCs w:val="16"/>
          <w:color w:val="auto"/>
        </w:rPr>
      </w:pPr>
    </w:p>
    <w:p>
      <w:pPr>
        <w:ind w:left="960" w:hanging="398"/>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ability to fund our operating expenses and capital expenditure requirements with our cash and cash equivalents;</w:t>
      </w:r>
    </w:p>
    <w:p>
      <w:pPr>
        <w:spacing w:after="0" w:line="140" w:lineRule="exact"/>
        <w:rPr>
          <w:rFonts w:ascii="Arial" w:cs="Arial" w:eastAsia="Arial" w:hAnsi="Arial"/>
          <w:sz w:val="16"/>
          <w:szCs w:val="16"/>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results of our collaboration with Acceleron Pharma Inc.;</w:t>
      </w:r>
    </w:p>
    <w:p>
      <w:pPr>
        <w:spacing w:after="0" w:line="117" w:lineRule="exact"/>
        <w:rPr>
          <w:rFonts w:ascii="Arial" w:cs="Arial" w:eastAsia="Arial" w:hAnsi="Arial"/>
          <w:sz w:val="18"/>
          <w:szCs w:val="18"/>
          <w:color w:val="auto"/>
        </w:rPr>
      </w:pPr>
    </w:p>
    <w:p>
      <w:pPr>
        <w:ind w:left="960" w:right="140" w:hanging="398"/>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17" w:lineRule="exact"/>
        <w:rPr>
          <w:rFonts w:ascii="Arial" w:cs="Arial" w:eastAsia="Arial" w:hAnsi="Arial"/>
          <w:sz w:val="18"/>
          <w:szCs w:val="18"/>
          <w:color w:val="auto"/>
        </w:rPr>
      </w:pPr>
    </w:p>
    <w:p>
      <w:pPr>
        <w:ind w:left="960" w:right="280" w:hanging="398"/>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ind w:right="20" w:firstLine="555"/>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93"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171"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This Annual Report on Form 10-K includes statistical and other industry and market data that we obtained from industry publications and research, surveys and studies conducted by third parties as well as our own estimates of potential market opportunities. All of the market data used in this Annual Report on Form 10-K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 We initiated a randomized, double-blind placebo-controlled multicenter international Phase 2b clinical trial of losmapimod, our product candidate for FSHD, in August 2019. We also initiated in August 2019 a single center open label Phase 2 clinical trial to investigate the safety and tolerability of chronic treatment with losmapimod in patients with FSHD. The Phase 2b clinical trial and the open label Phase 2 clinical trial completed enrollment in February 2020. We commenced a Phase 1 clinical trial in February 2019 to obtain safety and tolerability data for losmapimod in healthy volunteers and patients with FSHD and announced preliminary results from this Phase 1 clinical trial in October 2019. In March 2020, we announced that we observed evidence of dose-dependent target engagement in skeletal muscle in the Phase 1 clinical trial. We plan to submit an investigational new drug application, or IND, for FTX-6058, our product candidate for certain hemoglobinopathies, in the second half of 2020.</w:t>
      </w:r>
    </w:p>
    <w:p>
      <w:pPr>
        <w:spacing w:after="0" w:line="180"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We are using our proprietary product engine to identify and validate drug targets and develop product candidates to address diseases caused by the mis-expression of certain genes. Our product engine integrates patient-derived tissue-relevant cell models and drug target screens with our pharmacologically-diverse small molecule compound library and customized CRISPR libraries. We also employ computational biology and FulcrumSeek, our proprietary database, to guide target selection and to generate hypotheses on other targets that might be relevant along a gene regulatory pathway.</w:t>
      </w:r>
    </w:p>
    <w:p>
      <w:pPr>
        <w:spacing w:after="0" w:line="154" w:lineRule="exact"/>
        <w:rPr>
          <w:sz w:val="20"/>
          <w:szCs w:val="20"/>
          <w:color w:val="auto"/>
        </w:rPr>
      </w:pPr>
    </w:p>
    <w:p>
      <w:pPr>
        <w:ind w:right="300" w:firstLine="555"/>
        <w:spacing w:after="0" w:line="293" w:lineRule="auto"/>
        <w:rPr>
          <w:sz w:val="20"/>
          <w:szCs w:val="20"/>
          <w:color w:val="auto"/>
        </w:rPr>
      </w:pPr>
      <w:r>
        <w:rPr>
          <w:rFonts w:ascii="Arial" w:cs="Arial" w:eastAsia="Arial" w:hAnsi="Arial"/>
          <w:sz w:val="16"/>
          <w:szCs w:val="16"/>
          <w:color w:val="auto"/>
        </w:rPr>
        <w:t xml:space="preserve">Our first product candidate, losmapimod, is a small molecule that we are developing for the treatment of FSHD, a rare, progressive and disabling muscle wasting disorder that leads to significant physical impairments and disability. Losmapimod selectively targets p38α/ß mitogen activated protein kinase, or p38α/ß. We utilized our product engine to discover that inhibition of p38α/ß reduced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in muscle cells derived from patients with FSHD. The mis-expression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the known root cause of FSHD. There are no approved therapies for FSHD, one of the most common forms of muscular dystrophy, with an estimated patient population of 16,000 to 38,000 in the United States. In January 2020, the U.S. Food and Drug Administration, or FDA, granted orphan drug designation to losmapimod for the treatment of FSHD.</w:t>
      </w:r>
    </w:p>
    <w:p>
      <w:pPr>
        <w:spacing w:after="0" w:line="165"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 xml:space="preserve">Following our discovery of the role of p38α/ß inhibitors in the reduction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expression, we performed an extensive review of known compounds. As a result of our evaluation, we identified losmapimod as the preferred developmental candidate based on the substantial and attractive preclinical and clinical data. We in-licensed losmapimod from affiliates of GlaxoSmithKline, or GSK, in February 2019. GSK had previously treated nearly 3,500 subjects with losmapimod across multiple clinical trials, including one Phase 3 clinical trial. GSK did not conduct a clinical trial of losmapimod in patients with FSHD or any other muscle disorder. We have conducted extensive preclinical testing of losmapimod in patient-derived tissue-relevant cell models and have observed that losmapimod selectively reduced DUX4-driven gene expression and restored a healthy gene expression signature with minimal impact on healthy human muscle cells or other cell types.</w:t>
      </w:r>
    </w:p>
    <w:p>
      <w:pPr>
        <w:spacing w:after="0" w:line="189"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We are conducting a randomized, double-blind placebo-controlled multicenter international Phase 2b clinical trial, referred to as ReDUX4, to investigate whether treatment with losmapimod reduces DUX4-driven gene expression in affected skeletal muscle. In this Phase 2b clinical trial, we are also evaluating the safety and tolerability of losmapimod. We are concurrently conducting a single center open label Phase 2 clinical trial to investigate the safety and tolerability of chronic treatment with losmapimod in patients with FSHD. In this open label trial, we are evaluating the ability of losmapimod to reduce DUX4-driven gene expression in affected skeletal muscle over varying treatment durations. We initiated ReDUX4 at multiple sites in the United States and Europe and the open label Phase 2 clinical trial in Europe in August 2019. We completed dosing in a Phase 1 clinical trial in healthy volunteers and patients with FSHD in September 2019. We presented top-line, blinded results from the Phase 1 clinical trial in October 2019, and we expect to present unblinded data in the first and second quarter of 2020. We utilized data from GSK’s clinical trials of losmapimod and our preclinical data to submit an IND, and clinical trial applications, or CTAs, in Europe and Canada, at various dates during 2019 that have enabled us to advance our clinical development plan for losmapimod in FSHD, including initiating ReDUX4 in August 2019.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right="20" w:firstLine="555"/>
        <w:spacing w:after="0" w:line="270" w:lineRule="auto"/>
        <w:rPr>
          <w:sz w:val="20"/>
          <w:szCs w:val="20"/>
          <w:color w:val="auto"/>
        </w:rPr>
      </w:pPr>
      <w:r>
        <w:rPr>
          <w:rFonts w:ascii="Arial" w:cs="Arial" w:eastAsia="Arial" w:hAnsi="Arial"/>
          <w:sz w:val="17"/>
          <w:szCs w:val="17"/>
          <w:color w:val="auto"/>
        </w:rPr>
        <w:t>We are additionally conducting several preparatory studies to assess biomarker endpoints and clinical outcome assessments and are participating in a natural history study that will follow 160 subjects with FSHD in the United States and 60 subjects in Europe over 18 months. We expect to utilize the data generated from our preparatory studies and the natural history study to inform future clinical trial designs and discussions with regulatory agencies. We believe that these preparatory studies and the safety data from GSK’s prior losmapimod clinical trials, together with safety and efficacy data generated from our Phase 1 and Phase 2 clinical trials, may enable us to apply for accelerated approval of losmapimod for the treatment of FSHD. If we observe positive results in ReDUX4 based on our proposed biomarker efficacy endpoint of measuring DUX4-driven gene expression in muscle biopsies, we plan to discuss accelerated approval with regulatory agencies and may seek accelerated approval if such regulatory agencies agree that our biomarker endpoint is sufficiently predictive of clinical benefit. The FDA or other regulatory authorities may require us to conduct comparability assessments of GSK-manufactured tablets to tablets manufactured by us or another party.</w:t>
      </w:r>
    </w:p>
    <w:p>
      <w:pPr>
        <w:spacing w:after="0" w:line="182"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color w:val="auto"/>
        </w:rPr>
        <w:t xml:space="preserve">Our second product candidate, FTX-6058, is a small molecule designed to upregulate fetal hemoglobin in patients with SCD and ß-thalassemia. SCD is a genetic blood disorder caused by a mutation in the ß-subunit gene, or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This mutation results in the formation of abnormal hemoglobin, which causes red blood cells, or RBCs, to change from a round shape into a sickle shape that significantly impairs their function. ß-thalassemia is a rare blood disorder caused by various genetic mutations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that can significantly impair the production of RBCs.</w:t>
      </w:r>
    </w:p>
    <w:p>
      <w:pPr>
        <w:spacing w:after="0" w:line="154"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 xml:space="preserve">We designed FTX-6058 to compensate for the root cause of these hemoglobinopathies by inducing the expression of the two γ-globin genes, </w:t>
      </w:r>
      <w:r>
        <w:rPr>
          <w:rFonts w:ascii="Arial" w:cs="Arial" w:eastAsia="Arial" w:hAnsi="Arial"/>
          <w:sz w:val="17"/>
          <w:szCs w:val="17"/>
          <w:i w:val="1"/>
          <w:iCs w:val="1"/>
          <w:color w:val="auto"/>
        </w:rPr>
        <w:t>HBG1/2</w:t>
      </w:r>
      <w:r>
        <w:rPr>
          <w:rFonts w:ascii="Arial" w:cs="Arial" w:eastAsia="Arial" w:hAnsi="Arial"/>
          <w:sz w:val="17"/>
          <w:szCs w:val="17"/>
          <w:color w:val="auto"/>
        </w:rPr>
        <w:t xml:space="preserve">, whose expression is normally silenced shortly after birth. The </w:t>
      </w:r>
      <w:r>
        <w:rPr>
          <w:rFonts w:ascii="Arial" w:cs="Arial" w:eastAsia="Arial" w:hAnsi="Arial"/>
          <w:sz w:val="17"/>
          <w:szCs w:val="17"/>
          <w:i w:val="1"/>
          <w:iCs w:val="1"/>
          <w:color w:val="auto"/>
        </w:rPr>
        <w:t>HBG1/2</w:t>
      </w:r>
      <w:r>
        <w:rPr>
          <w:rFonts w:ascii="Arial" w:cs="Arial" w:eastAsia="Arial" w:hAnsi="Arial"/>
          <w:sz w:val="17"/>
          <w:szCs w:val="17"/>
          <w:color w:val="auto"/>
        </w:rPr>
        <w:t xml:space="preserve"> genes encode for γ-globin, a component of fetal hemoglobin, which is known to compensate for the presence of abnormal hemoglobin in SCD and ß-thalassemia. We have observed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activation of the </w:t>
      </w:r>
      <w:r>
        <w:rPr>
          <w:rFonts w:ascii="Arial" w:cs="Arial" w:eastAsia="Arial" w:hAnsi="Arial"/>
          <w:sz w:val="17"/>
          <w:szCs w:val="17"/>
          <w:i w:val="1"/>
          <w:iCs w:val="1"/>
          <w:color w:val="auto"/>
        </w:rPr>
        <w:t>HBG1/2</w:t>
      </w:r>
      <w:r>
        <w:rPr>
          <w:rFonts w:ascii="Arial" w:cs="Arial" w:eastAsia="Arial" w:hAnsi="Arial"/>
          <w:sz w:val="17"/>
          <w:szCs w:val="17"/>
          <w:color w:val="auto"/>
        </w:rPr>
        <w:t xml:space="preserve"> genes in preclinical studies with FTX-6058. We have also observed that FTX-6058 demonstrated robust levels of fetal hemoglobin elevation with no adverse effect on important cellular health markers. We conducted additional pre-clinical profiling in CD34+ derived cells and observed that treatment with FTX-6058 increased HbF levels to approximately 30% of total hemoglobin, as measured by mass spectrometry, high performance liquid chromatography, and fast protein liquid chromatography techniques. The elevation of HbF was significantly greater than we observed with hydroxyurea in the cell models. We have initiated IND-enabling studies and plan to submit an IND for FTX-6058 in the second half of 2020.</w:t>
      </w:r>
    </w:p>
    <w:p>
      <w:pPr>
        <w:spacing w:after="0" w:line="179"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 xml:space="preserve">According to the National Institutes of Health, or NIH, there are approximately 7,000 rare, genetically defined human diseases, many of which have inadequate or no approved treatments. We used our product engine to complete four new drug target identification screens in 2019 in Duchenne muscular dystrophy, Friedreich ataxia, myotonic dystrophy 1 and α-synucleinopathies. Potential drug targets identified from these screens are currently being evaluated in additional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We plan to utilize FulcrumSeek and our proprietary product engine to evaluate additional diseases in 2020, and we expect to advance the most compelling programs identified for development. Our current drug target identification and development efforts are focused on rare neuromuscular disorders, hemoglobinopathies and central nervous system, or CNS, diseases. We also anticipate utilizing our product engine to discover drug targets for genetically defined diseases in other therapeutic areas and for other diseases. In addition to drug targets that we prioritize for internal development, we may identify other drug targets that we would consider for development through partnerships. For example, we are utilizing our product engine to discover drug targets within a targeted indication within the pulmonary disease space under our collaboration and license agreement with Acceleron Pharma Inc., or Acceleron.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designed our proprietary product engine with potential application across a broad array of genetically defined diseases with a known root cause.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summarizes key information about our lead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168910</wp:posOffset>
            </wp:positionV>
            <wp:extent cx="5497195" cy="2418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9719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00" w:firstLine="555"/>
        <w:spacing w:after="0" w:line="259" w:lineRule="auto"/>
        <w:rPr>
          <w:sz w:val="20"/>
          <w:szCs w:val="20"/>
          <w:color w:val="auto"/>
        </w:rPr>
      </w:pPr>
      <w:r>
        <w:rPr>
          <w:rFonts w:ascii="Arial" w:cs="Arial" w:eastAsia="Arial" w:hAnsi="Arial"/>
          <w:sz w:val="18"/>
          <w:szCs w:val="18"/>
          <w:color w:val="auto"/>
        </w:rPr>
        <w:t>We are leveraging the broad applicability of our proprietary product engine to discover and develop small molecule therapies that modulate gene expression to address the known root cause of genetically defined rare diseases in areas of high unmet medical need. We believe that our initial product candidates for the treatment of FSHD, SCD and ß-thalassemia may have the potential to treat patients with these debilitating and, in some cases, life-threatening illnesses. The key components of our strategy include:</w:t>
      </w:r>
    </w:p>
    <w:p>
      <w:pPr>
        <w:spacing w:after="0" w:line="79" w:lineRule="exact"/>
        <w:rPr>
          <w:sz w:val="20"/>
          <w:szCs w:val="20"/>
          <w:color w:val="auto"/>
        </w:rPr>
      </w:pPr>
    </w:p>
    <w:p>
      <w:pPr>
        <w:ind w:left="960" w:hanging="398"/>
        <w:spacing w:after="0" w:line="302"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develop losmapimod for the treatment of FSHD. </w:t>
      </w:r>
      <w:r>
        <w:rPr>
          <w:rFonts w:ascii="Arial" w:cs="Arial" w:eastAsia="Arial" w:hAnsi="Arial"/>
          <w:sz w:val="16"/>
          <w:szCs w:val="16"/>
          <w:color w:val="auto"/>
        </w:rPr>
        <w:t>We aim to rapidly develop losmapimod for the treatment of FSHD through clinical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regulatory approval. We initiated a randomized, double-blind placebo-controlled multicenter international Phase 2b clinical trial of losmapimod, or ReDUX4, in August 2019 and, subject to positive results, plan to meet with regulators to discuss the potential to pursue accelerated approval given the significant unmet medical need in FSHD and the absence of approved therapies for patients.</w:t>
      </w:r>
    </w:p>
    <w:p>
      <w:pPr>
        <w:spacing w:after="0" w:line="46" w:lineRule="exact"/>
        <w:rPr>
          <w:rFonts w:ascii="Arial" w:cs="Arial" w:eastAsia="Arial" w:hAnsi="Arial"/>
          <w:sz w:val="16"/>
          <w:szCs w:val="16"/>
          <w:color w:val="auto"/>
        </w:rPr>
      </w:pPr>
    </w:p>
    <w:p>
      <w:pPr>
        <w:ind w:left="960" w:right="400" w:hanging="398"/>
        <w:spacing w:after="0" w:line="308"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FTX-6058 into clinical development. </w:t>
      </w:r>
      <w:r>
        <w:rPr>
          <w:rFonts w:ascii="Arial" w:cs="Arial" w:eastAsia="Arial" w:hAnsi="Arial"/>
          <w:sz w:val="17"/>
          <w:szCs w:val="17"/>
          <w:color w:val="auto"/>
        </w:rPr>
        <w:t>We have initiated IND-enabling studies of FTX-6058 and we aim to submit an IND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second half of 2020. We intend to develop FTX-6058 for the treatment of SCD and certain types of ß-thalassemia.</w:t>
      </w:r>
    </w:p>
    <w:p>
      <w:pPr>
        <w:spacing w:after="0" w:line="38" w:lineRule="exact"/>
        <w:rPr>
          <w:rFonts w:ascii="Arial" w:cs="Arial" w:eastAsia="Arial" w:hAnsi="Arial"/>
          <w:sz w:val="17"/>
          <w:szCs w:val="17"/>
          <w:color w:val="auto"/>
        </w:rPr>
      </w:pPr>
    </w:p>
    <w:p>
      <w:pPr>
        <w:ind w:left="960" w:right="160" w:hanging="398"/>
        <w:spacing w:after="0" w:line="291"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apply our proprietary product engine to grow our portfolio of product candidates for the treatment of genetically defined diseases. </w:t>
      </w:r>
      <w:r>
        <w:rPr>
          <w:rFonts w:ascii="Arial" w:cs="Arial" w:eastAsia="Arial" w:hAnsi="Arial"/>
          <w:sz w:val="16"/>
          <w:szCs w:val="16"/>
          <w:color w:val="auto"/>
        </w:rPr>
        <w:t>We have developed a rigorous assessment and selection process to determine which of the approximately 7,000 rare, genetically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defined diseases we intend to evaluate in drug target identification activities. We are applying our product engine to discover drug targets to modulate gene expression and develop product candidates for the potential treatment of the root cause of the disease. We utilized our product engine to complete four new drug target identification screens in 2019, and potential drug targets identified from these screens are currently being evaluated in additional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studies. We plan to utilize FulcrumSeek and our proprietary product engine to evaluate additional diseases in 2020, and we expect to advance the most compelling programs identified for development.</w:t>
      </w:r>
    </w:p>
    <w:p>
      <w:pPr>
        <w:spacing w:after="0" w:line="59" w:lineRule="exact"/>
        <w:rPr>
          <w:rFonts w:ascii="Arial" w:cs="Arial" w:eastAsia="Arial" w:hAnsi="Arial"/>
          <w:sz w:val="16"/>
          <w:szCs w:val="16"/>
          <w:color w:val="auto"/>
        </w:rPr>
      </w:pPr>
    </w:p>
    <w:p>
      <w:pPr>
        <w:ind w:left="960" w:right="160" w:hanging="398"/>
        <w:spacing w:after="0" w:line="286"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Further expand our product engine capabilities. </w:t>
      </w:r>
      <w:r>
        <w:rPr>
          <w:rFonts w:ascii="Arial" w:cs="Arial" w:eastAsia="Arial" w:hAnsi="Arial"/>
          <w:sz w:val="17"/>
          <w:szCs w:val="17"/>
          <w:color w:val="auto"/>
        </w:rPr>
        <w:t>Our product engine incorporates patient-derived cell lines and/or other relevant human cell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lines, our annotated small molecule compound library and customized CRISPR libraries. We intend to further expand our product engine capabilities, including FulcrumSeek, to enhance the therapeutic reach and productivity of our drug discovery process.</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661" w:right="379" w:bottom="1440" w:gutter="0" w:footer="0" w:header="0"/>
        </w:sectPr>
      </w:pPr>
    </w:p>
    <w:bookmarkStart w:id="7" w:name="page8"/>
    <w:bookmarkEnd w:id="7"/>
    <w:p>
      <w:pPr>
        <w:ind w:left="960" w:right="60" w:hanging="398"/>
        <w:spacing w:after="0" w:line="286"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Maximize the commercial potential of our product candidates. </w:t>
      </w:r>
      <w:r>
        <w:rPr>
          <w:rFonts w:ascii="Arial" w:cs="Arial" w:eastAsia="Arial" w:hAnsi="Arial"/>
          <w:sz w:val="17"/>
          <w:szCs w:val="17"/>
          <w:color w:val="auto"/>
        </w:rPr>
        <w:t>We have retained all rights to our lead product candidates focused on rare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genetically defined diseases, and plan to commercialize any approved product using a targeted sales infrastructure. We may in the future pursue commercialization partnerships for certain product candidates and/or markets outside the United States.</w:t>
      </w:r>
    </w:p>
    <w:p>
      <w:pPr>
        <w:spacing w:after="0" w:line="57" w:lineRule="exact"/>
        <w:rPr>
          <w:rFonts w:ascii="Arial" w:cs="Arial" w:eastAsia="Arial" w:hAnsi="Arial"/>
          <w:sz w:val="17"/>
          <w:szCs w:val="17"/>
          <w:color w:val="auto"/>
        </w:rPr>
      </w:pPr>
    </w:p>
    <w:p>
      <w:pPr>
        <w:ind w:left="960" w:right="100" w:hanging="398"/>
        <w:spacing w:after="0" w:line="30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Selectively enter into strategic partnerships to maximize the value of our product engine and pipeline. </w:t>
      </w:r>
      <w:r>
        <w:rPr>
          <w:rFonts w:ascii="Arial" w:cs="Arial" w:eastAsia="Arial" w:hAnsi="Arial"/>
          <w:sz w:val="16"/>
          <w:szCs w:val="16"/>
          <w:color w:val="auto"/>
        </w:rPr>
        <w:t>Given the breadth of opportunities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proprietary product engine to discover drug targets and develop product candidates for genetically defined diseases, we may enter into strategic partnerships for certain drug targets, product candidates or disease areas, such as our collaboration and license agreement with Acceleron. Partnerships may provide an attractive avenue for expanding the impact of our proprietary product engine.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Regulation</w:t>
      </w:r>
    </w:p>
    <w:p>
      <w:pPr>
        <w:spacing w:after="0" w:line="121"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The human genome provides the blueprint, or genetic code, for life. The sequencing of the human genome has enabled significant insights into understanding the genetic underpinnings of many diseases. Genes are the fundamental units of biology, but the gene itself is rather static. The identity and function of each cell is determined by a specific set of factors that activate or repress mechanisms that regulate genes in the desired manner. There are many mechanisms that control the human genome by up or down regulating gene expression, and these regulatory mechanisms are controlled by various pathways and signals. Defects in a gene or any of these regulatory mechanisms can result in aberrant expression or silencing of a gene that may lead to disease.</w:t>
      </w:r>
    </w:p>
    <w:p>
      <w:pPr>
        <w:spacing w:after="0" w:line="158"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graphic below illustrates the key steps in the gene expression process in cells and how they are under the control of a variety of regulatory signals and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134620</wp:posOffset>
            </wp:positionV>
            <wp:extent cx="5720080" cy="3687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20080"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Our Opportunity</w:t>
      </w:r>
    </w:p>
    <w:p>
      <w:pPr>
        <w:spacing w:after="0" w:line="117"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color w:val="auto"/>
        </w:rPr>
        <w:t>We have the ability to develop, scale and characterize complex cellular models of human disorders of gene mis-regulation. Our current drug target identification and development efforts are focused on rare neuromuscular disorders, hemoglobinopathies and CNS diseases. We also anticipate utilizing our product engine to discover drug targets for genetically defined diseases in other therapeutic areas. Our target identification and validation process provides a systematic way to approach the identification of unique drug targets that, when activated or inhibited, may increase or decrease gene expression in genetically defined diseases with the aim of restoring a healthy or functional phenotype. Our product engine is designed to be agnostic to cell type, pathway and therapeutic modality. While our drug target selection process is guided by our strategy to advance small molecule therapeutics that treat the root cause of disease into clinical development, we also may identify drug targets that might be addressable by other treatment modalities, such as antisense oligonucleotides, or ASOs, small interfering RNAs, or siRNAs, or antibodies.</w:t>
      </w:r>
    </w:p>
    <w:p>
      <w:pPr>
        <w:spacing w:after="0" w:line="179" w:lineRule="exact"/>
        <w:rPr>
          <w:sz w:val="20"/>
          <w:szCs w:val="20"/>
          <w:color w:val="auto"/>
        </w:rPr>
      </w:pPr>
    </w:p>
    <w:p>
      <w:pPr>
        <w:ind w:right="40" w:firstLine="555"/>
        <w:spacing w:after="0" w:line="288" w:lineRule="auto"/>
        <w:rPr>
          <w:sz w:val="20"/>
          <w:szCs w:val="20"/>
          <w:color w:val="auto"/>
        </w:rPr>
      </w:pPr>
      <w:r>
        <w:rPr>
          <w:rFonts w:ascii="Arial" w:cs="Arial" w:eastAsia="Arial" w:hAnsi="Arial"/>
          <w:sz w:val="16"/>
          <w:szCs w:val="16"/>
          <w:color w:val="auto"/>
        </w:rPr>
        <w:t>We are continuing to expand our proprietary database, FulcrumSeek, which is designed to facilitate the process by which we assess diseases and generate drug target hypotheses through our computational biology expertise. We screen our proprietary small molecule library and customized CRISPR libraries across healthy and diseased human cells, such as skeletal muscle cells, cardiac muscle cells, brain cells and blood cells. Our FulcrumSeek database is designed to provide a unique understanding into gene regulatory and signaling pathways that may be relevant for the activation of repression of a particular gene associated with the disease of interest. To achieve this, we profile many features that are impacted when a cell of interest is treated with a perturbagen, such as a small molecule probe or CRISPR guide. These features include a comprehensive assessment of transcripts that are modulated (quantified by RNA sequencing, or RNAseq) and cellular processes that are measured by imaging techniques. We expect that the data from these screens will allow us to develop a broader understanding of biology that may be relevant in disease. With the completion of each additional screening, FulcrumSeek increases in size, and our insights and knowledge are further expanded. Moreover, with the initiation of the collaboration with Acceleron, we are further demonstrating the scope of our disease modeling and target identification capabilities with the expansion into a pulmonary disease.</w:t>
      </w:r>
    </w:p>
    <w:p>
      <w:pPr>
        <w:spacing w:after="0" w:line="169"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color w:val="auto"/>
        </w:rPr>
        <w:t>According to the NIH there are approximately 7,000 rare, genetically defined human diseases, many of which have inadequate or no approved treatments. We believe that our approach to selecting and modeling certain of these human diseases with patient-derived tissue-relevant cells, followed by mining our FulcrumSeek database or screening with our proprietary small molecule library and customized CRISPR libraries, could be broadly applied to the identification of drug targets that have the potential to balance the expression of many genes known to drive or ameliorate disease.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The ability to intervene in gene regulatory pathways that control gene expression provides the basis of our product engine. Our approach is to broadly search for mechanisms that can change gene expression in the desired manner. These drug targets may be intracellular targets or extracellular targets that affect a signaling pathway. Key considerations we use to determine which genetically defined diseases are suitable to evaluate in drug target identification activities include:</w:t>
      </w:r>
    </w:p>
    <w:p>
      <w:pPr>
        <w:spacing w:after="0" w:line="79" w:lineRule="exact"/>
        <w:rPr>
          <w:sz w:val="20"/>
          <w:szCs w:val="20"/>
          <w:color w:val="auto"/>
        </w:rPr>
      </w:pPr>
    </w:p>
    <w:p>
      <w:pPr>
        <w:ind w:left="960" w:right="800" w:hanging="398"/>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Unmet medical need and market opportunity</w:t>
      </w:r>
      <w:r>
        <w:rPr>
          <w:rFonts w:ascii="Arial" w:cs="Arial" w:eastAsia="Arial" w:hAnsi="Arial"/>
          <w:sz w:val="18"/>
          <w:szCs w:val="18"/>
          <w:color w:val="auto"/>
        </w:rPr>
        <w:t>: we consider the severity of disease, the number of patients who could be treated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landscape.</w:t>
      </w:r>
    </w:p>
    <w:p>
      <w:pPr>
        <w:spacing w:after="0" w:line="62" w:lineRule="exact"/>
        <w:rPr>
          <w:rFonts w:ascii="Arial" w:cs="Arial" w:eastAsia="Arial" w:hAnsi="Arial"/>
          <w:sz w:val="18"/>
          <w:szCs w:val="18"/>
          <w:color w:val="auto"/>
        </w:rPr>
      </w:pPr>
    </w:p>
    <w:p>
      <w:pPr>
        <w:ind w:left="960" w:right="380" w:hanging="398"/>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Clear mechanistic link between a root cause genetic defect and disease</w:t>
      </w:r>
      <w:r>
        <w:rPr>
          <w:rFonts w:ascii="Arial" w:cs="Arial" w:eastAsia="Arial" w:hAnsi="Arial"/>
          <w:sz w:val="18"/>
          <w:szCs w:val="18"/>
          <w:color w:val="auto"/>
        </w:rPr>
        <w:t>: we evaluate whether there is genetic validation of the gene’s role in</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and the effect of gene modulation on disease.</w:t>
      </w:r>
    </w:p>
    <w:p>
      <w:pPr>
        <w:spacing w:after="0" w:line="62" w:lineRule="exact"/>
        <w:rPr>
          <w:rFonts w:ascii="Arial" w:cs="Arial" w:eastAsia="Arial" w:hAnsi="Arial"/>
          <w:sz w:val="18"/>
          <w:szCs w:val="18"/>
          <w:color w:val="auto"/>
        </w:rPr>
      </w:pPr>
    </w:p>
    <w:p>
      <w:pPr>
        <w:ind w:left="960" w:right="180" w:hanging="398"/>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Drug discovery execution</w:t>
      </w:r>
      <w:r>
        <w:rPr>
          <w:rFonts w:ascii="Arial" w:cs="Arial" w:eastAsia="Arial" w:hAnsi="Arial"/>
          <w:sz w:val="18"/>
          <w:szCs w:val="18"/>
          <w:color w:val="auto"/>
        </w:rPr>
        <w:t>: we consider whether relevant patient-derived tissue-specific cell models and assays are available or whether we can</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such models using our expertise.</w:t>
      </w:r>
    </w:p>
    <w:p>
      <w:pPr>
        <w:spacing w:after="0" w:line="62"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Clinical feasibility</w:t>
      </w:r>
      <w:r>
        <w:rPr>
          <w:rFonts w:ascii="Arial" w:cs="Arial" w:eastAsia="Arial" w:hAnsi="Arial"/>
          <w:sz w:val="18"/>
          <w:szCs w:val="18"/>
          <w:color w:val="auto"/>
        </w:rPr>
        <w:t>: we evaluate potential biomarker and clinical endpoints, whether there is a meaningful treatment window and whether there is</w:t>
      </w:r>
      <w:r>
        <w:rPr>
          <w:rFonts w:ascii="Arial" w:cs="Arial" w:eastAsia="Arial" w:hAnsi="Arial"/>
          <w:sz w:val="18"/>
          <w:szCs w:val="18"/>
          <w:i w:val="1"/>
          <w:iCs w:val="1"/>
          <w:color w:val="auto"/>
        </w:rPr>
        <w:t xml:space="preserve"> </w:t>
      </w:r>
      <w:r>
        <w:rPr>
          <w:rFonts w:ascii="Arial" w:cs="Arial" w:eastAsia="Arial" w:hAnsi="Arial"/>
          <w:sz w:val="18"/>
          <w:szCs w:val="18"/>
          <w:color w:val="auto"/>
        </w:rPr>
        <w:t>an accessible patient population to undertake clinical trials in a reasonable time frame.</w:t>
      </w:r>
    </w:p>
    <w:p>
      <w:pPr>
        <w:spacing w:after="0" w:line="170" w:lineRule="exact"/>
        <w:rPr>
          <w:sz w:val="20"/>
          <w:szCs w:val="20"/>
          <w:color w:val="auto"/>
        </w:rPr>
      </w:pPr>
    </w:p>
    <w:p>
      <w:pPr>
        <w:ind w:right="40" w:firstLine="555"/>
        <w:spacing w:after="0" w:line="291" w:lineRule="auto"/>
        <w:rPr>
          <w:sz w:val="20"/>
          <w:szCs w:val="20"/>
          <w:color w:val="auto"/>
        </w:rPr>
      </w:pPr>
      <w:r>
        <w:rPr>
          <w:rFonts w:ascii="Arial" w:cs="Arial" w:eastAsia="Arial" w:hAnsi="Arial"/>
          <w:sz w:val="16"/>
          <w:szCs w:val="16"/>
          <w:color w:val="auto"/>
        </w:rPr>
        <w:t>Our product engine is designed to enable us to address diseases in which genes are mis-expressed, silenced or result in mutated gene products, such as RNA or protein, due to an underlying genetic defect. There are varied approaches to treating disease by balancing gene expression including reducing the expression of a gene that causes disease (</w:t>
      </w:r>
      <w:r>
        <w:rPr>
          <w:rFonts w:ascii="Arial" w:cs="Arial" w:eastAsia="Arial" w:hAnsi="Arial"/>
          <w:sz w:val="16"/>
          <w:szCs w:val="16"/>
          <w:i w:val="1"/>
          <w:iCs w:val="1"/>
          <w:color w:val="auto"/>
        </w:rPr>
        <w:t>e.g., DUX4</w:t>
      </w:r>
      <w:r>
        <w:rPr>
          <w:rFonts w:ascii="Arial" w:cs="Arial" w:eastAsia="Arial" w:hAnsi="Arial"/>
          <w:sz w:val="16"/>
          <w:szCs w:val="16"/>
          <w:color w:val="auto"/>
        </w:rPr>
        <w:t xml:space="preserve"> in FSHD), increasing the expression of an under-expressed gene (</w:t>
      </w:r>
      <w:r>
        <w:rPr>
          <w:rFonts w:ascii="Arial" w:cs="Arial" w:eastAsia="Arial" w:hAnsi="Arial"/>
          <w:sz w:val="16"/>
          <w:szCs w:val="16"/>
          <w:i w:val="1"/>
          <w:iCs w:val="1"/>
          <w:color w:val="auto"/>
        </w:rPr>
        <w:t>e.g., FXN</w:t>
      </w:r>
      <w:r>
        <w:rPr>
          <w:rFonts w:ascii="Arial" w:cs="Arial" w:eastAsia="Arial" w:hAnsi="Arial"/>
          <w:sz w:val="16"/>
          <w:szCs w:val="16"/>
          <w:color w:val="auto"/>
        </w:rPr>
        <w:t xml:space="preserve"> in Friedreich ataxia) or expressing a compensatory gene (</w:t>
      </w:r>
      <w:r>
        <w:rPr>
          <w:rFonts w:ascii="Arial" w:cs="Arial" w:eastAsia="Arial" w:hAnsi="Arial"/>
          <w:sz w:val="16"/>
          <w:szCs w:val="16"/>
          <w:i w:val="1"/>
          <w:iCs w:val="1"/>
          <w:color w:val="auto"/>
        </w:rPr>
        <w:t>e.g., HBG1/2</w:t>
      </w:r>
      <w:r>
        <w:rPr>
          <w:rFonts w:ascii="Arial" w:cs="Arial" w:eastAsia="Arial" w:hAnsi="Arial"/>
          <w:sz w:val="16"/>
          <w:szCs w:val="16"/>
          <w:color w:val="auto"/>
        </w:rPr>
        <w:t xml:space="preserve"> in SCD and ß-thalassemia). Our preclinical modeling of the relevant tissue is critical for success, and we believe this is best achieved using human cell systems derived from patients with the disease. We primarily seek to identify drug targets that may balance gene expression in these human cell systems and that are amenable to drugging using a small molecule. In addition to drug targets that we prioritize for internal development, we may identify other drug targets that we would consider for development through partnerships.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Overview of Our Product Engine</w:t>
      </w:r>
    </w:p>
    <w:p>
      <w:pPr>
        <w:spacing w:after="0" w:line="117"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Our product engine is a high-throughput discovery platform that we designed to identify and validate drug targets that balance the expression of the genes known to drive or ameliorate disease. We employ a systematic methodology that starts with selecting genetically defined diseases with a known root cause. We obtain patient-derived tissue-relevant cell lines or other relevant human cell lines. We then differentiate these cell lines into those most relevant for the disease pathology, including skeletal muscle myotubes, cardiomyocytes, neurons and RBCs, which we then scale up, characterize and prepare for screening. We also generate methods to quantify the desired modulation of expression of the gene of interest in these cell lines. We apply our annotated small molecule compound library and customized CRISPR libraries to the cells to assess for the desired modulation. We have continued to build our capabilities to maximally profile changes in transcription that occur when relevant cells are treated with small molecules or genetic reagents. In addition to profiling a specific gene of interest, we can evaluate multiple genes of potential interest through multiplexed transcriptome profiling. FulcrumSeek is a further expansion of this concept, where thousands of transcripts can be measured, and additional features of cellular health and function can be assessed using high-throughput imaging techniques. Our screening approach, coupled with data mining of FulcrumSeek, is the basis of our target identification strategy. We confirm drug target hits with multiple modalities and undertake further validation in several patient-derived tissue-relevant cell lines. Additional studies in these cell models are conducted to understand how the modulation of the gene of interest affects cellular function. We employ computational biology using our FulcrumSeek database and other databases to guide drug target selection and generate hypotheses on other drug targets that might be related along a gene regulatory pathway.</w:t>
      </w:r>
    </w:p>
    <w:p>
      <w:pPr>
        <w:spacing w:after="0" w:line="185"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To further optimize and increase productivity of our product engine, we have continued to invest in customized lab automation and applied technologies. We believe that these investments have increased assay throughput and robustness and have expanded the breadth of biological parameters we can effectively measure in our assay systems. We believe that we have built a robust product engine to conduct drug target screening at scale in physiologically-relevant assay systems.</w:t>
      </w:r>
    </w:p>
    <w:p>
      <w:pPr>
        <w:spacing w:after="0" w:line="187" w:lineRule="exact"/>
        <w:rPr>
          <w:sz w:val="20"/>
          <w:szCs w:val="20"/>
          <w:color w:val="auto"/>
        </w:rPr>
      </w:pPr>
    </w:p>
    <w:p>
      <w:pPr>
        <w:jc w:val="both"/>
        <w:ind w:right="200" w:firstLine="555"/>
        <w:spacing w:after="0" w:line="264" w:lineRule="auto"/>
        <w:rPr>
          <w:sz w:val="20"/>
          <w:szCs w:val="20"/>
          <w:color w:val="auto"/>
        </w:rPr>
      </w:pPr>
      <w:r>
        <w:rPr>
          <w:rFonts w:ascii="Arial" w:cs="Arial" w:eastAsia="Arial" w:hAnsi="Arial"/>
          <w:sz w:val="18"/>
          <w:szCs w:val="18"/>
          <w:color w:val="auto"/>
        </w:rPr>
        <w:t>We designed our discovery and development model to recapitulate this systematic approach of applying our product engine to each new disease that we evaluate with the goal of providing disease-modifying therapies to patients. The following graphic presents an overview of our drug target identification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141605</wp:posOffset>
            </wp:positionV>
            <wp:extent cx="5754370" cy="2495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Patient-Derived Tissue-Relevant Cell Models</w:t>
      </w:r>
    </w:p>
    <w:p>
      <w:pPr>
        <w:spacing w:after="0" w:line="117"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Accurate modeling of human disease is critical for drug discovery endeavors, and we have the ability to model disease and identify drug targets that modulate gene expression in patient-derived, differentiated cells. These cells provide the appropriate context in which to understand signaling pathways that affect human gene expression and function, and have the potential to increase the translatability from preclinical studies to clinical trials. Prior to initiating screening activities, we characterize and expand the cells. We also create a cell line where the genetic defect associated with the disease has been corrected, or use a cell line from a healthy individual, in order to compare the gene regulation between diseased and normal cells. If the degree of gene activation or repression required to have a functional benefit is not known, we will undertake physiological characterization of these cell lines in order to define what threshold of gene regulation is functionally relevant.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ind w:right="320" w:firstLine="555"/>
        <w:spacing w:after="0" w:line="308" w:lineRule="auto"/>
        <w:rPr>
          <w:sz w:val="20"/>
          <w:szCs w:val="20"/>
          <w:color w:val="auto"/>
        </w:rPr>
      </w:pPr>
      <w:r>
        <w:rPr>
          <w:rFonts w:ascii="Arial" w:cs="Arial" w:eastAsia="Arial" w:hAnsi="Arial"/>
          <w:sz w:val="17"/>
          <w:szCs w:val="17"/>
          <w:color w:val="auto"/>
        </w:rPr>
        <w:t>Our process to characterize patient-derived cell models, produce cells at scale and develop suitable screens to identify drug targets typically takes between six and nine months. Depending on the disease, we may design the screen to measure effects on RNA and/or protein.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Target Identification</w:t>
      </w:r>
    </w:p>
    <w:p>
      <w:pPr>
        <w:spacing w:after="0" w:line="117" w:lineRule="exact"/>
        <w:rPr>
          <w:sz w:val="20"/>
          <w:szCs w:val="20"/>
          <w:color w:val="auto"/>
        </w:rPr>
      </w:pPr>
    </w:p>
    <w:p>
      <w:pPr>
        <w:ind w:right="80" w:firstLine="555"/>
        <w:spacing w:after="0" w:line="286" w:lineRule="auto"/>
        <w:rPr>
          <w:sz w:val="20"/>
          <w:szCs w:val="20"/>
          <w:color w:val="auto"/>
        </w:rPr>
      </w:pPr>
      <w:r>
        <w:rPr>
          <w:rFonts w:ascii="Arial" w:cs="Arial" w:eastAsia="Arial" w:hAnsi="Arial"/>
          <w:sz w:val="17"/>
          <w:szCs w:val="17"/>
          <w:color w:val="auto"/>
        </w:rPr>
        <w:t>We employ three approaches to identify drug targets that can potentially modulate gene expression to treat genetically defined diseases at the root cause—two lab-based library screening approaches as well as computational biology using our FulcrumSeek database and other databases. We then evaluate possible drug targets identified from these efforts with the goal to advance programs into lead optimization.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Molecule Probe Library Screening</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Our small molecule probe library is annotated, which means it consists of known, well-characterized molecules that interact with biochemical mechanisms and that have cellular activity. The purpose of our small molecule probe library is to identify and interrogate mechanisms that regulate the expression of genes of interest. We designed our library with the intent to optimize biological diversity, in contrast with other small molecule screening approaches that optimize chemical diversity. The library was developed by our medicinal chemists who reviewed primary and patent literature to identify probe molecules that interact with known biochemical targets. They selected chemical probes based on their cellular activity, potency and selectivity. In order to expand our library beyond commercially-available small molecules, we undertook a custom synthesis campaign to generate compounds that were not available from commercial sources. Our library currently includes more than 4,000 small molecules relating to approximately 2,000 biochemical targets covering a wide breadth of pharmacology, including chromatin modifiers, transcription regulation and RNA processing, kinases and metabolic enzymes. Our library will continue to expand as we identify and acquire new mechanistic probes.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CRISPR Screening</w:t>
      </w:r>
    </w:p>
    <w:p>
      <w:pPr>
        <w:spacing w:after="0" w:line="117" w:lineRule="exact"/>
        <w:rPr>
          <w:sz w:val="20"/>
          <w:szCs w:val="20"/>
          <w:color w:val="auto"/>
        </w:rPr>
      </w:pPr>
    </w:p>
    <w:p>
      <w:pPr>
        <w:ind w:right="40" w:firstLine="555"/>
        <w:spacing w:after="0" w:line="289" w:lineRule="auto"/>
        <w:rPr>
          <w:sz w:val="20"/>
          <w:szCs w:val="20"/>
          <w:color w:val="auto"/>
        </w:rPr>
      </w:pPr>
      <w:r>
        <w:rPr>
          <w:rFonts w:ascii="Arial" w:cs="Arial" w:eastAsia="Arial" w:hAnsi="Arial"/>
          <w:sz w:val="16"/>
          <w:szCs w:val="16"/>
          <w:color w:val="auto"/>
        </w:rPr>
        <w:t>We may also use a customized CRISPR library screening, which is an approach to interrogate the genome by selectively knocking out, reducing or increasing gene expression, for target identification. We have chosen to use CRISPR libraries as complementary or additional screening tools for drug target identification alongside our small molecule screening approach. We use both an array-based CRISPR library and our pooled, custom-designed CRISPR library. Pooled CRISPR screening is an approach to target identification in which we combine cells and reagents in a single tube to simplify the experimental procedures. Pooled CRISPR screening is not suitable for all cell types, and we use array-based CRISPR screening where appropriate. Specific targets that modulate the gene of interest can be identified via CRISPR library screening, and these targets can then be validated for our drug discovery endeavors. If small molecules that interact with these targets are identified from the literature, they are then obtained for further pharmacological validation. If no known chemical matter is available, we may establish a screen to identify chemical matter that interacts with the drug target. This chemical matter would serve as a starting point for medicinal chemistry work. Alternatively, we may seek partnerships for development using other modalities.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FulcrumSeek and Computational Biology</w:t>
      </w:r>
    </w:p>
    <w:p>
      <w:pPr>
        <w:spacing w:after="0" w:line="117"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FulcrumSeek is our proprietary database containing profiles of the effect of perturbagens, or disruptions to cellular processes, on disease-relevant, human derived cell systems. The features captured in this database consist of measures of gene regulation on thousands of genes, and other important assessments of cellular function and health. The primary role of FulcrumSeek and our computational biology capabilities is to generate drug target and biomarker hypotheses using externally generated patient data and internal screening data. We can use FulcrumSeek to aid in the selection of diseases that we may want to consider for a discovery program. Our database and analysis can provide information as to which genes are modulated by our perturbagens and which genes may be difficult to modulate. This information is then integrated into our decision-making process for disease selection. Using FulcrumSeek, our approach is to leverage our network biology capabilities and expertise to determine how pathways interact with each other in a cell, to develop a network map of regulatory interactions that control gene expression and cellular function and propose targets that potentially could be pursued to address the root cause of diseases of interest. In each case, we explore these hypotheses through biological experimentation designed to validate predicted drug targets and biomarkers. We use confirmatory studies to aid in the refinement of our computational models in an iterative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201930</wp:posOffset>
            </wp:positionV>
            <wp:extent cx="5325745" cy="182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2574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Target Validation</w:t>
      </w:r>
    </w:p>
    <w:p>
      <w:pPr>
        <w:spacing w:after="0" w:line="117"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Our initial focus on drug target validation is to establish a robust link between the drug target that we identified through our screening approaches and modulation of the expression of the root cause gene of interest. Our validation work seeks to evaluate identified drug targets in a manner that allows us to prioritize targets where we may be able to deliver safe and effective therapies to patients. We conduct our validation tests using a diverse set of pharmacological tools and multiple genetic reagents to profile their effect on orthogonal read-outs of gene expression (RNA and protein) and the subsequent effects on physiological function.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important elements of our systematic approach to drug target validation include:</w:t>
      </w:r>
    </w:p>
    <w:p>
      <w:pPr>
        <w:spacing w:after="0" w:line="117" w:lineRule="exact"/>
        <w:rPr>
          <w:sz w:val="20"/>
          <w:szCs w:val="20"/>
          <w:color w:val="auto"/>
        </w:rPr>
      </w:pPr>
    </w:p>
    <w:p>
      <w:pPr>
        <w:ind w:left="960" w:right="400" w:hanging="398"/>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Evaluation of different treatment modalities to interact with the drug target: </w:t>
      </w:r>
      <w:r>
        <w:rPr>
          <w:rFonts w:ascii="Arial" w:cs="Arial" w:eastAsia="Arial" w:hAnsi="Arial"/>
          <w:sz w:val="18"/>
          <w:szCs w:val="18"/>
          <w:color w:val="auto"/>
        </w:rPr>
        <w:t>we evaluate whether small molecules and genomic modulation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approaches similarly affect expression of the gene of interest.</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Efficacy: </w:t>
      </w:r>
      <w:r>
        <w:rPr>
          <w:rFonts w:ascii="Arial" w:cs="Arial" w:eastAsia="Arial" w:hAnsi="Arial"/>
          <w:sz w:val="18"/>
          <w:szCs w:val="18"/>
          <w:color w:val="auto"/>
        </w:rPr>
        <w:t>we attempt to establish a link between the identified drug target and the level of the expression of the gene of interest.</w:t>
      </w:r>
    </w:p>
    <w:p>
      <w:pPr>
        <w:spacing w:after="0" w:line="117" w:lineRule="exact"/>
        <w:rPr>
          <w:rFonts w:ascii="Arial" w:cs="Arial" w:eastAsia="Arial" w:hAnsi="Arial"/>
          <w:sz w:val="18"/>
          <w:szCs w:val="18"/>
          <w:color w:val="auto"/>
        </w:rPr>
      </w:pPr>
    </w:p>
    <w:p>
      <w:pPr>
        <w:ind w:left="960" w:right="680" w:hanging="398"/>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Safety: </w:t>
      </w:r>
      <w:r>
        <w:rPr>
          <w:rFonts w:ascii="Arial" w:cs="Arial" w:eastAsia="Arial" w:hAnsi="Arial"/>
          <w:sz w:val="18"/>
          <w:szCs w:val="18"/>
          <w:color w:val="auto"/>
        </w:rPr>
        <w:t>we evaluate whether modulation of the target and the resulting changes in gene expression cause undesired effects, including an</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of cell health markers to ensure there is minimal cellular toxicity.</w:t>
      </w:r>
    </w:p>
    <w:p>
      <w:pPr>
        <w:spacing w:after="0" w:line="62" w:lineRule="exact"/>
        <w:rPr>
          <w:rFonts w:ascii="Arial" w:cs="Arial" w:eastAsia="Arial" w:hAnsi="Arial"/>
          <w:sz w:val="18"/>
          <w:szCs w:val="18"/>
          <w:color w:val="auto"/>
        </w:rPr>
      </w:pPr>
    </w:p>
    <w:p>
      <w:pPr>
        <w:ind w:left="960" w:right="20" w:hanging="398"/>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Profiling cell lines from multiple patients: </w:t>
      </w:r>
      <w:r>
        <w:rPr>
          <w:rFonts w:ascii="Arial" w:cs="Arial" w:eastAsia="Arial" w:hAnsi="Arial"/>
          <w:sz w:val="18"/>
          <w:szCs w:val="18"/>
          <w:color w:val="auto"/>
        </w:rPr>
        <w:t>we analyze the modulation of the drug target to determine whether the original cell line used to screen</w:t>
      </w:r>
      <w:r>
        <w:rPr>
          <w:rFonts w:ascii="Arial" w:cs="Arial" w:eastAsia="Arial" w:hAnsi="Arial"/>
          <w:sz w:val="18"/>
          <w:szCs w:val="18"/>
          <w:i w:val="1"/>
          <w:iCs w:val="1"/>
          <w:color w:val="auto"/>
        </w:rPr>
        <w:t xml:space="preserve"> </w:t>
      </w:r>
      <w:r>
        <w:rPr>
          <w:rFonts w:ascii="Arial" w:cs="Arial" w:eastAsia="Arial" w:hAnsi="Arial"/>
          <w:sz w:val="18"/>
          <w:szCs w:val="18"/>
          <w:color w:val="auto"/>
        </w:rPr>
        <w:t>targets is representative of disease in other patients.</w:t>
      </w:r>
    </w:p>
    <w:p>
      <w:pPr>
        <w:spacing w:after="0" w:line="62" w:lineRule="exact"/>
        <w:rPr>
          <w:rFonts w:ascii="Arial" w:cs="Arial" w:eastAsia="Arial" w:hAnsi="Arial"/>
          <w:sz w:val="18"/>
          <w:szCs w:val="18"/>
          <w:color w:val="auto"/>
        </w:rPr>
      </w:pPr>
    </w:p>
    <w:p>
      <w:pPr>
        <w:ind w:left="960" w:right="100" w:hanging="398"/>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Verification: </w:t>
      </w:r>
      <w:r>
        <w:rPr>
          <w:rFonts w:ascii="Arial" w:cs="Arial" w:eastAsia="Arial" w:hAnsi="Arial"/>
          <w:sz w:val="18"/>
          <w:szCs w:val="18"/>
          <w:color w:val="auto"/>
        </w:rPr>
        <w:t>we conduct studies designed to ensure that the modulation of the drug target and the resulting change in gene expression leads to a</w:t>
      </w:r>
      <w:r>
        <w:rPr>
          <w:rFonts w:ascii="Arial" w:cs="Arial" w:eastAsia="Arial" w:hAnsi="Arial"/>
          <w:sz w:val="18"/>
          <w:szCs w:val="18"/>
          <w:i w:val="1"/>
          <w:iCs w:val="1"/>
          <w:color w:val="auto"/>
        </w:rPr>
        <w:t xml:space="preserve"> </w:t>
      </w:r>
      <w:r>
        <w:rPr>
          <w:rFonts w:ascii="Arial" w:cs="Arial" w:eastAsia="Arial" w:hAnsi="Arial"/>
          <w:sz w:val="18"/>
          <w:szCs w:val="18"/>
          <w:color w:val="auto"/>
        </w:rPr>
        <w:t>desired functional effect.</w:t>
      </w:r>
    </w:p>
    <w:p>
      <w:pPr>
        <w:spacing w:after="0" w:line="62" w:lineRule="exact"/>
        <w:rPr>
          <w:rFonts w:ascii="Arial" w:cs="Arial" w:eastAsia="Arial" w:hAnsi="Arial"/>
          <w:sz w:val="18"/>
          <w:szCs w:val="18"/>
          <w:color w:val="auto"/>
        </w:rPr>
      </w:pPr>
    </w:p>
    <w:p>
      <w:pPr>
        <w:ind w:left="960" w:right="360" w:hanging="398"/>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Prioritization: </w:t>
      </w:r>
      <w:r>
        <w:rPr>
          <w:rFonts w:ascii="Arial" w:cs="Arial" w:eastAsia="Arial" w:hAnsi="Arial"/>
          <w:sz w:val="18"/>
          <w:szCs w:val="18"/>
          <w:color w:val="auto"/>
        </w:rPr>
        <w:t>we prioritize drug targets based on our assessment of our ability to deliver a candidate for clinical development based on that</w:t>
      </w:r>
      <w:r>
        <w:rPr>
          <w:rFonts w:ascii="Arial" w:cs="Arial" w:eastAsia="Arial" w:hAnsi="Arial"/>
          <w:sz w:val="18"/>
          <w:szCs w:val="18"/>
          <w:i w:val="1"/>
          <w:iCs w:val="1"/>
          <w:color w:val="auto"/>
        </w:rPr>
        <w:t xml:space="preserve"> </w:t>
      </w:r>
      <w:r>
        <w:rPr>
          <w:rFonts w:ascii="Arial" w:cs="Arial" w:eastAsia="Arial" w:hAnsi="Arial"/>
          <w:sz w:val="18"/>
          <w:szCs w:val="18"/>
          <w:color w:val="auto"/>
        </w:rPr>
        <w:t>target.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Development Candidate Discovery and Characterization</w:t>
      </w:r>
    </w:p>
    <w:p>
      <w:pPr>
        <w:spacing w:after="0" w:line="117"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Following target identification and target validation, we initiate medicinal chemistry and drug discovery activities to advance a development candidate that is suitable for testing in clinical trials. This work optimizes characteristics that are important for an orally available small molecule, including potency, selectivity, pharmacokinetic, or PK, and safety parameters. There is an opportunity to bypass or considerably accelerate discovery and characterization activities if we identify and validate an attractive drug target that has been pursued previously by others in different indications. For example, available chemical matter and support from the scientific literature regarding p38α/ß enabled us to rapidly identify our product candidate for the treatment of FSHD.</w:t>
      </w:r>
    </w:p>
    <w:p>
      <w:pPr>
        <w:spacing w:after="0" w:line="158" w:lineRule="exact"/>
        <w:rPr>
          <w:sz w:val="20"/>
          <w:szCs w:val="20"/>
          <w:color w:val="auto"/>
        </w:rPr>
      </w:pPr>
    </w:p>
    <w:p>
      <w:pPr>
        <w:jc w:val="both"/>
        <w:ind w:right="140" w:firstLine="555"/>
        <w:spacing w:after="0" w:line="259" w:lineRule="auto"/>
        <w:rPr>
          <w:sz w:val="20"/>
          <w:szCs w:val="20"/>
          <w:color w:val="auto"/>
        </w:rPr>
      </w:pPr>
      <w:r>
        <w:rPr>
          <w:rFonts w:ascii="Arial" w:cs="Arial" w:eastAsia="Arial" w:hAnsi="Arial"/>
          <w:sz w:val="18"/>
          <w:szCs w:val="18"/>
          <w:color w:val="auto"/>
        </w:rPr>
        <w:t>A key element of our preclinical compound profiling approach is to investigate a development candidate across many patient-derived tissue-relevant cells. We choose these cells based on our assessment of the patient heterogeneity that may be encountered in clinical trials. The purpose of this analysis is to enable us to understand if the activity of the molecule differs among cells with different genetic subtypes, or if a patient stratification strategy is appropriate for clinical trials.</w:t>
      </w:r>
    </w:p>
    <w:p>
      <w:pPr>
        <w:spacing w:after="0" w:line="187" w:lineRule="exact"/>
        <w:rPr>
          <w:sz w:val="20"/>
          <w:szCs w:val="20"/>
          <w:color w:val="auto"/>
        </w:rPr>
      </w:pPr>
    </w:p>
    <w:p>
      <w:pPr>
        <w:jc w:val="both"/>
        <w:ind w:right="40" w:firstLine="555"/>
        <w:spacing w:after="0" w:line="302" w:lineRule="auto"/>
        <w:rPr>
          <w:sz w:val="20"/>
          <w:szCs w:val="20"/>
          <w:color w:val="auto"/>
        </w:rPr>
      </w:pPr>
      <w:r>
        <w:rPr>
          <w:rFonts w:ascii="Arial" w:cs="Arial" w:eastAsia="Arial" w:hAnsi="Arial"/>
          <w:sz w:val="16"/>
          <w:szCs w:val="16"/>
          <w:color w:val="auto"/>
        </w:rPr>
        <w:t>Many genetically defined diseases are not well modeled with animal models because such models do not have appropriate predictive validity. In these cases, we seek to develop an engraftment model where patient-derived human cells are engrafted into the relevant tissue of a host, immunodeficient mouse to produce a chimeric mouse. We may use these chimeric mice to assess gene regulation in the engrafted human cells, and for the efficient development of PK-pharmacodynamic, or PK/PD, relationships that will be the basis of therapeutic index calculations and human dose projections.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a Small Molecule Approach</w:t>
      </w:r>
    </w:p>
    <w:p>
      <w:pPr>
        <w:spacing w:after="0" w:line="117"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We believe that our approach to the treatment of genetically defined diseases using orally available, small molecule therapeutics may offer significant advantages over other treatment modalities due to:</w:t>
      </w:r>
    </w:p>
    <w:p>
      <w:pPr>
        <w:spacing w:after="0" w:line="62" w:lineRule="exact"/>
        <w:rPr>
          <w:sz w:val="20"/>
          <w:szCs w:val="20"/>
          <w:color w:val="auto"/>
        </w:rPr>
      </w:pPr>
    </w:p>
    <w:p>
      <w:pPr>
        <w:ind w:left="960" w:right="20" w:hanging="39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Biodistribution: </w:t>
      </w:r>
      <w:r>
        <w:rPr>
          <w:rFonts w:ascii="Arial" w:cs="Arial" w:eastAsia="Arial" w:hAnsi="Arial"/>
          <w:sz w:val="18"/>
          <w:szCs w:val="18"/>
          <w:color w:val="auto"/>
        </w:rPr>
        <w:t>small molecules can achieve broad distribution in the body. The ability to access tissues broadly is particularly relevant in</w:t>
      </w:r>
      <w:r>
        <w:rPr>
          <w:rFonts w:ascii="Arial" w:cs="Arial" w:eastAsia="Arial" w:hAnsi="Arial"/>
          <w:sz w:val="18"/>
          <w:szCs w:val="18"/>
          <w:i w:val="1"/>
          <w:iCs w:val="1"/>
          <w:color w:val="auto"/>
        </w:rPr>
        <w:t xml:space="preserve"> </w:t>
      </w:r>
      <w:r>
        <w:rPr>
          <w:rFonts w:ascii="Arial" w:cs="Arial" w:eastAsia="Arial" w:hAnsi="Arial"/>
          <w:sz w:val="18"/>
          <w:szCs w:val="18"/>
          <w:color w:val="auto"/>
        </w:rPr>
        <w:t>neuromuscular disorders where multiple muscles are affected by disease, or in CNS diseases where brain permeability may be limited with other treatment modalities.</w:t>
      </w:r>
    </w:p>
    <w:p>
      <w:pPr>
        <w:spacing w:after="0" w:line="73" w:lineRule="exact"/>
        <w:rPr>
          <w:rFonts w:ascii="Arial" w:cs="Arial" w:eastAsia="Arial" w:hAnsi="Arial"/>
          <w:sz w:val="18"/>
          <w:szCs w:val="18"/>
          <w:color w:val="auto"/>
        </w:rPr>
      </w:pPr>
    </w:p>
    <w:p>
      <w:pPr>
        <w:ind w:left="960" w:right="800" w:hanging="398"/>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Tolerability: </w:t>
      </w:r>
      <w:r>
        <w:rPr>
          <w:rFonts w:ascii="Arial" w:cs="Arial" w:eastAsia="Arial" w:hAnsi="Arial"/>
          <w:sz w:val="18"/>
          <w:szCs w:val="18"/>
          <w:color w:val="auto"/>
        </w:rPr>
        <w:t>small molecules have a limited risk of immunogenicity and lack procedural risk relative to administering other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modalities, such as ASOs and gene therapies.</w:t>
      </w:r>
    </w:p>
    <w:p>
      <w:pPr>
        <w:spacing w:after="0" w:line="62" w:lineRule="exact"/>
        <w:rPr>
          <w:rFonts w:ascii="Arial" w:cs="Arial" w:eastAsia="Arial" w:hAnsi="Arial"/>
          <w:sz w:val="18"/>
          <w:szCs w:val="18"/>
          <w:color w:val="auto"/>
        </w:rPr>
      </w:pPr>
    </w:p>
    <w:p>
      <w:pPr>
        <w:ind w:left="960" w:right="60" w:hanging="39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and quality: </w:t>
      </w:r>
      <w:r>
        <w:rPr>
          <w:rFonts w:ascii="Arial" w:cs="Arial" w:eastAsia="Arial" w:hAnsi="Arial"/>
          <w:sz w:val="18"/>
          <w:szCs w:val="18"/>
          <w:color w:val="auto"/>
        </w:rPr>
        <w:t>the production and quality control of drug supplies for clinical development are well understood. Specialized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are generally not required, and many vendors offer services for manufacturing. We believe small molecule manufacturing may provide cost advantages relative to other modalities.</w:t>
      </w:r>
    </w:p>
    <w:p>
      <w:pPr>
        <w:spacing w:after="0" w:line="73" w:lineRule="exact"/>
        <w:rPr>
          <w:rFonts w:ascii="Arial" w:cs="Arial" w:eastAsia="Arial" w:hAnsi="Arial"/>
          <w:sz w:val="18"/>
          <w:szCs w:val="18"/>
          <w:color w:val="auto"/>
        </w:rPr>
      </w:pPr>
    </w:p>
    <w:p>
      <w:pPr>
        <w:ind w:left="960" w:right="120" w:hanging="398"/>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Patient access: </w:t>
      </w:r>
      <w:r>
        <w:rPr>
          <w:rFonts w:ascii="Arial" w:cs="Arial" w:eastAsia="Arial" w:hAnsi="Arial"/>
          <w:sz w:val="18"/>
          <w:szCs w:val="18"/>
          <w:color w:val="auto"/>
        </w:rPr>
        <w:t>small molecule, oral medicines can be administered by the patient and do not require complicated in-patient procedures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only available in a limited number of treatment centers.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Candidates</w:t>
      </w:r>
    </w:p>
    <w:p>
      <w:pPr>
        <w:spacing w:after="0" w:line="121"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 xml:space="preserve">We have used our proprietary product engine and screening efforts to identify drug targets for our lead product candidates. We in-licensed our first product candidate, losmapimod, after we discovered that it could reduce aberrant expression of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which is the known root cause of FSHD. We initiated a randomized, double-blind placebo-controlled multicenter international Phase 2b clinical trial, or ReDUX4, and a Phase 2 open label clinical trial in August 2019. We designed our second product candidate, FTX-6058, to upregulate fetal hemoglobin, which we believe would compensate for abnormal hemoglobin in SCD and certain types of ß-thalassemia. We aim to submit an IND for FTX-6058 in the second half of 2020. The following chart summarizes key information about our lead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148590</wp:posOffset>
            </wp:positionV>
            <wp:extent cx="5505450" cy="840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0545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Our Product Candidate for Facioscapulohumeral Muscular Dystrophy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Facioscapulohumeral Muscular Dystrophy</w:t>
      </w:r>
    </w:p>
    <w:p>
      <w:pPr>
        <w:spacing w:after="0" w:line="117" w:lineRule="exact"/>
        <w:rPr>
          <w:sz w:val="20"/>
          <w:szCs w:val="20"/>
          <w:color w:val="auto"/>
        </w:rPr>
      </w:pPr>
    </w:p>
    <w:p>
      <w:pPr>
        <w:ind w:right="120" w:firstLine="555"/>
        <w:spacing w:after="0" w:line="291" w:lineRule="auto"/>
        <w:rPr>
          <w:sz w:val="20"/>
          <w:szCs w:val="20"/>
          <w:color w:val="auto"/>
        </w:rPr>
      </w:pPr>
      <w:r>
        <w:rPr>
          <w:rFonts w:ascii="Arial" w:cs="Arial" w:eastAsia="Arial" w:hAnsi="Arial"/>
          <w:sz w:val="16"/>
          <w:szCs w:val="16"/>
          <w:color w:val="auto"/>
        </w:rPr>
        <w:t>Facioscapulohumeral muscular dystrophy is a rare, progressive and disabling disease for which there are no approved treatments. FSHD is one of the most common forms of muscular dystrophy and affects both sexes equally, with onset typically in teens and young adults. FSHD is characterized by progressive skeletal muscle loss that initially causes weakness in muscles in the face, shoulders, arms and trunk and progresses to weakness in muscles in lower extremities and the pelvic girdle. Skeletal muscle weakness results in significant physical limitations, including progressive loss of facial muscles that can cause an inability to smile or communicate, difficulty using arms for activities of daily living and difficulty getting out of bed, with many patients ultimately becoming dependent upon the use of a wheelchair for daily mobility activities. The majority of patients with FSHD also report experiencing chronic pain, anxiety and depression. The diagnosis and treatment of patients with FSHD is typically performed by neurologists.</w:t>
      </w:r>
    </w:p>
    <w:p>
      <w:pPr>
        <w:spacing w:after="0" w:line="167" w:lineRule="exact"/>
        <w:rPr>
          <w:sz w:val="20"/>
          <w:szCs w:val="20"/>
          <w:color w:val="auto"/>
        </w:rPr>
      </w:pPr>
    </w:p>
    <w:p>
      <w:pPr>
        <w:ind w:right="80" w:firstLine="555"/>
        <w:spacing w:after="0" w:line="297" w:lineRule="auto"/>
        <w:rPr>
          <w:sz w:val="20"/>
          <w:szCs w:val="20"/>
          <w:color w:val="auto"/>
        </w:rPr>
      </w:pPr>
      <w:r>
        <w:rPr>
          <w:rFonts w:ascii="Arial" w:cs="Arial" w:eastAsia="Arial" w:hAnsi="Arial"/>
          <w:sz w:val="16"/>
          <w:szCs w:val="16"/>
          <w:color w:val="auto"/>
        </w:rPr>
        <w:t>The FSH Society estimated that the prevalence of FSHD in the United States is approximately 1 in 20,000 people. A recent study conducted in the Netherlands reported a more frequent prevalence of 1 in 8,333. Based on these estimates and a U.S. population of 320 million, we estimate that the patient population is between 16,000 to 38,000 in the United States. We believe that there may be additional patients who are not formally diagnosed due to a perceived difficulty of obtaining a diagnosis and the fact that there are no approved treatments. Approximately two-thirds of cases are familial-inherited in an autosomal dominant fashion and one-third of cases are sporadic. FSHD affects all ethnic groups with similar incidence and prevalence.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FSHD Biology</w:t>
      </w:r>
    </w:p>
    <w:p>
      <w:pPr>
        <w:spacing w:after="0" w:line="117"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 xml:space="preserve">FSHD is caused by aberrant expression of </w:t>
      </w:r>
      <w:r>
        <w:rPr>
          <w:rFonts w:ascii="Arial" w:cs="Arial" w:eastAsia="Arial" w:hAnsi="Arial"/>
          <w:sz w:val="17"/>
          <w:szCs w:val="17"/>
          <w:i w:val="1"/>
          <w:iCs w:val="1"/>
          <w:color w:val="auto"/>
        </w:rPr>
        <w:t>DUX4</w:t>
      </w:r>
      <w:r>
        <w:rPr>
          <w:rFonts w:ascii="Arial" w:cs="Arial" w:eastAsia="Arial" w:hAnsi="Arial"/>
          <w:sz w:val="17"/>
          <w:szCs w:val="17"/>
          <w:color w:val="auto"/>
        </w:rPr>
        <w:t xml:space="preserve"> in skeletal muscle resulting in the inappropriate presence of DUX4 protein, a transcription factor causing the expression of other genes. Normally DUX4-driven gene expression is limited to early embryonic development, after which time the </w:t>
      </w:r>
      <w:r>
        <w:rPr>
          <w:rFonts w:ascii="Arial" w:cs="Arial" w:eastAsia="Arial" w:hAnsi="Arial"/>
          <w:sz w:val="17"/>
          <w:szCs w:val="17"/>
          <w:i w:val="1"/>
          <w:iCs w:val="1"/>
          <w:color w:val="auto"/>
        </w:rPr>
        <w:t>DUX4</w:t>
      </w:r>
      <w:r>
        <w:rPr>
          <w:rFonts w:ascii="Arial" w:cs="Arial" w:eastAsia="Arial" w:hAnsi="Arial"/>
          <w:sz w:val="17"/>
          <w:szCs w:val="17"/>
          <w:color w:val="auto"/>
        </w:rPr>
        <w:t xml:space="preserve"> gene is silenced. In patients with FSHD, aberrant production of DUX4 protein in skeletal muscle regulates other genes encoding proteins, some of which are toxic to the muscle. Aberrant DUX4-driven gene expression is the major molecular signature that distinguishes muscle tissue affected by FSHD from healthy muscle. The result of aberrant </w:t>
      </w:r>
      <w:r>
        <w:rPr>
          <w:rFonts w:ascii="Arial" w:cs="Arial" w:eastAsia="Arial" w:hAnsi="Arial"/>
          <w:sz w:val="17"/>
          <w:szCs w:val="17"/>
          <w:i w:val="1"/>
          <w:iCs w:val="1"/>
          <w:color w:val="auto"/>
        </w:rPr>
        <w:t>DUX4</w:t>
      </w:r>
      <w:r>
        <w:rPr>
          <w:rFonts w:ascii="Arial" w:cs="Arial" w:eastAsia="Arial" w:hAnsi="Arial"/>
          <w:sz w:val="17"/>
          <w:szCs w:val="17"/>
          <w:color w:val="auto"/>
        </w:rPr>
        <w:t xml:space="preserve"> expression in FSHD is death of muscle and its replacement by fat, resulting in skeletal muscle weakness and progressive disability. We believe that reducing expression of the </w:t>
      </w:r>
      <w:r>
        <w:rPr>
          <w:rFonts w:ascii="Arial" w:cs="Arial" w:eastAsia="Arial" w:hAnsi="Arial"/>
          <w:sz w:val="17"/>
          <w:szCs w:val="17"/>
          <w:i w:val="1"/>
          <w:iCs w:val="1"/>
          <w:color w:val="auto"/>
        </w:rPr>
        <w:t>DUX4</w:t>
      </w:r>
      <w:r>
        <w:rPr>
          <w:rFonts w:ascii="Arial" w:cs="Arial" w:eastAsia="Arial" w:hAnsi="Arial"/>
          <w:sz w:val="17"/>
          <w:szCs w:val="17"/>
          <w:color w:val="auto"/>
        </w:rPr>
        <w:t xml:space="preserve"> gene and its downstream transcriptional program could provide a disease-modifying therapeutic approach for the treatment of FSHD at its root cause. Published preclinical and human data, in addition to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experiments that we have conducted, suggest that any reduction in DUX4 expression may be beneficial for patients. In preclinical studies, we have demonstrated that there is a direct relationship between muscle cell death (apoptosis) and the level of DUX4 expression, and a reduction in DUX4 leads to a concomitant decrease in apoptosis. As illustrated in the graphic below, in animal models where expression of DUX4 in skeletal muscle is induced, a corresponding loss of function is observed with increasing levels of DUX4 expression. In these animal models where low levels of DUX4 are expressed, the animals performed similarly to healthy animals in a mobility assessment, suggesting that complete DUX4 reduction is not required for a functional benefit. Data from human muscle biopsies likewise indicated that increased DUX4 activity is related to worsening muscle pathology.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213995</wp:posOffset>
            </wp:positionV>
            <wp:extent cx="2804160" cy="1706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04160"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color w:val="auto"/>
        </w:rPr>
        <w:t xml:space="preserve">In all patients with FSHD,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is unsilenced, or de-repressed, as a result of one of two different types of genetic alterations, leading to FSHD1 or FSHD2. Approximately 95% of patients have FSHD1 and approximately 5% of patients have FSHD2. FSHD1 is caused by the contraction of an array of DNA, known as a D4Z4 repeat, from greater than ten repeat units to nine or fewer units. This contraction causes de-repression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Patients with FSHD2 do not have meaningful D4Z4 repeat contraction, but have mutations in a regulatory gene, known as the </w:t>
      </w:r>
      <w:r>
        <w:rPr>
          <w:rFonts w:ascii="Arial" w:cs="Arial" w:eastAsia="Arial" w:hAnsi="Arial"/>
          <w:sz w:val="18"/>
          <w:szCs w:val="18"/>
          <w:i w:val="1"/>
          <w:iCs w:val="1"/>
          <w:color w:val="auto"/>
        </w:rPr>
        <w:t>SMCHD1</w:t>
      </w:r>
      <w:r>
        <w:rPr>
          <w:rFonts w:ascii="Arial" w:cs="Arial" w:eastAsia="Arial" w:hAnsi="Arial"/>
          <w:sz w:val="18"/>
          <w:szCs w:val="18"/>
          <w:color w:val="auto"/>
        </w:rPr>
        <w:t xml:space="preserve"> gene, that normally contributes to the repression of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via DNA methylation.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ind w:right="20" w:firstLine="555"/>
        <w:spacing w:after="0" w:line="277" w:lineRule="auto"/>
        <w:rPr>
          <w:sz w:val="20"/>
          <w:szCs w:val="20"/>
          <w:color w:val="auto"/>
        </w:rPr>
      </w:pPr>
      <w:r>
        <w:rPr>
          <w:rFonts w:ascii="Arial" w:cs="Arial" w:eastAsia="Arial" w:hAnsi="Arial"/>
          <w:sz w:val="18"/>
          <w:szCs w:val="18"/>
          <w:color w:val="auto"/>
        </w:rPr>
        <w:t xml:space="preserve">The figure below illustrates how genetic mutations in the D4Z4 repeat array (FSHD1) or the </w:t>
      </w:r>
      <w:r>
        <w:rPr>
          <w:rFonts w:ascii="Arial" w:cs="Arial" w:eastAsia="Arial" w:hAnsi="Arial"/>
          <w:sz w:val="18"/>
          <w:szCs w:val="18"/>
          <w:i w:val="1"/>
          <w:iCs w:val="1"/>
          <w:color w:val="auto"/>
        </w:rPr>
        <w:t>SMCHD1</w:t>
      </w:r>
      <w:r>
        <w:rPr>
          <w:rFonts w:ascii="Arial" w:cs="Arial" w:eastAsia="Arial" w:hAnsi="Arial"/>
          <w:sz w:val="18"/>
          <w:szCs w:val="18"/>
          <w:color w:val="auto"/>
        </w:rPr>
        <w:t xml:space="preserve"> gene (FSHD2) result in aberrant expression of </w:t>
      </w:r>
      <w:r>
        <w:rPr>
          <w:rFonts w:ascii="Arial" w:cs="Arial" w:eastAsia="Arial" w:hAnsi="Arial"/>
          <w:sz w:val="18"/>
          <w:szCs w:val="18"/>
          <w:i w:val="1"/>
          <w:iCs w:val="1"/>
          <w:color w:val="auto"/>
        </w:rPr>
        <w:t xml:space="preserve">DUX4 </w:t>
      </w:r>
      <w:r>
        <w:rPr>
          <w:rFonts w:ascii="Arial" w:cs="Arial" w:eastAsia="Arial" w:hAnsi="Arial"/>
          <w:sz w:val="18"/>
          <w:szCs w:val="18"/>
          <w:color w:val="auto"/>
        </w:rPr>
        <w:t>in skeletal muscle.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134620</wp:posOffset>
            </wp:positionV>
            <wp:extent cx="4039235" cy="257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3923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 Engine Identified the Drug Target for FSHD</w:t>
      </w:r>
    </w:p>
    <w:p>
      <w:pPr>
        <w:spacing w:after="0" w:line="117" w:lineRule="exact"/>
        <w:rPr>
          <w:sz w:val="20"/>
          <w:szCs w:val="20"/>
          <w:color w:val="auto"/>
        </w:rPr>
      </w:pPr>
    </w:p>
    <w:p>
      <w:pPr>
        <w:ind w:right="100" w:firstLine="555"/>
        <w:spacing w:after="0" w:line="270" w:lineRule="auto"/>
        <w:rPr>
          <w:sz w:val="20"/>
          <w:szCs w:val="20"/>
          <w:color w:val="auto"/>
        </w:rPr>
      </w:pPr>
      <w:r>
        <w:rPr>
          <w:rFonts w:ascii="Arial" w:cs="Arial" w:eastAsia="Arial" w:hAnsi="Arial"/>
          <w:sz w:val="17"/>
          <w:szCs w:val="17"/>
          <w:color w:val="auto"/>
        </w:rPr>
        <w:t xml:space="preserve">We utilized patient-derived FSHD1 muscle cells, known as myotubes, and screened them with our small molecule probe library to identify drug targets that reduced </w:t>
      </w:r>
      <w:r>
        <w:rPr>
          <w:rFonts w:ascii="Arial" w:cs="Arial" w:eastAsia="Arial" w:hAnsi="Arial"/>
          <w:sz w:val="17"/>
          <w:szCs w:val="17"/>
          <w:i w:val="1"/>
          <w:iCs w:val="1"/>
          <w:color w:val="auto"/>
        </w:rPr>
        <w:t>DUX4</w:t>
      </w:r>
      <w:r>
        <w:rPr>
          <w:rFonts w:ascii="Arial" w:cs="Arial" w:eastAsia="Arial" w:hAnsi="Arial"/>
          <w:sz w:val="17"/>
          <w:szCs w:val="17"/>
          <w:color w:val="auto"/>
        </w:rPr>
        <w:t xml:space="preserve"> expression. We identified several potential drug targets, however the modulation of the majority of the targets adversely affected the health or differentiation of muscle cells. One drug target that we identified from our screening efforts for which we did not observe adverse cell health issues was p38α/ß, which had been studied extensively in other diseases, but had not been reported to be linked to </w:t>
      </w:r>
      <w:r>
        <w:rPr>
          <w:rFonts w:ascii="Arial" w:cs="Arial" w:eastAsia="Arial" w:hAnsi="Arial"/>
          <w:sz w:val="17"/>
          <w:szCs w:val="17"/>
          <w:i w:val="1"/>
          <w:iCs w:val="1"/>
          <w:color w:val="auto"/>
        </w:rPr>
        <w:t>DUX4</w:t>
      </w:r>
      <w:r>
        <w:rPr>
          <w:rFonts w:ascii="Arial" w:cs="Arial" w:eastAsia="Arial" w:hAnsi="Arial"/>
          <w:sz w:val="17"/>
          <w:szCs w:val="17"/>
          <w:color w:val="auto"/>
        </w:rPr>
        <w:t xml:space="preserve"> expression or FSHD until we conducted our screening efforts. We evaluated multiple small molecule p38α/ß inhibitors and observed a consistent reduction of both </w:t>
      </w:r>
      <w:r>
        <w:rPr>
          <w:rFonts w:ascii="Arial" w:cs="Arial" w:eastAsia="Arial" w:hAnsi="Arial"/>
          <w:sz w:val="17"/>
          <w:szCs w:val="17"/>
          <w:i w:val="1"/>
          <w:iCs w:val="1"/>
          <w:color w:val="auto"/>
        </w:rPr>
        <w:t>DUX4</w:t>
      </w:r>
      <w:r>
        <w:rPr>
          <w:rFonts w:ascii="Arial" w:cs="Arial" w:eastAsia="Arial" w:hAnsi="Arial"/>
          <w:sz w:val="17"/>
          <w:szCs w:val="17"/>
          <w:color w:val="auto"/>
        </w:rPr>
        <w:t xml:space="preserve"> expression and DUX4-driven gene transcripts with each p38α/ß inhibitor. We conducted further validation experiments to confirm that inhibition of p38α using genetic approaches such as siRNA and CRISPR single-guide RNAs, also led to a reduction in </w:t>
      </w:r>
      <w:r>
        <w:rPr>
          <w:rFonts w:ascii="Arial" w:cs="Arial" w:eastAsia="Arial" w:hAnsi="Arial"/>
          <w:sz w:val="17"/>
          <w:szCs w:val="17"/>
          <w:i w:val="1"/>
          <w:iCs w:val="1"/>
          <w:color w:val="auto"/>
        </w:rPr>
        <w:t>DUX4</w:t>
      </w:r>
      <w:r>
        <w:rPr>
          <w:rFonts w:ascii="Arial" w:cs="Arial" w:eastAsia="Arial" w:hAnsi="Arial"/>
          <w:sz w:val="17"/>
          <w:szCs w:val="17"/>
          <w:color w:val="auto"/>
        </w:rPr>
        <w:t xml:space="preserve"> expression. Additionally, researchers from Saint Louis University independently published the results of a study which concluded that inhibitors of p38α/ß, including losmapimod, suppressed </w:t>
      </w:r>
      <w:r>
        <w:rPr>
          <w:rFonts w:ascii="Arial" w:cs="Arial" w:eastAsia="Arial" w:hAnsi="Arial"/>
          <w:sz w:val="17"/>
          <w:szCs w:val="17"/>
          <w:i w:val="1"/>
          <w:iCs w:val="1"/>
          <w:color w:val="auto"/>
        </w:rPr>
        <w:t>DUX4</w:t>
      </w:r>
      <w:r>
        <w:rPr>
          <w:rFonts w:ascii="Arial" w:cs="Arial" w:eastAsia="Arial" w:hAnsi="Arial"/>
          <w:sz w:val="17"/>
          <w:szCs w:val="17"/>
          <w:color w:val="auto"/>
        </w:rPr>
        <w:t xml:space="preserve"> expression in cellular and animal FSHD models.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Losmapimod</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After identifying p38α/ß as a potential drug target, we evaluated multiple small molecule inhibitors of p38α/ß. Each of these inhibitors had previously been evaluated in clinical trials for the treatment of various diseases but never in muscle disorders. As a result of our evaluation and relative to other p38α/ß inhibitors, we identified losmapimod as the preferred development candidate based on substantial and attractive preclinical and clinical data regarding safety, PK and target inhibition, and its advanced stage of development. Losmapimod was originally evaluated by GSK in nearly 3,500 subjects in clinical trials across multiple indications and in multiple countries. GSK did not evaluate losmapimod in FSHD or in any other muscle disorder. Although GSK did not pursue regulatory approval in the indications evaluated, losmapimod demonstrated an attractive PK, PD, safety and tolerability profile, including in chronic dosing.</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5" w:name="page16"/>
    <w:bookmarkEnd w:id="15"/>
    <w:p>
      <w:pPr>
        <w:ind w:right="140" w:firstLine="555"/>
        <w:spacing w:after="0" w:line="291" w:lineRule="auto"/>
        <w:rPr>
          <w:sz w:val="20"/>
          <w:szCs w:val="20"/>
          <w:color w:val="auto"/>
        </w:rPr>
      </w:pPr>
      <w:r>
        <w:rPr>
          <w:rFonts w:ascii="Arial" w:cs="Arial" w:eastAsia="Arial" w:hAnsi="Arial"/>
          <w:sz w:val="16"/>
          <w:szCs w:val="16"/>
          <w:color w:val="auto"/>
        </w:rPr>
        <w:t xml:space="preserve">As shown in the figure on the left below, we observed in preclinical studies using losmapimod that inhibition of the p38α/ß pathway reduced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and downstream gene expression, as measured by the mRNA transcribed by </w:t>
      </w:r>
      <w:r>
        <w:rPr>
          <w:rFonts w:ascii="Arial" w:cs="Arial" w:eastAsia="Arial" w:hAnsi="Arial"/>
          <w:sz w:val="16"/>
          <w:szCs w:val="16"/>
          <w:i w:val="1"/>
          <w:iCs w:val="1"/>
          <w:color w:val="auto"/>
        </w:rPr>
        <w:t>MBD3L2</w:t>
      </w:r>
      <w:r>
        <w:rPr>
          <w:rFonts w:ascii="Arial" w:cs="Arial" w:eastAsia="Arial" w:hAnsi="Arial"/>
          <w:sz w:val="16"/>
          <w:szCs w:val="16"/>
          <w:color w:val="auto"/>
        </w:rPr>
        <w:t xml:space="preserve">, a gene that is only expressed following </w:t>
      </w:r>
      <w:r>
        <w:rPr>
          <w:rFonts w:ascii="Arial" w:cs="Arial" w:eastAsia="Arial" w:hAnsi="Arial"/>
          <w:sz w:val="16"/>
          <w:szCs w:val="16"/>
          <w:i w:val="1"/>
          <w:iCs w:val="1"/>
          <w:color w:val="auto"/>
        </w:rPr>
        <w:t>DUX4</w:t>
      </w:r>
      <w:r>
        <w:rPr>
          <w:rFonts w:ascii="Arial" w:cs="Arial" w:eastAsia="Arial" w:hAnsi="Arial"/>
          <w:sz w:val="16"/>
          <w:szCs w:val="16"/>
          <w:color w:val="auto"/>
        </w:rPr>
        <w:t xml:space="preserve"> activation. In the study, we demonstrated that </w:t>
      </w:r>
      <w:r>
        <w:rPr>
          <w:rFonts w:ascii="Arial" w:cs="Arial" w:eastAsia="Arial" w:hAnsi="Arial"/>
          <w:sz w:val="16"/>
          <w:szCs w:val="16"/>
          <w:i w:val="1"/>
          <w:iCs w:val="1"/>
          <w:color w:val="auto"/>
        </w:rPr>
        <w:t>MBD3L2</w:t>
      </w:r>
      <w:r>
        <w:rPr>
          <w:rFonts w:ascii="Arial" w:cs="Arial" w:eastAsia="Arial" w:hAnsi="Arial"/>
          <w:sz w:val="16"/>
          <w:szCs w:val="16"/>
          <w:color w:val="auto"/>
        </w:rPr>
        <w:t xml:space="preserve"> was representative of broader DUX4-driven gene expression changes in myotubes. We assessed the ability of losmapimod to inhibit p38α/ß by measuring the effect on the phosphorylation of a downstream protein called heat shock protein 27, or HSP27. The level of phosphorylation of HSP27 has been used in previous clinical trials, including by GSK, as a biomarker to measure the degree of p38α/ß inhibition. As shown in the figure on the right below, we also observed reduced cell death, or apoptosis, in FSHD myotubes, as measured by active caspase-3. We used active caspase-3 to quantify cell death because it is a protein that has been shown to be an important regulator of the apoptosis pathway in myotubes.</w:t>
      </w:r>
    </w:p>
    <w:p>
      <w:pPr>
        <w:sectPr>
          <w:pgSz w:w="11900" w:h="16838" w:orient="portrait"/>
          <w:cols w:equalWidth="0" w:num="1">
            <w:col w:w="11400"/>
          </w:cols>
          <w:pgMar w:left="240" w:top="557" w:right="259" w:bottom="1440" w:gutter="0" w:footer="0" w:header="0"/>
        </w:sectPr>
      </w:pPr>
    </w:p>
    <w:p>
      <w:pPr>
        <w:spacing w:after="0" w:line="190" w:lineRule="exact"/>
        <w:rPr>
          <w:sz w:val="20"/>
          <w:szCs w:val="20"/>
          <w:color w:val="auto"/>
        </w:rPr>
      </w:pPr>
    </w:p>
    <w:p>
      <w:pPr>
        <w:jc w:val="center"/>
        <w:ind w:left="200"/>
        <w:spacing w:after="0"/>
        <w:rPr>
          <w:sz w:val="20"/>
          <w:szCs w:val="20"/>
          <w:color w:val="auto"/>
        </w:rPr>
      </w:pPr>
      <w:r>
        <w:rPr>
          <w:rFonts w:ascii="Arial" w:cs="Arial" w:eastAsia="Arial" w:hAnsi="Arial"/>
          <w:sz w:val="16"/>
          <w:szCs w:val="16"/>
          <w:b w:val="1"/>
          <w:bCs w:val="1"/>
          <w:color w:val="auto"/>
        </w:rPr>
        <w:t>Losmapimod reduced DUX4 protein levels and</w:t>
      </w:r>
    </w:p>
    <w:p>
      <w:pPr>
        <w:spacing w:after="0" w:line="50"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auto"/>
        </w:rPr>
        <w:t>DUX4-driven gene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168910</wp:posOffset>
            </wp:positionV>
            <wp:extent cx="2538730" cy="1981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38730" cy="1981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1560"/>
        <w:spacing w:after="0"/>
        <w:rPr>
          <w:sz w:val="20"/>
          <w:szCs w:val="20"/>
          <w:color w:val="auto"/>
        </w:rPr>
      </w:pPr>
      <w:r>
        <w:rPr>
          <w:rFonts w:ascii="Arial" w:cs="Arial" w:eastAsia="Arial" w:hAnsi="Arial"/>
          <w:sz w:val="16"/>
          <w:szCs w:val="16"/>
          <w:b w:val="1"/>
          <w:bCs w:val="1"/>
          <w:color w:val="auto"/>
        </w:rPr>
        <w:t>Losmapimod reduced apoptosis in FSHD</w:t>
      </w:r>
    </w:p>
    <w:p>
      <w:pPr>
        <w:spacing w:after="0" w:line="50" w:lineRule="exact"/>
        <w:rPr>
          <w:sz w:val="20"/>
          <w:szCs w:val="20"/>
          <w:color w:val="auto"/>
        </w:rPr>
      </w:pPr>
    </w:p>
    <w:p>
      <w:pPr>
        <w:jc w:val="center"/>
        <w:ind w:right="1560"/>
        <w:spacing w:after="0"/>
        <w:rPr>
          <w:sz w:val="20"/>
          <w:szCs w:val="20"/>
          <w:color w:val="auto"/>
        </w:rPr>
      </w:pPr>
      <w:r>
        <w:rPr>
          <w:rFonts w:ascii="Arial" w:cs="Arial" w:eastAsia="Arial" w:hAnsi="Arial"/>
          <w:sz w:val="18"/>
          <w:szCs w:val="18"/>
          <w:b w:val="1"/>
          <w:bCs w:val="1"/>
          <w:color w:val="auto"/>
        </w:rPr>
        <w:t>myotubes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186055</wp:posOffset>
            </wp:positionV>
            <wp:extent cx="2538730" cy="1964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38730" cy="1964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60" w:space="720"/>
            <w:col w:w="4720"/>
          </w:cols>
          <w:pgMar w:left="240" w:top="557"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The dotted lines in each graphic above indicate the Cmin (left) and Cmax (right) observed in a clinical trial conducted by GSK that used a 15 mg twice per day dose of losmapimod. Cmin represents the minimum concentration in plasma prior to administration of a subsequent dose and Cmax represents the highest concentration in plasma after administration of a dose.</w:t>
      </w:r>
    </w:p>
    <w:p>
      <w:pPr>
        <w:spacing w:after="0" w:line="181" w:lineRule="exact"/>
        <w:rPr>
          <w:sz w:val="20"/>
          <w:szCs w:val="20"/>
          <w:color w:val="auto"/>
        </w:rPr>
      </w:pPr>
    </w:p>
    <w:p>
      <w:pPr>
        <w:ind w:firstLine="555"/>
        <w:spacing w:after="0" w:line="253" w:lineRule="auto"/>
        <w:rPr>
          <w:sz w:val="20"/>
          <w:szCs w:val="20"/>
          <w:color w:val="auto"/>
        </w:rPr>
      </w:pPr>
      <w:r>
        <w:rPr>
          <w:rFonts w:ascii="Arial" w:cs="Arial" w:eastAsia="Arial" w:hAnsi="Arial"/>
          <w:sz w:val="18"/>
          <w:szCs w:val="18"/>
          <w:color w:val="auto"/>
        </w:rPr>
        <w:t>After identifying losmapimod, we in-licensed the molecule from GSK because we believed that its safety and pharmacology history would significantly expedite our development plan and enhance our future regulatory submissions. In February 2019, we obtained an exclusive worldwide license from GSK to the losmapimod patents and preclinical and clinical data for all indications, subject to certain conditions. This license includes a letter of reference for the U.S. Food and Drug Administration, or FDA, providing us the right to reference all the previous INDs that had been filed by GSK for losmapimod, as well as a license to their losmapimod data, including the original preclinical study and clinical trial reports. We also received active pharmaceutical ingredient, or API, and losmapimod tablets that had been manufactured by GSK. We are using the API and tablets to support our clinical development of losmapimod in FSHD, including our ongoing Phase 2 clinical trials. We utilized the GSK data and our preclinical data to submit an IND in the United States and CTAs in Europe and Canada at various dates during 2019, which enabled us to advance our clinical development plan for losmapimod in FSHD, including initiating our randomized, double-blind placebo-controlled multicenter international Phase 2b clinical trial, or ReDUX4, and a single center Phase 2 open label trial in August 2019. The IND was accepted by the FDA in June 2019. The Phase 2b clinical trial completed enrollment in February 2020.</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Preclinical Development</w:t>
      </w:r>
    </w:p>
    <w:p>
      <w:pPr>
        <w:spacing w:after="0" w:line="117" w:lineRule="exact"/>
        <w:rPr>
          <w:sz w:val="20"/>
          <w:szCs w:val="20"/>
          <w:color w:val="auto"/>
        </w:rPr>
      </w:pPr>
    </w:p>
    <w:p>
      <w:pPr>
        <w:ind w:right="180" w:firstLine="555"/>
        <w:spacing w:after="0" w:line="291" w:lineRule="auto"/>
        <w:rPr>
          <w:sz w:val="20"/>
          <w:szCs w:val="20"/>
          <w:color w:val="auto"/>
        </w:rPr>
      </w:pPr>
      <w:r>
        <w:rPr>
          <w:rFonts w:ascii="Arial" w:cs="Arial" w:eastAsia="Arial" w:hAnsi="Arial"/>
          <w:sz w:val="16"/>
          <w:szCs w:val="16"/>
          <w:color w:val="auto"/>
        </w:rPr>
        <w:t xml:space="preserve">We conducted several preclinical studies designed to evaluate the ability of losmapimod to reduce DUX4-driven gene expression. In a preclinical study of losmapimod, we treated myotubes from primary cell lines of eight FSHD1 and three FSHD2 patients for four days with different concentrations of losmapimod or vehicle as a negative control. To model the effect of losmapimod treatment on DUX4-driven gene expression across diverse disease-causing genotypes, we measured </w:t>
      </w:r>
      <w:r>
        <w:rPr>
          <w:rFonts w:ascii="Arial" w:cs="Arial" w:eastAsia="Arial" w:hAnsi="Arial"/>
          <w:sz w:val="16"/>
          <w:szCs w:val="16"/>
          <w:i w:val="1"/>
          <w:iCs w:val="1"/>
          <w:color w:val="auto"/>
        </w:rPr>
        <w:t>MBD3L2</w:t>
      </w:r>
      <w:r>
        <w:rPr>
          <w:rFonts w:ascii="Arial" w:cs="Arial" w:eastAsia="Arial" w:hAnsi="Arial"/>
          <w:sz w:val="16"/>
          <w:szCs w:val="16"/>
          <w:color w:val="auto"/>
        </w:rPr>
        <w:t xml:space="preserve"> transcript levels relative to the transcript levels of </w:t>
      </w:r>
      <w:r>
        <w:rPr>
          <w:rFonts w:ascii="Arial" w:cs="Arial" w:eastAsia="Arial" w:hAnsi="Arial"/>
          <w:sz w:val="16"/>
          <w:szCs w:val="16"/>
          <w:i w:val="1"/>
          <w:iCs w:val="1"/>
          <w:color w:val="auto"/>
        </w:rPr>
        <w:t>POLR2A</w:t>
      </w:r>
      <w:r>
        <w:rPr>
          <w:rFonts w:ascii="Arial" w:cs="Arial" w:eastAsia="Arial" w:hAnsi="Arial"/>
          <w:sz w:val="16"/>
          <w:szCs w:val="16"/>
          <w:color w:val="auto"/>
        </w:rPr>
        <w:t xml:space="preserve">, a gene whose expression is not regulated by DUX4 protein. We observed that clinically achievable concentrations of losmapimod (30 to 100 nM) decreased DUX4-driven expression by 50% to 65%, as measured by quantitative polymerase chain reaction amplification of the </w:t>
      </w:r>
      <w:r>
        <w:rPr>
          <w:rFonts w:ascii="Arial" w:cs="Arial" w:eastAsia="Arial" w:hAnsi="Arial"/>
          <w:sz w:val="16"/>
          <w:szCs w:val="16"/>
          <w:i w:val="1"/>
          <w:iCs w:val="1"/>
          <w:color w:val="auto"/>
        </w:rPr>
        <w:t>MBD3L2</w:t>
      </w:r>
      <w:r>
        <w:rPr>
          <w:rFonts w:ascii="Arial" w:cs="Arial" w:eastAsia="Arial" w:hAnsi="Arial"/>
          <w:sz w:val="16"/>
          <w:szCs w:val="16"/>
          <w:color w:val="auto"/>
        </w:rPr>
        <w:t xml:space="preserve"> transcripts. The observed treatment effect was similar in all cells tested regardless of genotype. We believe that this data suggests that losmapimod has the potential to treat FSHD patients across all genotypes.</w:t>
      </w:r>
    </w:p>
    <w:p>
      <w:pPr>
        <w:spacing w:after="0" w:line="16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graphic below shows the least square mean estimates for DUX4-driven gene expression from 11 FSHD primary cells and healthy cells treated with losmapimod presented as mean and 95% confidence intervals, which demonstrates that losmapimod reduced DUX4-driven gene expression, as measured by MBD3L2 and POLR2A transcript levels in a concentration-dependent manner.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Reduction of DUX4-driven gene expression at increasing concentrations of losmapimod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172085</wp:posOffset>
            </wp:positionV>
            <wp:extent cx="3507740" cy="26155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07740"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In our preclinical studies, we have also observed that treatment of FSHD patient-derived myotubes with losmapimod is highly specific for DUX4-driven gene expression. We conducted a study in which we measured the FSHD gene expression signature and observed a minimal impact on myogenesis when healthy human myotubes were treated with losmapimod. We treated FSHD cells with losmapimod for five days and a subsequent RNA-seq analysis revealed that only 89 transcripts (0.45%) out of approximately 20,000 protein coding genes were differentially expressed more than four-fold. Of these 89 differentially expressed transcripts, 90% were transcripts directly regulated by DUX4. We believe that this is strong evidence that the effects of losmapimod in affected skeletal muscle are highly specific for the treatment of the root cause of FSHD. Importantly, we did not observe changes in levels of myogenin, a transcriptional activator that promotes transcription of muscle-specific genes and plays a role in muscle differentiation, cell cycle exit and muscle atrophy, and observed minimal impact on other myogenic factors during myoblast differentiation into myotubes.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ind w:right="20" w:firstLine="555"/>
        <w:spacing w:after="0" w:line="259" w:lineRule="auto"/>
        <w:rPr>
          <w:sz w:val="20"/>
          <w:szCs w:val="20"/>
          <w:color w:val="auto"/>
        </w:rPr>
      </w:pPr>
      <w:r>
        <w:rPr>
          <w:rFonts w:ascii="Arial" w:cs="Arial" w:eastAsia="Arial" w:hAnsi="Arial"/>
          <w:sz w:val="18"/>
          <w:szCs w:val="18"/>
          <w:color w:val="auto"/>
        </w:rPr>
        <w:t>GSK observed concentrations of losmapimod in human plasma of 28.4 ng/mL to 74.1 ng/mL with an average of 50.5 ng/mL at a 15 mg twice per day dose in its clinical trials. In preclinical studies in animal models, we observed that losmapimod reached muscle tissue and engaged the p38α/ß target in the muscle tissue. As shown below, we detected similar concentrations of losmapimod in rat plasma and muscle, and significant target engagement is observed at concentrations that we expect to achieve in clinical trials using a 15 mg twice per day dose.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p38</w:t>
      </w:r>
      <w:r>
        <w:rPr>
          <w:rFonts w:ascii="Arial" w:cs="Arial" w:eastAsia="Arial" w:hAnsi="Arial"/>
          <w:sz w:val="18"/>
          <w:szCs w:val="18"/>
          <w:color w:val="auto"/>
        </w:rPr>
        <w:t>α</w:t>
      </w:r>
      <w:r>
        <w:rPr>
          <w:rFonts w:ascii="Arial" w:cs="Arial" w:eastAsia="Arial" w:hAnsi="Arial"/>
          <w:sz w:val="18"/>
          <w:szCs w:val="18"/>
          <w:b w:val="1"/>
          <w:bCs w:val="1"/>
          <w:color w:val="auto"/>
        </w:rPr>
        <w:t>/ß target engagement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172085</wp:posOffset>
            </wp:positionV>
            <wp:extent cx="4039235" cy="2821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39235" cy="282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We obtained further evidence that losmapimod distributed to muscle from a preclinical study in which GSK profiled distribution of losmapimod to all tissues in rats. Our review of this data similarly confirmed that muscles were well exposed to losmapimod.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Overview</w:t>
      </w:r>
    </w:p>
    <w:p>
      <w:pPr>
        <w:spacing w:after="0" w:line="117" w:lineRule="exact"/>
        <w:rPr>
          <w:sz w:val="20"/>
          <w:szCs w:val="20"/>
          <w:color w:val="auto"/>
        </w:rPr>
      </w:pPr>
    </w:p>
    <w:p>
      <w:pPr>
        <w:ind w:firstLine="555"/>
        <w:spacing w:after="0" w:line="253" w:lineRule="auto"/>
        <w:rPr>
          <w:sz w:val="20"/>
          <w:szCs w:val="20"/>
          <w:color w:val="auto"/>
        </w:rPr>
      </w:pPr>
      <w:r>
        <w:rPr>
          <w:rFonts w:ascii="Arial" w:cs="Arial" w:eastAsia="Arial" w:hAnsi="Arial"/>
          <w:sz w:val="18"/>
          <w:szCs w:val="18"/>
          <w:color w:val="auto"/>
        </w:rPr>
        <w:t>We began dosing in a Phase 1 clinical trial of losmapimod in healthy volunteers and patients with FSHD in Europe in February 2019 following the filing of a CTA in December 2018. We completed dosing in this trial in September 2019. In August 2019, we initiated a randomized, double-blind placebo-controlled multicenter international Phase 2b clinical trial, ReDUX4, with 80 patients with FSHD to investigate whether oral administration of 15 mg of losmapimod twice per day reduces expression of DUX4-driven genes in affected skeletal muscle. In August 2019, we also initiated a single center open label Phase 2 clinical trial in up to 16 patients with FSHD to investigate the safety and tolerability of 15 mg losmapimod twice per day for chronic use and to evaluate the ability of losmapimod to reduce expression of DUX4-driven genes in affected skeletal muscle over varying durations of treatment. In addition, in February 2020 we initiated an open label extension of the ReDUX4 trial to enable patients in our ongoing Phase 2b clinical trial who are treated with losmapimod to continue receiving treatment after the 24-week treatment period and to enable patients given placebo in our Phase 2b clinical trial to be treated with losmapimod.</w:t>
      </w:r>
    </w:p>
    <w:p>
      <w:pPr>
        <w:spacing w:after="0" w:line="197" w:lineRule="exact"/>
        <w:rPr>
          <w:sz w:val="20"/>
          <w:szCs w:val="20"/>
          <w:color w:val="auto"/>
        </w:rPr>
      </w:pPr>
    </w:p>
    <w:p>
      <w:pPr>
        <w:jc w:val="both"/>
        <w:ind w:right="60" w:firstLine="555"/>
        <w:spacing w:after="0" w:line="259" w:lineRule="auto"/>
        <w:rPr>
          <w:sz w:val="20"/>
          <w:szCs w:val="20"/>
          <w:color w:val="auto"/>
        </w:rPr>
      </w:pPr>
      <w:r>
        <w:rPr>
          <w:rFonts w:ascii="Arial" w:cs="Arial" w:eastAsia="Arial" w:hAnsi="Arial"/>
          <w:sz w:val="18"/>
          <w:szCs w:val="18"/>
          <w:color w:val="auto"/>
        </w:rPr>
        <w:t>We believe that a 15 mg twice per day dose of losmapimod is an appropriate dose for the treatment of patients with FSHD based on previous clinical data and p38α/ß target engagement data generated by GSK and p38α/ß target engagement data from our preclinical studies. Initial results of PK in blood and losmapimod concentrations in skeletal muscle and target engagement in blood from the Phase 1 clinical trial in FSHD patients support the selection of the 15 mg twice per day dose of losmapimod for the ongoing Phase 2 clinical trials.</w:t>
      </w:r>
    </w:p>
    <w:p>
      <w:pPr>
        <w:spacing w:after="0" w:line="187" w:lineRule="exact"/>
        <w:rPr>
          <w:sz w:val="20"/>
          <w:szCs w:val="20"/>
          <w:color w:val="auto"/>
        </w:rPr>
      </w:pPr>
    </w:p>
    <w:p>
      <w:pPr>
        <w:ind w:right="360" w:firstLine="555"/>
        <w:spacing w:after="0" w:line="308" w:lineRule="auto"/>
        <w:rPr>
          <w:sz w:val="20"/>
          <w:szCs w:val="20"/>
          <w:color w:val="auto"/>
        </w:rPr>
      </w:pPr>
      <w:r>
        <w:rPr>
          <w:rFonts w:ascii="Arial" w:cs="Arial" w:eastAsia="Arial" w:hAnsi="Arial"/>
          <w:sz w:val="17"/>
          <w:szCs w:val="17"/>
          <w:color w:val="auto"/>
        </w:rPr>
        <w:t>We submitted a CTA in Europe for the open label Phase 2 clinical trial in April 2019 and submitted CTAs in Europe and Canada for the Phase 2b clinical trial at various dates during 2019. The FDA accepted the IND in June 2019, and each of the CTAs have been accepted.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8" w:name="page19"/>
    <w:bookmarkEnd w:id="18"/>
    <w:p>
      <w:pPr>
        <w:ind w:right="140" w:firstLine="555"/>
        <w:spacing w:after="0" w:line="291" w:lineRule="auto"/>
        <w:rPr>
          <w:sz w:val="20"/>
          <w:szCs w:val="20"/>
          <w:color w:val="auto"/>
        </w:rPr>
      </w:pPr>
      <w:r>
        <w:rPr>
          <w:rFonts w:ascii="Arial" w:cs="Arial" w:eastAsia="Arial" w:hAnsi="Arial"/>
          <w:sz w:val="16"/>
          <w:szCs w:val="16"/>
          <w:color w:val="auto"/>
        </w:rPr>
        <w:t>We are also conducting or have completed, several preparatory non-drug studies to assess biomarker endpoints and clinical outcome assessments. In addition, we are participating in a natural history study that plans to follow 160 subjects with FSHD in the United States and 60 subjects in Europe over</w:t>
      </w:r>
    </w:p>
    <w:p>
      <w:pPr>
        <w:ind w:right="320"/>
        <w:spacing w:after="0" w:line="261" w:lineRule="auto"/>
        <w:rPr>
          <w:sz w:val="20"/>
          <w:szCs w:val="20"/>
          <w:color w:val="auto"/>
        </w:rPr>
      </w:pPr>
      <w:r>
        <w:rPr>
          <w:rFonts w:ascii="Arial" w:cs="Arial" w:eastAsia="Arial" w:hAnsi="Arial"/>
          <w:sz w:val="18"/>
          <w:szCs w:val="18"/>
          <w:color w:val="auto"/>
        </w:rPr>
        <w:t>18 months. Planned enrollment in this study was completed in December 2019. We expect to utilize the data generated from our non-drug studies and the natural history study to inform discussions with regulatory agencies and future clinical trial design.</w:t>
      </w:r>
    </w:p>
    <w:p>
      <w:pPr>
        <w:spacing w:after="0" w:line="184"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We believe that the safety data from GSK’s prior losmapimod clinical trials, together with safety and efficacy data from our Phase 1 and ongoing Phase 2 clinical trials, may enable us to apply for accelerated approval. We believe a treatment for FSHD may be eligible for accelerated approval because FSHD is a rare, slowly progressive and disabling disease with no approved treatments. We plan to discuss accelerated approval with regulatory agencies if we observe positive results in our Phase 2b clinical trial based on biomarker endpoints that we believe are likely to predict clinical benefit.</w:t>
      </w:r>
    </w:p>
    <w:p>
      <w:pPr>
        <w:spacing w:after="0" w:line="154"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In January 2020, the FDA granted orphan drug designation to losmapimod for the treatment of FSHD. We submitted an application for orphan drug designation for FSHD in Europe in November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Clinical Development of Losmapimod by GSK</w:t>
      </w:r>
    </w:p>
    <w:p>
      <w:pPr>
        <w:spacing w:after="0" w:line="117" w:lineRule="exact"/>
        <w:rPr>
          <w:sz w:val="20"/>
          <w:szCs w:val="20"/>
          <w:color w:val="auto"/>
        </w:rPr>
      </w:pPr>
    </w:p>
    <w:p>
      <w:pPr>
        <w:ind w:right="220" w:firstLine="555"/>
        <w:spacing w:after="0" w:line="276" w:lineRule="auto"/>
        <w:rPr>
          <w:sz w:val="20"/>
          <w:szCs w:val="20"/>
          <w:color w:val="auto"/>
        </w:rPr>
      </w:pPr>
      <w:r>
        <w:rPr>
          <w:rFonts w:ascii="Arial" w:cs="Arial" w:eastAsia="Arial" w:hAnsi="Arial"/>
          <w:sz w:val="17"/>
          <w:szCs w:val="17"/>
          <w:color w:val="auto"/>
        </w:rPr>
        <w:t>GSK conducted multiple Phase 1 and Phase 2 clinical trials and one Phase 3 clinical trial of losmapimod, including in patients with chronic obstructive pulmonary disease, or COPD, acute coronary syndrome and other cardiovascular diseases, neuropathic pain, major depression disorder, focal segmental glomerulosclerosis, and rheumatoid arthritis. Nearly 3,500 subjects in 24 trials were given losmapimod with single doses as high as 60 mg and repeated oral doses as high as 15 mg twice per day for up to 52 weeks. We plan to use a dose of 15 mg twice per day in our clinical trials of losmapimod in FSHD. GSK did not conduct a clinical trial of losmapimod in patients with FSHD or any other muscle disorder.</w:t>
      </w:r>
    </w:p>
    <w:p>
      <w:pPr>
        <w:spacing w:after="0" w:line="173" w:lineRule="exact"/>
        <w:rPr>
          <w:sz w:val="20"/>
          <w:szCs w:val="20"/>
          <w:color w:val="auto"/>
        </w:rPr>
      </w:pPr>
    </w:p>
    <w:p>
      <w:pPr>
        <w:ind w:right="120" w:firstLine="555"/>
        <w:spacing w:after="0" w:line="293" w:lineRule="auto"/>
        <w:rPr>
          <w:sz w:val="20"/>
          <w:szCs w:val="20"/>
          <w:color w:val="auto"/>
        </w:rPr>
      </w:pPr>
      <w:r>
        <w:rPr>
          <w:rFonts w:ascii="Arial" w:cs="Arial" w:eastAsia="Arial" w:hAnsi="Arial"/>
          <w:sz w:val="16"/>
          <w:szCs w:val="16"/>
          <w:color w:val="auto"/>
        </w:rPr>
        <w:t>In clinical trials of losmapimod conducted by GSK, no significant differences were observed in the frequency of adverse events, or AEs, in subjects given losmapimod and subjects given placebo. GSK generally observed a similar frequency of serious adverse events, or SAEs, and deaths between patients given losmapimod and patients given placebo. These trials included extensive evaluation of the cardiovascular risk profile of losmapimod, including completion of an evaluation of the potential to prolong corrected QT. GSK reported that there was no clinically relevant difference with regard to the occurrence of electrocardiogram abnormalities post-baseline or vital signs with losmapimod as compared to placebo. GSK did not identify a safety signal attributed to losmapimod in any of these trials. There were no SAEs reported in 14 of these 24 clinical trials of losmapimod.</w:t>
      </w:r>
    </w:p>
    <w:p>
      <w:pPr>
        <w:spacing w:after="0" w:line="165"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color w:val="auto"/>
        </w:rPr>
        <w:t>The table below presents safety data from the largest placebo-controlled clinical trial of losmapimod, which was a Phase 3 clinical trial for the treatment of acute coronary syndrome following a heart attack, in which over 1,700 patients were given 7.5 mg of losmapimod or placebo twice per day for 12 weeks and were followed for an additional 12 weeks. In this trial, GSK observed a similar proportion of AEs in the placebo group as compared to the losmapimod group. The data in the table below presents the SAEs reported by more than 0.5% of patients in any group in the trial through 24 weeks.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Safety data from GSK’s Phase 3 clinical trial of losmapimod in patients with acute coronary syndrome</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52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9"/>
              </w:rPr>
              <w:t>Placebo</w:t>
            </w:r>
          </w:p>
        </w:tc>
        <w:tc>
          <w:tcPr>
            <w:tcW w:w="158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Losmapimod</w:t>
            </w:r>
          </w:p>
        </w:tc>
      </w:tr>
      <w:tr>
        <w:trPr>
          <w:trHeight w:val="210"/>
        </w:trPr>
        <w:tc>
          <w:tcPr>
            <w:tcW w:w="522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gridSpan w:val="2"/>
            <w:shd w:val="clear" w:color="auto" w:fill="CFF0FC"/>
          </w:tcPr>
          <w:p>
            <w:pPr>
              <w:jc w:val="center"/>
              <w:ind w:left="52"/>
              <w:spacing w:after="0"/>
              <w:rPr>
                <w:sz w:val="20"/>
                <w:szCs w:val="20"/>
                <w:color w:val="auto"/>
              </w:rPr>
            </w:pPr>
            <w:r>
              <w:rPr>
                <w:rFonts w:ascii="Arial" w:cs="Arial" w:eastAsia="Arial" w:hAnsi="Arial"/>
                <w:sz w:val="18"/>
                <w:szCs w:val="18"/>
                <w:color w:val="auto"/>
                <w:w w:val="94"/>
              </w:rPr>
              <w:t>N = 1,752</w:t>
            </w:r>
          </w:p>
        </w:tc>
        <w:tc>
          <w:tcPr>
            <w:tcW w:w="1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gridSpan w:val="2"/>
            <w:shd w:val="clear" w:color="auto" w:fill="CFF0FC"/>
          </w:tcPr>
          <w:p>
            <w:pPr>
              <w:jc w:val="center"/>
              <w:ind w:left="52"/>
              <w:spacing w:after="0"/>
              <w:rPr>
                <w:sz w:val="20"/>
                <w:szCs w:val="20"/>
                <w:color w:val="auto"/>
              </w:rPr>
            </w:pPr>
            <w:r>
              <w:rPr>
                <w:rFonts w:ascii="Arial" w:cs="Arial" w:eastAsia="Arial" w:hAnsi="Arial"/>
                <w:sz w:val="18"/>
                <w:szCs w:val="18"/>
                <w:color w:val="auto"/>
                <w:w w:val="91"/>
              </w:rPr>
              <w:t>N = 1,724</w:t>
            </w:r>
          </w:p>
        </w:tc>
      </w:tr>
      <w:tr>
        <w:trPr>
          <w:trHeight w:val="216"/>
        </w:trPr>
        <w:tc>
          <w:tcPr>
            <w:tcW w:w="5220" w:type="dxa"/>
            <w:vAlign w:val="bottom"/>
          </w:tcPr>
          <w:p>
            <w:pPr>
              <w:spacing w:after="0"/>
              <w:rPr>
                <w:sz w:val="18"/>
                <w:szCs w:val="18"/>
                <w:color w:val="auto"/>
              </w:rPr>
            </w:pPr>
          </w:p>
        </w:tc>
        <w:tc>
          <w:tcPr>
            <w:tcW w:w="174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n (%)</w:t>
            </w:r>
          </w:p>
        </w:tc>
        <w:tc>
          <w:tcPr>
            <w:tcW w:w="1580" w:type="dxa"/>
            <w:vAlign w:val="bottom"/>
            <w:gridSpan w:val="2"/>
          </w:tcPr>
          <w:p>
            <w:pPr>
              <w:jc w:val="center"/>
              <w:ind w:left="52"/>
              <w:spacing w:after="0"/>
              <w:rPr>
                <w:sz w:val="20"/>
                <w:szCs w:val="20"/>
                <w:color w:val="auto"/>
              </w:rPr>
            </w:pPr>
            <w:r>
              <w:rPr>
                <w:rFonts w:ascii="Arial" w:cs="Arial" w:eastAsia="Arial" w:hAnsi="Arial"/>
                <w:sz w:val="18"/>
                <w:szCs w:val="18"/>
                <w:color w:val="auto"/>
                <w:w w:val="92"/>
              </w:rPr>
              <w:t>n (%)</w:t>
            </w: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Any SAE</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(21.1)</w:t>
            </w:r>
          </w:p>
        </w:tc>
      </w:tr>
      <w:tr>
        <w:trPr>
          <w:trHeight w:val="216"/>
        </w:trPr>
        <w:tc>
          <w:tcPr>
            <w:tcW w:w="5220" w:type="dxa"/>
            <w:vAlign w:val="bottom"/>
          </w:tcPr>
          <w:p>
            <w:pPr>
              <w:ind w:left="560"/>
              <w:spacing w:after="0"/>
              <w:rPr>
                <w:sz w:val="20"/>
                <w:szCs w:val="20"/>
                <w:color w:val="auto"/>
              </w:rPr>
            </w:pPr>
            <w:r>
              <w:rPr>
                <w:rFonts w:ascii="Arial" w:cs="Arial" w:eastAsia="Arial" w:hAnsi="Arial"/>
                <w:sz w:val="18"/>
                <w:szCs w:val="18"/>
                <w:color w:val="auto"/>
              </w:rPr>
              <w:t>Cardiac disorders</w:t>
            </w:r>
          </w:p>
        </w:tc>
        <w:tc>
          <w:tcPr>
            <w:tcW w:w="156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114 (6.5)</w:t>
            </w:r>
          </w:p>
        </w:tc>
        <w:tc>
          <w:tcPr>
            <w:tcW w:w="180" w:type="dxa"/>
            <w:vAlign w:val="bottom"/>
          </w:tcPr>
          <w:p>
            <w:pPr>
              <w:spacing w:after="0"/>
              <w:rPr>
                <w:sz w:val="18"/>
                <w:szCs w:val="18"/>
                <w:color w:val="auto"/>
              </w:rPr>
            </w:pPr>
          </w:p>
        </w:tc>
        <w:tc>
          <w:tcPr>
            <w:tcW w:w="1580" w:type="dxa"/>
            <w:vAlign w:val="bottom"/>
            <w:gridSpan w:val="2"/>
          </w:tcPr>
          <w:p>
            <w:pPr>
              <w:jc w:val="center"/>
              <w:ind w:left="72"/>
              <w:spacing w:after="0"/>
              <w:rPr>
                <w:sz w:val="20"/>
                <w:szCs w:val="20"/>
                <w:color w:val="auto"/>
              </w:rPr>
            </w:pPr>
            <w:r>
              <w:rPr>
                <w:rFonts w:ascii="Arial" w:cs="Arial" w:eastAsia="Arial" w:hAnsi="Arial"/>
                <w:sz w:val="18"/>
                <w:szCs w:val="18"/>
                <w:color w:val="auto"/>
                <w:w w:val="91"/>
              </w:rPr>
              <w:t>138 (8.0)</w:t>
            </w:r>
          </w:p>
        </w:tc>
      </w:tr>
      <w:tr>
        <w:trPr>
          <w:trHeight w:val="216"/>
        </w:trPr>
        <w:tc>
          <w:tcPr>
            <w:tcW w:w="52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Infections and infestations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(3.2)</w:t>
            </w:r>
          </w:p>
        </w:tc>
      </w:tr>
      <w:tr>
        <w:trPr>
          <w:trHeight w:val="216"/>
        </w:trPr>
        <w:tc>
          <w:tcPr>
            <w:tcW w:w="5220" w:type="dxa"/>
            <w:vAlign w:val="bottom"/>
          </w:tcPr>
          <w:p>
            <w:pPr>
              <w:ind w:left="560"/>
              <w:spacing w:after="0"/>
              <w:rPr>
                <w:sz w:val="20"/>
                <w:szCs w:val="20"/>
                <w:color w:val="auto"/>
              </w:rPr>
            </w:pPr>
            <w:r>
              <w:rPr>
                <w:rFonts w:ascii="Arial" w:cs="Arial" w:eastAsia="Arial" w:hAnsi="Arial"/>
                <w:sz w:val="18"/>
                <w:szCs w:val="18"/>
                <w:color w:val="auto"/>
              </w:rPr>
              <w:t>Respiratory, thoracic and mediastinal disorders</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800" w:type="dxa"/>
            <w:vAlign w:val="bottom"/>
          </w:tcPr>
          <w:p>
            <w:pPr>
              <w:ind w:left="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800" w:type="dxa"/>
            <w:vAlign w:val="bottom"/>
          </w:tcPr>
          <w:p>
            <w:pPr>
              <w:ind w:left="20"/>
              <w:spacing w:after="0"/>
              <w:rPr>
                <w:sz w:val="20"/>
                <w:szCs w:val="20"/>
                <w:color w:val="auto"/>
              </w:rPr>
            </w:pPr>
            <w:r>
              <w:rPr>
                <w:rFonts w:ascii="Arial" w:cs="Arial" w:eastAsia="Arial" w:hAnsi="Arial"/>
                <w:sz w:val="18"/>
                <w:szCs w:val="18"/>
                <w:color w:val="auto"/>
              </w:rPr>
              <w:t>(2.4)</w:t>
            </w:r>
          </w:p>
        </w:tc>
      </w:tr>
      <w:tr>
        <w:trPr>
          <w:trHeight w:val="216"/>
        </w:trPr>
        <w:tc>
          <w:tcPr>
            <w:tcW w:w="52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General disorders and administration site conditions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(1.5)</w:t>
            </w:r>
          </w:p>
        </w:tc>
      </w:tr>
      <w:tr>
        <w:trPr>
          <w:trHeight w:val="216"/>
        </w:trPr>
        <w:tc>
          <w:tcPr>
            <w:tcW w:w="5220" w:type="dxa"/>
            <w:vAlign w:val="bottom"/>
          </w:tcPr>
          <w:p>
            <w:pPr>
              <w:ind w:left="560"/>
              <w:spacing w:after="0"/>
              <w:rPr>
                <w:sz w:val="20"/>
                <w:szCs w:val="20"/>
                <w:color w:val="auto"/>
              </w:rPr>
            </w:pPr>
            <w:r>
              <w:rPr>
                <w:rFonts w:ascii="Arial" w:cs="Arial" w:eastAsia="Arial" w:hAnsi="Arial"/>
                <w:sz w:val="18"/>
                <w:szCs w:val="18"/>
                <w:color w:val="auto"/>
              </w:rPr>
              <w:t>Renal and urinary disorders</w:t>
            </w: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800" w:type="dxa"/>
            <w:vAlign w:val="bottom"/>
          </w:tcPr>
          <w:p>
            <w:pPr>
              <w:ind w:left="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800" w:type="dxa"/>
            <w:vAlign w:val="bottom"/>
          </w:tcPr>
          <w:p>
            <w:pPr>
              <w:ind w:left="20"/>
              <w:spacing w:after="0"/>
              <w:rPr>
                <w:sz w:val="20"/>
                <w:szCs w:val="20"/>
                <w:color w:val="auto"/>
              </w:rPr>
            </w:pPr>
            <w:r>
              <w:rPr>
                <w:rFonts w:ascii="Arial" w:cs="Arial" w:eastAsia="Arial" w:hAnsi="Arial"/>
                <w:sz w:val="18"/>
                <w:szCs w:val="18"/>
                <w:color w:val="auto"/>
              </w:rPr>
              <w:t>(1.8)</w:t>
            </w:r>
          </w:p>
        </w:tc>
      </w:tr>
      <w:tr>
        <w:trPr>
          <w:trHeight w:val="216"/>
        </w:trPr>
        <w:tc>
          <w:tcPr>
            <w:tcW w:w="52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Investigations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(1.0)</w:t>
            </w:r>
          </w:p>
        </w:tc>
      </w:tr>
      <w:tr>
        <w:trPr>
          <w:trHeight w:val="230"/>
        </w:trPr>
        <w:tc>
          <w:tcPr>
            <w:tcW w:w="5220" w:type="dxa"/>
            <w:vAlign w:val="bottom"/>
          </w:tcPr>
          <w:p>
            <w:pPr>
              <w:ind w:left="560"/>
              <w:spacing w:after="0"/>
              <w:rPr>
                <w:sz w:val="20"/>
                <w:szCs w:val="20"/>
                <w:color w:val="auto"/>
              </w:rPr>
            </w:pPr>
            <w:r>
              <w:rPr>
                <w:rFonts w:ascii="Arial" w:cs="Arial" w:eastAsia="Arial" w:hAnsi="Arial"/>
                <w:sz w:val="18"/>
                <w:szCs w:val="18"/>
                <w:color w:val="auto"/>
              </w:rPr>
              <w:t>Musculoskeletal and connective tissue disorders</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ind w:left="2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800" w:type="dxa"/>
            <w:vAlign w:val="bottom"/>
          </w:tcPr>
          <w:p>
            <w:pPr>
              <w:ind w:left="20"/>
              <w:spacing w:after="0"/>
              <w:rPr>
                <w:sz w:val="20"/>
                <w:szCs w:val="20"/>
                <w:color w:val="auto"/>
              </w:rPr>
            </w:pPr>
            <w:r>
              <w:rPr>
                <w:rFonts w:ascii="Arial" w:cs="Arial" w:eastAsia="Arial" w:hAnsi="Arial"/>
                <w:sz w:val="18"/>
                <w:szCs w:val="18"/>
                <w:color w:val="auto"/>
              </w:rPr>
              <w:t>(1.5)</w:t>
            </w:r>
          </w:p>
        </w:tc>
      </w:tr>
    </w:tbl>
    <w:p>
      <w:pPr>
        <w:spacing w:after="0" w:line="214"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There were also ten fatal SAEs in the placebo group and 13 fatal SAEs in the losmapimod group. In the placebo group, the fatal SAEs were infections and infestations (two), general disorders and administrative site conditions (two), respiratory, thoracic and mediastinal disorders (three), cardiac disorder (one), gastrointestinal disorder (one) and neoplasm (one). In the losmapimod group, the fatal SAEs were infections and infestations (four), general disorders and administrative site conditions (three), respiratory, thoracic and mediastinal disorders (two), cardiac disorder (one), injury poisoning and procedural complications (one), gastrointestinal disorder (one) and neoplasm (one).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9" w:name="page20"/>
    <w:bookmarkEnd w:id="19"/>
    <w:p>
      <w:pPr>
        <w:ind w:right="180" w:firstLine="555"/>
        <w:spacing w:after="0" w:line="342" w:lineRule="auto"/>
        <w:rPr>
          <w:sz w:val="20"/>
          <w:szCs w:val="20"/>
          <w:color w:val="auto"/>
        </w:rPr>
      </w:pPr>
      <w:r>
        <w:rPr>
          <w:rFonts w:ascii="Arial" w:cs="Arial" w:eastAsia="Arial" w:hAnsi="Arial"/>
          <w:sz w:val="16"/>
          <w:szCs w:val="16"/>
          <w:color w:val="auto"/>
        </w:rPr>
        <w:t>The following table presents SAEs reported during treatment from a total of 11 Phase 1 and Phase 2 placebo-controlled clinical trials of losmapimod with repeat dosing for which GSK reported integrated data. The 11 trials presented include three of the 14 trials in which no SAEs were reported.</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Safety data from 11 clinical trials of losmapimod conducted by GSK</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52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Placebo</w:t>
            </w:r>
          </w:p>
        </w:tc>
        <w:tc>
          <w:tcPr>
            <w:tcW w:w="1580" w:type="dxa"/>
            <w:vAlign w:val="bottom"/>
            <w:tcBorders>
              <w:top w:val="single" w:sz="8" w:color="auto"/>
            </w:tcBorders>
          </w:tcPr>
          <w:p>
            <w:pPr>
              <w:jc w:val="center"/>
              <w:ind w:left="11"/>
              <w:spacing w:after="0" w:line="142" w:lineRule="exact"/>
              <w:rPr>
                <w:sz w:val="20"/>
                <w:szCs w:val="20"/>
                <w:color w:val="auto"/>
              </w:rPr>
            </w:pPr>
            <w:r>
              <w:rPr>
                <w:rFonts w:ascii="Arial" w:cs="Arial" w:eastAsia="Arial" w:hAnsi="Arial"/>
                <w:sz w:val="14"/>
                <w:szCs w:val="14"/>
                <w:b w:val="1"/>
                <w:bCs w:val="1"/>
                <w:color w:val="auto"/>
                <w:w w:val="91"/>
              </w:rPr>
              <w:t>Losmapimod</w:t>
            </w:r>
          </w:p>
        </w:tc>
      </w:tr>
      <w:tr>
        <w:trPr>
          <w:trHeight w:val="210"/>
        </w:trPr>
        <w:tc>
          <w:tcPr>
            <w:tcW w:w="522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center"/>
              <w:ind w:left="51"/>
              <w:spacing w:after="0"/>
              <w:rPr>
                <w:sz w:val="20"/>
                <w:szCs w:val="20"/>
                <w:color w:val="auto"/>
              </w:rPr>
            </w:pPr>
            <w:r>
              <w:rPr>
                <w:rFonts w:ascii="Arial" w:cs="Arial" w:eastAsia="Arial" w:hAnsi="Arial"/>
                <w:sz w:val="18"/>
                <w:szCs w:val="18"/>
                <w:color w:val="auto"/>
                <w:w w:val="91"/>
              </w:rPr>
              <w:t>N = 735</w:t>
            </w:r>
          </w:p>
        </w:tc>
        <w:tc>
          <w:tcPr>
            <w:tcW w:w="1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center"/>
              <w:ind w:left="51"/>
              <w:spacing w:after="0"/>
              <w:rPr>
                <w:sz w:val="20"/>
                <w:szCs w:val="20"/>
                <w:color w:val="auto"/>
              </w:rPr>
            </w:pPr>
            <w:r>
              <w:rPr>
                <w:rFonts w:ascii="Arial" w:cs="Arial" w:eastAsia="Arial" w:hAnsi="Arial"/>
                <w:sz w:val="18"/>
                <w:szCs w:val="18"/>
                <w:color w:val="auto"/>
                <w:w w:val="91"/>
              </w:rPr>
              <w:t>N = 1,327</w:t>
            </w:r>
          </w:p>
        </w:tc>
      </w:tr>
      <w:tr>
        <w:trPr>
          <w:trHeight w:val="216"/>
        </w:trPr>
        <w:tc>
          <w:tcPr>
            <w:tcW w:w="5220" w:type="dxa"/>
            <w:vAlign w:val="bottom"/>
          </w:tcPr>
          <w:p>
            <w:pPr>
              <w:spacing w:after="0"/>
              <w:rPr>
                <w:sz w:val="18"/>
                <w:szCs w:val="18"/>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n (%)</w:t>
            </w:r>
          </w:p>
        </w:tc>
        <w:tc>
          <w:tcPr>
            <w:tcW w:w="1580" w:type="dxa"/>
            <w:vAlign w:val="bottom"/>
          </w:tcPr>
          <w:p>
            <w:pPr>
              <w:jc w:val="center"/>
              <w:ind w:left="51"/>
              <w:spacing w:after="0"/>
              <w:rPr>
                <w:sz w:val="20"/>
                <w:szCs w:val="20"/>
                <w:color w:val="auto"/>
              </w:rPr>
            </w:pPr>
            <w:r>
              <w:rPr>
                <w:rFonts w:ascii="Arial" w:cs="Arial" w:eastAsia="Arial" w:hAnsi="Arial"/>
                <w:sz w:val="18"/>
                <w:szCs w:val="18"/>
                <w:color w:val="auto"/>
                <w:w w:val="92"/>
              </w:rPr>
              <w:t>n (%)</w:t>
            </w: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Any SAE</w:t>
            </w:r>
          </w:p>
        </w:tc>
        <w:tc>
          <w:tcPr>
            <w:tcW w:w="156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89"/>
              </w:rPr>
              <w:t>47 (6)</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1"/>
              </w:rPr>
              <w:t>120 (9)</w:t>
            </w: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Cardiac disorders</w:t>
            </w:r>
          </w:p>
        </w:tc>
        <w:tc>
          <w:tcPr>
            <w:tcW w:w="1560" w:type="dxa"/>
            <w:vAlign w:val="bottom"/>
          </w:tcPr>
          <w:p>
            <w:pPr>
              <w:jc w:val="center"/>
              <w:ind w:left="51"/>
              <w:spacing w:after="0"/>
              <w:rPr>
                <w:sz w:val="20"/>
                <w:szCs w:val="20"/>
                <w:color w:val="auto"/>
              </w:rPr>
            </w:pPr>
            <w:r>
              <w:rPr>
                <w:rFonts w:ascii="Arial" w:cs="Arial" w:eastAsia="Arial" w:hAnsi="Arial"/>
                <w:sz w:val="18"/>
                <w:szCs w:val="18"/>
                <w:color w:val="auto"/>
                <w:w w:val="89"/>
              </w:rPr>
              <w:t>17 (2)</w:t>
            </w:r>
          </w:p>
        </w:tc>
        <w:tc>
          <w:tcPr>
            <w:tcW w:w="180" w:type="dxa"/>
            <w:vAlign w:val="bottom"/>
          </w:tcPr>
          <w:p>
            <w:pPr>
              <w:spacing w:after="0"/>
              <w:rPr>
                <w:sz w:val="18"/>
                <w:szCs w:val="18"/>
                <w:color w:val="auto"/>
              </w:rPr>
            </w:pPr>
          </w:p>
        </w:tc>
        <w:tc>
          <w:tcPr>
            <w:tcW w:w="1580" w:type="dxa"/>
            <w:vAlign w:val="bottom"/>
          </w:tcPr>
          <w:p>
            <w:pPr>
              <w:jc w:val="center"/>
              <w:ind w:left="51"/>
              <w:spacing w:after="0"/>
              <w:rPr>
                <w:sz w:val="20"/>
                <w:szCs w:val="20"/>
                <w:color w:val="auto"/>
              </w:rPr>
            </w:pPr>
            <w:r>
              <w:rPr>
                <w:rFonts w:ascii="Arial" w:cs="Arial" w:eastAsia="Arial" w:hAnsi="Arial"/>
                <w:sz w:val="18"/>
                <w:szCs w:val="18"/>
                <w:color w:val="auto"/>
                <w:w w:val="93"/>
              </w:rPr>
              <w:t>41 (3)</w:t>
            </w:r>
          </w:p>
        </w:tc>
      </w:tr>
      <w:tr>
        <w:trPr>
          <w:trHeight w:val="216"/>
        </w:trPr>
        <w:tc>
          <w:tcPr>
            <w:tcW w:w="52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Respiratory, thoracic and mediastinal disorders</w:t>
            </w:r>
          </w:p>
        </w:tc>
        <w:tc>
          <w:tcPr>
            <w:tcW w:w="156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89"/>
              </w:rPr>
              <w:t>11 (1)</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3"/>
              </w:rPr>
              <w:t>26 (2)</w:t>
            </w: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Infections and infestations</w:t>
            </w:r>
          </w:p>
        </w:tc>
        <w:tc>
          <w:tcPr>
            <w:tcW w:w="1560" w:type="dxa"/>
            <w:vAlign w:val="bottom"/>
          </w:tcPr>
          <w:p>
            <w:pPr>
              <w:jc w:val="center"/>
              <w:ind w:left="51"/>
              <w:spacing w:after="0"/>
              <w:rPr>
                <w:sz w:val="20"/>
                <w:szCs w:val="20"/>
                <w:color w:val="auto"/>
              </w:rPr>
            </w:pPr>
            <w:r>
              <w:rPr>
                <w:rFonts w:ascii="Arial" w:cs="Arial" w:eastAsia="Arial" w:hAnsi="Arial"/>
                <w:sz w:val="18"/>
                <w:szCs w:val="18"/>
                <w:color w:val="auto"/>
                <w:w w:val="96"/>
              </w:rPr>
              <w:t>7 (&lt;1)</w:t>
            </w:r>
          </w:p>
        </w:tc>
        <w:tc>
          <w:tcPr>
            <w:tcW w:w="180" w:type="dxa"/>
            <w:vAlign w:val="bottom"/>
          </w:tcPr>
          <w:p>
            <w:pPr>
              <w:spacing w:after="0"/>
              <w:rPr>
                <w:sz w:val="18"/>
                <w:szCs w:val="18"/>
                <w:color w:val="auto"/>
              </w:rPr>
            </w:pPr>
          </w:p>
        </w:tc>
        <w:tc>
          <w:tcPr>
            <w:tcW w:w="1580" w:type="dxa"/>
            <w:vAlign w:val="bottom"/>
          </w:tcPr>
          <w:p>
            <w:pPr>
              <w:jc w:val="center"/>
              <w:ind w:left="51"/>
              <w:spacing w:after="0"/>
              <w:rPr>
                <w:sz w:val="20"/>
                <w:szCs w:val="20"/>
                <w:color w:val="auto"/>
              </w:rPr>
            </w:pPr>
            <w:r>
              <w:rPr>
                <w:rFonts w:ascii="Arial" w:cs="Arial" w:eastAsia="Arial" w:hAnsi="Arial"/>
                <w:sz w:val="18"/>
                <w:szCs w:val="18"/>
                <w:color w:val="auto"/>
                <w:w w:val="93"/>
              </w:rPr>
              <w:t>14 (1)</w:t>
            </w:r>
          </w:p>
        </w:tc>
      </w:tr>
      <w:tr>
        <w:trPr>
          <w:trHeight w:val="216"/>
        </w:trPr>
        <w:tc>
          <w:tcPr>
            <w:tcW w:w="52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General disorders and administrative site conditions</w:t>
            </w:r>
          </w:p>
        </w:tc>
        <w:tc>
          <w:tcPr>
            <w:tcW w:w="156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6"/>
              </w:rPr>
              <w:t>7 (&lt;1)</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center"/>
              <w:ind w:left="71"/>
              <w:spacing w:after="0"/>
              <w:rPr>
                <w:sz w:val="20"/>
                <w:szCs w:val="20"/>
                <w:color w:val="auto"/>
              </w:rPr>
            </w:pPr>
            <w:r>
              <w:rPr>
                <w:rFonts w:ascii="Arial" w:cs="Arial" w:eastAsia="Arial" w:hAnsi="Arial"/>
                <w:sz w:val="18"/>
                <w:szCs w:val="18"/>
                <w:color w:val="auto"/>
                <w:w w:val="93"/>
              </w:rPr>
              <w:t>13 (&lt;1)</w:t>
            </w: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Nervous system disorders</w:t>
            </w:r>
          </w:p>
        </w:tc>
        <w:tc>
          <w:tcPr>
            <w:tcW w:w="1560" w:type="dxa"/>
            <w:vAlign w:val="bottom"/>
          </w:tcPr>
          <w:p>
            <w:pPr>
              <w:jc w:val="center"/>
              <w:ind w:left="51"/>
              <w:spacing w:after="0"/>
              <w:rPr>
                <w:sz w:val="20"/>
                <w:szCs w:val="20"/>
                <w:color w:val="auto"/>
              </w:rPr>
            </w:pPr>
            <w:r>
              <w:rPr>
                <w:rFonts w:ascii="Arial" w:cs="Arial" w:eastAsia="Arial" w:hAnsi="Arial"/>
                <w:sz w:val="18"/>
                <w:szCs w:val="18"/>
                <w:color w:val="auto"/>
                <w:w w:val="96"/>
              </w:rPr>
              <w:t>5 (&lt;1)</w:t>
            </w:r>
          </w:p>
        </w:tc>
        <w:tc>
          <w:tcPr>
            <w:tcW w:w="180" w:type="dxa"/>
            <w:vAlign w:val="bottom"/>
          </w:tcPr>
          <w:p>
            <w:pPr>
              <w:spacing w:after="0"/>
              <w:rPr>
                <w:sz w:val="18"/>
                <w:szCs w:val="18"/>
                <w:color w:val="auto"/>
              </w:rPr>
            </w:pPr>
          </w:p>
        </w:tc>
        <w:tc>
          <w:tcPr>
            <w:tcW w:w="1580" w:type="dxa"/>
            <w:vAlign w:val="bottom"/>
          </w:tcPr>
          <w:p>
            <w:pPr>
              <w:jc w:val="center"/>
              <w:ind w:left="71"/>
              <w:spacing w:after="0"/>
              <w:rPr>
                <w:sz w:val="20"/>
                <w:szCs w:val="20"/>
                <w:color w:val="auto"/>
              </w:rPr>
            </w:pPr>
            <w:r>
              <w:rPr>
                <w:rFonts w:ascii="Arial" w:cs="Arial" w:eastAsia="Arial" w:hAnsi="Arial"/>
                <w:sz w:val="18"/>
                <w:szCs w:val="18"/>
                <w:color w:val="auto"/>
                <w:w w:val="93"/>
              </w:rPr>
              <w:t>10 (&lt;1)</w:t>
            </w:r>
          </w:p>
        </w:tc>
      </w:tr>
      <w:tr>
        <w:trPr>
          <w:trHeight w:val="216"/>
        </w:trPr>
        <w:tc>
          <w:tcPr>
            <w:tcW w:w="52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Injury, poisoning and procedural complications</w:t>
            </w:r>
          </w:p>
        </w:tc>
        <w:tc>
          <w:tcPr>
            <w:tcW w:w="156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6"/>
              </w:rPr>
              <w:t>1 (&lt;1)</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0"/>
              </w:rPr>
              <w:t>11 (&lt;1)</w:t>
            </w: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Gastrointestinal disorders</w:t>
            </w:r>
          </w:p>
        </w:tc>
        <w:tc>
          <w:tcPr>
            <w:tcW w:w="1560" w:type="dxa"/>
            <w:vAlign w:val="bottom"/>
          </w:tcPr>
          <w:p>
            <w:pPr>
              <w:jc w:val="center"/>
              <w:ind w:left="51"/>
              <w:spacing w:after="0"/>
              <w:rPr>
                <w:sz w:val="20"/>
                <w:szCs w:val="20"/>
                <w:color w:val="auto"/>
              </w:rPr>
            </w:pPr>
            <w:r>
              <w:rPr>
                <w:rFonts w:ascii="Arial" w:cs="Arial" w:eastAsia="Arial" w:hAnsi="Arial"/>
                <w:sz w:val="18"/>
                <w:szCs w:val="18"/>
                <w:color w:val="auto"/>
                <w:w w:val="96"/>
              </w:rPr>
              <w:t>1 (&lt;1)</w:t>
            </w:r>
          </w:p>
        </w:tc>
        <w:tc>
          <w:tcPr>
            <w:tcW w:w="180" w:type="dxa"/>
            <w:vAlign w:val="bottom"/>
          </w:tcPr>
          <w:p>
            <w:pPr>
              <w:spacing w:after="0"/>
              <w:rPr>
                <w:sz w:val="18"/>
                <w:szCs w:val="18"/>
                <w:color w:val="auto"/>
              </w:rPr>
            </w:pPr>
          </w:p>
        </w:tc>
        <w:tc>
          <w:tcPr>
            <w:tcW w:w="1580" w:type="dxa"/>
            <w:vAlign w:val="bottom"/>
          </w:tcPr>
          <w:p>
            <w:pPr>
              <w:jc w:val="center"/>
              <w:ind w:left="51"/>
              <w:spacing w:after="0"/>
              <w:rPr>
                <w:sz w:val="20"/>
                <w:szCs w:val="20"/>
                <w:color w:val="auto"/>
              </w:rPr>
            </w:pPr>
            <w:r>
              <w:rPr>
                <w:rFonts w:ascii="Arial" w:cs="Arial" w:eastAsia="Arial" w:hAnsi="Arial"/>
                <w:sz w:val="18"/>
                <w:szCs w:val="18"/>
                <w:color w:val="auto"/>
                <w:w w:val="92"/>
              </w:rPr>
              <w:t>7 (&lt;1)</w:t>
            </w:r>
          </w:p>
        </w:tc>
      </w:tr>
      <w:tr>
        <w:trPr>
          <w:trHeight w:val="216"/>
        </w:trPr>
        <w:tc>
          <w:tcPr>
            <w:tcW w:w="52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Vascular disorders</w:t>
            </w:r>
          </w:p>
        </w:tc>
        <w:tc>
          <w:tcPr>
            <w:tcW w:w="156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6"/>
              </w:rPr>
              <w:t>1 (&lt;1)</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2"/>
              </w:rPr>
              <w:t>5 (&lt;1)</w:t>
            </w: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Renal and urinary disorders</w:t>
            </w:r>
          </w:p>
        </w:tc>
        <w:tc>
          <w:tcPr>
            <w:tcW w:w="1560" w:type="dxa"/>
            <w:vAlign w:val="bottom"/>
          </w:tcPr>
          <w:p>
            <w:pPr>
              <w:jc w:val="center"/>
              <w:ind w:left="51"/>
              <w:spacing w:after="0"/>
              <w:rPr>
                <w:sz w:val="20"/>
                <w:szCs w:val="20"/>
                <w:color w:val="auto"/>
              </w:rPr>
            </w:pPr>
            <w:r>
              <w:rPr>
                <w:rFonts w:ascii="Arial" w:cs="Arial" w:eastAsia="Arial" w:hAnsi="Arial"/>
                <w:sz w:val="18"/>
                <w:szCs w:val="18"/>
                <w:color w:val="auto"/>
                <w:w w:val="96"/>
              </w:rPr>
              <w:t>2 (&lt;1)</w:t>
            </w:r>
          </w:p>
        </w:tc>
        <w:tc>
          <w:tcPr>
            <w:tcW w:w="180" w:type="dxa"/>
            <w:vAlign w:val="bottom"/>
          </w:tcPr>
          <w:p>
            <w:pPr>
              <w:spacing w:after="0"/>
              <w:rPr>
                <w:sz w:val="18"/>
                <w:szCs w:val="18"/>
                <w:color w:val="auto"/>
              </w:rPr>
            </w:pPr>
          </w:p>
        </w:tc>
        <w:tc>
          <w:tcPr>
            <w:tcW w:w="1580" w:type="dxa"/>
            <w:vAlign w:val="bottom"/>
          </w:tcPr>
          <w:p>
            <w:pPr>
              <w:jc w:val="center"/>
              <w:ind w:left="51"/>
              <w:spacing w:after="0"/>
              <w:rPr>
                <w:sz w:val="20"/>
                <w:szCs w:val="20"/>
                <w:color w:val="auto"/>
              </w:rPr>
            </w:pPr>
            <w:r>
              <w:rPr>
                <w:rFonts w:ascii="Arial" w:cs="Arial" w:eastAsia="Arial" w:hAnsi="Arial"/>
                <w:sz w:val="18"/>
                <w:szCs w:val="18"/>
                <w:color w:val="auto"/>
                <w:w w:val="92"/>
              </w:rPr>
              <w:t>4 (&lt;1)</w:t>
            </w:r>
          </w:p>
        </w:tc>
      </w:tr>
      <w:tr>
        <w:trPr>
          <w:trHeight w:val="216"/>
        </w:trPr>
        <w:tc>
          <w:tcPr>
            <w:tcW w:w="52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Musculoskeletal and connective tissue disorders</w:t>
            </w:r>
          </w:p>
        </w:tc>
        <w:tc>
          <w:tcPr>
            <w:tcW w:w="156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6"/>
              </w:rPr>
              <w:t>2 (&lt;1)</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2"/>
              </w:rPr>
              <w:t>4 (&lt;1)</w:t>
            </w: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Skin and subcutaneous tissue disorders</w:t>
            </w:r>
          </w:p>
        </w:tc>
        <w:tc>
          <w:tcPr>
            <w:tcW w:w="1560" w:type="dxa"/>
            <w:vAlign w:val="bottom"/>
          </w:tcPr>
          <w:p>
            <w:pPr>
              <w:jc w:val="center"/>
              <w:ind w:left="51"/>
              <w:spacing w:after="0"/>
              <w:rPr>
                <w:sz w:val="20"/>
                <w:szCs w:val="20"/>
                <w:color w:val="auto"/>
              </w:rPr>
            </w:pPr>
            <w:r>
              <w:rPr>
                <w:rFonts w:ascii="Arial" w:cs="Arial" w:eastAsia="Arial" w:hAnsi="Arial"/>
                <w:sz w:val="18"/>
                <w:szCs w:val="18"/>
                <w:color w:val="auto"/>
                <w:w w:val="96"/>
              </w:rPr>
              <w:t>2 (&lt;1)</w:t>
            </w:r>
          </w:p>
        </w:tc>
        <w:tc>
          <w:tcPr>
            <w:tcW w:w="180" w:type="dxa"/>
            <w:vAlign w:val="bottom"/>
          </w:tcPr>
          <w:p>
            <w:pPr>
              <w:spacing w:after="0"/>
              <w:rPr>
                <w:sz w:val="18"/>
                <w:szCs w:val="18"/>
                <w:color w:val="auto"/>
              </w:rPr>
            </w:pPr>
          </w:p>
        </w:tc>
        <w:tc>
          <w:tcPr>
            <w:tcW w:w="1580" w:type="dxa"/>
            <w:vAlign w:val="bottom"/>
          </w:tcPr>
          <w:p>
            <w:pPr>
              <w:jc w:val="center"/>
              <w:ind w:left="51"/>
              <w:spacing w:after="0"/>
              <w:rPr>
                <w:sz w:val="20"/>
                <w:szCs w:val="20"/>
                <w:color w:val="auto"/>
              </w:rPr>
            </w:pPr>
            <w:r>
              <w:rPr>
                <w:rFonts w:ascii="Arial" w:cs="Arial" w:eastAsia="Arial" w:hAnsi="Arial"/>
                <w:sz w:val="18"/>
                <w:szCs w:val="18"/>
                <w:color w:val="auto"/>
                <w:w w:val="92"/>
              </w:rPr>
              <w:t>4 (&lt;1)</w:t>
            </w:r>
          </w:p>
        </w:tc>
      </w:tr>
      <w:tr>
        <w:trPr>
          <w:trHeight w:val="216"/>
        </w:trPr>
        <w:tc>
          <w:tcPr>
            <w:tcW w:w="52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Hepatobiliary disorders</w:t>
            </w:r>
          </w:p>
        </w:tc>
        <w:tc>
          <w:tcPr>
            <w:tcW w:w="156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9"/>
              </w:rPr>
              <w:t>0</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2"/>
              </w:rPr>
              <w:t>4 (&lt;1)</w:t>
            </w: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Psychiatric disorders</w:t>
            </w:r>
          </w:p>
        </w:tc>
        <w:tc>
          <w:tcPr>
            <w:tcW w:w="1560" w:type="dxa"/>
            <w:vAlign w:val="bottom"/>
          </w:tcPr>
          <w:p>
            <w:pPr>
              <w:jc w:val="center"/>
              <w:ind w:left="51"/>
              <w:spacing w:after="0"/>
              <w:rPr>
                <w:sz w:val="20"/>
                <w:szCs w:val="20"/>
                <w:color w:val="auto"/>
              </w:rPr>
            </w:pPr>
            <w:r>
              <w:rPr>
                <w:rFonts w:ascii="Arial" w:cs="Arial" w:eastAsia="Arial" w:hAnsi="Arial"/>
                <w:sz w:val="18"/>
                <w:szCs w:val="18"/>
                <w:color w:val="auto"/>
                <w:w w:val="96"/>
              </w:rPr>
              <w:t>2 (&lt;1)</w:t>
            </w:r>
          </w:p>
        </w:tc>
        <w:tc>
          <w:tcPr>
            <w:tcW w:w="180" w:type="dxa"/>
            <w:vAlign w:val="bottom"/>
          </w:tcPr>
          <w:p>
            <w:pPr>
              <w:spacing w:after="0"/>
              <w:rPr>
                <w:sz w:val="18"/>
                <w:szCs w:val="18"/>
                <w:color w:val="auto"/>
              </w:rPr>
            </w:pPr>
          </w:p>
        </w:tc>
        <w:tc>
          <w:tcPr>
            <w:tcW w:w="1580" w:type="dxa"/>
            <w:vAlign w:val="bottom"/>
          </w:tcPr>
          <w:p>
            <w:pPr>
              <w:jc w:val="center"/>
              <w:ind w:left="51"/>
              <w:spacing w:after="0"/>
              <w:rPr>
                <w:sz w:val="20"/>
                <w:szCs w:val="20"/>
                <w:color w:val="auto"/>
              </w:rPr>
            </w:pPr>
            <w:r>
              <w:rPr>
                <w:rFonts w:ascii="Arial" w:cs="Arial" w:eastAsia="Arial" w:hAnsi="Arial"/>
                <w:sz w:val="18"/>
                <w:szCs w:val="18"/>
                <w:color w:val="auto"/>
                <w:w w:val="92"/>
              </w:rPr>
              <w:t>3 (&lt;1)</w:t>
            </w:r>
          </w:p>
        </w:tc>
      </w:tr>
      <w:tr>
        <w:trPr>
          <w:trHeight w:val="216"/>
        </w:trPr>
        <w:tc>
          <w:tcPr>
            <w:tcW w:w="52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Neoplasms (benign, malignant and unspecified)</w:t>
            </w:r>
          </w:p>
        </w:tc>
        <w:tc>
          <w:tcPr>
            <w:tcW w:w="156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6"/>
              </w:rPr>
              <w:t>1 (&lt;1)</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2"/>
              </w:rPr>
              <w:t>3 (&lt;1)</w:t>
            </w: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Blood and lymphatic system disorders</w:t>
            </w:r>
          </w:p>
        </w:tc>
        <w:tc>
          <w:tcPr>
            <w:tcW w:w="1560" w:type="dxa"/>
            <w:vAlign w:val="bottom"/>
          </w:tcPr>
          <w:p>
            <w:pPr>
              <w:jc w:val="center"/>
              <w:ind w:left="51"/>
              <w:spacing w:after="0"/>
              <w:rPr>
                <w:sz w:val="20"/>
                <w:szCs w:val="20"/>
                <w:color w:val="auto"/>
              </w:rPr>
            </w:pPr>
            <w:r>
              <w:rPr>
                <w:rFonts w:ascii="Arial" w:cs="Arial" w:eastAsia="Arial" w:hAnsi="Arial"/>
                <w:sz w:val="18"/>
                <w:szCs w:val="18"/>
                <w:color w:val="auto"/>
                <w:w w:val="99"/>
              </w:rPr>
              <w:t>0</w:t>
            </w:r>
          </w:p>
        </w:tc>
        <w:tc>
          <w:tcPr>
            <w:tcW w:w="180" w:type="dxa"/>
            <w:vAlign w:val="bottom"/>
          </w:tcPr>
          <w:p>
            <w:pPr>
              <w:spacing w:after="0"/>
              <w:rPr>
                <w:sz w:val="18"/>
                <w:szCs w:val="18"/>
                <w:color w:val="auto"/>
              </w:rPr>
            </w:pPr>
          </w:p>
        </w:tc>
        <w:tc>
          <w:tcPr>
            <w:tcW w:w="1580" w:type="dxa"/>
            <w:vAlign w:val="bottom"/>
          </w:tcPr>
          <w:p>
            <w:pPr>
              <w:jc w:val="center"/>
              <w:ind w:left="51"/>
              <w:spacing w:after="0"/>
              <w:rPr>
                <w:sz w:val="20"/>
                <w:szCs w:val="20"/>
                <w:color w:val="auto"/>
              </w:rPr>
            </w:pPr>
            <w:r>
              <w:rPr>
                <w:rFonts w:ascii="Arial" w:cs="Arial" w:eastAsia="Arial" w:hAnsi="Arial"/>
                <w:sz w:val="18"/>
                <w:szCs w:val="18"/>
                <w:color w:val="auto"/>
                <w:w w:val="92"/>
              </w:rPr>
              <w:t>1 (&lt;1)</w:t>
            </w:r>
          </w:p>
        </w:tc>
      </w:tr>
      <w:tr>
        <w:trPr>
          <w:trHeight w:val="216"/>
        </w:trPr>
        <w:tc>
          <w:tcPr>
            <w:tcW w:w="52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Immune system disorders</w:t>
            </w:r>
          </w:p>
        </w:tc>
        <w:tc>
          <w:tcPr>
            <w:tcW w:w="156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9"/>
              </w:rPr>
              <w:t>0</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2"/>
              </w:rPr>
              <w:t>1 (&lt;1)</w:t>
            </w:r>
          </w:p>
        </w:tc>
      </w:tr>
      <w:tr>
        <w:trPr>
          <w:trHeight w:val="230"/>
        </w:trPr>
        <w:tc>
          <w:tcPr>
            <w:tcW w:w="5220" w:type="dxa"/>
            <w:vAlign w:val="bottom"/>
          </w:tcPr>
          <w:p>
            <w:pPr>
              <w:ind w:left="440"/>
              <w:spacing w:after="0"/>
              <w:rPr>
                <w:sz w:val="20"/>
                <w:szCs w:val="20"/>
                <w:color w:val="auto"/>
              </w:rPr>
            </w:pPr>
            <w:r>
              <w:rPr>
                <w:rFonts w:ascii="Arial" w:cs="Arial" w:eastAsia="Arial" w:hAnsi="Arial"/>
                <w:sz w:val="18"/>
                <w:szCs w:val="18"/>
                <w:color w:val="auto"/>
              </w:rPr>
              <w:t>Metabolism and nutrition disorders</w:t>
            </w:r>
          </w:p>
        </w:tc>
        <w:tc>
          <w:tcPr>
            <w:tcW w:w="1560" w:type="dxa"/>
            <w:vAlign w:val="bottom"/>
          </w:tcPr>
          <w:p>
            <w:pPr>
              <w:jc w:val="center"/>
              <w:ind w:left="51"/>
              <w:spacing w:after="0"/>
              <w:rPr>
                <w:sz w:val="20"/>
                <w:szCs w:val="20"/>
                <w:color w:val="auto"/>
              </w:rPr>
            </w:pPr>
            <w:r>
              <w:rPr>
                <w:rFonts w:ascii="Arial" w:cs="Arial" w:eastAsia="Arial" w:hAnsi="Arial"/>
                <w:sz w:val="18"/>
                <w:szCs w:val="18"/>
                <w:color w:val="auto"/>
                <w:w w:val="99"/>
              </w:rPr>
              <w:t>0</w:t>
            </w:r>
          </w:p>
        </w:tc>
        <w:tc>
          <w:tcPr>
            <w:tcW w:w="180" w:type="dxa"/>
            <w:vAlign w:val="bottom"/>
          </w:tcPr>
          <w:p>
            <w:pPr>
              <w:spacing w:after="0"/>
              <w:rPr>
                <w:sz w:val="20"/>
                <w:szCs w:val="20"/>
                <w:color w:val="auto"/>
              </w:rPr>
            </w:pPr>
          </w:p>
        </w:tc>
        <w:tc>
          <w:tcPr>
            <w:tcW w:w="1580" w:type="dxa"/>
            <w:vAlign w:val="bottom"/>
          </w:tcPr>
          <w:p>
            <w:pPr>
              <w:jc w:val="center"/>
              <w:ind w:left="51"/>
              <w:spacing w:after="0"/>
              <w:rPr>
                <w:sz w:val="20"/>
                <w:szCs w:val="20"/>
                <w:color w:val="auto"/>
              </w:rPr>
            </w:pPr>
            <w:r>
              <w:rPr>
                <w:rFonts w:ascii="Arial" w:cs="Arial" w:eastAsia="Arial" w:hAnsi="Arial"/>
                <w:sz w:val="18"/>
                <w:szCs w:val="18"/>
                <w:color w:val="auto"/>
                <w:w w:val="92"/>
              </w:rPr>
              <w:t>1 (&lt;1)</w:t>
            </w:r>
          </w:p>
        </w:tc>
      </w:tr>
    </w:tbl>
    <w:p>
      <w:pPr>
        <w:spacing w:after="0" w:line="214" w:lineRule="exact"/>
        <w:rPr>
          <w:sz w:val="20"/>
          <w:szCs w:val="20"/>
          <w:color w:val="auto"/>
        </w:rPr>
      </w:pPr>
    </w:p>
    <w:p>
      <w:pPr>
        <w:ind w:right="20" w:firstLine="555"/>
        <w:spacing w:after="0" w:line="285" w:lineRule="auto"/>
        <w:rPr>
          <w:sz w:val="20"/>
          <w:szCs w:val="20"/>
          <w:color w:val="auto"/>
        </w:rPr>
      </w:pPr>
      <w:r>
        <w:rPr>
          <w:rFonts w:ascii="Arial" w:cs="Arial" w:eastAsia="Arial" w:hAnsi="Arial"/>
          <w:sz w:val="16"/>
          <w:szCs w:val="16"/>
          <w:color w:val="auto"/>
        </w:rPr>
        <w:t>This table includes safety data from the second largest clinical trial of losmapimod, which was a placebo-controlled Phase 2 clinical trial of losmapimod in patients with COPD, in which 602 adult patients were given 2.5 mg, 7.5 mg or 15 mg of losmapimod or placebo twice per day for 24 weeks and were followed for an additional week. In this trial, GSK observed a similar proportion of AEs in the placebo group as compared to the losmapimod group. Additionally, in this trial there were three fatal SAEs in the placebo group due to severe exacerbation of COPD, acute myocardial infarction and pulmonary embolism, one fatal SAE in the losmapimod 7.5 mg group due to acute myocardial infarction and associated pulmonary edema and two fatal SAEs in the</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15 mg group due to respiratory failure and bilateral purulent pleuritis and mediastinitis. The most common SAE observed in the trial was exacerbation of COPD, which was experienced by eight subjects in the placebo group, six subjects in the losmapimod 2.5 mg group, two subjects in the losmapimod 7.5 mg group and three subjects in the losmapimod 15 mg group. Other SAEs in the placebo group included a liver event, eczema, leukoplakia, sinobronchitis and anxiety. Other SAEs in the losmapimod groups included two subjects with liver events, one subject with eczema and leukoplakia, one subject with pyrexia and one subject with pemphigoid.</w:t>
      </w:r>
    </w:p>
    <w:p>
      <w:pPr>
        <w:spacing w:after="0" w:line="191" w:lineRule="exact"/>
        <w:rPr>
          <w:sz w:val="20"/>
          <w:szCs w:val="20"/>
          <w:color w:val="auto"/>
        </w:rPr>
      </w:pPr>
    </w:p>
    <w:p>
      <w:pPr>
        <w:ind w:right="240" w:firstLine="555"/>
        <w:spacing w:after="0" w:line="302" w:lineRule="auto"/>
        <w:rPr>
          <w:sz w:val="20"/>
          <w:szCs w:val="20"/>
          <w:color w:val="auto"/>
        </w:rPr>
      </w:pPr>
      <w:r>
        <w:rPr>
          <w:rFonts w:ascii="Arial" w:cs="Arial" w:eastAsia="Arial" w:hAnsi="Arial"/>
          <w:sz w:val="16"/>
          <w:szCs w:val="16"/>
          <w:color w:val="auto"/>
        </w:rPr>
        <w:t>In addition to the trials and data summarized above, GSK also conducted a placebo-controlled Phase 2 clinical trial in which 184 adult patients with frequently exacerbating COPD were given 15 mg of losmapimod or placebo twice per day for up to 52 weeks. In this trial, the proportion of subjects with AEs and SAEs was higher in the losmapimod group than in the placebo group; there was one fatal SAE in the placebo group and three fatal SAEs in the losmapimod group, none of which was considered related to losmapimod. The data in the table below presents the SAEs reported in the trial.</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Safety data from GSK’s Phase 2 clinical trial of losmapimod in patients with COPD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440" w:type="dxa"/>
            <w:vAlign w:val="bottom"/>
          </w:tcPr>
          <w:p>
            <w:pPr>
              <w:spacing w:after="0"/>
              <w:rPr>
                <w:sz w:val="12"/>
                <w:szCs w:val="12"/>
                <w:color w:val="auto"/>
              </w:rPr>
            </w:pPr>
          </w:p>
        </w:tc>
        <w:tc>
          <w:tcPr>
            <w:tcW w:w="40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Placebo</w:t>
            </w:r>
          </w:p>
        </w:tc>
        <w:tc>
          <w:tcPr>
            <w:tcW w:w="1540" w:type="dxa"/>
            <w:vAlign w:val="bottom"/>
            <w:tcBorders>
              <w:top w:val="single" w:sz="8" w:color="auto"/>
            </w:tcBorders>
          </w:tcPr>
          <w:p>
            <w:pPr>
              <w:jc w:val="center"/>
              <w:ind w:left="12"/>
              <w:spacing w:after="0" w:line="142" w:lineRule="exact"/>
              <w:rPr>
                <w:sz w:val="20"/>
                <w:szCs w:val="20"/>
                <w:color w:val="auto"/>
              </w:rPr>
            </w:pPr>
            <w:r>
              <w:rPr>
                <w:rFonts w:ascii="Arial" w:cs="Arial" w:eastAsia="Arial" w:hAnsi="Arial"/>
                <w:sz w:val="14"/>
                <w:szCs w:val="14"/>
                <w:b w:val="1"/>
                <w:bCs w:val="1"/>
                <w:color w:val="auto"/>
                <w:w w:val="91"/>
              </w:rPr>
              <w:t>Losmapimod</w:t>
            </w:r>
          </w:p>
        </w:tc>
        <w:tc>
          <w:tcPr>
            <w:tcW w:w="1460" w:type="dxa"/>
            <w:vAlign w:val="bottom"/>
          </w:tcPr>
          <w:p>
            <w:pPr>
              <w:spacing w:after="0"/>
              <w:rPr>
                <w:sz w:val="12"/>
                <w:szCs w:val="12"/>
                <w:color w:val="auto"/>
              </w:rPr>
            </w:pPr>
          </w:p>
        </w:tc>
      </w:tr>
      <w:tr>
        <w:trPr>
          <w:trHeight w:val="210"/>
        </w:trPr>
        <w:tc>
          <w:tcPr>
            <w:tcW w:w="1440" w:type="dxa"/>
            <w:vAlign w:val="bottom"/>
          </w:tcPr>
          <w:p>
            <w:pPr>
              <w:spacing w:after="0"/>
              <w:rPr>
                <w:sz w:val="18"/>
                <w:szCs w:val="18"/>
                <w:color w:val="auto"/>
              </w:rPr>
            </w:pPr>
          </w:p>
        </w:tc>
        <w:tc>
          <w:tcPr>
            <w:tcW w:w="40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center"/>
              <w:ind w:left="36"/>
              <w:spacing w:after="0"/>
              <w:rPr>
                <w:sz w:val="20"/>
                <w:szCs w:val="20"/>
                <w:color w:val="auto"/>
              </w:rPr>
            </w:pPr>
            <w:r>
              <w:rPr>
                <w:rFonts w:ascii="Arial" w:cs="Arial" w:eastAsia="Arial" w:hAnsi="Arial"/>
                <w:sz w:val="18"/>
                <w:szCs w:val="18"/>
                <w:color w:val="auto"/>
                <w:w w:val="93"/>
              </w:rPr>
              <w:t>N = 94</w:t>
            </w:r>
          </w:p>
        </w:tc>
        <w:tc>
          <w:tcPr>
            <w:tcW w:w="20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center"/>
              <w:ind w:left="32"/>
              <w:spacing w:after="0"/>
              <w:rPr>
                <w:sz w:val="20"/>
                <w:szCs w:val="20"/>
                <w:color w:val="auto"/>
              </w:rPr>
            </w:pPr>
            <w:r>
              <w:rPr>
                <w:rFonts w:ascii="Arial" w:cs="Arial" w:eastAsia="Arial" w:hAnsi="Arial"/>
                <w:sz w:val="18"/>
                <w:szCs w:val="18"/>
                <w:color w:val="auto"/>
                <w:w w:val="93"/>
              </w:rPr>
              <w:t>N = 90</w:t>
            </w:r>
          </w:p>
        </w:tc>
        <w:tc>
          <w:tcPr>
            <w:tcW w:w="14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n (%)</w:t>
            </w:r>
          </w:p>
        </w:tc>
        <w:tc>
          <w:tcPr>
            <w:tcW w:w="1540" w:type="dxa"/>
            <w:vAlign w:val="bottom"/>
          </w:tcPr>
          <w:p>
            <w:pPr>
              <w:jc w:val="center"/>
              <w:ind w:left="52"/>
              <w:spacing w:after="0"/>
              <w:rPr>
                <w:sz w:val="20"/>
                <w:szCs w:val="20"/>
                <w:color w:val="auto"/>
              </w:rPr>
            </w:pPr>
            <w:r>
              <w:rPr>
                <w:rFonts w:ascii="Arial" w:cs="Arial" w:eastAsia="Arial" w:hAnsi="Arial"/>
                <w:sz w:val="18"/>
                <w:szCs w:val="18"/>
                <w:color w:val="auto"/>
                <w:w w:val="92"/>
              </w:rPr>
              <w:t>n (%)</w:t>
            </w:r>
          </w:p>
        </w:tc>
        <w:tc>
          <w:tcPr>
            <w:tcW w:w="14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Any SAE</w:t>
            </w:r>
          </w:p>
        </w:tc>
        <w:tc>
          <w:tcPr>
            <w:tcW w:w="2780" w:type="dxa"/>
            <w:vAlign w:val="bottom"/>
            <w:gridSpan w:val="2"/>
            <w:shd w:val="clear" w:color="auto" w:fill="CFF0FC"/>
          </w:tcPr>
          <w:p>
            <w:pPr>
              <w:jc w:val="center"/>
              <w:ind w:left="1230"/>
              <w:spacing w:after="0"/>
              <w:rPr>
                <w:sz w:val="20"/>
                <w:szCs w:val="20"/>
                <w:color w:val="auto"/>
              </w:rPr>
            </w:pPr>
            <w:r>
              <w:rPr>
                <w:rFonts w:ascii="Arial" w:cs="Arial" w:eastAsia="Arial" w:hAnsi="Arial"/>
                <w:sz w:val="18"/>
                <w:szCs w:val="18"/>
                <w:color w:val="auto"/>
                <w:w w:val="94"/>
              </w:rPr>
              <w:t>8 (9%)</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center"/>
              <w:ind w:left="52"/>
              <w:spacing w:after="0"/>
              <w:rPr>
                <w:sz w:val="20"/>
                <w:szCs w:val="20"/>
                <w:color w:val="auto"/>
              </w:rPr>
            </w:pPr>
            <w:r>
              <w:rPr>
                <w:rFonts w:ascii="Arial" w:cs="Arial" w:eastAsia="Arial" w:hAnsi="Arial"/>
                <w:sz w:val="18"/>
                <w:szCs w:val="18"/>
                <w:color w:val="auto"/>
                <w:w w:val="93"/>
              </w:rPr>
              <w:t>18 (20%)</w:t>
            </w:r>
          </w:p>
        </w:tc>
        <w:tc>
          <w:tcPr>
            <w:tcW w:w="14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440"/>
              <w:spacing w:after="0"/>
              <w:rPr>
                <w:sz w:val="20"/>
                <w:szCs w:val="20"/>
                <w:color w:val="auto"/>
              </w:rPr>
            </w:pPr>
            <w:r>
              <w:rPr>
                <w:rFonts w:ascii="Arial" w:cs="Arial" w:eastAsia="Arial" w:hAnsi="Arial"/>
                <w:sz w:val="18"/>
                <w:szCs w:val="18"/>
                <w:color w:val="auto"/>
                <w:w w:val="94"/>
              </w:rPr>
              <w:t>Respiratory, thoracic and mediastinal disorders</w:t>
            </w:r>
          </w:p>
        </w:tc>
        <w:tc>
          <w:tcPr>
            <w:tcW w:w="2780" w:type="dxa"/>
            <w:vAlign w:val="bottom"/>
            <w:gridSpan w:val="2"/>
          </w:tcPr>
          <w:p>
            <w:pPr>
              <w:jc w:val="center"/>
              <w:ind w:left="1230"/>
              <w:spacing w:after="0"/>
              <w:rPr>
                <w:sz w:val="20"/>
                <w:szCs w:val="20"/>
                <w:color w:val="auto"/>
              </w:rPr>
            </w:pPr>
            <w:r>
              <w:rPr>
                <w:rFonts w:ascii="Arial" w:cs="Arial" w:eastAsia="Arial" w:hAnsi="Arial"/>
                <w:sz w:val="18"/>
                <w:szCs w:val="18"/>
                <w:color w:val="auto"/>
                <w:w w:val="91"/>
              </w:rPr>
              <w:t>2 (2)</w:t>
            </w:r>
          </w:p>
        </w:tc>
        <w:tc>
          <w:tcPr>
            <w:tcW w:w="200" w:type="dxa"/>
            <w:vAlign w:val="bottom"/>
          </w:tcPr>
          <w:p>
            <w:pPr>
              <w:spacing w:after="0"/>
              <w:rPr>
                <w:sz w:val="18"/>
                <w:szCs w:val="18"/>
                <w:color w:val="auto"/>
              </w:rPr>
            </w:pPr>
          </w:p>
        </w:tc>
        <w:tc>
          <w:tcPr>
            <w:tcW w:w="1540" w:type="dxa"/>
            <w:vAlign w:val="bottom"/>
          </w:tcPr>
          <w:p>
            <w:pPr>
              <w:jc w:val="center"/>
              <w:ind w:left="32"/>
              <w:spacing w:after="0"/>
              <w:rPr>
                <w:sz w:val="20"/>
                <w:szCs w:val="20"/>
                <w:color w:val="auto"/>
              </w:rPr>
            </w:pPr>
            <w:r>
              <w:rPr>
                <w:rFonts w:ascii="Arial" w:cs="Arial" w:eastAsia="Arial" w:hAnsi="Arial"/>
                <w:sz w:val="18"/>
                <w:szCs w:val="18"/>
                <w:color w:val="auto"/>
                <w:w w:val="91"/>
              </w:rPr>
              <w:t>7 (8)</w:t>
            </w:r>
          </w:p>
        </w:tc>
        <w:tc>
          <w:tcPr>
            <w:tcW w:w="14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Cardiac disorders</w:t>
            </w:r>
          </w:p>
        </w:tc>
        <w:tc>
          <w:tcPr>
            <w:tcW w:w="2780" w:type="dxa"/>
            <w:vAlign w:val="bottom"/>
            <w:gridSpan w:val="2"/>
            <w:shd w:val="clear" w:color="auto" w:fill="CFF0FC"/>
          </w:tcPr>
          <w:p>
            <w:pPr>
              <w:jc w:val="center"/>
              <w:ind w:left="1230"/>
              <w:spacing w:after="0"/>
              <w:rPr>
                <w:sz w:val="20"/>
                <w:szCs w:val="20"/>
                <w:color w:val="auto"/>
              </w:rPr>
            </w:pPr>
            <w:r>
              <w:rPr>
                <w:rFonts w:ascii="Arial" w:cs="Arial" w:eastAsia="Arial" w:hAnsi="Arial"/>
                <w:sz w:val="18"/>
                <w:szCs w:val="18"/>
                <w:color w:val="auto"/>
                <w:w w:val="91"/>
              </w:rPr>
              <w:t>3 (3)</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center"/>
              <w:ind w:left="32"/>
              <w:spacing w:after="0"/>
              <w:rPr>
                <w:sz w:val="20"/>
                <w:szCs w:val="20"/>
                <w:color w:val="auto"/>
              </w:rPr>
            </w:pPr>
            <w:r>
              <w:rPr>
                <w:rFonts w:ascii="Arial" w:cs="Arial" w:eastAsia="Arial" w:hAnsi="Arial"/>
                <w:sz w:val="18"/>
                <w:szCs w:val="18"/>
                <w:color w:val="auto"/>
                <w:w w:val="91"/>
              </w:rPr>
              <w:t>4 (4)</w:t>
            </w:r>
          </w:p>
        </w:tc>
        <w:tc>
          <w:tcPr>
            <w:tcW w:w="14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440"/>
              <w:spacing w:after="0"/>
              <w:rPr>
                <w:sz w:val="20"/>
                <w:szCs w:val="20"/>
                <w:color w:val="auto"/>
              </w:rPr>
            </w:pPr>
            <w:r>
              <w:rPr>
                <w:rFonts w:ascii="Arial" w:cs="Arial" w:eastAsia="Arial" w:hAnsi="Arial"/>
                <w:sz w:val="18"/>
                <w:szCs w:val="18"/>
                <w:color w:val="auto"/>
              </w:rPr>
              <w:t>Infections and infestations</w:t>
            </w:r>
          </w:p>
        </w:tc>
        <w:tc>
          <w:tcPr>
            <w:tcW w:w="2780" w:type="dxa"/>
            <w:vAlign w:val="bottom"/>
            <w:gridSpan w:val="2"/>
          </w:tcPr>
          <w:p>
            <w:pPr>
              <w:jc w:val="center"/>
              <w:ind w:left="1230"/>
              <w:spacing w:after="0"/>
              <w:rPr>
                <w:sz w:val="20"/>
                <w:szCs w:val="20"/>
                <w:color w:val="auto"/>
              </w:rPr>
            </w:pPr>
            <w:r>
              <w:rPr>
                <w:rFonts w:ascii="Arial" w:cs="Arial" w:eastAsia="Arial" w:hAnsi="Arial"/>
                <w:sz w:val="18"/>
                <w:szCs w:val="18"/>
                <w:color w:val="auto"/>
                <w:w w:val="91"/>
              </w:rPr>
              <w:t>1 (1)</w:t>
            </w:r>
          </w:p>
        </w:tc>
        <w:tc>
          <w:tcPr>
            <w:tcW w:w="200" w:type="dxa"/>
            <w:vAlign w:val="bottom"/>
          </w:tcPr>
          <w:p>
            <w:pPr>
              <w:spacing w:after="0"/>
              <w:rPr>
                <w:sz w:val="18"/>
                <w:szCs w:val="18"/>
                <w:color w:val="auto"/>
              </w:rPr>
            </w:pPr>
          </w:p>
        </w:tc>
        <w:tc>
          <w:tcPr>
            <w:tcW w:w="1540" w:type="dxa"/>
            <w:vAlign w:val="bottom"/>
          </w:tcPr>
          <w:p>
            <w:pPr>
              <w:jc w:val="center"/>
              <w:ind w:left="32"/>
              <w:spacing w:after="0"/>
              <w:rPr>
                <w:sz w:val="20"/>
                <w:szCs w:val="20"/>
                <w:color w:val="auto"/>
              </w:rPr>
            </w:pPr>
            <w:r>
              <w:rPr>
                <w:rFonts w:ascii="Arial" w:cs="Arial" w:eastAsia="Arial" w:hAnsi="Arial"/>
                <w:sz w:val="18"/>
                <w:szCs w:val="18"/>
                <w:color w:val="auto"/>
                <w:w w:val="91"/>
              </w:rPr>
              <w:t>6 (7)</w:t>
            </w:r>
          </w:p>
        </w:tc>
        <w:tc>
          <w:tcPr>
            <w:tcW w:w="14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6"/>
              </w:rPr>
              <w:t>Injury, poisoning and procedural complications</w:t>
            </w:r>
          </w:p>
        </w:tc>
        <w:tc>
          <w:tcPr>
            <w:tcW w:w="2780" w:type="dxa"/>
            <w:vAlign w:val="bottom"/>
            <w:gridSpan w:val="2"/>
            <w:shd w:val="clear" w:color="auto" w:fill="CFF0FC"/>
          </w:tcPr>
          <w:p>
            <w:pPr>
              <w:jc w:val="center"/>
              <w:ind w:left="1230"/>
              <w:spacing w:after="0"/>
              <w:rPr>
                <w:sz w:val="20"/>
                <w:szCs w:val="20"/>
                <w:color w:val="auto"/>
              </w:rPr>
            </w:pPr>
            <w:r>
              <w:rPr>
                <w:rFonts w:ascii="Arial" w:cs="Arial" w:eastAsia="Arial" w:hAnsi="Arial"/>
                <w:sz w:val="18"/>
                <w:szCs w:val="18"/>
                <w:color w:val="auto"/>
                <w:w w:val="91"/>
              </w:rPr>
              <w:t>1 (1)</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center"/>
              <w:ind w:left="32"/>
              <w:spacing w:after="0"/>
              <w:rPr>
                <w:sz w:val="20"/>
                <w:szCs w:val="20"/>
                <w:color w:val="auto"/>
              </w:rPr>
            </w:pPr>
            <w:r>
              <w:rPr>
                <w:rFonts w:ascii="Arial" w:cs="Arial" w:eastAsia="Arial" w:hAnsi="Arial"/>
                <w:sz w:val="18"/>
                <w:szCs w:val="18"/>
                <w:color w:val="auto"/>
                <w:w w:val="91"/>
              </w:rPr>
              <w:t>2 (2)</w:t>
            </w:r>
          </w:p>
        </w:tc>
        <w:tc>
          <w:tcPr>
            <w:tcW w:w="146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4020" w:type="dxa"/>
            <w:vAlign w:val="bottom"/>
          </w:tcPr>
          <w:p>
            <w:pPr>
              <w:ind w:left="440"/>
              <w:spacing w:after="0"/>
              <w:rPr>
                <w:sz w:val="20"/>
                <w:szCs w:val="20"/>
                <w:color w:val="auto"/>
              </w:rPr>
            </w:pPr>
            <w:r>
              <w:rPr>
                <w:rFonts w:ascii="Arial" w:cs="Arial" w:eastAsia="Arial" w:hAnsi="Arial"/>
                <w:sz w:val="18"/>
                <w:szCs w:val="18"/>
                <w:color w:val="auto"/>
                <w:w w:val="93"/>
              </w:rPr>
              <w:t>Neoplasms (benign, malignant and unspecified)</w:t>
            </w:r>
          </w:p>
        </w:tc>
        <w:tc>
          <w:tcPr>
            <w:tcW w:w="2780" w:type="dxa"/>
            <w:vAlign w:val="bottom"/>
            <w:gridSpan w:val="2"/>
          </w:tcPr>
          <w:p>
            <w:pPr>
              <w:jc w:val="center"/>
              <w:ind w:left="1230"/>
              <w:spacing w:after="0"/>
              <w:rPr>
                <w:sz w:val="20"/>
                <w:szCs w:val="20"/>
                <w:color w:val="auto"/>
              </w:rPr>
            </w:pPr>
            <w:r>
              <w:rPr>
                <w:rFonts w:ascii="Arial" w:cs="Arial" w:eastAsia="Arial" w:hAnsi="Arial"/>
                <w:sz w:val="18"/>
                <w:szCs w:val="18"/>
                <w:color w:val="auto"/>
                <w:w w:val="91"/>
              </w:rPr>
              <w:t>2 (2)</w:t>
            </w:r>
          </w:p>
        </w:tc>
        <w:tc>
          <w:tcPr>
            <w:tcW w:w="200" w:type="dxa"/>
            <w:vAlign w:val="bottom"/>
          </w:tcPr>
          <w:p>
            <w:pPr>
              <w:spacing w:after="0"/>
              <w:rPr>
                <w:sz w:val="20"/>
                <w:szCs w:val="20"/>
                <w:color w:val="auto"/>
              </w:rPr>
            </w:pPr>
          </w:p>
        </w:tc>
        <w:tc>
          <w:tcPr>
            <w:tcW w:w="1540" w:type="dxa"/>
            <w:vAlign w:val="bottom"/>
          </w:tcPr>
          <w:p>
            <w:pPr>
              <w:jc w:val="center"/>
              <w:ind w:left="32"/>
              <w:spacing w:after="0"/>
              <w:rPr>
                <w:sz w:val="20"/>
                <w:szCs w:val="20"/>
                <w:color w:val="auto"/>
              </w:rPr>
            </w:pPr>
            <w:r>
              <w:rPr>
                <w:rFonts w:ascii="Arial" w:cs="Arial" w:eastAsia="Arial" w:hAnsi="Arial"/>
                <w:sz w:val="18"/>
                <w:szCs w:val="18"/>
                <w:color w:val="auto"/>
                <w:w w:val="91"/>
              </w:rPr>
              <w:t>1 (1)</w:t>
            </w:r>
          </w:p>
        </w:tc>
        <w:tc>
          <w:tcPr>
            <w:tcW w:w="1460" w:type="dxa"/>
            <w:vAlign w:val="bottom"/>
          </w:tcPr>
          <w:p>
            <w:pPr>
              <w:spacing w:after="0"/>
              <w:rPr>
                <w:sz w:val="20"/>
                <w:szCs w:val="20"/>
                <w:color w:val="auto"/>
              </w:rPr>
            </w:pPr>
          </w:p>
        </w:tc>
      </w:tr>
      <w:tr>
        <w:trPr>
          <w:trHeight w:val="661"/>
        </w:trPr>
        <w:tc>
          <w:tcPr>
            <w:tcW w:w="1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0" w:type="dxa"/>
            <w:vAlign w:val="bottom"/>
          </w:tcPr>
          <w:p>
            <w:pPr>
              <w:jc w:val="right"/>
              <w:ind w:right="770"/>
              <w:spacing w:after="0"/>
              <w:rPr>
                <w:sz w:val="20"/>
                <w:szCs w:val="20"/>
                <w:color w:val="auto"/>
              </w:rPr>
            </w:pPr>
            <w:r>
              <w:rPr>
                <w:rFonts w:ascii="Arial" w:cs="Arial" w:eastAsia="Arial" w:hAnsi="Arial"/>
                <w:sz w:val="18"/>
                <w:szCs w:val="18"/>
                <w:color w:val="auto"/>
              </w:rPr>
              <w:t>16</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0" w:name="page21"/>
    <w:bookmarkEnd w:id="20"/>
    <w:p>
      <w:pPr>
        <w:ind w:right="300" w:firstLine="555"/>
        <w:spacing w:after="0" w:line="259" w:lineRule="auto"/>
        <w:rPr>
          <w:sz w:val="20"/>
          <w:szCs w:val="20"/>
          <w:color w:val="auto"/>
        </w:rPr>
      </w:pPr>
      <w:r>
        <w:rPr>
          <w:rFonts w:ascii="Arial" w:cs="Arial" w:eastAsia="Arial" w:hAnsi="Arial"/>
          <w:sz w:val="18"/>
          <w:szCs w:val="18"/>
          <w:color w:val="auto"/>
        </w:rPr>
        <w:t>In addition to the 24 trials conducted by GSK, another sponsor conducted a placebo-controlled Phase 2 clinical trial of losmapimod in which 73 subjects with COPD with cardiovascular manifestations were given 7.5 mg of losmapimod or placebo for 16 weeks. There were 36 subjects in the losmapimod group and 37 in the placebo group. In this trial, there were a total of six (17%) SAEs in the losmapimod group, consisting of exacerbations of COPD and pneumonia, and there was one (3%) SAE in the placebo group.</w:t>
      </w:r>
    </w:p>
    <w:p>
      <w:pPr>
        <w:spacing w:after="0" w:line="187"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 xml:space="preserve">In prior studies, GSK observed that the p38α/ß target inhibition in humans was approximately 10%, 30% and 50% at trough and 40%, 60% and 70% at peak following twice per day doses of 2.5 mg, 7.5 mg and 15 mg, respectively. In addition, based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from our studies in FSHD myotubes with losmapimod, we believe that the muscle exposures that we have achieved in rodents, which are similar to concentrations in human blood from the 15 mg twice per day dose, will result in robust p38α/ß target engagement and will reduce DUX4-driven gene expression in FSHD skeletal muscle by more than 50%. We believe that this data supports our determination that 15 mg of losmapimod twice per day is an appropriate dose for the treatment of patients with FSHD.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Clinical Development Strategy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Preparatory Studies</w:t>
      </w:r>
    </w:p>
    <w:p>
      <w:pPr>
        <w:spacing w:after="0" w:line="117"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There are currently two ongoing and two completed preparatory studies designed to inform molecular biomarker and clinical development efficacy endpoints for planned clinical trials of losmapimod in patients with FSHD.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Subjects</w:t>
            </w:r>
          </w:p>
        </w:tc>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(Planned,</w:t>
            </w:r>
          </w:p>
        </w:tc>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for</w:t>
            </w:r>
          </w:p>
        </w:tc>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Study</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ongoing</w:t>
            </w:r>
          </w:p>
        </w:tc>
        <w:tc>
          <w:tcPr>
            <w:tcW w:w="4600" w:type="dxa"/>
            <w:vAlign w:val="bottom"/>
            <w:gridSpan w:val="2"/>
            <w:vMerge w:val="restart"/>
          </w:tcPr>
          <w:p>
            <w:pPr>
              <w:ind w:left="1560"/>
              <w:spacing w:after="0"/>
              <w:rPr>
                <w:sz w:val="20"/>
                <w:szCs w:val="20"/>
                <w:color w:val="auto"/>
              </w:rPr>
            </w:pPr>
            <w:r>
              <w:rPr>
                <w:rFonts w:ascii="Arial" w:cs="Arial" w:eastAsia="Arial" w:hAnsi="Arial"/>
                <w:sz w:val="14"/>
                <w:szCs w:val="14"/>
                <w:b w:val="1"/>
                <w:bCs w:val="1"/>
                <w:color w:val="auto"/>
              </w:rPr>
              <w:t>Description / Endpoints</w:t>
            </w:r>
          </w:p>
        </w:tc>
        <w:tc>
          <w:tcPr>
            <w:tcW w:w="2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0" w:type="dxa"/>
            <w:vAlign w:val="bottom"/>
          </w:tcPr>
          <w:p>
            <w:pPr>
              <w:spacing w:after="0"/>
              <w:rPr>
                <w:sz w:val="1"/>
                <w:szCs w:val="1"/>
                <w:color w:val="auto"/>
              </w:rPr>
            </w:pPr>
          </w:p>
        </w:tc>
      </w:tr>
      <w:tr>
        <w:trPr>
          <w:trHeight w:val="171"/>
        </w:trPr>
        <w:tc>
          <w:tcPr>
            <w:tcW w:w="2860" w:type="dxa"/>
            <w:vAlign w:val="bottom"/>
            <w:gridSpan w:val="3"/>
            <w:vMerge w:val="continue"/>
          </w:tcPr>
          <w:p>
            <w:pPr>
              <w:spacing w:after="0"/>
              <w:rPr>
                <w:sz w:val="14"/>
                <w:szCs w:val="14"/>
                <w:color w:val="auto"/>
              </w:rPr>
            </w:pP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studies)</w:t>
            </w:r>
          </w:p>
        </w:tc>
        <w:tc>
          <w:tcPr>
            <w:tcW w:w="4600" w:type="dxa"/>
            <w:vAlign w:val="bottom"/>
            <w:gridSpan w:val="2"/>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Biomarker Preparatory Study</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ind w:left="39"/>
              <w:spacing w:after="0" w:line="195" w:lineRule="exact"/>
              <w:rPr>
                <w:sz w:val="20"/>
                <w:szCs w:val="20"/>
                <w:color w:val="auto"/>
              </w:rPr>
            </w:pPr>
            <w:r>
              <w:rPr>
                <w:rFonts w:ascii="Arial" w:cs="Arial" w:eastAsia="Arial" w:hAnsi="Arial"/>
                <w:sz w:val="18"/>
                <w:szCs w:val="18"/>
                <w:color w:val="auto"/>
                <w:w w:val="89"/>
              </w:rPr>
              <w:t>17</w:t>
            </w:r>
          </w:p>
        </w:tc>
        <w:tc>
          <w:tcPr>
            <w:tcW w:w="140" w:type="dxa"/>
            <w:vAlign w:val="bottom"/>
          </w:tcPr>
          <w:p>
            <w:pPr>
              <w:spacing w:after="0"/>
              <w:rPr>
                <w:sz w:val="16"/>
                <w:szCs w:val="16"/>
                <w:color w:val="auto"/>
              </w:rPr>
            </w:pPr>
          </w:p>
        </w:tc>
        <w:tc>
          <w:tcPr>
            <w:tcW w:w="44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DUX4-driven gene expression in skeletal muscle and</w:t>
            </w:r>
          </w:p>
        </w:tc>
        <w:tc>
          <w:tcPr>
            <w:tcW w:w="120" w:type="dxa"/>
            <w:vAlign w:val="bottom"/>
          </w:tcPr>
          <w:p>
            <w:pPr>
              <w:spacing w:after="0"/>
              <w:rPr>
                <w:sz w:val="16"/>
                <w:szCs w:val="16"/>
                <w:color w:val="auto"/>
              </w:rPr>
            </w:pPr>
          </w:p>
        </w:tc>
        <w:tc>
          <w:tcPr>
            <w:tcW w:w="2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Completed</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Arial" w:cs="Arial" w:eastAsia="Arial" w:hAnsi="Arial"/>
                <w:sz w:val="18"/>
                <w:szCs w:val="18"/>
                <w:color w:val="auto"/>
              </w:rPr>
              <w:t>(Fulcrum SRA 002-2018)</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whole-body skeletal muscle MRI</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860" w:type="dxa"/>
            <w:vAlign w:val="bottom"/>
            <w:gridSpan w:val="3"/>
          </w:tcPr>
          <w:p>
            <w:pPr>
              <w:spacing w:after="0"/>
              <w:rPr>
                <w:sz w:val="20"/>
                <w:szCs w:val="20"/>
                <w:color w:val="auto"/>
              </w:rPr>
            </w:pPr>
            <w:r>
              <w:rPr>
                <w:rFonts w:ascii="Arial" w:cs="Arial" w:eastAsia="Arial" w:hAnsi="Arial"/>
                <w:sz w:val="18"/>
                <w:szCs w:val="18"/>
                <w:color w:val="auto"/>
              </w:rPr>
              <w:t>Optimized Time Up and Go Test</w:t>
            </w:r>
          </w:p>
        </w:tc>
        <w:tc>
          <w:tcPr>
            <w:tcW w:w="1100" w:type="dxa"/>
            <w:vAlign w:val="bottom"/>
          </w:tcPr>
          <w:p>
            <w:pPr>
              <w:jc w:val="center"/>
              <w:ind w:left="39"/>
              <w:spacing w:after="0"/>
              <w:rPr>
                <w:sz w:val="20"/>
                <w:szCs w:val="20"/>
                <w:color w:val="auto"/>
              </w:rPr>
            </w:pPr>
            <w:r>
              <w:rPr>
                <w:rFonts w:ascii="Arial" w:cs="Arial" w:eastAsia="Arial" w:hAnsi="Arial"/>
                <w:sz w:val="18"/>
                <w:szCs w:val="18"/>
                <w:color w:val="auto"/>
                <w:w w:val="89"/>
              </w:rPr>
              <w:t>22</w:t>
            </w:r>
          </w:p>
        </w:tc>
        <w:tc>
          <w:tcPr>
            <w:tcW w:w="140" w:type="dxa"/>
            <w:vAlign w:val="bottom"/>
          </w:tcPr>
          <w:p>
            <w:pPr>
              <w:spacing w:after="0"/>
              <w:rPr>
                <w:sz w:val="24"/>
                <w:szCs w:val="24"/>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Optimized time up and go test for FSHD, or FSHD-TUG</w:t>
            </w:r>
          </w:p>
        </w:tc>
        <w:tc>
          <w:tcPr>
            <w:tcW w:w="2720" w:type="dxa"/>
            <w:vAlign w:val="bottom"/>
          </w:tcPr>
          <w:p>
            <w:pPr>
              <w:jc w:val="center"/>
              <w:spacing w:after="0"/>
              <w:rPr>
                <w:sz w:val="20"/>
                <w:szCs w:val="20"/>
                <w:color w:val="auto"/>
              </w:rPr>
            </w:pPr>
            <w:r>
              <w:rPr>
                <w:rFonts w:ascii="Arial" w:cs="Arial" w:eastAsia="Arial" w:hAnsi="Arial"/>
                <w:sz w:val="18"/>
                <w:szCs w:val="18"/>
                <w:color w:val="auto"/>
                <w:w w:val="93"/>
              </w:rPr>
              <w:t>Ongoing</w:t>
            </w:r>
          </w:p>
        </w:tc>
        <w:tc>
          <w:tcPr>
            <w:tcW w:w="0" w:type="dxa"/>
            <w:vAlign w:val="bottom"/>
          </w:tcPr>
          <w:p>
            <w:pPr>
              <w:spacing w:after="0"/>
              <w:rPr>
                <w:sz w:val="1"/>
                <w:szCs w:val="1"/>
                <w:color w:val="auto"/>
              </w:rPr>
            </w:pPr>
          </w:p>
        </w:tc>
      </w:tr>
      <w:tr>
        <w:trPr>
          <w:trHeight w:val="216"/>
        </w:trPr>
        <w:tc>
          <w:tcPr>
            <w:tcW w:w="2860" w:type="dxa"/>
            <w:vAlign w:val="bottom"/>
            <w:gridSpan w:val="3"/>
          </w:tcPr>
          <w:p>
            <w:pPr>
              <w:spacing w:after="0"/>
              <w:rPr>
                <w:sz w:val="20"/>
                <w:szCs w:val="20"/>
                <w:color w:val="auto"/>
              </w:rPr>
            </w:pPr>
            <w:r>
              <w:rPr>
                <w:rFonts w:ascii="Arial" w:cs="Arial" w:eastAsia="Arial" w:hAnsi="Arial"/>
                <w:sz w:val="18"/>
                <w:szCs w:val="18"/>
                <w:color w:val="auto"/>
              </w:rPr>
              <w:t>Preparatory Study</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Arial" w:cs="Arial" w:eastAsia="Arial" w:hAnsi="Arial"/>
                <w:sz w:val="18"/>
                <w:szCs w:val="18"/>
                <w:color w:val="auto"/>
              </w:rPr>
              <w:t>(Fulcrum SRA 003-2018)</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860" w:type="dxa"/>
            <w:vAlign w:val="bottom"/>
            <w:gridSpan w:val="3"/>
          </w:tcPr>
          <w:p>
            <w:pPr>
              <w:spacing w:after="0"/>
              <w:rPr>
                <w:sz w:val="20"/>
                <w:szCs w:val="20"/>
                <w:color w:val="auto"/>
              </w:rPr>
            </w:pPr>
            <w:r>
              <w:rPr>
                <w:rFonts w:ascii="Arial" w:cs="Arial" w:eastAsia="Arial" w:hAnsi="Arial"/>
                <w:sz w:val="18"/>
                <w:szCs w:val="18"/>
                <w:color w:val="auto"/>
              </w:rPr>
              <w:t>Direct Patient Input</w:t>
            </w:r>
          </w:p>
        </w:tc>
        <w:tc>
          <w:tcPr>
            <w:tcW w:w="1100" w:type="dxa"/>
            <w:vAlign w:val="bottom"/>
          </w:tcPr>
          <w:p>
            <w:pPr>
              <w:jc w:val="center"/>
              <w:ind w:left="39"/>
              <w:spacing w:after="0"/>
              <w:rPr>
                <w:sz w:val="20"/>
                <w:szCs w:val="20"/>
                <w:color w:val="auto"/>
              </w:rPr>
            </w:pPr>
            <w:r>
              <w:rPr>
                <w:rFonts w:ascii="Arial" w:cs="Arial" w:eastAsia="Arial" w:hAnsi="Arial"/>
                <w:sz w:val="18"/>
                <w:szCs w:val="18"/>
                <w:color w:val="auto"/>
                <w:w w:val="89"/>
              </w:rPr>
              <w:t>79</w:t>
            </w:r>
          </w:p>
        </w:tc>
        <w:tc>
          <w:tcPr>
            <w:tcW w:w="140" w:type="dxa"/>
            <w:vAlign w:val="bottom"/>
          </w:tcPr>
          <w:p>
            <w:pPr>
              <w:spacing w:after="0"/>
              <w:rPr>
                <w:sz w:val="24"/>
                <w:szCs w:val="24"/>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Direct patient input into the Phase 2b clinical trial</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Completed</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Arial" w:cs="Arial" w:eastAsia="Arial" w:hAnsi="Arial"/>
                <w:sz w:val="18"/>
                <w:szCs w:val="18"/>
                <w:color w:val="auto"/>
              </w:rPr>
              <w:t>(Fulcrum SRA 004-2018)</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860" w:type="dxa"/>
            <w:vAlign w:val="bottom"/>
            <w:gridSpan w:val="3"/>
          </w:tcPr>
          <w:p>
            <w:pPr>
              <w:spacing w:after="0"/>
              <w:rPr>
                <w:sz w:val="20"/>
                <w:szCs w:val="20"/>
                <w:color w:val="auto"/>
              </w:rPr>
            </w:pPr>
            <w:r>
              <w:rPr>
                <w:rFonts w:ascii="Arial" w:cs="Arial" w:eastAsia="Arial" w:hAnsi="Arial"/>
                <w:sz w:val="18"/>
                <w:szCs w:val="18"/>
                <w:color w:val="auto"/>
              </w:rPr>
              <w:t>ReSOLVE Natural History Study</w:t>
            </w:r>
          </w:p>
        </w:tc>
        <w:tc>
          <w:tcPr>
            <w:tcW w:w="1100" w:type="dxa"/>
            <w:vAlign w:val="bottom"/>
          </w:tcPr>
          <w:p>
            <w:pPr>
              <w:jc w:val="center"/>
              <w:ind w:left="59"/>
              <w:spacing w:after="0"/>
              <w:rPr>
                <w:sz w:val="20"/>
                <w:szCs w:val="20"/>
                <w:color w:val="auto"/>
              </w:rPr>
            </w:pPr>
            <w:r>
              <w:rPr>
                <w:rFonts w:ascii="Arial" w:cs="Arial" w:eastAsia="Arial" w:hAnsi="Arial"/>
                <w:sz w:val="18"/>
                <w:szCs w:val="18"/>
                <w:color w:val="auto"/>
                <w:w w:val="93"/>
              </w:rPr>
              <w:t>160</w:t>
            </w:r>
          </w:p>
        </w:tc>
        <w:tc>
          <w:tcPr>
            <w:tcW w:w="140" w:type="dxa"/>
            <w:vAlign w:val="bottom"/>
          </w:tcPr>
          <w:p>
            <w:pPr>
              <w:spacing w:after="0"/>
              <w:rPr>
                <w:sz w:val="24"/>
                <w:szCs w:val="24"/>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Natural history study Reachable work space</w:t>
            </w:r>
          </w:p>
        </w:tc>
        <w:tc>
          <w:tcPr>
            <w:tcW w:w="2720" w:type="dxa"/>
            <w:vAlign w:val="bottom"/>
          </w:tcPr>
          <w:p>
            <w:pPr>
              <w:jc w:val="center"/>
              <w:spacing w:after="0"/>
              <w:rPr>
                <w:sz w:val="20"/>
                <w:szCs w:val="20"/>
                <w:color w:val="auto"/>
              </w:rPr>
            </w:pPr>
            <w:r>
              <w:rPr>
                <w:rFonts w:ascii="Arial" w:cs="Arial" w:eastAsia="Arial" w:hAnsi="Arial"/>
                <w:sz w:val="18"/>
                <w:szCs w:val="18"/>
                <w:color w:val="auto"/>
                <w:w w:val="93"/>
              </w:rPr>
              <w:t>Ongoing</w:t>
            </w:r>
          </w:p>
        </w:tc>
        <w:tc>
          <w:tcPr>
            <w:tcW w:w="0" w:type="dxa"/>
            <w:vAlign w:val="bottom"/>
          </w:tcPr>
          <w:p>
            <w:pPr>
              <w:spacing w:after="0"/>
              <w:rPr>
                <w:sz w:val="1"/>
                <w:szCs w:val="1"/>
                <w:color w:val="auto"/>
              </w:rPr>
            </w:pPr>
          </w:p>
        </w:tc>
      </w:tr>
      <w:tr>
        <w:trPr>
          <w:trHeight w:val="216"/>
        </w:trPr>
        <w:tc>
          <w:tcPr>
            <w:tcW w:w="2860" w:type="dxa"/>
            <w:vAlign w:val="bottom"/>
            <w:gridSpan w:val="3"/>
          </w:tcPr>
          <w:p>
            <w:pPr>
              <w:spacing w:after="0"/>
              <w:rPr>
                <w:sz w:val="20"/>
                <w:szCs w:val="20"/>
                <w:color w:val="auto"/>
              </w:rPr>
            </w:pPr>
            <w:r>
              <w:rPr>
                <w:rFonts w:ascii="Arial" w:cs="Arial" w:eastAsia="Arial" w:hAnsi="Arial"/>
                <w:sz w:val="18"/>
                <w:szCs w:val="18"/>
                <w:color w:val="auto"/>
              </w:rPr>
              <w:t>(NIH) and Reachable Work Space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Arial" w:cs="Arial" w:eastAsia="Arial" w:hAnsi="Arial"/>
                <w:sz w:val="18"/>
                <w:szCs w:val="18"/>
                <w:color w:val="auto"/>
              </w:rPr>
              <w:t>(Fulcrum SRA 003-2017)</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860" w:type="dxa"/>
            <w:vAlign w:val="bottom"/>
            <w:gridSpan w:val="3"/>
          </w:tcPr>
          <w:p>
            <w:pPr>
              <w:spacing w:after="0"/>
              <w:rPr>
                <w:sz w:val="20"/>
                <w:szCs w:val="20"/>
                <w:color w:val="auto"/>
              </w:rPr>
            </w:pPr>
            <w:r>
              <w:rPr>
                <w:rFonts w:ascii="Arial" w:cs="Arial" w:eastAsia="Arial" w:hAnsi="Arial"/>
                <w:sz w:val="18"/>
                <w:szCs w:val="18"/>
                <w:color w:val="auto"/>
              </w:rPr>
              <w:t>EU Natural History Study and</w:t>
            </w:r>
          </w:p>
        </w:tc>
        <w:tc>
          <w:tcPr>
            <w:tcW w:w="1100" w:type="dxa"/>
            <w:vAlign w:val="bottom"/>
          </w:tcPr>
          <w:p>
            <w:pPr>
              <w:jc w:val="center"/>
              <w:ind w:left="39"/>
              <w:spacing w:after="0"/>
              <w:rPr>
                <w:sz w:val="20"/>
                <w:szCs w:val="20"/>
                <w:color w:val="auto"/>
              </w:rPr>
            </w:pPr>
            <w:r>
              <w:rPr>
                <w:rFonts w:ascii="Arial" w:cs="Arial" w:eastAsia="Arial" w:hAnsi="Arial"/>
                <w:sz w:val="18"/>
                <w:szCs w:val="18"/>
                <w:color w:val="auto"/>
                <w:w w:val="89"/>
              </w:rPr>
              <w:t>60</w:t>
            </w:r>
          </w:p>
        </w:tc>
        <w:tc>
          <w:tcPr>
            <w:tcW w:w="140" w:type="dxa"/>
            <w:vAlign w:val="bottom"/>
          </w:tcPr>
          <w:p>
            <w:pPr>
              <w:spacing w:after="0"/>
              <w:rPr>
                <w:sz w:val="24"/>
                <w:szCs w:val="24"/>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Natural history study Reachable work space</w:t>
            </w:r>
          </w:p>
        </w:tc>
        <w:tc>
          <w:tcPr>
            <w:tcW w:w="2720" w:type="dxa"/>
            <w:vAlign w:val="bottom"/>
          </w:tcPr>
          <w:p>
            <w:pPr>
              <w:jc w:val="center"/>
              <w:spacing w:after="0"/>
              <w:rPr>
                <w:sz w:val="20"/>
                <w:szCs w:val="20"/>
                <w:color w:val="auto"/>
              </w:rPr>
            </w:pPr>
            <w:r>
              <w:rPr>
                <w:rFonts w:ascii="Arial" w:cs="Arial" w:eastAsia="Arial" w:hAnsi="Arial"/>
                <w:sz w:val="18"/>
                <w:szCs w:val="18"/>
                <w:color w:val="auto"/>
                <w:w w:val="93"/>
              </w:rPr>
              <w:t>Ongoing</w:t>
            </w:r>
          </w:p>
        </w:tc>
        <w:tc>
          <w:tcPr>
            <w:tcW w:w="0" w:type="dxa"/>
            <w:vAlign w:val="bottom"/>
          </w:tcPr>
          <w:p>
            <w:pPr>
              <w:spacing w:after="0"/>
              <w:rPr>
                <w:sz w:val="1"/>
                <w:szCs w:val="1"/>
                <w:color w:val="auto"/>
              </w:rPr>
            </w:pPr>
          </w:p>
        </w:tc>
      </w:tr>
      <w:tr>
        <w:trPr>
          <w:trHeight w:val="216"/>
        </w:trPr>
        <w:tc>
          <w:tcPr>
            <w:tcW w:w="2860" w:type="dxa"/>
            <w:vAlign w:val="bottom"/>
            <w:gridSpan w:val="3"/>
          </w:tcPr>
          <w:p>
            <w:pPr>
              <w:spacing w:after="0"/>
              <w:rPr>
                <w:sz w:val="20"/>
                <w:szCs w:val="20"/>
                <w:color w:val="auto"/>
              </w:rPr>
            </w:pPr>
            <w:r>
              <w:rPr>
                <w:rFonts w:ascii="Arial" w:cs="Arial" w:eastAsia="Arial" w:hAnsi="Arial"/>
                <w:sz w:val="18"/>
                <w:szCs w:val="18"/>
                <w:color w:val="auto"/>
              </w:rPr>
              <w:t>Reachable Work Space (SRA 003-</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Biomarker Preparatory Study (Fulcrum SRA 002-2018)</w:t>
      </w:r>
    </w:p>
    <w:p>
      <w:pPr>
        <w:spacing w:after="0" w:line="117"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We designed this preparatory study to investigate, inform and optimize the DUX4-driven gene expression and MRI efficacy biomarker endpoints that we intend to use in clinical trials of losmapimod. We enrolled and evaluated 17 subjects at seven clinical sites. We completed enrollment in May 2019, and are we analyzing the data to inform our ongoing Phase 2 trials of losmapimod for the treatment of FSHD.</w:t>
      </w:r>
    </w:p>
    <w:p>
      <w:pPr>
        <w:spacing w:after="0" w:line="181" w:lineRule="exact"/>
        <w:rPr>
          <w:sz w:val="20"/>
          <w:szCs w:val="20"/>
          <w:color w:val="auto"/>
        </w:rPr>
      </w:pPr>
    </w:p>
    <w:p>
      <w:pPr>
        <w:ind w:right="200" w:firstLine="555"/>
        <w:spacing w:after="0" w:line="276" w:lineRule="auto"/>
        <w:rPr>
          <w:sz w:val="20"/>
          <w:szCs w:val="20"/>
          <w:color w:val="auto"/>
        </w:rPr>
      </w:pPr>
      <w:r>
        <w:rPr>
          <w:rFonts w:ascii="Arial" w:cs="Arial" w:eastAsia="Arial" w:hAnsi="Arial"/>
          <w:sz w:val="17"/>
          <w:szCs w:val="17"/>
          <w:color w:val="auto"/>
        </w:rPr>
        <w:t>This preparatory study is designed to measure aberrant DUX4-driven gene expression in affected skeletal muscle via a subset of DUX4-driven gene transcripts in order to develop a molecular muscle endpoint designed to track the root cause of disease. We are using MRI to inform affected leg muscles selected for biopsy. We believe that the DUX4-driven gene transcript measurement could be a primary endpoint in a clinical trial to support accelerated approval of losmapimod for FSHD. We are also using whole-body MRI scans one to three months apart to evaluate changes in skeletal muscle health (lean muscle tissue volume and muscle tissue infiltration and replacement by fat).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right="200" w:firstLine="555"/>
        <w:spacing w:after="0" w:line="264" w:lineRule="auto"/>
        <w:rPr>
          <w:sz w:val="20"/>
          <w:szCs w:val="20"/>
          <w:color w:val="auto"/>
        </w:rPr>
      </w:pPr>
      <w:r>
        <w:rPr>
          <w:rFonts w:ascii="Arial" w:cs="Arial" w:eastAsia="Arial" w:hAnsi="Arial"/>
          <w:sz w:val="18"/>
          <w:szCs w:val="18"/>
          <w:color w:val="auto"/>
        </w:rPr>
        <w:t>The subjects have clinical severity scores of two to four on the Ricci scale, which is the clinical impairment disability scale for patients with FSHD, where a zero indicates that a subject has no disability and five indicates that a subject is permanently dependent upon the use of a wheelchair for daily mobility activities.</w:t>
      </w:r>
    </w:p>
    <w:p>
      <w:pPr>
        <w:spacing w:after="0" w:line="181"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We also are using other MRI-based measures as exploratory endpoints in our ongoing Phase 2 clinical trials. We believe that muscle pathology in skeletal muscles of patients with FSHD is predictive of muscle degradation and subsequent fat replacement. We are utilizing MRI-based endpoints to identify the level of muscle pathology and the overall fat content in muscles. MRI imaging sequences, which are settings of pulses and gradients, have been developed that enable an increased contrast between tissues of interest. We use a T2 MRI sequence to observe and quantify areas of high muscle water content, or muscle edema, which is a marker of muscle pathology. These areas have a higher T2 value than the background tissue. T2 provides information about the muscle’s physiological status, however it is not specific for muscle edema and may indicate other abnormal conditions in muscle tissue. We are using the Dixon MRI sequence, or the Dixon method, to quantify the fat content of muscles, which is a marker for muscle degradation. The Dixon method separates the signals from water and fat and the separated fat signal can then be utilized to determine the fat infiltration and fraction within the muscle. We are using these MRI-based approaches as additional efficacy endpoints in our Phase 2 open label trial and Phase 2b clinical trial to identify muscles with higher levels of muscle pathology for muscle biopsy, as evidenced by a higher signal in the T2 sequence, and muscle degradation, as evidenced by intermediate levels of muscle fat fraction determined using the Dixon method.</w:t>
      </w:r>
    </w:p>
    <w:p>
      <w:pPr>
        <w:spacing w:after="0" w:line="183" w:lineRule="exact"/>
        <w:rPr>
          <w:sz w:val="20"/>
          <w:szCs w:val="20"/>
          <w:color w:val="auto"/>
        </w:rPr>
      </w:pPr>
    </w:p>
    <w:p>
      <w:pPr>
        <w:jc w:val="both"/>
        <w:ind w:right="40" w:firstLine="555"/>
        <w:spacing w:after="0" w:line="288" w:lineRule="auto"/>
        <w:rPr>
          <w:sz w:val="20"/>
          <w:szCs w:val="20"/>
          <w:color w:val="auto"/>
        </w:rPr>
      </w:pPr>
      <w:r>
        <w:rPr>
          <w:rFonts w:ascii="Arial" w:cs="Arial" w:eastAsia="Arial" w:hAnsi="Arial"/>
          <w:sz w:val="16"/>
          <w:szCs w:val="16"/>
          <w:color w:val="auto"/>
        </w:rPr>
        <w:t>A third-party study found that these MRI techniques, when applied to FSHD skeletal muscles, were able to quantify the increase in muscle pathology, as measured by fat fraction, as determined using the Dixon method, over a 20-month period. In particular, skeletal muscles with severe muscle pathology, as determined by elevated T2 signal, demonstrated progressive worsening of fat fraction over this period. This effect was observed as early as six months.</w:t>
      </w:r>
    </w:p>
    <w:p>
      <w:pPr>
        <w:ind w:right="200"/>
        <w:spacing w:after="0" w:line="255" w:lineRule="auto"/>
        <w:rPr>
          <w:sz w:val="20"/>
          <w:szCs w:val="20"/>
          <w:color w:val="auto"/>
        </w:rPr>
      </w:pPr>
      <w:r>
        <w:rPr>
          <w:rFonts w:ascii="Arial" w:cs="Arial" w:eastAsia="Arial" w:hAnsi="Arial"/>
          <w:sz w:val="18"/>
          <w:szCs w:val="18"/>
          <w:color w:val="auto"/>
        </w:rPr>
        <w:t>Skeletal muscles in patients with FSHD that had low muscle pathology, based on a low T2 signal, demonstrated both lower levels of fat fraction and slower fat fraction progression. We believe that these data suggest that fat fraction progression is higher in muscles with a higher level of muscle pathology as measured by T2, and support the usage of these MRI-based endpoints in our ongoing clinical trials.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Optimized Time Up and Go Test Preparatory Study (Fulcrum SRA 003-2018)</w:t>
      </w:r>
    </w:p>
    <w:p>
      <w:pPr>
        <w:spacing w:after="0" w:line="117"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color w:val="auto"/>
        </w:rPr>
        <w:t>We are evaluating a modified version of the classic time up and go, or classic TUG, test that we are optimizing as a clinical outcome assessment of mobility and ambulation, which we refer to as the FSHD-TUG test. The classic TUG test requires patients to get up from a chair, walk three meters, turn around, walk back to the chair and sit down. It was originally developed for clinical practice to assess mobility, balance, walking ability and fall risk in older adults prior to discharge from hospitalization and was used recently as a key secondary efficacy endpoint in a registration trial in multiple sclerosis in Europe. The classic TUG test is also one of the clinical outcome assessments in the ReSOLVE natural history study discussed below.</w:t>
      </w:r>
    </w:p>
    <w:p>
      <w:pPr>
        <w:spacing w:after="0" w:line="158"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While we believe that the classic TUG test is a valid, reliable and objective test to quantify functional mobility in all age groups, we believe that a minor modification, asking patients to get up from a standardized bed, will be more appropriate for FSHD patients. We believe that the FSHD-TUG test may be more sensitive to measure treatment effects in patients with FSHD. Patients with FSHD generally have a difficult time rising from a chair and even more so from a recumbent position and this difficulty progresses over time. Patients with FSHD report that limitations in mobility and in the use of the shoulders and upper arms are the two most important areas of concern. The FSHD-TUG test may be a useful clinical outcome assessment endpoint for measurement of treatment effects of losmapimod on mobility.</w:t>
      </w:r>
    </w:p>
    <w:p>
      <w:pPr>
        <w:spacing w:after="0" w:line="193"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We are currently testing the FSHD-TUG test in comparison to the classic TUG test in a group of 22 subjects with FSHD and in 20 healthy volunteers who are age and gender matched. The subjects will have clinical severity scores of one to four on the Ricci scale. We are evaluating the subjects in five visits over approximately 12 months. In addition, 10 of these subjects are enrolled in a three-month sub-study to assess mobility at home using a touchless sensor and machine learning platform for health analytics. We believe that this sub-study will provide valuable information regarding how measures of mobility conducted during clinical visits compare to mobility in every-day setting in subject’s homes.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Patient Input (Fulcrum SRA 004-2018)</w:t>
      </w:r>
    </w:p>
    <w:p>
      <w:pPr>
        <w:spacing w:after="0" w:line="117"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We also obtained direct patient input into the design and feasibility of our Phase 2b clinical trial by having 79 patients with FSHD complete a survey based on their review of the proposed schedule of clinical assessments for the trial. The patients provided their views on their willingness to participate and any potential barriers to their participation in our then-planned Phase 2b clinical trial. We conducted these surveys during a face-to-face interview in clinics in the United States and France, via an internet survey for members of an FSHD registry in the United Kingdom and through in-person groups in Canada. This survey study provided us with the ability to refine the protocol for our ongoing Phase 2b clinical trial, if needed, and to inform the design of the long-term open label extension of the ReDUX4 trial to reflect the feedback from patients.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ReSOLVE Natural History Study</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 Clinical Trial Readiness to Solve Barriers to Drug Development in FSHD, or ReSOLVE study, is an ongoing natural history study funded by the NIH to help identify the patient population, efficacy biomarker and clinical outcome assessments for future FSHD drug trials. The study is being coordinated by the University of Rochester and University of Kansas Medical Center and enrolled the first subject in April 2018. The study will follow 160 subjects for 18 months across a network of eight U.S. clinical centers and will evaluate multiple biomarkers and clinical outcome assessments that may be suitable for clinical trials and will evaluate patient selection criteria based on genetic, demographic or clinical characteristics. Three sites in the European Union have joined the ReSOLVE protocol and will follow 60 subjects for 18 months. As of December 2019, 220 subjects have been enrolled, including 160 subjects from the U.S. and 60 subjects from the EU. Planned enrollment in the study has completed. We believe that the results of this natural history study will inform the design and implementation of clinical trials and will inform discussions with regulatory agencies. We also believe that this study may provide valuable insights into the timeline for disease progression and functional changes in FSHD in the absence of treatment.</w:t>
      </w:r>
    </w:p>
    <w:p>
      <w:pPr>
        <w:spacing w:after="0" w:line="182"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In connection with the ReSOLVE study, we have funded the addition of a clinical outcome assessment, which we refer to as reachable work space, or RWS. RWS is an objective assessment of upper arm function in a quantitative manner by measuring arm and shoulder mobility with and without weights. A hallmark of FSHD progression is weakness in the shoulder muscles and upper arms that eventually leads to an inability of patients to lift their arms above their shoulders. The RWS assessments are analyzed by a central reader. We have provided standardized hardware, software, and testing conditions to evaluate RWS at eight sites that are part of the ReSOLVE study in the United States and at three European sites. To date, we have collected over 500 RWS assessments in the study. Furthermore, the RWS assessment has been registered as medical device in the U.S., Canada and Europe.</w:t>
      </w:r>
    </w:p>
    <w:p>
      <w:pPr>
        <w:spacing w:after="0" w:line="165" w:lineRule="exact"/>
        <w:rPr>
          <w:sz w:val="20"/>
          <w:szCs w:val="20"/>
          <w:color w:val="auto"/>
        </w:rPr>
      </w:pPr>
    </w:p>
    <w:p>
      <w:pPr>
        <w:ind w:right="240" w:firstLine="555"/>
        <w:spacing w:after="0" w:line="259" w:lineRule="auto"/>
        <w:rPr>
          <w:sz w:val="20"/>
          <w:szCs w:val="20"/>
          <w:color w:val="auto"/>
        </w:rPr>
      </w:pPr>
      <w:r>
        <w:rPr>
          <w:rFonts w:ascii="Arial" w:cs="Arial" w:eastAsia="Arial" w:hAnsi="Arial"/>
          <w:sz w:val="18"/>
          <w:szCs w:val="18"/>
          <w:color w:val="auto"/>
        </w:rPr>
        <w:t>A recent third-party study assessed changes in RWS for 18 subjects with FSHD for up to five years. As illustrated in the figure below, the study concluded that the RWS measure is able to detect slow declines in upper extremity function in subjects with FSHD as early as 1 year. The study also found that the most notable declines in RWS were in above-the-shoulder level quadrants with no significant changes in lower quadrants and that RWS declined more significantly if the subjects wore 500-gram weights on their wrists.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281940</wp:posOffset>
            </wp:positionV>
            <wp:extent cx="2504440" cy="21526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04440"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Phase 1</w:t>
      </w:r>
    </w:p>
    <w:p>
      <w:pPr>
        <w:spacing w:after="0" w:line="117"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We conducted a randomized Phase 1 clinical trial of losmapimod in healthy adult volunteers and patients with FSHD in Europe under a CTA that we filed in December 2018. The primary objective of the trial was to investigate the safety and tolerability of losmapimod in healthy volunteers and in FSHD patients. The secondary objective was to evaluate repeated dose PK, and target engagement in FSHD patients. This trial completed dosing in September 2019 and top-line, blinded results were presented at the World Muscle Society Meeting in Copenhagen, Denmark in October 2019. We intend to present unblinded data in the first and second quarter of 2020 at scientific conferences in the United States.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3" w:name="page24"/>
    <w:bookmarkEnd w:id="23"/>
    <w:p>
      <w:pPr>
        <w:ind w:right="20" w:firstLine="555"/>
        <w:spacing w:after="0" w:line="289" w:lineRule="auto"/>
        <w:rPr>
          <w:sz w:val="20"/>
          <w:szCs w:val="20"/>
          <w:color w:val="auto"/>
        </w:rPr>
      </w:pPr>
      <w:r>
        <w:rPr>
          <w:rFonts w:ascii="Arial" w:cs="Arial" w:eastAsia="Arial" w:hAnsi="Arial"/>
          <w:sz w:val="16"/>
          <w:szCs w:val="16"/>
          <w:color w:val="auto"/>
        </w:rPr>
        <w:t>In the first cohort, 10 healthy volunteers were randomized to a single oral dose of 7.5 mg (n=8) of losmapimod followed by a single oral dose of 15 mg after a wash out period or to a single oral dose placebo (n=2) in both dosing periods. In the second cohort, 15 FSHD patients were randomized and treated with placebo (n=3) or 7.5 mg of losmapimod (n=6) or 15 mg (n=6) taken orally twice daily for 14 days. Losmapimod was well tolerated with no serious adverse events reported. Similar tolerability, safety and PK were observed in healthy volunteers and patients with FSHD. Treatment with losmapimod demonstrated dose-dependent PK and TE in blood. FSHD patients treated with losmapimod also achieved dose-dependent concentrations in skeletal muscle, with a muscle to plasma exposure ratio of approximately 1:1. Evidence of dose-dependent target engagement was also observed in skeletal muscle. The losmapimod 15 mg dose taken orally twice daily demonstrated sustained drug concentrations that in preclinical models with human FSHD myotubes resulted in a robust reduction of DUX4-driven gene expression. These data support the selection of the 15 mg dose of losmapimod taken orally twice daily in our ongoing Phase 2b placebo-controlled clinical trial and Phase 2 open label clinical trial of losmapimod.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269240</wp:posOffset>
            </wp:positionV>
            <wp:extent cx="1749425" cy="1689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49425"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We manufactured the losmapimod capsules for this trial prior to our license agreement with GSK. For our ongoing Phase 2 clinical trials, we are using losmapimod tablets that were manufactured by GSK. We confirmed that the PK of the losmapimod capsules were consistent with published data on the PK of the losmapimod tablets manufactured by GSK. We also confirmed that the p38α/ß target engagement in blood from our losmapimod capsules is consistent with the previous data on target engagement of the losmapimod tablets manufactured by GSK.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Phase 2b (ReDUX4)</w:t>
      </w:r>
    </w:p>
    <w:p>
      <w:pPr>
        <w:spacing w:after="0" w:line="117"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In August 2019, we initiated a randomized, double-blind, placebo-controlled multicenter international Phase 2b clinical trial in 80 patients with FSHD1 and clinical severity scores of two to four on the Ricci scale. In this trial, we are evaluating treatment with 15 mg of losmapimod or placebo tablets twice per day over a 24-week period. Enrollment was completed in February 2020. Patients were randomized 1:1 between the treatment and placebo arms. The FDA accepted the IND for losmapimod in June 2019, and we also submitted CTAs at various dates during 2019 to conduct the trial at sites in Europe and Canada, all of which were accepted.</w:t>
      </w:r>
    </w:p>
    <w:p>
      <w:pPr>
        <w:spacing w:after="0" w:line="188"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The primary endpoint is the reduction of DUX4-driven gene expression in affected skeletal muscle biopsies before treatment and after approximately 16 weeks of treatment. We selected the number of patients to enroll in this trial based on the magnitude of reduction of DUX4-driven gene expression that we have observed in our preclinical studies using losmapimod concentrations similar to those measured when dosing with 15 mg twice per day in clinical trials completed by GSK.</w:t>
      </w:r>
    </w:p>
    <w:p>
      <w:pPr>
        <w:spacing w:after="0" w:line="187" w:lineRule="exact"/>
        <w:rPr>
          <w:sz w:val="20"/>
          <w:szCs w:val="20"/>
          <w:color w:val="auto"/>
        </w:rPr>
      </w:pPr>
    </w:p>
    <w:p>
      <w:pPr>
        <w:ind w:right="220" w:firstLine="555"/>
        <w:spacing w:after="0" w:line="279" w:lineRule="auto"/>
        <w:rPr>
          <w:sz w:val="20"/>
          <w:szCs w:val="20"/>
          <w:color w:val="auto"/>
        </w:rPr>
      </w:pPr>
      <w:r>
        <w:rPr>
          <w:rFonts w:ascii="Arial" w:cs="Arial" w:eastAsia="Arial" w:hAnsi="Arial"/>
          <w:sz w:val="17"/>
          <w:szCs w:val="17"/>
          <w:color w:val="auto"/>
        </w:rPr>
        <w:t>Secondary endpoints of the trial include evaluation of safety and tolerability in FSHD patients, PK in blood, losmapimod concentration in skeletal muscle biopsies, p38α/ß target engagement in blood and in muscle biopsies, and efficacy on the whole-body skeletal muscle MRI biomarker. This trial also includes evaluation of exploratory efficacy endpoints including centrally read RWS, FSHD-TUG test and patient-reported outcomes and muscle strength measured by quantitative dynamometry and motor function ability measurements obtained by physical therapists.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ind w:left="560"/>
        <w:spacing w:after="0"/>
        <w:rPr>
          <w:sz w:val="20"/>
          <w:szCs w:val="20"/>
          <w:color w:val="auto"/>
        </w:rPr>
      </w:pPr>
      <w:r>
        <w:rPr>
          <w:rFonts w:ascii="Arial" w:cs="Arial" w:eastAsia="Arial" w:hAnsi="Arial"/>
          <w:sz w:val="18"/>
          <w:szCs w:val="18"/>
          <w:color w:val="auto"/>
        </w:rPr>
        <w:t>The graphic below presents the design of the Phase 2b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306705</wp:posOffset>
            </wp:positionV>
            <wp:extent cx="5634355" cy="22383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3435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ReDUX4 Open Label Extension</w:t>
      </w:r>
    </w:p>
    <w:p>
      <w:pPr>
        <w:spacing w:after="0" w:line="117" w:lineRule="exact"/>
        <w:rPr>
          <w:sz w:val="20"/>
          <w:szCs w:val="20"/>
          <w:color w:val="auto"/>
        </w:rPr>
      </w:pPr>
    </w:p>
    <w:p>
      <w:pPr>
        <w:ind w:right="260" w:firstLine="555"/>
        <w:spacing w:after="0" w:line="257" w:lineRule="auto"/>
        <w:rPr>
          <w:sz w:val="20"/>
          <w:szCs w:val="20"/>
          <w:color w:val="auto"/>
        </w:rPr>
      </w:pPr>
      <w:r>
        <w:rPr>
          <w:rFonts w:ascii="Arial" w:cs="Arial" w:eastAsia="Arial" w:hAnsi="Arial"/>
          <w:sz w:val="18"/>
          <w:szCs w:val="18"/>
          <w:color w:val="auto"/>
        </w:rPr>
        <w:t>In February 2020 we initiated an open label extension of the ReDUX4 trial to enable patients who have completed the 24 weeks of treatment with losmapimod or placebo in ReDUX4 to receive long term treatment with losmapimod. This open label extension includes clinical assessments of safety and efficacy every three months, whole-body musculoskeletal MRI every six months, and a muscle needle biopsy once after six months of treatment. We anticipate that this trial will continue until such time as the drug is approved and available in the commercial setting or the clinical development of losmapimod in FSHD is terminated.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Phase 2 Open Label Study Trial</w:t>
      </w:r>
    </w:p>
    <w:p>
      <w:pPr>
        <w:spacing w:after="0" w:line="117"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In parallel with the Phase 2b clinical trial, we also initiated in August 2019 an open label, single center Phase 2 clinical trial of losmapimod in up to 16 patients with FSHD1 and clinical severity scores of two to four on the Ricci scale. Patients receive tablets containing 15 mg of losmapimod twice per day for up to 52 weeks. The treatment period is preceded by eight weeks of pre-treatment assessments to establish a baseline for musculoskeletal MRI biomarkers and clinical outcome assessments. We also performed an outpatient mobility assessment using wearable sensors. We filed a CTA for this trial in April 2019 and we are conducting the trial at a single center in the Netherlands.</w:t>
      </w:r>
    </w:p>
    <w:p>
      <w:pPr>
        <w:spacing w:after="0" w:line="173"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The primary objective is to investigate the safety and tolerability of losmapimod for chronic dosing in FSHD patients. The primary endpoints are to assess safety and tolerability over the 52-week period. The secondary endpoints are the change from baseline in pHSP27 and the ratio of pHSP27 to total HSP27 in blood and muscle for assessment of the inhibition of p38α/ß during the dosing period. This trial is also designed to provide initial data regarding changes in DUX4-driven gene expression, MRI biomarkers, objective clinical outcome assessments and patient-reported outcomes that may occur at various times following initiation of treatment with losmapimod relative to the pre-treatment period. We intend to use this data to further guide our clinical development strategy for losmapimod in FSHD.</w:t>
      </w:r>
    </w:p>
    <w:p>
      <w:pPr>
        <w:spacing w:after="0" w:line="193"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We will measure DUX4-driven gene expression before and during treatment using muscle needle biopsies in affected muscles. All patients had a pre-treatment biopsy and we will obtain a second muscle needle biopsy from each patient after four or eight weeks of treatment. The original trial design included an additional biopsy during chronic treatment at week 48, but we have removed this assessment from the trial protocol because the open label extension of ReDUX4 includes a biopsy during chronic treatment.</w:t>
      </w:r>
    </w:p>
    <w:p>
      <w:pPr>
        <w:spacing w:after="0" w:line="187"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color w:val="auto"/>
        </w:rPr>
        <w:t>We will measure potential losmapimod treatment effects on shoulder and upper arm function and mobility/ambulation, as well as on muscle strength and function and quality of life and activities of daily living, similar to the assessments in the Phase 2b clinical trial. The clinical outcome assessments are RWS, FSHD-TUG, muscle strength, motor function ability and generic and FSHD-specific patient reports of quality of life and activities of daily living. Other exploratory assessments include the six minute walk test, spirometry, and muscle ultrasound. There is also an assessment of day-to-day mobility using wearable sensors.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left="560"/>
        <w:spacing w:after="0"/>
        <w:rPr>
          <w:sz w:val="20"/>
          <w:szCs w:val="20"/>
          <w:color w:val="auto"/>
        </w:rPr>
      </w:pPr>
      <w:r>
        <w:rPr>
          <w:rFonts w:ascii="Arial" w:cs="Arial" w:eastAsia="Arial" w:hAnsi="Arial"/>
          <w:sz w:val="18"/>
          <w:szCs w:val="18"/>
          <w:color w:val="auto"/>
        </w:rPr>
        <w:t>The graphic below presents the design of the Phase 2 open label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169545</wp:posOffset>
            </wp:positionV>
            <wp:extent cx="5754370" cy="22726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Research</w:t>
      </w:r>
    </w:p>
    <w:p>
      <w:pPr>
        <w:spacing w:after="0" w:line="117"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We engaged Clarion Healthcare, LLC to conduct market research with physicians and payors to better understand the commercial landscape and to assist in our commercial planning. A total of 14 physicians in the United States, European Union and Asia and nine payors and payor experts in the United States and European Union were surveyed. Both groups acknowledged the severity of the disease and lack of any existing therapies for patients. Physicians were asked their views on potentially prescribing a small molecule product candidate that effectively repressed DUX4 gene expression in skeletal muscle and resulted in the preservation of muscle function. Based on an April 2018 report prepared by Clarion, we believe that physicians would be receptive to prescribing a product with these qualities, subject to the efficacy and safety of the product, due to the chronic nature of the disease.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 for Hemoglobinopathies</w:t>
      </w:r>
    </w:p>
    <w:p>
      <w:pPr>
        <w:spacing w:after="0" w:line="117"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Hemoglobinopathies are a category of genetic disorders affecting RBCs. We intend to develop FTX-6058 to elevate the level of fetal hemoglobin for the treatment of patients with certain hemoglobinopathies, namely sickle cell disease and for certain types of ß-thalassemia.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Sickle Cell Disease</w:t>
      </w:r>
    </w:p>
    <w:p>
      <w:pPr>
        <w:spacing w:after="0" w:line="117" w:lineRule="exact"/>
        <w:rPr>
          <w:sz w:val="20"/>
          <w:szCs w:val="20"/>
          <w:color w:val="auto"/>
        </w:rPr>
      </w:pPr>
    </w:p>
    <w:p>
      <w:pPr>
        <w:jc w:val="both"/>
        <w:ind w:right="20" w:firstLine="555"/>
        <w:spacing w:after="0" w:line="302" w:lineRule="auto"/>
        <w:rPr>
          <w:sz w:val="20"/>
          <w:szCs w:val="20"/>
          <w:color w:val="auto"/>
        </w:rPr>
      </w:pPr>
      <w:r>
        <w:rPr>
          <w:rFonts w:ascii="Arial" w:cs="Arial" w:eastAsia="Arial" w:hAnsi="Arial"/>
          <w:sz w:val="16"/>
          <w:szCs w:val="16"/>
          <w:color w:val="auto"/>
        </w:rPr>
        <w:t>Sickle cell disease is a genetic disorder of RBCs. SCD patients typically suffer from serious clinical consequences, which may include vaso-occlusive crises, anemia, pain, infections, stroke, heart disease, pulmonary hypertension, kidney failure, liver disease and reduced life expectancy. According to a study published by the American Medical Association, approximately 32.5% of adult patients with SCD were hospitalized three or more times per year due to pain crises. SCD is reported to shorten patient life expectancy by approximately 20 to 30 years. Patients with SCD are primarily treated by hematologists.</w:t>
      </w:r>
    </w:p>
    <w:p>
      <w:pPr>
        <w:spacing w:after="0" w:line="154" w:lineRule="exact"/>
        <w:rPr>
          <w:sz w:val="20"/>
          <w:szCs w:val="20"/>
          <w:color w:val="auto"/>
        </w:rPr>
      </w:pPr>
    </w:p>
    <w:p>
      <w:pPr>
        <w:ind w:right="120" w:firstLine="555"/>
        <w:spacing w:after="0" w:line="312" w:lineRule="auto"/>
        <w:rPr>
          <w:sz w:val="20"/>
          <w:szCs w:val="20"/>
          <w:color w:val="auto"/>
        </w:rPr>
      </w:pPr>
      <w:r>
        <w:rPr>
          <w:rFonts w:ascii="Arial" w:cs="Arial" w:eastAsia="Arial" w:hAnsi="Arial"/>
          <w:sz w:val="16"/>
          <w:szCs w:val="16"/>
          <w:color w:val="auto"/>
        </w:rPr>
        <w:t>In the United States, where newborn screening for SCD is mandatory, the estimated prevalence is approximately 100,000 individuals. In Europe, the estimated prevalence is approximately 134,000 individuals according to the European Medicines Agency, or EMA. According to the World Health Organization, the global incidence is estimated to be approximately 300,000 births annually. SCD is most prevalent in Africa and the Middle East.</w:t>
      </w:r>
    </w:p>
    <w:p>
      <w:pPr>
        <w:spacing w:after="0" w:line="174"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Approved drug treatments for SCD focus primarily on the management and reduction of pain episodes, vaso-occlusive crises, and inhibition of hemoglobin S polymerization. The four drug treatments approved in the United States are hydroxyurea, voxelotor, crizanlizumab, and L-glutamine. Hydroxyurea is approved for the treatment of anemia related to SCD to reduce the frequency of painful crises and the need for blood transfusions. Hydroxyurea has a black box warning for myelosuppression and malignancy. In general, it is limited by its adverse side effects, inconsistent patient responses and concerns regarding the cytotoxic effect of the drug. L-glutamine is approved to reduce severe complications associated with the disorder. Voxelotor, marketed by Global Blood Therapeutics, is approved under accelerated approval as a hemoglobin polymerization inhibitor. Crizanlizumab, marketed by Novartis AG, or Novartis, is approved for the reduction in the frequency of vaso-occlusive crises.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6" w:name="page27"/>
    <w:bookmarkEnd w:id="26"/>
    <w:p>
      <w:pPr>
        <w:ind w:right="80" w:firstLine="555"/>
        <w:spacing w:after="0" w:line="276" w:lineRule="auto"/>
        <w:rPr>
          <w:sz w:val="20"/>
          <w:szCs w:val="20"/>
          <w:color w:val="auto"/>
        </w:rPr>
      </w:pPr>
      <w:r>
        <w:rPr>
          <w:rFonts w:ascii="Arial" w:cs="Arial" w:eastAsia="Arial" w:hAnsi="Arial"/>
          <w:sz w:val="17"/>
          <w:szCs w:val="17"/>
          <w:color w:val="auto"/>
        </w:rPr>
        <w:t>Blood transfusions can be utilized to decrease the sickling of RBCs. While blood transfusions can be critical to manage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due to the difficulties of finding a suitable matching donor and the risks associated with the treatment, which include an approximately 5% mortality rate. Bone marrow transplantation is more commonly offered to pediatric patients with available sibling-matched donors.</w:t>
      </w:r>
    </w:p>
    <w:p>
      <w:pPr>
        <w:spacing w:after="0" w:line="173"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While multiple experimental approaches to treat SCD are being explored in clinical trials, the majority are focused on symptomatic relief or gene therapy approaches. Symptomatic approaches under investigation aim to affect issues associated with cell adhesion, sickling, thrombosis and iron homeostasis. We anticipate that a novel orally available therapy that affects the root cause of SCD may be used in combination with symptomatic therapeutics. Novartis and Global Blood Therapeutics, Inc. have received approval for therapies aiming to provide symptomatic relief for patients with SCD. Several gene therapy approaches to treat SCD are focused on elevating fetal hemoglobin, however no gene therapy approaches have been approved for SCD and the efficacy, safety and durability of gene therapy approaches have yet to be established. Gene therapies need to be administered in an in-patient procedure through a bone marrow transplant, which is also referred to as a stem cell transplant or hematopoietic stem cell transplant. As part of the transplant process, the patient receives myeloablative chemotherapy which kills cells in the bone marrow in order to support the gene therapy. Despite ongoing efforts to develop gene therapies for SCD, we believe there is still a high unmet need that could be better addressed by a small molecule, oral therapy to treat the disease by increasing fetal hemoglobin.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SCD Biology</w:t>
      </w:r>
    </w:p>
    <w:p>
      <w:pPr>
        <w:spacing w:after="0" w:line="117"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 xml:space="preserve">SCD is caused by a mutation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This gene encodes a protein that is a key component of hemoglobin, a protein complex whose function is to transport oxygen in the body. Hemoglobin in adults is a complex of four proteins, two hemoglobin ß-subunits and two hemoglobin α-subunits. In patients with SCD, hemoglobin is composed of two mutant ß-subunits and two α-subunits and the result is the formation of abnormal hemoglobin. The result of the mutation is less efficient oxygen transport and the formation of RBCs that have a sickle shape. These sickle shaped cells are much less flexible than healthy cells and can block blood vessels (vaso-occlusion) or rupture cells (lysis), leading to pain, anemia, irreversible organ damage or even death.</w:t>
      </w:r>
    </w:p>
    <w:p>
      <w:pPr>
        <w:spacing w:after="0" w:line="158" w:lineRule="exact"/>
        <w:rPr>
          <w:sz w:val="20"/>
          <w:szCs w:val="20"/>
          <w:color w:val="auto"/>
        </w:rPr>
      </w:pPr>
    </w:p>
    <w:p>
      <w:pPr>
        <w:ind w:right="40" w:firstLine="555"/>
        <w:spacing w:after="0" w:line="286" w:lineRule="auto"/>
        <w:rPr>
          <w:sz w:val="20"/>
          <w:szCs w:val="20"/>
          <w:color w:val="auto"/>
        </w:rPr>
      </w:pPr>
      <w:r>
        <w:rPr>
          <w:rFonts w:ascii="Arial" w:cs="Arial" w:eastAsia="Arial" w:hAnsi="Arial"/>
          <w:sz w:val="17"/>
          <w:szCs w:val="17"/>
          <w:color w:val="auto"/>
        </w:rPr>
        <w:t xml:space="preserve">During fetal development, the major form of hemoglobin is fetal hemoglobin. Similar to hemoglobin in adults, fetal hemoglobin is also a complex of four proteins, two α-subunits and two γ-subunits. Shortly after birth, the genes encoding the γ-subunits, the </w:t>
      </w:r>
      <w:r>
        <w:rPr>
          <w:rFonts w:ascii="Arial" w:cs="Arial" w:eastAsia="Arial" w:hAnsi="Arial"/>
          <w:sz w:val="17"/>
          <w:szCs w:val="17"/>
          <w:i w:val="1"/>
          <w:iCs w:val="1"/>
          <w:color w:val="auto"/>
        </w:rPr>
        <w:t>HBG1</w:t>
      </w:r>
      <w:r>
        <w:rPr>
          <w:rFonts w:ascii="Arial" w:cs="Arial" w:eastAsia="Arial" w:hAnsi="Arial"/>
          <w:sz w:val="17"/>
          <w:szCs w:val="17"/>
          <w:color w:val="auto"/>
        </w:rPr>
        <w:t xml:space="preserve"> and </w:t>
      </w:r>
      <w:r>
        <w:rPr>
          <w:rFonts w:ascii="Arial" w:cs="Arial" w:eastAsia="Arial" w:hAnsi="Arial"/>
          <w:sz w:val="17"/>
          <w:szCs w:val="17"/>
          <w:i w:val="1"/>
          <w:iCs w:val="1"/>
          <w:color w:val="auto"/>
        </w:rPr>
        <w:t>HBG2</w:t>
      </w:r>
      <w:r>
        <w:rPr>
          <w:rFonts w:ascii="Arial" w:cs="Arial" w:eastAsia="Arial" w:hAnsi="Arial"/>
          <w:sz w:val="17"/>
          <w:szCs w:val="17"/>
          <w:color w:val="auto"/>
        </w:rPr>
        <w:t xml:space="preserve"> genes, are silenced and the </w:t>
      </w:r>
      <w:r>
        <w:rPr>
          <w:rFonts w:ascii="Arial" w:cs="Arial" w:eastAsia="Arial" w:hAnsi="Arial"/>
          <w:sz w:val="17"/>
          <w:szCs w:val="17"/>
          <w:i w:val="1"/>
          <w:iCs w:val="1"/>
          <w:color w:val="auto"/>
        </w:rPr>
        <w:t>HBB</w:t>
      </w:r>
      <w:r>
        <w:rPr>
          <w:rFonts w:ascii="Arial" w:cs="Arial" w:eastAsia="Arial" w:hAnsi="Arial"/>
          <w:sz w:val="17"/>
          <w:szCs w:val="17"/>
          <w:color w:val="auto"/>
        </w:rPr>
        <w:t xml:space="preserve"> gene is activated. As described above, SCD is caused by a mutation in the </w:t>
      </w:r>
      <w:r>
        <w:rPr>
          <w:rFonts w:ascii="Arial" w:cs="Arial" w:eastAsia="Arial" w:hAnsi="Arial"/>
          <w:sz w:val="17"/>
          <w:szCs w:val="17"/>
          <w:i w:val="1"/>
          <w:iCs w:val="1"/>
          <w:color w:val="auto"/>
        </w:rPr>
        <w:t>HBB</w:t>
      </w:r>
      <w:r>
        <w:rPr>
          <w:rFonts w:ascii="Arial" w:cs="Arial" w:eastAsia="Arial" w:hAnsi="Arial"/>
          <w:sz w:val="17"/>
          <w:szCs w:val="17"/>
          <w:color w:val="auto"/>
        </w:rPr>
        <w:t xml:space="preserve"> gene that gives rise to mutated ß-subunits.</w:t>
      </w:r>
    </w:p>
    <w:p>
      <w:pPr>
        <w:spacing w:after="0" w:line="166"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A small subset of individuals with the sickle cell mutation continue to produce high levels of fetal hemoglobin due to inheritance of additional genetic mutations, which is called Hereditary Persistence of Fetal Hemoglobin, or HPFH. Patients with elevated fetal hemoglobin exhibit few, if any, clinical manifestations of SCD. Further, an increase of fetal hemoglobin as low as 3% over baseline in patients without HPFH, due to either therapeutic intervention or the inheritance of other genetic traits, can result in reduced clinical manifestations of the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Our Approach to Address the Root Cause of SCD</w:t>
      </w:r>
    </w:p>
    <w:p>
      <w:pPr>
        <w:spacing w:after="0" w:line="117"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Our strategy to address the root cause of SCD was to identify a drug mechanism that induces expression of fetal hemoglobin. We believe that FTX-6058 may address the root cause of SCD through this mechanism of action.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Overview of </w:t>
      </w:r>
      <w:r>
        <w:rPr>
          <w:rFonts w:ascii="Arial" w:cs="Arial" w:eastAsia="Arial" w:hAnsi="Arial"/>
          <w:sz w:val="18"/>
          <w:szCs w:val="18"/>
          <w:color w:val="auto"/>
        </w:rPr>
        <w:t>ß</w:t>
      </w:r>
      <w:r>
        <w:rPr>
          <w:rFonts w:ascii="Arial" w:cs="Arial" w:eastAsia="Arial" w:hAnsi="Arial"/>
          <w:sz w:val="18"/>
          <w:szCs w:val="18"/>
          <w:i w:val="1"/>
          <w:iCs w:val="1"/>
          <w:color w:val="auto"/>
        </w:rPr>
        <w:t>-Thalassemia</w:t>
      </w:r>
    </w:p>
    <w:p>
      <w:pPr>
        <w:spacing w:after="0" w:line="117"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 xml:space="preserve">ß-thalassemia is a rare blood disorder associated with the absence or reduced production of ß-globin, which is one of the two proteins that comprise adult hemoglobin. This results in an abnormally low level of hemoglobin as well as an excess of α-globin chains that cause destruction of RBCs. The severity of the phenotype is related to the degree of imbalance between α- and non-α-globin chain synthesis. The absence of ß-globin due to </w:t>
      </w:r>
      <w:r>
        <w:rPr>
          <w:rFonts w:ascii="Arial" w:cs="Arial" w:eastAsia="Arial" w:hAnsi="Arial"/>
          <w:sz w:val="17"/>
          <w:szCs w:val="17"/>
          <w:i w:val="1"/>
          <w:iCs w:val="1"/>
          <w:color w:val="auto"/>
        </w:rPr>
        <w:t>HBB</w:t>
      </w:r>
      <w:r>
        <w:rPr>
          <w:rFonts w:ascii="Arial" w:cs="Arial" w:eastAsia="Arial" w:hAnsi="Arial"/>
          <w:sz w:val="17"/>
          <w:szCs w:val="17"/>
          <w:color w:val="auto"/>
        </w:rPr>
        <w:t xml:space="preserve"> gene deletions is referred to as ß</w:t>
      </w:r>
      <w:r>
        <w:rPr>
          <w:rFonts w:ascii="Arial" w:cs="Arial" w:eastAsia="Arial" w:hAnsi="Arial"/>
          <w:sz w:val="14"/>
          <w:szCs w:val="14"/>
          <w:color w:val="auto"/>
        </w:rPr>
        <w:t>0</w:t>
      </w:r>
      <w:r>
        <w:rPr>
          <w:rFonts w:ascii="Arial" w:cs="Arial" w:eastAsia="Arial" w:hAnsi="Arial"/>
          <w:sz w:val="17"/>
          <w:szCs w:val="17"/>
          <w:color w:val="auto"/>
        </w:rPr>
        <w:t xml:space="preserve"> thalassemia. Other </w:t>
      </w:r>
      <w:r>
        <w:rPr>
          <w:rFonts w:ascii="Arial" w:cs="Arial" w:eastAsia="Arial" w:hAnsi="Arial"/>
          <w:sz w:val="17"/>
          <w:szCs w:val="17"/>
          <w:i w:val="1"/>
          <w:iCs w:val="1"/>
          <w:color w:val="auto"/>
        </w:rPr>
        <w:t>HBB</w:t>
      </w:r>
      <w:r>
        <w:rPr>
          <w:rFonts w:ascii="Arial" w:cs="Arial" w:eastAsia="Arial" w:hAnsi="Arial"/>
          <w:sz w:val="17"/>
          <w:szCs w:val="17"/>
          <w:color w:val="auto"/>
        </w:rPr>
        <w:t xml:space="preserve"> gene alterations allow some ß-globin to be produced but in reduced amounts. A reduced amount of ß-globin is called ß</w:t>
      </w:r>
      <w:r>
        <w:rPr>
          <w:rFonts w:ascii="Arial" w:cs="Arial" w:eastAsia="Arial" w:hAnsi="Arial"/>
          <w:sz w:val="14"/>
          <w:szCs w:val="14"/>
          <w:color w:val="auto"/>
        </w:rPr>
        <w:t>+</w:t>
      </w:r>
      <w:r>
        <w:rPr>
          <w:rFonts w:ascii="Arial" w:cs="Arial" w:eastAsia="Arial" w:hAnsi="Arial"/>
          <w:sz w:val="17"/>
          <w:szCs w:val="17"/>
          <w:color w:val="auto"/>
        </w:rPr>
        <w:t>thalassemia. Many patients with ß-thalassemia require chronic blood transfusions due to severe anemia that results from low hemoglobin levels, which are referred to as transfusion-dependent patients. It is estimated that 40,000 babies are born worldwide with ß-thalassemia per year of whom 25,000 require blood transfusions. Patients with ß-thalassemia are primarily treated by hematologists.</w:t>
      </w:r>
    </w:p>
    <w:p>
      <w:pPr>
        <w:spacing w:after="0" w:line="178"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ß-thalassemia has been clinically characterized into three forms, depending on disease severity: major, intermedia and minor. The most severe form, ß-thalassemia major (also known as Cooley’s anemia), is generally diagnosed shortly after birth and patients have life-threatening anemia. Pediatric patients do not grow and gain weight at the typical rates, and often have liver, heart and bone problems. Many ß-thalassemia major patients require frequent blood transfusions to prevent severe anemia, a treatment that itself can cause long-term problems due to a build-up of iron in the body. ß-thalassemia intermedia is a less severe form of the disease that results in mild to moderate anemia. These patients sometimes require blood transfusions depending on the severity of the symptoms. Patients with ß-thalassemia minor suffer from very mild anemia and generally do not require treatment. Having either ß</w:t>
      </w:r>
      <w:r>
        <w:rPr>
          <w:rFonts w:ascii="Arial" w:cs="Arial" w:eastAsia="Arial" w:hAnsi="Arial"/>
          <w:sz w:val="14"/>
          <w:szCs w:val="14"/>
          <w:color w:val="auto"/>
        </w:rPr>
        <w:t>0</w:t>
      </w:r>
      <w:r>
        <w:rPr>
          <w:rFonts w:ascii="Arial" w:cs="Arial" w:eastAsia="Arial" w:hAnsi="Arial"/>
          <w:sz w:val="17"/>
          <w:szCs w:val="17"/>
          <w:color w:val="auto"/>
        </w:rPr>
        <w:t xml:space="preserve"> or ß</w:t>
      </w:r>
      <w:r>
        <w:rPr>
          <w:rFonts w:ascii="Arial" w:cs="Arial" w:eastAsia="Arial" w:hAnsi="Arial"/>
          <w:sz w:val="14"/>
          <w:szCs w:val="14"/>
          <w:color w:val="auto"/>
        </w:rPr>
        <w:t>+</w:t>
      </w:r>
      <w:r>
        <w:rPr>
          <w:rFonts w:ascii="Arial" w:cs="Arial" w:eastAsia="Arial" w:hAnsi="Arial"/>
          <w:sz w:val="17"/>
          <w:szCs w:val="17"/>
          <w:color w:val="auto"/>
        </w:rPr>
        <w:t xml:space="preserve"> thalassemia does not necessarily predict clinical disease severity as people with both types have been diagnosed with thalassemia major and thalassemia intermedia. Any increase in fetal hemoglobin has the potential to ameliorate the disease.</w:t>
      </w:r>
    </w:p>
    <w:p>
      <w:pPr>
        <w:spacing w:after="0" w:line="179" w:lineRule="exact"/>
        <w:rPr>
          <w:sz w:val="20"/>
          <w:szCs w:val="20"/>
          <w:color w:val="auto"/>
        </w:rPr>
      </w:pPr>
    </w:p>
    <w:p>
      <w:pPr>
        <w:ind w:right="60" w:firstLine="555"/>
        <w:spacing w:after="0" w:line="269" w:lineRule="auto"/>
        <w:rPr>
          <w:sz w:val="20"/>
          <w:szCs w:val="20"/>
          <w:color w:val="auto"/>
        </w:rPr>
      </w:pPr>
      <w:r>
        <w:rPr>
          <w:rFonts w:ascii="Arial" w:cs="Arial" w:eastAsia="Arial" w:hAnsi="Arial"/>
          <w:sz w:val="17"/>
          <w:szCs w:val="17"/>
          <w:color w:val="auto"/>
        </w:rPr>
        <w:t>The current standard of care for many patients with ß-thalassemia is frequent blood transfusions to manage anemia. The only potentially curative therapy for ß-thalassemia is allogeneic hematopoietic stem cell transplant, which is associated with risks of complications, including mortality, and is limited to patients with a suitable donor. The European Commission granted conditional marketing authorization for ZYNTEGLO, a gene therapy developed by bluebird bio, Inc., or bluebird, for the treatment of adult and adolescent patients with transfusion-dependent ß-thalassemia and with certain genotypes, in Europe in June 2019. bluebird has initiated a rolling biologics license application, or BLA, submission in the United States, which is expected to be completed in the second half of 2020. Acceleron Pharma Inc., or Acceleron, in collaboration with Celgene Corp., or Celgene, received approval for luspatercept, an erythroid maturation agent for the treatment of adult patients with anemia associated with ß-thalassemia and who require frequent transfusions. Celgene and Acceleron submitted a marketing authorization application to the EMA in the second quarter of 2019. There are also multiple other experimental approaches to treat ß-thalassemia being explored in clinical trials, including approaches that use small molecule, gene therapy and gene editing approaches. Despite ongoing efforts to develop new therapies for ß-thalassemia, we believe there is still a high unmet need that could be addressed by a small molecule, oral therapy to treatment the disease by increasing fetal hemoglobin.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Biology of ß-Thalassemia</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 xml:space="preserve">ß-thalassemia is caused by genetic mutations in the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The mutations interfere with the production of ß-globin. Some mutations result in no ß-globin being produced, while other mutations result in a decreased amount of ß-globin being produced.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 to Address the Root Cause of ß-Thalassemia</w:t>
      </w:r>
    </w:p>
    <w:p>
      <w:pPr>
        <w:spacing w:after="0" w:line="117" w:lineRule="exact"/>
        <w:rPr>
          <w:sz w:val="20"/>
          <w:szCs w:val="20"/>
          <w:color w:val="auto"/>
        </w:rPr>
      </w:pPr>
    </w:p>
    <w:p>
      <w:pPr>
        <w:ind w:right="120" w:firstLine="555"/>
        <w:spacing w:after="0" w:line="297" w:lineRule="auto"/>
        <w:rPr>
          <w:sz w:val="20"/>
          <w:szCs w:val="20"/>
          <w:color w:val="auto"/>
        </w:rPr>
      </w:pPr>
      <w:r>
        <w:rPr>
          <w:rFonts w:ascii="Arial" w:cs="Arial" w:eastAsia="Arial" w:hAnsi="Arial"/>
          <w:sz w:val="16"/>
          <w:szCs w:val="16"/>
          <w:color w:val="auto"/>
        </w:rPr>
        <w:t>We believe that some types of ß-thalassemia may be treated by a therapy that upregulates fetal hemoglobin. Babies born with ß-thalassemia major generally do not have any symptoms shortly after birth because they have fetal hemoglobin in their blood. As the fetal hemoglobin levels decrease after birth and the ß-globin fails to increase, anemia appears and the babies with ß-thalassemia begin to exhibit symptoms of the disease. Patients with ß-thalassemia intermedia that have higher levels of fetal hemoglobin have fewer symptoms than patients with low levels of fetal hemoglobin. We believe that FTX-6058 may be suitable for clinical development for the treatment of patients who are not ß</w:t>
      </w:r>
      <w:r>
        <w:rPr>
          <w:rFonts w:ascii="Arial" w:cs="Arial" w:eastAsia="Arial" w:hAnsi="Arial"/>
          <w:sz w:val="13"/>
          <w:szCs w:val="13"/>
          <w:color w:val="auto"/>
        </w:rPr>
        <w:t>0</w:t>
      </w:r>
      <w:r>
        <w:rPr>
          <w:rFonts w:ascii="Arial" w:cs="Arial" w:eastAsia="Arial" w:hAnsi="Arial"/>
          <w:sz w:val="16"/>
          <w:szCs w:val="16"/>
          <w:color w:val="auto"/>
        </w:rPr>
        <w:t xml:space="preserve"> but who are transfusion dependent.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Our Product Engine Identified the Drug Target for SCD and ß-Thalassemia</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 xml:space="preserve">Applying our product engine, we conducted target identification and validation activities using human umbilical cord blood-derived erythroid progenitor 2, or HUDEP2, cells as a model to study fetal hemoglobin reactivation. HUDEP2 cells are immature RBCs. By screening our small molecule probe library and a CRISPR library, we identified several potential drug targets that activated the </w:t>
      </w:r>
      <w:r>
        <w:rPr>
          <w:rFonts w:ascii="Arial" w:cs="Arial" w:eastAsia="Arial" w:hAnsi="Arial"/>
          <w:sz w:val="18"/>
          <w:szCs w:val="18"/>
          <w:i w:val="1"/>
          <w:iCs w:val="1"/>
          <w:color w:val="auto"/>
        </w:rPr>
        <w:t>HBG1/2</w:t>
      </w:r>
      <w:r>
        <w:rPr>
          <w:rFonts w:ascii="Arial" w:cs="Arial" w:eastAsia="Arial" w:hAnsi="Arial"/>
          <w:sz w:val="18"/>
          <w:szCs w:val="18"/>
          <w:color w:val="auto"/>
        </w:rPr>
        <w:t xml:space="preserve"> genes and resulted in fetal hemoglobin elevation. Each screening approach identified the same protein complex which we believe plays an important role in the expression of genes responsible for the production of fetal hemoglobin. We conducted additional validation experiments in which we observed that inhibition of several components of this complex resulted in the desired elevation of fetal hemoglobin. We also observed that inhibition of these components did not adversely affect important cell health markers.</w:t>
      </w:r>
    </w:p>
    <w:p>
      <w:pPr>
        <w:spacing w:after="0" w:line="189"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 xml:space="preserve">We selected a member of this protein complex for drug discovery activities following an assessment of its tractability as a drug target, which we refer to as the HbF drug target. The normal physiological role of the HbF drug target is to facilitate a post-translational protein modification, and the goal of our medicinal chemistry program was to optimize inhibitors of the HbF drug target. We developed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target engagement assays, as well as enabled X-ray crystallography, to discover and develop FTX-6058, a novel small molecule inhibitor of the HbF drug target.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FTX-6058</w:t>
      </w:r>
    </w:p>
    <w:p>
      <w:pPr>
        <w:spacing w:after="0" w:line="117"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 xml:space="preserve">FTX-6058, our novel small molecule that we designed to inhibit the HbF drug target and thereby elevate fetal hemoglobin, possesses properties that we believe are well aligned with preferred parameters for oral drug delivery. We studied the cellular potency and the PK data of FTX-6058 in preclinical animal models and observed that its profile would be predictive of once or twice daily oral administration. We have not observed any off-target concerns in our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profiling studies, and we have completed non-GLP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studies to evaluate FTX-6058. We have initiated IND-enabling activities, including GLP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studies, and we aim to submit an IND in the second half of 2020.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right="160" w:firstLine="555"/>
        <w:spacing w:after="0" w:line="279" w:lineRule="auto"/>
        <w:rPr>
          <w:sz w:val="20"/>
          <w:szCs w:val="20"/>
          <w:color w:val="auto"/>
        </w:rPr>
      </w:pPr>
      <w:r>
        <w:rPr>
          <w:rFonts w:ascii="Arial" w:cs="Arial" w:eastAsia="Arial" w:hAnsi="Arial"/>
          <w:sz w:val="17"/>
          <w:szCs w:val="17"/>
          <w:color w:val="auto"/>
        </w:rPr>
        <w:t xml:space="preserve">We have observed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activation of the </w:t>
      </w:r>
      <w:r>
        <w:rPr>
          <w:rFonts w:ascii="Arial" w:cs="Arial" w:eastAsia="Arial" w:hAnsi="Arial"/>
          <w:sz w:val="17"/>
          <w:szCs w:val="17"/>
          <w:i w:val="1"/>
          <w:iCs w:val="1"/>
          <w:color w:val="auto"/>
        </w:rPr>
        <w:t>HBG1/2</w:t>
      </w:r>
      <w:r>
        <w:rPr>
          <w:rFonts w:ascii="Arial" w:cs="Arial" w:eastAsia="Arial" w:hAnsi="Arial"/>
          <w:sz w:val="17"/>
          <w:szCs w:val="17"/>
          <w:color w:val="auto"/>
        </w:rPr>
        <w:t xml:space="preserve"> genes in preclinical studies with FTX-6058. We observed that FTX-6058 elevated levels of fetal hemoglobin with minimal adverse effect on important cellular health markers. As depicted in the graphic below, we also observed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upregulation of fetal hemoglobin in primary human CD34+ cells differentiated into RBCs from five different healthy human donors after five days of drug treatment. FTX-6058 showed a significant elevation of fetal hemoglobin over baseline in each of these five cell lines.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Effect of FTX-6058 treatment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differentiated primary human CD34+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160020</wp:posOffset>
            </wp:positionV>
            <wp:extent cx="3884930" cy="2349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84930"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65" w:right="339" w:bottom="1440" w:gutter="0" w:footer="0" w:header="0"/>
        </w:sectPr>
      </w:pPr>
    </w:p>
    <w:bookmarkStart w:id="29" w:name="page30"/>
    <w:bookmarkEnd w:id="29"/>
    <w:p>
      <w:pPr>
        <w:ind w:right="480" w:firstLine="555"/>
        <w:spacing w:after="0" w:line="286" w:lineRule="auto"/>
        <w:rPr>
          <w:sz w:val="20"/>
          <w:szCs w:val="20"/>
          <w:color w:val="auto"/>
        </w:rPr>
      </w:pPr>
      <w:r>
        <w:rPr>
          <w:rFonts w:ascii="Arial" w:cs="Arial" w:eastAsia="Arial" w:hAnsi="Arial"/>
          <w:sz w:val="17"/>
          <w:szCs w:val="17"/>
          <w:color w:val="auto"/>
        </w:rPr>
        <w:t>Additionally, we compared the effect of FTX-6058 in CD34+ derived cells relative to that of hydroxyurea. We observed that hydroxyurea had a minimal impact on fetal hemoglobin elevation, whereas we observed that FTX-6058 significantly elevated fetal hemoglobin. In cells treated with the combination of FTX-6058 and hydroxyurea, we observed an increased effect relative to either compound alone.</w:t>
      </w:r>
    </w:p>
    <w:p>
      <w:pPr>
        <w:spacing w:after="0" w:line="166"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We conducted additional preclinical profiling in CD34+ derived cells and observed that FTX-6058 upregulated HbF to approximately 30% of total hemoglobin, as measured by mass spectrometry, high performance liquid chromatography, and fast protein liquid chromatography techniques. The elevation of HbF was significantly greater than we observed with hydroxyurea in these cell models.</w:t>
      </w:r>
    </w:p>
    <w:p>
      <w:pPr>
        <w:spacing w:after="0" w:line="181"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 xml:space="preserve">In preclinical PK/PD studies in mice, we observed that blood cells had dose-dependent drug target engagement after 4.5 days of oral treatment. We believe our drug target is conserved between species, which is supported by our observation of a concomitant upregulation of the mouse embryonic globin gene under conditions where we observed drug target engagement. Since mice do not have the </w:t>
      </w:r>
      <w:r>
        <w:rPr>
          <w:rFonts w:ascii="Arial" w:cs="Arial" w:eastAsia="Arial" w:hAnsi="Arial"/>
          <w:sz w:val="18"/>
          <w:szCs w:val="18"/>
          <w:i w:val="1"/>
          <w:iCs w:val="1"/>
          <w:color w:val="auto"/>
        </w:rPr>
        <w:t>HBG1/2</w:t>
      </w:r>
      <w:r>
        <w:rPr>
          <w:rFonts w:ascii="Arial" w:cs="Arial" w:eastAsia="Arial" w:hAnsi="Arial"/>
          <w:sz w:val="18"/>
          <w:szCs w:val="18"/>
          <w:color w:val="auto"/>
        </w:rPr>
        <w:t xml:space="preserve"> genes found in humans, we used the mouse embryonic globin gene </w:t>
      </w:r>
      <w:r>
        <w:rPr>
          <w:rFonts w:ascii="Arial" w:cs="Arial" w:eastAsia="Arial" w:hAnsi="Arial"/>
          <w:sz w:val="18"/>
          <w:szCs w:val="18"/>
          <w:i w:val="1"/>
          <w:iCs w:val="1"/>
          <w:color w:val="auto"/>
        </w:rPr>
        <w:t>hbb-bh1</w:t>
      </w:r>
      <w:r>
        <w:rPr>
          <w:rFonts w:ascii="Arial" w:cs="Arial" w:eastAsia="Arial" w:hAnsi="Arial"/>
          <w:sz w:val="18"/>
          <w:szCs w:val="18"/>
          <w:color w:val="auto"/>
        </w:rPr>
        <w:t xml:space="preserve"> as a surrogate for the human </w:t>
      </w:r>
      <w:r>
        <w:rPr>
          <w:rFonts w:ascii="Arial" w:cs="Arial" w:eastAsia="Arial" w:hAnsi="Arial"/>
          <w:sz w:val="18"/>
          <w:szCs w:val="18"/>
          <w:i w:val="1"/>
          <w:iCs w:val="1"/>
          <w:color w:val="auto"/>
        </w:rPr>
        <w:t>HBG1/2</w:t>
      </w:r>
      <w:r>
        <w:rPr>
          <w:rFonts w:ascii="Arial" w:cs="Arial" w:eastAsia="Arial" w:hAnsi="Arial"/>
          <w:sz w:val="18"/>
          <w:szCs w:val="18"/>
          <w:color w:val="auto"/>
        </w:rPr>
        <w:t xml:space="preserve"> genes. We measured the target engagement in the mouse from whole blood. We concluded from the data that FTX-6058 engaged the drug target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modulated the endogenous mouse globin gene expression program. The results of this study are depicted below.</w:t>
      </w:r>
    </w:p>
    <w:p>
      <w:pPr>
        <w:sectPr>
          <w:pgSz w:w="11900" w:h="16838" w:orient="portrait"/>
          <w:cols w:equalWidth="0" w:num="1">
            <w:col w:w="11380"/>
          </w:cols>
          <w:pgMar w:left="240" w:top="341" w:right="279" w:bottom="1440" w:gutter="0" w:footer="0" w:header="0"/>
        </w:sectPr>
      </w:pPr>
    </w:p>
    <w:p>
      <w:pPr>
        <w:spacing w:after="0" w:line="216"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color w:val="auto"/>
        </w:rPr>
        <w:t>Target engagement modification in</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mouse blood cells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Mouse embryonic globin mRNA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323850</wp:posOffset>
            </wp:positionV>
            <wp:extent cx="4347845" cy="3224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47845" cy="3224530"/>
                    </a:xfrm>
                    <a:prstGeom prst="rect">
                      <a:avLst/>
                    </a:prstGeom>
                    <a:noFill/>
                  </pic:spPr>
                </pic:pic>
              </a:graphicData>
            </a:graphic>
          </wp:anchor>
        </w:drawing>
      </w:r>
    </w:p>
    <w:p>
      <w:pPr>
        <w:spacing w:after="0" w:line="457" w:lineRule="exact"/>
        <w:rPr>
          <w:sz w:val="20"/>
          <w:szCs w:val="20"/>
          <w:color w:val="auto"/>
        </w:rPr>
      </w:pPr>
    </w:p>
    <w:p>
      <w:pPr>
        <w:sectPr>
          <w:pgSz w:w="11900" w:h="16838" w:orient="portrait"/>
          <w:cols w:equalWidth="0" w:num="2">
            <w:col w:w="6420" w:space="720"/>
            <w:col w:w="4240"/>
          </w:cols>
          <w:pgMar w:left="240" w:top="341"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In the graphic on the left, we measured the amount of drug target engagement modification in mouse blood cells after five days of treatment. In the vehicle-treated mice, we observed maximum levels of protein modification, whereas in the FTX-6058 treated mice, we observed significantly lower levels of modification, which indicates significant target engagement. Each point represents the value for a different mouse, shown as a percent of the average vehicle-treated value. In the graphic on the right, we determined the level of mouse embryonic globin mRNA levels in mouse blood after five days of treatment. The data is from an average of four or five mice per treatment. In these studies, we used a conventional method of assessing statistical significance known as a two-tailed test. The p-value for each of the studies depicted above was 0.0005. A p-value is a conventional statistical method for measuring the statistical significance of experimental results. A p-value of less than 0.05 is generally considered to represent statistical significance, meaning that there is a less than five percent likelihood that the observed results occurred by chance.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type w:val="continuous"/>
        </w:sectPr>
      </w:pPr>
    </w:p>
    <w:bookmarkStart w:id="30" w:name="page31"/>
    <w:bookmarkEnd w:id="30"/>
    <w:p>
      <w:pPr>
        <w:ind w:right="40" w:firstLine="555"/>
        <w:spacing w:after="0" w:line="257" w:lineRule="auto"/>
        <w:rPr>
          <w:sz w:val="20"/>
          <w:szCs w:val="20"/>
          <w:color w:val="auto"/>
        </w:rPr>
      </w:pPr>
      <w:r>
        <w:rPr>
          <w:rFonts w:ascii="Arial" w:cs="Arial" w:eastAsia="Arial" w:hAnsi="Arial"/>
          <w:sz w:val="18"/>
          <w:szCs w:val="18"/>
          <w:color w:val="auto"/>
        </w:rPr>
        <w:t xml:space="preserve">Additionally, we studied FTX-6058 in a mouse model of SCD, known as the Townes mouse model. In this model, mouse globin genes have been replaced with human globin genes, thereby allowing investigations of mechanisms that may regulate human hemoglobin gene expression. The Townes mouse model has been widely used to study potential treatments for SCD. As shown in the figures below, we observed that FTX-6058 resulted in a significant increase in </w:t>
      </w:r>
      <w:r>
        <w:rPr>
          <w:rFonts w:ascii="Arial" w:cs="Arial" w:eastAsia="Arial" w:hAnsi="Arial"/>
          <w:sz w:val="18"/>
          <w:szCs w:val="18"/>
          <w:i w:val="1"/>
          <w:iCs w:val="1"/>
          <w:color w:val="auto"/>
        </w:rPr>
        <w:t>HBG1</w:t>
      </w:r>
      <w:r>
        <w:rPr>
          <w:rFonts w:ascii="Arial" w:cs="Arial" w:eastAsia="Arial" w:hAnsi="Arial"/>
          <w:sz w:val="18"/>
          <w:szCs w:val="18"/>
          <w:color w:val="auto"/>
        </w:rPr>
        <w:t xml:space="preserve"> gene expression and HbF protein after 28 days of dosing at 5 mg/kg twice per day. Hydroxyurea did not result in a significant elevation of </w:t>
      </w:r>
      <w:r>
        <w:rPr>
          <w:rFonts w:ascii="Arial" w:cs="Arial" w:eastAsia="Arial" w:hAnsi="Arial"/>
          <w:sz w:val="18"/>
          <w:szCs w:val="18"/>
          <w:i w:val="1"/>
          <w:iCs w:val="1"/>
          <w:color w:val="auto"/>
        </w:rPr>
        <w:t xml:space="preserve">HBG1 </w:t>
      </w:r>
      <w:r>
        <w:rPr>
          <w:rFonts w:ascii="Arial" w:cs="Arial" w:eastAsia="Arial" w:hAnsi="Arial"/>
          <w:sz w:val="18"/>
          <w:szCs w:val="18"/>
          <w:color w:val="auto"/>
        </w:rPr>
        <w:t>gene expression.</w:t>
      </w:r>
    </w:p>
    <w:p>
      <w:pPr>
        <w:sectPr>
          <w:pgSz w:w="11900" w:h="16838" w:orient="portrait"/>
          <w:cols w:equalWidth="0" w:num="1">
            <w:col w:w="11420"/>
          </w:cols>
          <w:pgMar w:left="240" w:top="557" w:right="239" w:bottom="1440" w:gutter="0" w:footer="0" w:header="0"/>
        </w:sectPr>
      </w:pPr>
    </w:p>
    <w:p>
      <w:pPr>
        <w:spacing w:after="0" w:line="211"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color w:val="auto"/>
        </w:rPr>
        <w:t>HBG1 mRNA levels in Townes mouse</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treated with FTX-6058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168910</wp:posOffset>
            </wp:positionV>
            <wp:extent cx="2727325" cy="2306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27325" cy="2306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1500"/>
        <w:spacing w:after="0"/>
        <w:rPr>
          <w:sz w:val="20"/>
          <w:szCs w:val="20"/>
          <w:color w:val="auto"/>
        </w:rPr>
      </w:pPr>
      <w:r>
        <w:rPr>
          <w:rFonts w:ascii="Arial" w:cs="Arial" w:eastAsia="Arial" w:hAnsi="Arial"/>
          <w:sz w:val="15"/>
          <w:szCs w:val="15"/>
          <w:b w:val="1"/>
          <w:bCs w:val="1"/>
          <w:color w:val="auto"/>
        </w:rPr>
        <w:t>HbF protein levels in Townes mouse</w:t>
      </w:r>
    </w:p>
    <w:p>
      <w:pPr>
        <w:spacing w:after="0" w:line="62"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treated with FTX-6058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168910</wp:posOffset>
            </wp:positionV>
            <wp:extent cx="2821305" cy="24009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21305" cy="24009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40" w:space="720"/>
            <w:col w:w="4260"/>
          </w:cols>
          <w:pgMar w:left="240" w:top="55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In the graphic on the left, we determined the level of human HBG1 mRNA for the four treatment conditions from mouse blood, shown as a percentage of vehicle-alone-treated SCD mice. In the graphic on the right, we determined the level of human HbF protein for the four treatment conditions, shown as a percentage of vehicle-alone-treated SCD mice. Each value represents the mean value from five or six mice per treatment after 28 days of treatment. In these studies, we used a conventional method of assessing statistical significance known as a one-way analysis of variance, or ANOVA. The p-value for the study depicted on the left was less than 0.0001 and the p-value for the study depicted on the right was less than 0.001.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Development Plan for FTX-6058</w:t>
      </w:r>
    </w:p>
    <w:p>
      <w:pPr>
        <w:spacing w:after="0" w:line="117" w:lineRule="exact"/>
        <w:rPr>
          <w:sz w:val="20"/>
          <w:szCs w:val="20"/>
          <w:color w:val="auto"/>
        </w:rPr>
      </w:pPr>
    </w:p>
    <w:p>
      <w:pPr>
        <w:ind w:right="240" w:firstLine="555"/>
        <w:spacing w:after="0" w:line="312" w:lineRule="auto"/>
        <w:rPr>
          <w:sz w:val="20"/>
          <w:szCs w:val="20"/>
          <w:color w:val="auto"/>
        </w:rPr>
      </w:pPr>
      <w:r>
        <w:rPr>
          <w:rFonts w:ascii="Arial" w:cs="Arial" w:eastAsia="Arial" w:hAnsi="Arial"/>
          <w:sz w:val="16"/>
          <w:szCs w:val="16"/>
          <w:color w:val="auto"/>
        </w:rPr>
        <w:t>We are currently conducting IND-enabling studies and intend to submit an IND for FTX-6058 in the second half of 2020. We intend to initiate a Phase 1 clinical trial of FTX-6058 in healthy volunteers and patients with SCD in late 2020. The Phase 1 trial will be designed to investigate the safety and tolerability of single and multiple ascending doses of FTX-6058 and to define the relationship between PK and target engagement in blood.</w:t>
      </w:r>
    </w:p>
    <w:p>
      <w:pPr>
        <w:spacing w:after="0" w:line="147" w:lineRule="exact"/>
        <w:rPr>
          <w:sz w:val="20"/>
          <w:szCs w:val="20"/>
          <w:color w:val="auto"/>
        </w:rPr>
      </w:pPr>
    </w:p>
    <w:p>
      <w:pPr>
        <w:ind w:right="200" w:firstLine="555"/>
        <w:spacing w:after="0" w:line="279" w:lineRule="auto"/>
        <w:rPr>
          <w:sz w:val="20"/>
          <w:szCs w:val="20"/>
          <w:color w:val="auto"/>
        </w:rPr>
      </w:pPr>
      <w:r>
        <w:rPr>
          <w:rFonts w:ascii="Arial" w:cs="Arial" w:eastAsia="Arial" w:hAnsi="Arial"/>
          <w:sz w:val="17"/>
          <w:szCs w:val="17"/>
          <w:color w:val="auto"/>
        </w:rPr>
        <w:t>Following completion of the single and multiple ascending dose healthy volunteer cohorts in the Phase 1 clinical trial, we plan to add multiple ascending dose cohorts in patients with SCD. We may add additional healthy volunteer cohorts for additional clinical pharmacology studies. We expect that our target SCD patient population will be adult SCD patients with inadequate disease control and that concomitant use of hydroxyurea and/or L-glutamine will be allowed when available. We also expect to evaluate FTX-6058 in clinical trials for the treatment of ß-thalassemia.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Discovery Screening Programs</w:t>
      </w:r>
    </w:p>
    <w:p>
      <w:pPr>
        <w:spacing w:after="0" w:line="121"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 xml:space="preserve">We have leveraged our proprietary product engine to discover targets that we are pursuing with small molecules for FSHD and SCD and ß-thalassemia. We are leveraging the broad applicability of our product engine to discover drug targets for other rare, genetically defined diseases across neuromuscular and CNS diseases. We completed four additional disease screens in 2019, and potential drug targets identified from these screens are currently being evaluated in additional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These diseases and our approach to identifying targets to address the root cause of each disease are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146050</wp:posOffset>
            </wp:positionV>
            <wp:extent cx="5754370" cy="1680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555"/>
        <w:spacing w:after="0" w:line="253" w:lineRule="auto"/>
        <w:rPr>
          <w:sz w:val="20"/>
          <w:szCs w:val="20"/>
          <w:color w:val="auto"/>
        </w:rPr>
      </w:pPr>
      <w:r>
        <w:rPr>
          <w:rFonts w:ascii="Arial" w:cs="Arial" w:eastAsia="Arial" w:hAnsi="Arial"/>
          <w:sz w:val="18"/>
          <w:szCs w:val="18"/>
          <w:color w:val="auto"/>
        </w:rPr>
        <w:t>Our target identification strategy and approach continue to evolve. In addition to conducting screens to identify targets that modulate the expression of a single root cause gene, we are able to simultaneously interrogate multiple (approximately 10) root cause genes and to monitor effects on cell health all in a single screen (i.e., multiplexed screening). We believe that this new approach provides significant efficiencies in productivity and allows us to test multiple hypotheses in parallel. Importantly, the expansion of FulcrumSeek with the use of high content molecular profiling, including RNAseq and cellular imaging, allows us to simultaneously measure the expression of 5,000-10,000 genes and integrating key measures related to cell health and biology, which enables us to scale our screening capacity and productivity. With the use of our small molecule probe library and our functional genomics capabilities, we aim to conduct target identification at a significantly increased scale and with cost-effectiveness. Moreover, we are using our product engine in hypothesis testing mode and in hypothesis generation mode, which we expect to increase the probability of identifying attractive targets to advance in our portfolio or in collaboration with partners.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117" w:lineRule="exact"/>
        <w:rPr>
          <w:sz w:val="20"/>
          <w:szCs w:val="20"/>
          <w:color w:val="auto"/>
        </w:rPr>
      </w:pPr>
    </w:p>
    <w:p>
      <w:pPr>
        <w:ind w:right="140" w:firstLine="555"/>
        <w:spacing w:after="0" w:line="254" w:lineRule="auto"/>
        <w:rPr>
          <w:sz w:val="20"/>
          <w:szCs w:val="20"/>
          <w:color w:val="auto"/>
        </w:rPr>
      </w:pPr>
      <w:r>
        <w:rPr>
          <w:rFonts w:ascii="Arial" w:cs="Arial" w:eastAsia="Arial" w:hAnsi="Arial"/>
          <w:sz w:val="18"/>
          <w:szCs w:val="18"/>
          <w:color w:val="auto"/>
        </w:rPr>
        <w:t>Duchenne muscular dystrophy, or DMD, is the most common childhood-onset muscular dystrophy with a prevalence of approximately one out of every 3,500 male births. Patients usually are diagnosed before five years of age and typically require the use of wheelchairs before their teens. Life-threatening cardiac and respiratory complications result in a life expectancy of 20-30 years without any treatment. Currently, management of these complications by standard of care treatment (</w:t>
      </w:r>
      <w:r>
        <w:rPr>
          <w:rFonts w:ascii="Arial" w:cs="Arial" w:eastAsia="Arial" w:hAnsi="Arial"/>
          <w:sz w:val="18"/>
          <w:szCs w:val="18"/>
          <w:i w:val="1"/>
          <w:iCs w:val="1"/>
          <w:color w:val="auto"/>
        </w:rPr>
        <w:t>e.g.</w:t>
      </w:r>
      <w:r>
        <w:rPr>
          <w:rFonts w:ascii="Arial" w:cs="Arial" w:eastAsia="Arial" w:hAnsi="Arial"/>
          <w:sz w:val="18"/>
          <w:szCs w:val="18"/>
          <w:color w:val="auto"/>
        </w:rPr>
        <w:t xml:space="preserve">, corticosteroids) can extend life expectancy, however, there are no approved disease-modifying therapies. This X-chromosome linked disease is caused by mutations in the </w:t>
      </w:r>
      <w:r>
        <w:rPr>
          <w:rFonts w:ascii="Arial" w:cs="Arial" w:eastAsia="Arial" w:hAnsi="Arial"/>
          <w:sz w:val="18"/>
          <w:szCs w:val="18"/>
          <w:i w:val="1"/>
          <w:iCs w:val="1"/>
          <w:color w:val="auto"/>
        </w:rPr>
        <w:t>DMD</w:t>
      </w:r>
      <w:r>
        <w:rPr>
          <w:rFonts w:ascii="Arial" w:cs="Arial" w:eastAsia="Arial" w:hAnsi="Arial"/>
          <w:sz w:val="18"/>
          <w:szCs w:val="18"/>
          <w:color w:val="auto"/>
        </w:rPr>
        <w:t xml:space="preserve"> gene resulting in the loss of expression or function of the protein dystrophin. Dystrophin is an integral component of a large multiprotein complex that functions by linking the sarcolemma (the plasma membrane in muscle fibers) with the cytoskeleton and other motor machinery. In the absence of dystrophin, progressive muscle fiber degeneration results in loss of function and clinical manifestation of the disease.</w:t>
      </w:r>
    </w:p>
    <w:p>
      <w:pPr>
        <w:spacing w:after="0" w:line="192" w:lineRule="exact"/>
        <w:rPr>
          <w:sz w:val="20"/>
          <w:szCs w:val="20"/>
          <w:color w:val="auto"/>
        </w:rPr>
      </w:pPr>
    </w:p>
    <w:p>
      <w:pPr>
        <w:ind w:firstLine="555"/>
        <w:spacing w:after="0" w:line="286" w:lineRule="auto"/>
        <w:rPr>
          <w:sz w:val="20"/>
          <w:szCs w:val="20"/>
          <w:color w:val="auto"/>
        </w:rPr>
      </w:pPr>
      <w:r>
        <w:rPr>
          <w:rFonts w:ascii="Arial" w:cs="Arial" w:eastAsia="Arial" w:hAnsi="Arial"/>
          <w:sz w:val="17"/>
          <w:szCs w:val="17"/>
          <w:color w:val="auto"/>
        </w:rPr>
        <w:t>Our goal is to apply our product engine to identify drug targets to increase the expression of utrophin, a dystrophin-related protein, that can replace the function of dystrophin in the membrane and address the dysfunction due to damaged muscle fibers. Utrophin is normally expressed in other tissues and studies have shown that higher levels of this protein result in functional improvements in animal models of the disease.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Friedreich Ataxia</w:t>
      </w:r>
    </w:p>
    <w:p>
      <w:pPr>
        <w:spacing w:after="0" w:line="117"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 xml:space="preserve">Friedreich ataxia, or FA, a neuromuscular disorder affecting about one out of every 40,000 people, is the most common hereditary ataxia, with a typical age of onset between 10 and 15 years. The progressive impaired muscle coordination, ataxia, is caused by the degeneration of neurons in the cerebellum and dorsal root ganglia in the spinal cord. FA patients also commonly suffer from life-threatening heart conditions such as hypertrophic cardiomyopathy, myocardial fibrosis and heart failure. There are no approved disease-modifying therapies. The genetic root cause of FA is an expansion of a sequence in the frataxin gene, </w:t>
      </w:r>
      <w:r>
        <w:rPr>
          <w:rFonts w:ascii="Arial" w:cs="Arial" w:eastAsia="Arial" w:hAnsi="Arial"/>
          <w:sz w:val="18"/>
          <w:szCs w:val="18"/>
          <w:i w:val="1"/>
          <w:iCs w:val="1"/>
          <w:color w:val="auto"/>
        </w:rPr>
        <w:t>FXN,</w:t>
      </w:r>
      <w:r>
        <w:rPr>
          <w:rFonts w:ascii="Arial" w:cs="Arial" w:eastAsia="Arial" w:hAnsi="Arial"/>
          <w:sz w:val="18"/>
          <w:szCs w:val="18"/>
          <w:color w:val="auto"/>
        </w:rPr>
        <w:t xml:space="preserve"> which causes its downregulation. Loss of function of frataxin, an important protein involved in iron metabolism, results in oxidative stress and mitochondrial dysfunction.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2" w:name="page33"/>
    <w:bookmarkEnd w:id="32"/>
    <w:p>
      <w:pPr>
        <w:ind w:right="180" w:firstLine="555"/>
        <w:spacing w:after="0" w:line="277" w:lineRule="auto"/>
        <w:rPr>
          <w:sz w:val="20"/>
          <w:szCs w:val="20"/>
          <w:color w:val="auto"/>
        </w:rPr>
      </w:pPr>
      <w:r>
        <w:rPr>
          <w:rFonts w:ascii="Arial" w:cs="Arial" w:eastAsia="Arial" w:hAnsi="Arial"/>
          <w:sz w:val="18"/>
          <w:szCs w:val="18"/>
          <w:color w:val="auto"/>
        </w:rPr>
        <w:t>Our goal is to apply our product engine to identify drug targets that can upregulate the levels of frataxin protein to levels that will impact and restore function to prevent neuronal and cardiac cell degeneration.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Myotonic Dystrophy 1</w:t>
      </w:r>
    </w:p>
    <w:p>
      <w:pPr>
        <w:spacing w:after="0" w:line="117"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 xml:space="preserve">Myotonic dystrophy 1, or DM1, is the most common adult-onset muscular dystrophy affecting about one out of every 8,000 people, with a typical age of onset between 20 and 40 years. It is characterized by muscle weakness and myotonia. Cardiopulmonary complications when present can be life-threatening and current treatments are directed toward managing these complications. There are no approved disease-modifying therapies. DM1 is caused by expansion of a triple nucleotide repeat present in the non-coding region of the </w:t>
      </w:r>
      <w:r>
        <w:rPr>
          <w:rFonts w:ascii="Arial" w:cs="Arial" w:eastAsia="Arial" w:hAnsi="Arial"/>
          <w:sz w:val="17"/>
          <w:szCs w:val="17"/>
          <w:i w:val="1"/>
          <w:iCs w:val="1"/>
          <w:color w:val="auto"/>
        </w:rPr>
        <w:t>DMPK</w:t>
      </w:r>
      <w:r>
        <w:rPr>
          <w:rFonts w:ascii="Arial" w:cs="Arial" w:eastAsia="Arial" w:hAnsi="Arial"/>
          <w:sz w:val="17"/>
          <w:szCs w:val="17"/>
          <w:color w:val="auto"/>
        </w:rPr>
        <w:t xml:space="preserve"> gene and are part of its mature transcript. More than 50 cytosine-thymine-guanine repeats are usually associated with pathology and disease severity is proportional to the number of repeats, which can expand to over 4,000. The accumulation of </w:t>
      </w:r>
      <w:r>
        <w:rPr>
          <w:rFonts w:ascii="Arial" w:cs="Arial" w:eastAsia="Arial" w:hAnsi="Arial"/>
          <w:sz w:val="17"/>
          <w:szCs w:val="17"/>
          <w:i w:val="1"/>
          <w:iCs w:val="1"/>
          <w:color w:val="auto"/>
        </w:rPr>
        <w:t>DMPK</w:t>
      </w:r>
      <w:r>
        <w:rPr>
          <w:rFonts w:ascii="Arial" w:cs="Arial" w:eastAsia="Arial" w:hAnsi="Arial"/>
          <w:sz w:val="17"/>
          <w:szCs w:val="17"/>
          <w:color w:val="auto"/>
        </w:rPr>
        <w:t xml:space="preserve"> gene transcripts containing long repeats result in the sequestration of proteins important for the correct splicing of important transcripts participating in the function of skeletal and cardiac muscle and other tissues.</w:t>
      </w:r>
    </w:p>
    <w:p>
      <w:pPr>
        <w:spacing w:after="0" w:line="178" w:lineRule="exact"/>
        <w:rPr>
          <w:sz w:val="20"/>
          <w:szCs w:val="20"/>
          <w:color w:val="auto"/>
        </w:rPr>
      </w:pPr>
    </w:p>
    <w:p>
      <w:pPr>
        <w:ind w:right="260" w:firstLine="555"/>
        <w:spacing w:after="0" w:line="264" w:lineRule="auto"/>
        <w:rPr>
          <w:sz w:val="20"/>
          <w:szCs w:val="20"/>
          <w:color w:val="auto"/>
        </w:rPr>
      </w:pPr>
      <w:r>
        <w:rPr>
          <w:rFonts w:ascii="Arial" w:cs="Arial" w:eastAsia="Arial" w:hAnsi="Arial"/>
          <w:sz w:val="18"/>
          <w:szCs w:val="18"/>
          <w:color w:val="auto"/>
        </w:rPr>
        <w:t xml:space="preserve">Our goal is to apply our product engine to identify drug targets that may lead to downregulation of the expression of the </w:t>
      </w:r>
      <w:r>
        <w:rPr>
          <w:rFonts w:ascii="Arial" w:cs="Arial" w:eastAsia="Arial" w:hAnsi="Arial"/>
          <w:sz w:val="18"/>
          <w:szCs w:val="18"/>
          <w:i w:val="1"/>
          <w:iCs w:val="1"/>
          <w:color w:val="auto"/>
        </w:rPr>
        <w:t>DMPK</w:t>
      </w:r>
      <w:r>
        <w:rPr>
          <w:rFonts w:ascii="Arial" w:cs="Arial" w:eastAsia="Arial" w:hAnsi="Arial"/>
          <w:sz w:val="18"/>
          <w:szCs w:val="18"/>
          <w:color w:val="auto"/>
        </w:rPr>
        <w:t xml:space="preserve"> gene in order to reduce the levels of the pathological repeats and improve muscle function. Reduction of </w:t>
      </w:r>
      <w:r>
        <w:rPr>
          <w:rFonts w:ascii="Arial" w:cs="Arial" w:eastAsia="Arial" w:hAnsi="Arial"/>
          <w:sz w:val="18"/>
          <w:szCs w:val="18"/>
          <w:i w:val="1"/>
          <w:iCs w:val="1"/>
          <w:color w:val="auto"/>
        </w:rPr>
        <w:t>DMPK</w:t>
      </w:r>
      <w:r>
        <w:rPr>
          <w:rFonts w:ascii="Arial" w:cs="Arial" w:eastAsia="Arial" w:hAnsi="Arial"/>
          <w:sz w:val="18"/>
          <w:szCs w:val="18"/>
          <w:color w:val="auto"/>
        </w:rPr>
        <w:t xml:space="preserve"> gene expression in DM1 models has been shown to reduce aberrant splicing and to be well tolerated.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α</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Synucleinopathies</w:t>
      </w:r>
    </w:p>
    <w:p>
      <w:pPr>
        <w:spacing w:after="0" w:line="121" w:lineRule="exact"/>
        <w:rPr>
          <w:sz w:val="20"/>
          <w:szCs w:val="20"/>
          <w:color w:val="auto"/>
        </w:rPr>
      </w:pPr>
    </w:p>
    <w:p>
      <w:pPr>
        <w:ind w:right="280" w:firstLine="555"/>
        <w:spacing w:after="0" w:line="272" w:lineRule="auto"/>
        <w:rPr>
          <w:sz w:val="20"/>
          <w:szCs w:val="20"/>
          <w:color w:val="auto"/>
        </w:rPr>
      </w:pPr>
      <w:r>
        <w:rPr>
          <w:rFonts w:ascii="Arial" w:cs="Arial" w:eastAsia="Arial" w:hAnsi="Arial"/>
          <w:sz w:val="17"/>
          <w:szCs w:val="17"/>
          <w:color w:val="auto"/>
        </w:rPr>
        <w:t xml:space="preserve">In rare cases, α-Synucleinopathies result from point mutations and multiplications in the </w:t>
      </w:r>
      <w:r>
        <w:rPr>
          <w:rFonts w:ascii="Arial" w:cs="Arial" w:eastAsia="Arial" w:hAnsi="Arial"/>
          <w:sz w:val="17"/>
          <w:szCs w:val="17"/>
          <w:i w:val="1"/>
          <w:iCs w:val="1"/>
          <w:color w:val="auto"/>
        </w:rPr>
        <w:t>SNCA</w:t>
      </w:r>
      <w:r>
        <w:rPr>
          <w:rFonts w:ascii="Arial" w:cs="Arial" w:eastAsia="Arial" w:hAnsi="Arial"/>
          <w:sz w:val="17"/>
          <w:szCs w:val="17"/>
          <w:color w:val="auto"/>
        </w:rPr>
        <w:t xml:space="preserve"> gene that encodes the protein α-synuclein. Familial forms of Parkinson’s disease can result from these mutations and multiplications in the </w:t>
      </w:r>
      <w:r>
        <w:rPr>
          <w:rFonts w:ascii="Arial" w:cs="Arial" w:eastAsia="Arial" w:hAnsi="Arial"/>
          <w:sz w:val="17"/>
          <w:szCs w:val="17"/>
          <w:i w:val="1"/>
          <w:iCs w:val="1"/>
          <w:color w:val="auto"/>
        </w:rPr>
        <w:t>SNCA</w:t>
      </w:r>
      <w:r>
        <w:rPr>
          <w:rFonts w:ascii="Arial" w:cs="Arial" w:eastAsia="Arial" w:hAnsi="Arial"/>
          <w:sz w:val="17"/>
          <w:szCs w:val="17"/>
          <w:color w:val="auto"/>
        </w:rPr>
        <w:t xml:space="preserve"> gene. Parkinson’s disease is a common progressive neurodegenerative disease characterized by movement disorders such as bradykinesia, rigidity and tremor. Genome wide association studies have linked single nucleotide polymorphisms in </w:t>
      </w:r>
      <w:r>
        <w:rPr>
          <w:rFonts w:ascii="Arial" w:cs="Arial" w:eastAsia="Arial" w:hAnsi="Arial"/>
          <w:sz w:val="17"/>
          <w:szCs w:val="17"/>
          <w:i w:val="1"/>
          <w:iCs w:val="1"/>
          <w:color w:val="auto"/>
        </w:rPr>
        <w:t>SNCA</w:t>
      </w:r>
      <w:r>
        <w:rPr>
          <w:rFonts w:ascii="Arial" w:cs="Arial" w:eastAsia="Arial" w:hAnsi="Arial"/>
          <w:sz w:val="17"/>
          <w:szCs w:val="17"/>
          <w:color w:val="auto"/>
        </w:rPr>
        <w:t xml:space="preserve"> with increased risk of Parkinson’s disease. These mutations have been shown to increase levels of pathological, aggregated α-synuclein, leading to the loss of midbrain dopaminergic neurons important for motor control. Abnormal deposits of α-synuclein protein, or Lewy bodies, are the characteristic histological signature of Parkinson’s disease at autopsy. According to the Parkinson’s Foundation, nearly one million people will be living with Parkinson’s disease in the United States by 2020.</w:t>
      </w:r>
    </w:p>
    <w:p>
      <w:pPr>
        <w:spacing w:after="0" w:line="178"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Our goal is to use our product engine to identify drug targets for genetically defined α-synucleinopathies that may lead to reduction in α-synuclein levels in the most relevant cell type for Parkinson’s disease—dopaminergic neurons. Our goal is to lower the overall α-synuclein load in the brain of patients with sporadic or genetic α-synucleinopathies by starting treatment early in their disease course to prevent further α-synuclein-dependent neurodegeneration, thus representing a potential disease-modifying approach across all α-synucleinopathies.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Reference and License Agreement with GlaxoSmithKline</w:t>
      </w:r>
    </w:p>
    <w:p>
      <w:pPr>
        <w:spacing w:after="0" w:line="121"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color w:val="auto"/>
        </w:rPr>
        <w:t>In February 2019, we entered into a right of reference and license agreement with affiliates of GSK,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reference and license agreement. The agreement obligates us to use commercially reasonable efforts to develop and commercialize a licensed product for the treatment of FSHD.</w:t>
      </w:r>
    </w:p>
    <w:p>
      <w:pPr>
        <w:spacing w:after="0" w:line="178" w:lineRule="exact"/>
        <w:rPr>
          <w:sz w:val="20"/>
          <w:szCs w:val="20"/>
          <w:color w:val="auto"/>
        </w:rPr>
      </w:pPr>
    </w:p>
    <w:p>
      <w:pPr>
        <w:jc w:val="both"/>
        <w:ind w:right="260" w:firstLine="555"/>
        <w:spacing w:after="0" w:line="276" w:lineRule="auto"/>
        <w:rPr>
          <w:sz w:val="20"/>
          <w:szCs w:val="20"/>
          <w:color w:val="auto"/>
        </w:rPr>
      </w:pPr>
      <w:r>
        <w:rPr>
          <w:rFonts w:ascii="Arial" w:cs="Arial" w:eastAsia="Arial" w:hAnsi="Arial"/>
          <w:sz w:val="17"/>
          <w:szCs w:val="17"/>
          <w:color w:val="auto"/>
        </w:rPr>
        <w:t>The agreement grants us an exclusive, sublicensable license under the licensed patent rights and data rights to research, develop and commercialize losmapimod or any product containing losmapimod as an API, which we refer to as a licensed product, to treat disease in humans. GSK retained the right, without the right to grant sublicenses, to conduct nonclinical research under the licensed patents and data rights and, with our consent, GSK may engage in certain developmental activities relating to the use of a licensed product in connection with a specified prophylactic use. GSK also agreed to and has since transferred to us its existing manufactured supply of losmapimod.</w:t>
      </w:r>
    </w:p>
    <w:p>
      <w:pPr>
        <w:spacing w:after="0" w:line="173"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Under the agreement, we will be obligated to make milestone payments to GSK aggregating up to $37.5 million upon the achievement of specified clinical and regulatory milestones with respect to the first licensed product to achieve such milestones, and up to $60.0 million upon the achievement of one-time aggregate annual worldwide net sales milestones. We will also be obligated to pay royalties ranging from a mid single-digit percentage to a low double-digit, but less than teens, percentage to GSK based on our, and any of our affiliates’ and sublicensees’, annual net sales of licensed products. The royalties are payable on a product-by-product and country-by-country basis, and may be reduced in specified circumstances.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right="40" w:firstLine="555"/>
        <w:spacing w:after="0" w:line="255" w:lineRule="auto"/>
        <w:rPr>
          <w:sz w:val="20"/>
          <w:szCs w:val="20"/>
          <w:color w:val="auto"/>
        </w:rPr>
      </w:pPr>
      <w:r>
        <w:rPr>
          <w:rFonts w:ascii="Arial" w:cs="Arial" w:eastAsia="Arial" w:hAnsi="Arial"/>
          <w:sz w:val="18"/>
          <w:szCs w:val="18"/>
          <w:color w:val="auto"/>
        </w:rPr>
        <w:t>Our obligation to make royalty payments extends with respect to a licensed product in a country until the earlier of the approval of a generic version of such licensed product by the applicable regulatory agency in such country or the tenth anniversary of the first commercial sale of such licensed product in such country, which we refer to as the royalty term. Following the expiration of any exclusive marketing rights or data exclusivity rights granted by a regulatory authority, other than patent rights, for any licensed product on a country-by-country basis, the applicable royalty rate will be reduced. Additionally, if we or our affiliates or sublicensees determine that it is necessary to obtain a license from a third party under any patent rights to exploit a licensed product in a country, then we may deduct a certain percentage of the license fees under such third party license payable by us to the third party from the royalty payment that would otherwise be due to GSK in such country.</w:t>
      </w:r>
    </w:p>
    <w:p>
      <w:pPr>
        <w:spacing w:after="0" w:line="189"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If, prior to our completion of the first Phase 2 clinical trial for a licensed product, we wish to sublicense any of the licensed patent or data rights granted to us under the agreement to any third party outside of the United States, we must notify GSK of the terms on which we propose to grant such sublicense. GSK has the right to enter into negotiations with us for such sublicense, and if GSK so elects, then we must negotiate in good faith with GSK for a prescribed period. If we and GSK do not agree to a sublicense of the relevant rights, we may sublicense the relevant rights to the third party on terms no less favorable than any terms offered to us by GSK.</w:t>
      </w:r>
    </w:p>
    <w:p>
      <w:pPr>
        <w:spacing w:after="0" w:line="188"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The agreement continues on a country-by-country and licensed product-by-licensed product basis until the expiration of the royalty term in each country, at which time the agreement expires with respect to such licensed product in such country and we shall have a fully-paid up, royalty-free and perpetual license to the licensed patent rights and data with respect to such licensed product in such country. Either party has the right to terminate the agreement if the other party has materially breached in the performance of its obligations under the agreement and such breach has not been cured within the applicable cure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 with Acceleron Pharma Inc.</w:t>
      </w:r>
    </w:p>
    <w:p>
      <w:pPr>
        <w:spacing w:after="0" w:line="121" w:lineRule="exact"/>
        <w:rPr>
          <w:sz w:val="20"/>
          <w:szCs w:val="20"/>
          <w:color w:val="auto"/>
        </w:rPr>
      </w:pPr>
    </w:p>
    <w:p>
      <w:pPr>
        <w:ind w:right="100" w:firstLine="555"/>
        <w:spacing w:after="0" w:line="297" w:lineRule="auto"/>
        <w:rPr>
          <w:sz w:val="20"/>
          <w:szCs w:val="20"/>
          <w:color w:val="auto"/>
        </w:rPr>
      </w:pPr>
      <w:r>
        <w:rPr>
          <w:rFonts w:ascii="Arial" w:cs="Arial" w:eastAsia="Arial" w:hAnsi="Arial"/>
          <w:sz w:val="16"/>
          <w:szCs w:val="16"/>
          <w:color w:val="auto"/>
        </w:rPr>
        <w:t>In December 2019, we entered into a collaboration and license agreement with Acceleron to identify biological targets to modulate specific pathways associated with a targeted indication within the pulmonary disease space. Under the terms of the collaboration and license agreement, we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us for the treatment, prophylaxis, or diagnosis of a targeted indication within the pulmonary disease space, or the Indication.</w:t>
      </w:r>
    </w:p>
    <w:p>
      <w:pPr>
        <w:spacing w:after="0" w:line="158" w:lineRule="exact"/>
        <w:rPr>
          <w:sz w:val="20"/>
          <w:szCs w:val="20"/>
          <w:color w:val="auto"/>
        </w:rPr>
      </w:pPr>
    </w:p>
    <w:p>
      <w:pPr>
        <w:ind w:right="80" w:firstLine="555"/>
        <w:spacing w:after="0" w:line="270" w:lineRule="auto"/>
        <w:rPr>
          <w:sz w:val="20"/>
          <w:szCs w:val="20"/>
          <w:color w:val="auto"/>
        </w:rPr>
      </w:pPr>
      <w:r>
        <w:rPr>
          <w:rFonts w:ascii="Arial" w:cs="Arial" w:eastAsia="Arial" w:hAnsi="Arial"/>
          <w:sz w:val="17"/>
          <w:szCs w:val="17"/>
          <w:color w:val="auto"/>
        </w:rPr>
        <w:t>Pursuant to a mutually agreed research plan, we will perform assay screening and related research activities to identify and validate potential biological targets for further research, in order to support the development, manufacture and commercialization of product candidates by Acceleron. Upon completion of the research activities, we will deliver a data package to Acceleron with respect to the biological targets identified by us in the conduct of the research activities for the treatment, prophylaxis, or diagnosis of the Indication. Within a designated period of receipt of the data package, Acceleron will have the right to designate a specified number of the biological targets identified by us for Acceleron’s research, development, manufacture and commercialization of products or molecules directed to such targets for the treatment, prophylaxis, or diagnosis of the Indication, or the Targets. If Acceleron does not designate any Targets during the designated period, then the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Acceleron must use commercially reasonable efforts to commercialize such product in certain specified countries.</w:t>
      </w:r>
    </w:p>
    <w:p>
      <w:pPr>
        <w:spacing w:after="0" w:line="178"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color w:val="auto"/>
        </w:rPr>
        <w:t>While we are performing the research activities pursuant to the research plan and for a specified period thereafter, we may not research, develop, manufacture, commercialize, use, or otherwise exploit any compound or product for the treatment, prophylaxis, or diagnosis of the Indication other than for Acceleron. While we are performing the research activities pursuant to the research plan and for a specified period thereafter, other than for Acceleron, we may not research, develop, manufacture, commercialize, use, or otherwise exploit any compound or product for the treatment, prophylaxis, or diagnosis of the Indication that is directed against certain specified biological targets identified by us in the performance of the research activities.</w:t>
      </w:r>
    </w:p>
    <w:p>
      <w:pPr>
        <w:spacing w:after="0" w:line="158" w:lineRule="exact"/>
        <w:rPr>
          <w:sz w:val="20"/>
          <w:szCs w:val="20"/>
          <w:color w:val="auto"/>
        </w:rPr>
      </w:pPr>
    </w:p>
    <w:p>
      <w:pPr>
        <w:jc w:val="both"/>
        <w:ind w:right="140" w:firstLine="555"/>
        <w:spacing w:after="0" w:line="312" w:lineRule="auto"/>
        <w:rPr>
          <w:sz w:val="20"/>
          <w:szCs w:val="20"/>
          <w:color w:val="auto"/>
        </w:rPr>
      </w:pPr>
      <w:r>
        <w:rPr>
          <w:rFonts w:ascii="Arial" w:cs="Arial" w:eastAsia="Arial" w:hAnsi="Arial"/>
          <w:sz w:val="16"/>
          <w:szCs w:val="16"/>
          <w:color w:val="auto"/>
        </w:rPr>
        <w:t>Acceleron may also request that we perform medicinal chemistry services related to the generation and optimization of molecules directed against or expressing biological targets for the treatment, prophylaxis, or diagnosis of the Indication beyond the scope of the research plan. If we agree to provide such medicinal chemistry services, we and Acceleron will negotiate to determine the scope, timeline and budget for such medicinal chemistry services.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ind w:left="560"/>
        <w:spacing w:after="0"/>
        <w:rPr>
          <w:sz w:val="20"/>
          <w:szCs w:val="20"/>
          <w:color w:val="auto"/>
        </w:rPr>
      </w:pPr>
      <w:r>
        <w:rPr>
          <w:rFonts w:ascii="Arial" w:cs="Arial" w:eastAsia="Arial" w:hAnsi="Arial"/>
          <w:sz w:val="17"/>
          <w:szCs w:val="17"/>
          <w:color w:val="auto"/>
        </w:rPr>
        <w:t>Under the agreement, Acceleron made a $10.0 million upfront payment to us. We will be entitled to research milestone payments of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$18.5 million in the aggregate upon achievement of specified research milestones. Additionally, we will be entitled to development milestone payments of up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$135.0 million in the aggregate upon the first achievement of specified clinical and regulatory milestones by a product directed to a Target, and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$67.5 million in the aggregate upon the second achievement of specified clinical and regulatory milestones by a product directed to a Target. We will also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entitled to sales milestone payments of up to $145.0 million in the aggregate upon the achievement of one-time aggregate annual worldwide net sales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milestones for the first product directed to a Target to achieve such milestones, and up to $72.5 million in the aggregate upon the achievement of one-time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annual worldwide net sales milestones for the second product directed to a Target to achieve such milestones. Acceleron will also pay us tiered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royalties ranging from a mid single-digit percentage to a low double-digit percentage based on Acceleron’s, and any of its affiliates’ and sublicensees’,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worldwide net sales of products directed to any Target. The royalties are payable on a product-by-product basis during a specified royalty term, and may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reduced in specified circumstances.</w:t>
      </w:r>
    </w:p>
    <w:p>
      <w:pPr>
        <w:spacing w:after="0" w:line="211"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The agreement continues on a country-by-country and Target-by-Target basis until the last to expire royalty term for a product directed to such Target, at which time the agreement expires with respect to such Target in such country. Either party has the right to terminate the agreement if the other party has materially breached in the performance of its obligations under the agreement and such breach has not been cured within the applicable cure period. Acceleron also has the right to terminate the agreement for convenience in its entirety or on a Target-by-Target and molecule-by-molecule basis with respect to any molecule directed against a Target.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We strive to protect and enhance the proprietary technology, inventions and improvements that are commercially important to the development of our business, including by seeking, maintaining and defending patent rights, whether developed internally or licensed from third parties. We also rely on trade secrets, know-how, continuing technological innovation and in-licensing opportunities to develop, strengthen and maintain our proprietary position in our field.</w:t>
      </w:r>
    </w:p>
    <w:p>
      <w:pPr>
        <w:spacing w:after="0" w:line="187"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Our future commercial success depends, in part, on our ability to: obtain and maintain patent and other proprietary protection for commercially important technology, inventions and know-how related to our business; defend and enforce in our intellectual property rights, in particular our patents rights; preserve the confidentiality of our trade secrets; and operate without infringing, misappropriating or violating the valid and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w:t>
      </w:r>
    </w:p>
    <w:p>
      <w:pPr>
        <w:spacing w:after="0" w:line="173" w:lineRule="exact"/>
        <w:rPr>
          <w:sz w:val="20"/>
          <w:szCs w:val="20"/>
          <w:color w:val="auto"/>
        </w:rPr>
      </w:pPr>
    </w:p>
    <w:p>
      <w:pPr>
        <w:ind w:right="60" w:firstLine="555"/>
        <w:spacing w:after="0" w:line="253" w:lineRule="auto"/>
        <w:rPr>
          <w:sz w:val="20"/>
          <w:szCs w:val="20"/>
          <w:color w:val="auto"/>
        </w:rPr>
      </w:pPr>
      <w:r>
        <w:rPr>
          <w:rFonts w:ascii="Arial" w:cs="Arial" w:eastAsia="Arial" w:hAnsi="Arial"/>
          <w:sz w:val="18"/>
          <w:szCs w:val="18"/>
          <w:color w:val="auto"/>
        </w:rPr>
        <w:t>The patent positions of biotechnology and pharmaceutical companies like ours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We also cannot ensure that patents will issue with respect to any patent applications that we or our licensors may file in the future, nor can we ensure that any of our owned or licensed patents or future patents will be commercially useful in protecting our product candidates and methods of manufacturing the same. In addition, the coverage claimed in a patent application may be significantly reduced before a patent is issued, and its scope can be reinterpreted and even challenged after issuance. As a result, we cannot guarantee that any of our products will be protected or remain protectable by enforceable patents. Moreover, any patents that we hold may be challenged, circumvented or invalidated by third parties. See “Risk Factors—Risks Related to Our Intellectual Property” for a more comprehensive description of risks related to our intellectual property.</w:t>
      </w:r>
    </w:p>
    <w:p>
      <w:pPr>
        <w:spacing w:after="0" w:line="197" w:lineRule="exact"/>
        <w:rPr>
          <w:sz w:val="20"/>
          <w:szCs w:val="20"/>
          <w:color w:val="auto"/>
        </w:rPr>
      </w:pPr>
    </w:p>
    <w:p>
      <w:pPr>
        <w:jc w:val="both"/>
        <w:ind w:right="140" w:firstLine="555"/>
        <w:spacing w:after="0" w:line="312" w:lineRule="auto"/>
        <w:rPr>
          <w:sz w:val="20"/>
          <w:szCs w:val="20"/>
          <w:color w:val="auto"/>
        </w:rPr>
      </w:pPr>
      <w:r>
        <w:rPr>
          <w:rFonts w:ascii="Arial" w:cs="Arial" w:eastAsia="Arial" w:hAnsi="Arial"/>
          <w:sz w:val="16"/>
          <w:szCs w:val="16"/>
          <w:color w:val="auto"/>
        </w:rPr>
        <w:t>We generally file patent applications directed to our key programs in an effort to secure our intellectual property positions vis-a-vis these programs. As of February 28, 2020, we owned or in-licensed eight U.S. patents, twenty-six foreign patents, two U.S. pending non-provisional patent applications, nine foreign pending patent applications, three pending Patent Cooperation Treaty, or PCT, applications and one U.S. provisional patent applications.</w:t>
      </w:r>
    </w:p>
    <w:p>
      <w:pPr>
        <w:spacing w:after="0" w:line="147" w:lineRule="exact"/>
        <w:rPr>
          <w:sz w:val="20"/>
          <w:szCs w:val="20"/>
          <w:color w:val="auto"/>
        </w:rPr>
      </w:pPr>
    </w:p>
    <w:p>
      <w:pPr>
        <w:jc w:val="both"/>
        <w:ind w:right="460" w:firstLine="555"/>
        <w:spacing w:after="0" w:line="312" w:lineRule="auto"/>
        <w:rPr>
          <w:sz w:val="20"/>
          <w:szCs w:val="20"/>
          <w:color w:val="auto"/>
        </w:rPr>
      </w:pPr>
      <w:r>
        <w:rPr>
          <w:rFonts w:ascii="Arial" w:cs="Arial" w:eastAsia="Arial" w:hAnsi="Arial"/>
          <w:sz w:val="16"/>
          <w:szCs w:val="16"/>
          <w:color w:val="auto"/>
        </w:rPr>
        <w:t>The intellectual property portfolio for our most advanced programs as of March 5, 2020, is summarized below. Prosecution is a lengthy process, during which the scope of the claims initially submitted for examination by the U.S. Patent and Trademark Office may be significantly narrowed before issuance, if issued at all. We expect this may be the case with respect to some of our pending patent applications referred to below.</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Losmapimod and Derivatives</w:t>
      </w:r>
    </w:p>
    <w:p>
      <w:pPr>
        <w:spacing w:after="0" w:line="117"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The patent portfolio for losmapimod is based upon Fulcrum-owned patents, patent applications and in-licensed patents directed to new methods of using losmapimod and other p38 inhibitors to treat FSHD, pharmaceutical compositions generically and specifically covering p38 inhibitors, and methods for identifying novel compositions to treat FSHD. As of February 28, 2020, we owned two U.S. patents, one U.S. pending non-provisional patent application, four foreign patent applications filed in Taiwan, Uruguay, Venezuela and Argentina and two pending PCT applications relating to our p38α/ß program, primarily relating to methods of using losmapimod and certain other p38 inhibitors for the treatment of FSHD. The company-owned patent covering the use of losmapimod for the treatment of patients with FSHD was issued on July 9, 2019, and is currently in-force and has a patent expiration date in 2038. While we believe that the specific and generic claims contained in our U.S. patent provide protection for the method of using losmapimod for the treatment of FSHD, and is not implicated by invalidating prior art, third parties may nevertheless challenge such claims. If any such claims are invalidated or rendered unenforceable for any reason, we will lose valuable intellectual property rights and our ability to prevent others from competing with us would be impaired. Any other U.S. or ex-U.S. patents that may issue from pending applications that we own, if any, for our p38α/ß program are projected to have a statutory expiration date in 2038, excluding any additional term for patent term adjustments or patent term extension, if applicable. Additionally, we own a patent covering the use of other clinical-stage p38 inhibitors for the treatment of patients with FSHD that issued on January 21, 2020, which has an expiration date in 2038.</w:t>
      </w:r>
    </w:p>
    <w:p>
      <w:pPr>
        <w:spacing w:after="0" w:line="188"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Losmapimod is also currently protected by patents owned by GSK (as a composition of matter and certain uses which do not include FSHD) and certain of these patents are licensed to us. As of February 28, 2020, we control through our exclusive licensing agreement with GSK six U.S. patents, twenty-six foreign patents, and one foreign patent application all relating to losmapimod and its pharmaceutical compositions. As soon as the patents covering the composition of matter expire on February 10, 2023, or are no longer in-force, the GSK-licensed patents will no longer be a barrier to entry for any unclaimed new uses, including FSHD. Even during the term of these composition of matter patents, losmapimod can still be developed in the meantime in certain geographies, including in the United States, under safe harbor regulations.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FTX-6058</w:t>
      </w:r>
    </w:p>
    <w:p>
      <w:pPr>
        <w:spacing w:after="0" w:line="117" w:lineRule="exact"/>
        <w:rPr>
          <w:sz w:val="20"/>
          <w:szCs w:val="20"/>
          <w:color w:val="auto"/>
        </w:rPr>
      </w:pPr>
    </w:p>
    <w:p>
      <w:pPr>
        <w:ind w:right="40" w:firstLine="555"/>
        <w:spacing w:after="0" w:line="288" w:lineRule="auto"/>
        <w:rPr>
          <w:sz w:val="20"/>
          <w:szCs w:val="20"/>
          <w:color w:val="auto"/>
        </w:rPr>
      </w:pPr>
      <w:r>
        <w:rPr>
          <w:rFonts w:ascii="Arial" w:cs="Arial" w:eastAsia="Arial" w:hAnsi="Arial"/>
          <w:sz w:val="16"/>
          <w:szCs w:val="16"/>
          <w:color w:val="auto"/>
        </w:rPr>
        <w:t>As of February 28, 2020, the intellectual property portfolio for our FTX-6058 program includes one owned PCT application directed to pharmaceutical compositions generically and specifically covering inhibitors of a certain protein or protein complex that regulate fetal hemoglobin, as well as to methods for using and making these compositions. In order to continue to pursue protection based on this PCT application, we will need to nationalize the International application into U.S. non-provisional patent applications and ex-U.S. applications prior to the applicable expiration deadline of the PCT application. If we do continue to pursue protection, any patents that may issue from the U.S. non-provisional patent applications and/or foreign patent applications would be projected to have statutory expiration dates in 2039, excluding any additional term for patent term adjustments or patent term extension, if applicable. While we believe that the specific and generic claims, contained in our PCT application, if filed as a U.S. non-provisional application and/or foreign patent application(s), provide protection for the claimed pharmaceutical compositions and methods of use and are not implicated by invalidating prior art,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69"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170"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losmapimod and products from our intellectual property may be entitled to patent term extensions. If our use of drug candidates or the drug candidate itself receive FDA approval, we intend to apply for patent term extensions, if available, to extend the term of patents that cover the approved use or drug candidate. We also intend to seek patent term extensions in any jurisdictions where available, however, there is no guarantee that the applicable authorities, including the FDA, will agree with our assessment of whether such extensions should be granted, and even if granted, the length of such extensions.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ind w:right="40" w:firstLine="555"/>
        <w:spacing w:after="0" w:line="287" w:lineRule="auto"/>
        <w:rPr>
          <w:sz w:val="20"/>
          <w:szCs w:val="20"/>
          <w:color w:val="auto"/>
        </w:rPr>
      </w:pPr>
      <w:r>
        <w:rPr>
          <w:rFonts w:ascii="Arial" w:cs="Arial" w:eastAsia="Arial" w:hAnsi="Arial"/>
          <w:sz w:val="16"/>
          <w:szCs w:val="16"/>
          <w:color w:val="auto"/>
        </w:rPr>
        <w:t>In addition to patent protection, we rely upon unpatented trade secrets and confidential know-how and continuing technological innovation to develop and maintain our competitive position. However, trade secrets and confidential know-how are difficult to protect. We seek to protect our proprietary information, in part, using confidentiality agreements with any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We do not have any manufacturing facilities. We have obtained sufficient losmapimod tablets, or drug product, from GSK to complete our ongoing Phase 2 clinical trials. We obtained losmapimod API from GSK and have engaged a contract manufacturing organization to convert the API into losmapimod tablets. We believe that the quantity of API will be sufficient to complete our ongoing Phase 2b clinical trial and Phase 2 open label clinical trial in FSHD. We believe that we have all the necessary information from GSK to enable the required technology transfers to contract manufacturing organizations. We also have engaged contract manufacturing organizations to prepare our own API and to manufacture tablets to support potential commercialization and future clinical trials.</w:t>
      </w:r>
    </w:p>
    <w:p>
      <w:pPr>
        <w:spacing w:after="0" w:line="193"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We expect to rely on third parties for the manufacture of FTX-6058 and any future product candidates for preclinical and clinical testing, as well as for commercial manufacture if our product candidates receive marketing approval. Our lead product candidates are small molecules and can be manufactured in reliable and reproducible synthetic processes from readily available starting materials. We expect to continue to develop product candidates that can be produced cost-effectively at contract manufacturing facilities.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73"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The key competitive factors affecting the success of all of our therapeutic product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181"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93" w:lineRule="exact"/>
        <w:rPr>
          <w:sz w:val="20"/>
          <w:szCs w:val="20"/>
          <w:color w:val="auto"/>
        </w:rPr>
      </w:pPr>
    </w:p>
    <w:p>
      <w:pPr>
        <w:ind w:right="520" w:firstLine="555"/>
        <w:spacing w:after="0" w:line="277" w:lineRule="auto"/>
        <w:rPr>
          <w:sz w:val="20"/>
          <w:szCs w:val="20"/>
          <w:color w:val="auto"/>
        </w:rPr>
      </w:pPr>
      <w:r>
        <w:rPr>
          <w:rFonts w:ascii="Arial" w:cs="Arial" w:eastAsia="Arial" w:hAnsi="Arial"/>
          <w:sz w:val="18"/>
          <w:szCs w:val="18"/>
          <w:color w:val="auto"/>
        </w:rPr>
        <w:t>If our lead product candidates are approved for the indications for which we are currently undertaking clinical trials, they will compete with the therapies and currently marketed drugs discussed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FSHD</w:t>
      </w:r>
    </w:p>
    <w:p>
      <w:pPr>
        <w:spacing w:after="0" w:line="117" w:lineRule="exact"/>
        <w:rPr>
          <w:sz w:val="20"/>
          <w:szCs w:val="20"/>
          <w:color w:val="auto"/>
        </w:rPr>
      </w:pPr>
    </w:p>
    <w:p>
      <w:pPr>
        <w:ind w:right="360" w:firstLine="555"/>
        <w:spacing w:after="0" w:line="257" w:lineRule="auto"/>
        <w:rPr>
          <w:sz w:val="20"/>
          <w:szCs w:val="20"/>
          <w:color w:val="auto"/>
        </w:rPr>
      </w:pPr>
      <w:r>
        <w:rPr>
          <w:rFonts w:ascii="Arial" w:cs="Arial" w:eastAsia="Arial" w:hAnsi="Arial"/>
          <w:sz w:val="18"/>
          <w:szCs w:val="18"/>
          <w:color w:val="auto"/>
        </w:rPr>
        <w:t>There are no approved therapies for the treatment of FSHD. Controlled trials of albuterol, corticosteroids and a myostatin inhibitor all failed to demonstrate a clinical benefit to patients with FSHD. Low-intensity aerobic exercise tailored to the patient’s distribution of weakness may provide some limited beneficial effect. Limited range of motion in the shoulder girdle can stem from periscapular muscle weakness, and in such cases surgical scapular fixation can result in some functional improvement for certain patients. There is also no standard practice regarding the use of physical or occupational therapy across countries and sites.</w:t>
      </w:r>
    </w:p>
    <w:p>
      <w:pPr>
        <w:spacing w:after="0" w:line="188" w:lineRule="exact"/>
        <w:rPr>
          <w:sz w:val="20"/>
          <w:szCs w:val="20"/>
          <w:color w:val="auto"/>
        </w:rPr>
      </w:pPr>
    </w:p>
    <w:p>
      <w:pPr>
        <w:ind w:right="180" w:firstLine="555"/>
        <w:spacing w:after="0" w:line="312" w:lineRule="auto"/>
        <w:rPr>
          <w:sz w:val="20"/>
          <w:szCs w:val="20"/>
          <w:color w:val="auto"/>
        </w:rPr>
      </w:pPr>
      <w:r>
        <w:rPr>
          <w:rFonts w:ascii="Arial" w:cs="Arial" w:eastAsia="Arial" w:hAnsi="Arial"/>
          <w:sz w:val="16"/>
          <w:szCs w:val="16"/>
          <w:color w:val="auto"/>
        </w:rPr>
        <w:t>We are not aware of any product candidate currently in clinical development for FSHD with the same mechanism of action as losmapimod or that is designed to treat the root cause of FSHD. aTyr Pharma, Inc., or aTyr, conducted a Phase 1/2 clinical trial of resolaris, a physiocrine immune modulation protein. aTyr discontinued development of resolaris in FSHD. aTyr publicly disclosed that they do not intend to further develop resolaris without a partner.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SCD</w:t>
      </w:r>
    </w:p>
    <w:p>
      <w:pPr>
        <w:spacing w:after="0" w:line="117"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Approved drug treatments for SCD focus primarily on the management and reduction of pain episodes, vaso-occlusive crises, and inhibition of hemoglobin S polymerization. The four drug treatments approved in the United States are hydroxyurea, voxelotor, crizanlizumab, and L-glutamine. Hydroxyurea, marketed by Bristol-Myers Squibb Company, is approved for the treatment of anemia related to SCD, to reduce the frequency of painful crises and the need for blood transfusions. Voxelotor, marketed by Global Blood Therapeutics, is approved under accelerated approval as a hemoglobin polymerization inhibitor. Crizanlizumab, marketed by Novartis, is approved for the reduction in the frequency of vasoocclusive crises. L-glutamine, marketed by Emmaus Life Sciences, Inc., is approved to reduce severe complications associated with the disorder.</w:t>
      </w:r>
    </w:p>
    <w:p>
      <w:pPr>
        <w:spacing w:after="0" w:line="178" w:lineRule="exact"/>
        <w:rPr>
          <w:sz w:val="20"/>
          <w:szCs w:val="20"/>
          <w:color w:val="auto"/>
        </w:rPr>
      </w:pPr>
    </w:p>
    <w:p>
      <w:pPr>
        <w:jc w:val="both"/>
        <w:ind w:right="80" w:firstLine="555"/>
        <w:spacing w:after="0" w:line="276" w:lineRule="auto"/>
        <w:rPr>
          <w:sz w:val="20"/>
          <w:szCs w:val="20"/>
          <w:color w:val="auto"/>
        </w:rPr>
      </w:pPr>
      <w:r>
        <w:rPr>
          <w:rFonts w:ascii="Arial" w:cs="Arial" w:eastAsia="Arial" w:hAnsi="Arial"/>
          <w:sz w:val="17"/>
          <w:szCs w:val="17"/>
          <w:color w:val="auto"/>
        </w:rPr>
        <w:t>Blood transfusions can be utilized to decrease the sickling of RBCs. While blood transfusions can be critically important to the management of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given the difficulties of finding a suitable matched donor and the risks associated with the treatment, which include an approximately 5% mortality rate. Bone marrow transplantation is more commonly offered to pediatric patients with available sibling-matched donors.</w:t>
      </w:r>
    </w:p>
    <w:p>
      <w:pPr>
        <w:spacing w:after="0" w:line="173"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FTX-6058 could face competition from a number of different therapeutic approaches in development for patients with SCD. EpiDestiny, Inc., or EpiDestiny, in collaboration with Novo Nordisk A/S, is evaluating EPI01, a small molecule designed to increase production of fetal hemoglobin, in Phase 2 clinical trials. Imara, Inc. is evaluating IMR-687, a PDE9 inhibitor, in a Phase 2a clinical trial in patients with sickle cell anemia. Aruvant Sciences, Inc. is evaluating RVT-1801, a gene therapy, in a Phase 1/2 trial. Sangamo Therapeutics Inc., or Sangamo, in collaboration with Bioverativ Inc., or Bioverativ, is developing BIVV-003, a gene editing cell therapy that modifies cells to produce functional RBCs using fetal hemoglobin. There are also several other gene editing approaches being evaluated by Intellia Therapeutics, Inc. (in collaboration with Novartis), Editas Medicine, Inc. and CRISPR Therapeutics AG (in collaboration with Vertex Pharmaceuticals Incorporated, or Vertex). Pfizer conducted a Phase 1b clinical trial with PF-04447943, a PDE9 inhibitor, in patients with SCD.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ß-thalassemia</w:t>
      </w:r>
    </w:p>
    <w:p>
      <w:pPr>
        <w:spacing w:after="0" w:line="117"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The current standard of care for many patients with ß-thalassemia is frequent blood transfusions to manage anemia. The one drug treatment approved in the United States is luspatercept. Luspatercept, marketed by Celgene, is approved as an erythroid maturation agent for the treatment of adult patients with anemia associated with ß-thalassemia and who require regular red blood cell transfusions. The only potentially curative therapy for ß-thalassemia is allogeneic hematopoietic stem cell transplant, which is associated with serious risk and is limited to patients with a suitable donor. The European Commission granted conditional marketing authorization for ZYNTEGLO, a gene therapy developed by bluebird for the treatment of adult and adolescent patients with transfusion-dependent ß-thalassemia and with certain genotypes, in Europe in June 2019. bluebird has initiated a rolling BLA submission in the United States, which is expected to be completed in the first half of 2020.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8" w:name="page39"/>
    <w:bookmarkEnd w:id="38"/>
    <w:p>
      <w:pPr>
        <w:ind w:right="360" w:firstLine="555"/>
        <w:spacing w:after="0" w:line="277" w:lineRule="auto"/>
        <w:rPr>
          <w:sz w:val="20"/>
          <w:szCs w:val="20"/>
          <w:color w:val="auto"/>
        </w:rPr>
      </w:pPr>
      <w:r>
        <w:rPr>
          <w:rFonts w:ascii="Arial" w:cs="Arial" w:eastAsia="Arial" w:hAnsi="Arial"/>
          <w:sz w:val="18"/>
          <w:szCs w:val="18"/>
          <w:color w:val="auto"/>
        </w:rPr>
        <w:t>FTX-6058 could face competition from a number of different therapeutic approaches are in development as a therapeutic option for patients with transfusion-dependent ß-thalassemia.</w:t>
      </w:r>
    </w:p>
    <w:p>
      <w:pPr>
        <w:spacing w:after="0" w:line="170" w:lineRule="exact"/>
        <w:rPr>
          <w:sz w:val="20"/>
          <w:szCs w:val="20"/>
          <w:color w:val="auto"/>
        </w:rPr>
      </w:pPr>
    </w:p>
    <w:p>
      <w:pPr>
        <w:ind w:right="80" w:firstLine="555"/>
        <w:spacing w:after="0" w:line="271" w:lineRule="auto"/>
        <w:rPr>
          <w:sz w:val="20"/>
          <w:szCs w:val="20"/>
          <w:color w:val="auto"/>
        </w:rPr>
      </w:pPr>
      <w:r>
        <w:rPr>
          <w:rFonts w:ascii="Arial" w:cs="Arial" w:eastAsia="Arial" w:hAnsi="Arial"/>
          <w:sz w:val="17"/>
          <w:szCs w:val="17"/>
          <w:color w:val="auto"/>
        </w:rPr>
        <w:t xml:space="preserve">Bellicum Pharmaceuticals, Inc. is conducting a Phase 1/2 clinical trial to evaluate a modified donor T cell therapy to be used in conjunction with hematopoietic stem cell transplant. Kiadis Pharma is conducting Phase 2 and Phase 3 clinical trials of an adjunctive T cell immunotherapy treatment in conjunction with hematopoietic stem cell transplant. EpiDestiny, in collaboration with Novo Nordisk A/S, is evaluating EPI01, a small molecule designed to increase production of fetal hemoglobin, in Phase 2 clinical trials. Orchard Therapeutics plc is conducting Phase 2 clinical trials of OTL-300, an autologous </w:t>
      </w:r>
      <w:r>
        <w:rPr>
          <w:rFonts w:ascii="Arial" w:cs="Arial" w:eastAsia="Arial" w:hAnsi="Arial"/>
          <w:sz w:val="17"/>
          <w:szCs w:val="17"/>
          <w:i w:val="1"/>
          <w:iCs w:val="1"/>
          <w:color w:val="auto"/>
        </w:rPr>
        <w:t xml:space="preserve">ex vivo </w:t>
      </w:r>
      <w:r>
        <w:rPr>
          <w:rFonts w:ascii="Arial" w:cs="Arial" w:eastAsia="Arial" w:hAnsi="Arial"/>
          <w:sz w:val="17"/>
          <w:szCs w:val="17"/>
          <w:color w:val="auto"/>
        </w:rPr>
        <w:t>gene therapy for the treatment of transfusion-dependent ß-thalassemia. Sangamo, in collaboration with Bioverativ, is conducting a Phase 1/2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trial of ST-400, which uses a genome-edited cell therapy approach designed to produce functional RBCs using fetal hemoglobin. CRISPR Therapeutics AG, in collaboration with Vertex, is conducting a Phase 1/2 clinical trial of CTX001, which uses a gene editing approach to upregulate the expression of fetal hemoglobin, in patients with transfusion-dependent ß-thalassemia.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121" w:lineRule="exact"/>
        <w:rPr>
          <w:sz w:val="20"/>
          <w:szCs w:val="20"/>
          <w:color w:val="auto"/>
        </w:rPr>
      </w:pPr>
    </w:p>
    <w:p>
      <w:pPr>
        <w:ind w:right="120" w:firstLine="555"/>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117"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These sanctions may include, but are not limited to, the FDA’s refusal to allow an applicant to proceed with clinical trials, refusal to approve pending applications, license suspension or revocation, withdrawal of an approval, imposition of a clinical hold, issuance of warning letters and other types of letters, adverse publicity, product recalls, product seizures, total or partial suspension of production or distribution, injunctions, fines, refusals of government contracts, restitution, disgorgement of profits or civil or criminal investigations and penalties brought by the FDA or Department of Justice, or DOJ, or other government entities, including state agencies.</w:t>
      </w:r>
    </w:p>
    <w:p>
      <w:pPr>
        <w:spacing w:after="0" w:line="179"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An applicant seeking approval to market and distribute a new drug in the United States generally must satisfactorily complete each of the following steps before the product candidate will be approved by the FDA:</w:t>
      </w:r>
    </w:p>
    <w:p>
      <w:pPr>
        <w:spacing w:after="0" w:line="62" w:lineRule="exact"/>
        <w:rPr>
          <w:sz w:val="20"/>
          <w:szCs w:val="20"/>
          <w:color w:val="auto"/>
        </w:rPr>
      </w:pPr>
    </w:p>
    <w:p>
      <w:pPr>
        <w:ind w:left="960" w:right="260" w:hanging="398"/>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good laboratory practice, or GLP, regulations and standards;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to the FDA of an IND for human clinical testing, which must become effective before human clinical trials may begin;</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each clinical trial may be initiated;</w:t>
      </w:r>
    </w:p>
    <w:p>
      <w:pPr>
        <w:spacing w:after="0" w:line="128" w:lineRule="exact"/>
        <w:rPr>
          <w:rFonts w:ascii="Arial" w:cs="Arial" w:eastAsia="Arial" w:hAnsi="Arial"/>
          <w:sz w:val="17"/>
          <w:szCs w:val="17"/>
          <w:color w:val="auto"/>
        </w:rPr>
      </w:pPr>
    </w:p>
    <w:p>
      <w:pPr>
        <w:ind w:left="960" w:right="200" w:hanging="398"/>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62" w:lineRule="exact"/>
        <w:rPr>
          <w:rFonts w:ascii="Arial" w:cs="Arial" w:eastAsia="Arial" w:hAnsi="Arial"/>
          <w:sz w:val="18"/>
          <w:szCs w:val="18"/>
          <w:color w:val="auto"/>
        </w:rPr>
      </w:pPr>
    </w:p>
    <w:p>
      <w:pPr>
        <w:jc w:val="both"/>
        <w:ind w:left="960" w:right="20" w:hanging="39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or NDA, for a drug product which includes not only the results of the clinical trials, but also, detailed information on the chemistry, manufacture and quality controls for the product candidate and proposed labelling for one or more proposed indication(s);</w:t>
      </w:r>
    </w:p>
    <w:p>
      <w:pPr>
        <w:spacing w:after="0" w:line="73" w:lineRule="exact"/>
        <w:rPr>
          <w:rFonts w:ascii="Arial" w:cs="Arial" w:eastAsia="Arial" w:hAnsi="Arial"/>
          <w:sz w:val="18"/>
          <w:szCs w:val="18"/>
          <w:color w:val="auto"/>
        </w:rPr>
      </w:pPr>
    </w:p>
    <w:p>
      <w:pPr>
        <w:ind w:left="960" w:hanging="39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9" w:name="page40"/>
    <w:bookmarkEnd w:id="39"/>
    <w:p>
      <w:pPr>
        <w:ind w:left="960" w:right="80" w:hanging="398"/>
        <w:spacing w:after="0" w:line="312"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including those of third parties, at which the product candidate or components thereof are manufactured to assess compliance with current good manufacturing practices, or cGMP, requirements and to assure that the facilities, methods and controls are adequate to preserve the product’s identity, strength, quality and purity;</w:t>
      </w:r>
    </w:p>
    <w:p>
      <w:pPr>
        <w:spacing w:after="0" w:line="38" w:lineRule="exact"/>
        <w:rPr>
          <w:rFonts w:ascii="Arial" w:cs="Arial" w:eastAsia="Arial" w:hAnsi="Arial"/>
          <w:sz w:val="16"/>
          <w:szCs w:val="16"/>
          <w:color w:val="auto"/>
        </w:rPr>
      </w:pPr>
    </w:p>
    <w:p>
      <w:pPr>
        <w:ind w:left="960" w:right="140" w:hanging="398"/>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 and the integrity of clinical data in support of the NDA;</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to allow marketing of the new drug product; and</w:t>
      </w:r>
    </w:p>
    <w:p>
      <w:pPr>
        <w:spacing w:after="0" w:line="117"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right="100" w:firstLine="555"/>
        <w:spacing w:after="0" w:line="291" w:lineRule="auto"/>
        <w:rPr>
          <w:sz w:val="20"/>
          <w:szCs w:val="20"/>
          <w:color w:val="auto"/>
        </w:rPr>
      </w:pPr>
      <w:r>
        <w:rPr>
          <w:rFonts w:ascii="Arial" w:cs="Arial" w:eastAsia="Arial" w:hAnsi="Arial"/>
          <w:sz w:val="16"/>
          <w:szCs w:val="16"/>
          <w:color w:val="auto"/>
        </w:rPr>
        <w:t xml:space="preserve">Before an applicant begins testing a product candidate with potential therapeutic value in humans, the product candidate enters the preclinical testing stage, including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IND and IRB Processes</w:t>
      </w:r>
    </w:p>
    <w:p>
      <w:pPr>
        <w:spacing w:after="0" w:line="117"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173" w:lineRule="exact"/>
        <w:rPr>
          <w:sz w:val="20"/>
          <w:szCs w:val="20"/>
          <w:color w:val="auto"/>
        </w:rPr>
      </w:pPr>
    </w:p>
    <w:p>
      <w:pPr>
        <w:ind w:right="200" w:firstLine="555"/>
        <w:spacing w:after="0" w:line="270"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these cases, the IND sponsor and the FDA must resolve any outstanding concerns before clinical trials can begin.</w:t>
      </w:r>
    </w:p>
    <w:p>
      <w:pPr>
        <w:spacing w:after="0" w:line="178"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Following commencement of a clinical trial under an IND, the FDA may also place a clinical hold or partial clinical hold on that trial. Clinical holds are imposed by the FDA whenever there is concern for patient safety and may be a result of new data, findings, or developments in clinical, nonclinical, and/or chemistry, manufacturing, and controls.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 resume after the FDA has so notified the sponsor. The FDA will base that determination on information provided by the sponsor correcting the deficiencies previously cited or otherwise satisfying the FDA that the clinical trial can proceed.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ind w:right="120" w:firstLine="555"/>
        <w:spacing w:after="0" w:line="270" w:lineRule="auto"/>
        <w:rPr>
          <w:sz w:val="20"/>
          <w:szCs w:val="20"/>
          <w:color w:val="auto"/>
        </w:rPr>
      </w:pPr>
      <w:r>
        <w:rPr>
          <w:rFonts w:ascii="Arial" w:cs="Arial" w:eastAsia="Arial" w:hAnsi="Arial"/>
          <w:sz w:val="17"/>
          <w:szCs w:val="17"/>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on April 28, 2008, the FDA amended its regulations governing the acceptance of foreign clinical studies not conducted under an investigational new drug application as support for an IND or a new drug application. The final rule provides that such studies must be conducted in accordance with GCP, including review and approval by an independent ethics committee, or IEC, and informed consent from subjects. The GCP requirements in the final rule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82"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93"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the competitive environment.</w:t>
      </w:r>
    </w:p>
    <w:p>
      <w:pPr>
        <w:spacing w:after="0" w:line="188"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Information about clinical trials must be submitted within specific timeframes to the NIH for public dissemination on its ClinicalTrials.gov website. Similar requirements for posting clinical trial information are present in the European Union (EudraCT) website: https://eudract.ema.europa.eu/ and other countries, as well.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117"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78"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165"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On December 13, 2016, the 21</w:t>
      </w:r>
      <w:r>
        <w:rPr>
          <w:rFonts w:ascii="Arial" w:cs="Arial" w:eastAsia="Arial" w:hAnsi="Arial"/>
          <w:sz w:val="15"/>
          <w:szCs w:val="15"/>
          <w:color w:val="auto"/>
        </w:rPr>
        <w:t>st</w:t>
      </w:r>
      <w:r>
        <w:rPr>
          <w:rFonts w:ascii="Arial" w:cs="Arial" w:eastAsia="Arial" w:hAnsi="Arial"/>
          <w:sz w:val="18"/>
          <w:szCs w:val="18"/>
          <w:color w:val="auto"/>
        </w:rPr>
        <w:t xml:space="preserve"> Century Cures Act, or the Cures Act, established (and the 2017 Food and Drug Administration Reauthorization Act later amended) a requirement that sponsors of one or more investigational drugs for the treatment of a serious disease(s) or condition(s) make publicly available their policy for evaluating and responding to requests for expanded access for individual patients. Although these requirements were rolled out over time, they have now come into full effect. This provision requires drug and biologic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or biologic receives designation as a breakthrough therapy, fast track product, or regenerative medicine advanced therapy.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1" w:name="page42"/>
    <w:bookmarkEnd w:id="41"/>
    <w:p>
      <w:pPr>
        <w:ind w:right="220" w:firstLine="555"/>
        <w:spacing w:after="0" w:line="297" w:lineRule="auto"/>
        <w:rPr>
          <w:sz w:val="20"/>
          <w:szCs w:val="20"/>
          <w:color w:val="auto"/>
        </w:rPr>
      </w:pPr>
      <w:r>
        <w:rPr>
          <w:rFonts w:ascii="Arial" w:cs="Arial" w:eastAsia="Arial" w:hAnsi="Arial"/>
          <w:sz w:val="16"/>
          <w:szCs w:val="16"/>
          <w:color w:val="auto"/>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117"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154"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approval.</w:t>
      </w:r>
    </w:p>
    <w:p>
      <w:pPr>
        <w:spacing w:after="0" w:line="170" w:lineRule="exact"/>
        <w:rPr>
          <w:sz w:val="20"/>
          <w:szCs w:val="20"/>
          <w:color w:val="auto"/>
        </w:rPr>
      </w:pPr>
    </w:p>
    <w:p>
      <w:pPr>
        <w:jc w:val="both"/>
        <w:ind w:right="100" w:firstLine="555"/>
        <w:spacing w:after="0" w:line="259"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 tolerance,</w:t>
      </w:r>
      <w:r>
        <w:rPr>
          <w:rFonts w:ascii="Arial" w:cs="Arial" w:eastAsia="Arial" w:hAnsi="Arial"/>
          <w:sz w:val="18"/>
          <w:szCs w:val="18"/>
          <w:i w:val="1"/>
          <w:iCs w:val="1"/>
          <w:color w:val="auto"/>
        </w:rPr>
        <w:t xml:space="preserve"> </w:t>
      </w:r>
      <w:r>
        <w:rPr>
          <w:rFonts w:ascii="Arial" w:cs="Arial" w:eastAsia="Arial" w:hAnsi="Arial"/>
          <w:sz w:val="18"/>
          <w:szCs w:val="18"/>
          <w:color w:val="auto"/>
        </w:rPr>
        <w:t>absorption, metabolism, distribution, excretion and pharmacodynamics in healthy humans or in patients. During Phase 1 clinical trials, information about the investigational drug product’s pharmacokinetics and pharmacological effects may be obtained to permit the design of well-controlled and scientifically valid Phase 2 clinical trials.</w:t>
      </w:r>
    </w:p>
    <w:p>
      <w:pPr>
        <w:spacing w:after="0" w:line="18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generally conducted in a limited patient population to identify possible adverse effects and safety risks, evaluate the efficacy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187"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clinical trials proceed if the Phase 2 clinical trials demonstrate that a dose range of the product candidate is potentially effective and has an</w:t>
      </w:r>
      <w:r>
        <w:rPr>
          <w:rFonts w:ascii="Arial" w:cs="Arial" w:eastAsia="Arial" w:hAnsi="Arial"/>
          <w:sz w:val="17"/>
          <w:szCs w:val="17"/>
          <w:i w:val="1"/>
          <w:iCs w:val="1"/>
          <w:color w:val="auto"/>
        </w:rPr>
        <w:t xml:space="preserve"> </w:t>
      </w:r>
      <w:r>
        <w:rPr>
          <w:rFonts w:ascii="Arial" w:cs="Arial" w:eastAsia="Arial" w:hAnsi="Arial"/>
          <w:sz w:val="17"/>
          <w:szCs w:val="17"/>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studies are referred to as “pivotal.”</w:t>
      </w:r>
    </w:p>
    <w:p>
      <w:pPr>
        <w:spacing w:after="0" w:line="173"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approval for products.</w:t>
      </w:r>
    </w:p>
    <w:p>
      <w:pPr>
        <w:spacing w:after="0" w:line="188"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product has been associated with unexpected serious harm to patients. The FDA will typically inspect one or more clinical sites to assure compliance with GCP and the integrity of the clinical data submitted.</w:t>
      </w:r>
    </w:p>
    <w:p>
      <w:pPr>
        <w:spacing w:after="0" w:line="182"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Concurrent with clinical trials, companies often complete additional animal studies. They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Pediatric Studies</w:t>
      </w:r>
    </w:p>
    <w:p>
      <w:pPr>
        <w:spacing w:after="0" w:line="117" w:lineRule="exact"/>
        <w:rPr>
          <w:sz w:val="20"/>
          <w:szCs w:val="20"/>
          <w:color w:val="auto"/>
        </w:rPr>
      </w:pPr>
    </w:p>
    <w:p>
      <w:pPr>
        <w:ind w:right="280" w:firstLine="555"/>
        <w:spacing w:after="0" w:line="293" w:lineRule="auto"/>
        <w:rPr>
          <w:sz w:val="20"/>
          <w:szCs w:val="20"/>
          <w:color w:val="auto"/>
        </w:rPr>
      </w:pPr>
      <w:r>
        <w:rPr>
          <w:rFonts w:ascii="Arial" w:cs="Arial" w:eastAsia="Arial" w:hAnsi="Arial"/>
          <w:sz w:val="16"/>
          <w:szCs w:val="16"/>
          <w:color w:val="auto"/>
        </w:rPr>
        <w:t>Under the Pediatric Research Equity Act of 2003,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65"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For drugs intended to treat a serious or life-threatening disease or condition, the FDA must, upon the request of an applicant,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(90) days after the FDA’s receipt of the study plan.</w:t>
      </w:r>
    </w:p>
    <w:p>
      <w:pPr>
        <w:spacing w:after="0" w:line="187"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in 2012. Unless otherwise required by regulation, the pediatric data requirements do not apply to products with orphan designation.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an NDA</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In order to obtain approval to market a drug product in the United States, a marketing application must be submitted to the FDA that provides sufficient data establishing the safety, purity and potency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189" w:lineRule="exact"/>
        <w:rPr>
          <w:sz w:val="20"/>
          <w:szCs w:val="20"/>
          <w:color w:val="auto"/>
        </w:rPr>
      </w:pPr>
    </w:p>
    <w:p>
      <w:pPr>
        <w:ind w:right="60" w:firstLine="555"/>
        <w:spacing w:after="0" w:line="272" w:lineRule="auto"/>
        <w:rPr>
          <w:sz w:val="20"/>
          <w:szCs w:val="20"/>
          <w:color w:val="auto"/>
        </w:rPr>
      </w:pPr>
      <w:r>
        <w:rPr>
          <w:rFonts w:ascii="Arial" w:cs="Arial" w:eastAsia="Arial" w:hAnsi="Arial"/>
          <w:sz w:val="17"/>
          <w:szCs w:val="17"/>
          <w:color w:val="auto"/>
        </w:rPr>
        <w:t>The NDA is a vehicle through which applicants formally propose that the FDA approve a new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which for federal fiscal year 2020 is $2,942,965 for an application requiring clinical data. The sponsor of an approved NDA is also subject to an annual program fee, which for fiscal year 2020 is $325,424. Certain exceptions and waivers are available for some of these fees, such as an exception from the application fee for products with orphan designation, an exception from the program fee when the program does not engage in manufacturing the drug during a particular fiscal year and a waiver for certain small businesses.</w:t>
      </w:r>
    </w:p>
    <w:p>
      <w:pPr>
        <w:spacing w:after="0" w:line="178"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For applications seeking approval of products that are not NMEs, the ten-month and six-month review periods run from the date that the FDA receives the application. The review process and the Prescription Drug User Fee Act, or PDUFA, goal date may be extended by the FDA for three additional months to consider new information or clarification provided by the applicant to address an outstanding deficiency identified by the FDA following the original submission.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ind w:firstLine="555"/>
        <w:spacing w:after="0" w:line="272" w:lineRule="auto"/>
        <w:rPr>
          <w:sz w:val="20"/>
          <w:szCs w:val="20"/>
          <w:color w:val="auto"/>
        </w:rPr>
      </w:pPr>
      <w:r>
        <w:rPr>
          <w:rFonts w:ascii="Arial" w:cs="Arial" w:eastAsia="Arial" w:hAnsi="Arial"/>
          <w:sz w:val="17"/>
          <w:szCs w:val="17"/>
          <w:color w:val="auto"/>
        </w:rPr>
        <w:t>Before approving an application, the FDA typically will inspect the facility or facilities where the product is being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in shortage or those for which approval is dependent on remediation of conditions identified in the inspection report.</w:t>
      </w:r>
    </w:p>
    <w:p>
      <w:pPr>
        <w:spacing w:after="0" w:line="178" w:lineRule="exact"/>
        <w:rPr>
          <w:sz w:val="20"/>
          <w:szCs w:val="20"/>
          <w:color w:val="auto"/>
        </w:rPr>
      </w:pPr>
    </w:p>
    <w:p>
      <w:pPr>
        <w:jc w:val="both"/>
        <w:ind w:right="100" w:firstLine="555"/>
        <w:spacing w:after="0" w:line="279" w:lineRule="auto"/>
        <w:rPr>
          <w:sz w:val="20"/>
          <w:szCs w:val="20"/>
          <w:color w:val="auto"/>
        </w:rPr>
      </w:pPr>
      <w:r>
        <w:rPr>
          <w:rFonts w:ascii="Arial" w:cs="Arial" w:eastAsia="Arial" w:hAnsi="Arial"/>
          <w:sz w:val="17"/>
          <w:szCs w:val="17"/>
          <w:color w:val="auto"/>
        </w:rPr>
        <w:t>In addition, as a condition of approval, the FDA may require an applicant to develop a REMS. A REMS uses risk-minimization strategies beyond the professional labeling to ensure that the benefits of the product outweigh the potential risks. To determine whether a REMS is needed, the FDA will consider the size of the population likely to use the product, the seriousness of the disease, the expected benefit of the product, the expected duration of treatment, the seriousness of known or potential adverse events and whether the product is a new molecular entity.</w:t>
      </w:r>
    </w:p>
    <w:p>
      <w:pPr>
        <w:spacing w:after="0" w:line="171" w:lineRule="exact"/>
        <w:rPr>
          <w:sz w:val="20"/>
          <w:szCs w:val="20"/>
          <w:color w:val="auto"/>
        </w:rPr>
      </w:pPr>
    </w:p>
    <w:p>
      <w:pPr>
        <w:ind w:right="300" w:firstLine="555"/>
        <w:spacing w:after="0" w:line="259" w:lineRule="auto"/>
        <w:rPr>
          <w:sz w:val="20"/>
          <w:szCs w:val="20"/>
          <w:color w:val="auto"/>
        </w:rPr>
      </w:pPr>
      <w:r>
        <w:rPr>
          <w:rFonts w:ascii="Arial" w:cs="Arial" w:eastAsia="Arial" w:hAnsi="Arial"/>
          <w:sz w:val="18"/>
          <w:szCs w:val="18"/>
          <w:color w:val="auto"/>
        </w:rPr>
        <w:t>The FDA may refer an application for a novel product to an advisory committee or explain why such referral was not made.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Breakthrough Therapy, Priority Review and Regenerative Advanced Therapy Designations</w:t>
      </w:r>
    </w:p>
    <w:p>
      <w:pPr>
        <w:spacing w:after="0" w:line="117"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 and Regenerative Advanced Therapy designation.</w:t>
      </w:r>
    </w:p>
    <w:p>
      <w:pPr>
        <w:spacing w:after="0" w:line="181" w:lineRule="exact"/>
        <w:rPr>
          <w:sz w:val="20"/>
          <w:szCs w:val="20"/>
          <w:color w:val="auto"/>
        </w:rPr>
      </w:pPr>
    </w:p>
    <w:p>
      <w:pPr>
        <w:ind w:right="80" w:firstLine="555"/>
        <w:spacing w:after="0" w:line="271" w:lineRule="auto"/>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9"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65"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Third, the FDA may designate a product for Priority Review if it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firstLine="555"/>
        <w:spacing w:after="0" w:line="255" w:lineRule="auto"/>
        <w:rPr>
          <w:sz w:val="20"/>
          <w:szCs w:val="20"/>
          <w:color w:val="auto"/>
        </w:rPr>
      </w:pPr>
      <w:r>
        <w:rPr>
          <w:rFonts w:ascii="Arial" w:cs="Arial" w:eastAsia="Arial" w:hAnsi="Arial"/>
          <w:sz w:val="18"/>
          <w:szCs w:val="18"/>
          <w:color w:val="auto"/>
        </w:rPr>
        <w:t>With passage of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if preliminary clinical evidence indicates that the product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Approval Pathway</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based on epidemiologic, therapeutic, pathophysiologic, or other evidence,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89"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efficacy biomarker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78"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17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would allow the FDA to initiate expedited proceedings to withdraw approval of the product. All promotional materials for product candidates approved under accelerated regulations are subject to prior review by the FDA.</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FDA’s Decision on an NDA</w:t>
      </w:r>
    </w:p>
    <w:p>
      <w:pPr>
        <w:spacing w:after="0" w:line="117"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ind w:right="80" w:firstLine="555"/>
        <w:spacing w:after="0" w:line="269" w:lineRule="auto"/>
        <w:rPr>
          <w:sz w:val="20"/>
          <w:szCs w:val="20"/>
          <w:color w:val="auto"/>
        </w:rPr>
      </w:pPr>
      <w:r>
        <w:rPr>
          <w:rFonts w:ascii="Arial" w:cs="Arial" w:eastAsia="Arial" w:hAnsi="Arial"/>
          <w:sz w:val="17"/>
          <w:szCs w:val="17"/>
          <w:color w:val="auto"/>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REMS programs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If regulatory approval for marketing of a product or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being implemented. Accordingly, the sponsor and its third-party manufacturers must continue to expend time, money and effort in the areas of production and quality control to maintain compliance with cGMP regulations and other regulatory requirements.</w:t>
      </w:r>
    </w:p>
    <w:p>
      <w:pPr>
        <w:spacing w:after="0" w:line="182"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to the FDA samples of each lot, together with a release protocol showing a summary of the history of manufacture of the lot and the results of all of the manufacturer’s tests performed on the lot. The FDA may also perform certain confirmatory tests on lots of some products before releasing the lots for distribution. Finally, the FDA will conduct laboratory research related to the safety, purity, potency and effectiveness of pharmaceutical products.</w:t>
      </w:r>
    </w:p>
    <w:p>
      <w:pPr>
        <w:spacing w:after="0" w:line="173"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80" w:lineRule="exact"/>
        <w:rPr>
          <w:sz w:val="20"/>
          <w:szCs w:val="20"/>
          <w:color w:val="auto"/>
        </w:rPr>
      </w:pPr>
    </w:p>
    <w:p>
      <w:pPr>
        <w:ind w:left="960" w:hanging="398"/>
        <w:spacing w:after="0"/>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960" w:right="340" w:hanging="398"/>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20" w:firstLine="555"/>
        <w:spacing w:after="0" w:line="270" w:lineRule="auto"/>
        <w:rPr>
          <w:sz w:val="20"/>
          <w:szCs w:val="20"/>
          <w:color w:val="auto"/>
        </w:rPr>
      </w:pPr>
      <w:r>
        <w:rPr>
          <w:rFonts w:ascii="Arial" w:cs="Arial" w:eastAsia="Arial" w:hAnsi="Arial"/>
          <w:sz w:val="17"/>
          <w:szCs w:val="17"/>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6" w:name="page47"/>
    <w:bookmarkEnd w:id="46"/>
    <w:p>
      <w:pPr>
        <w:ind w:right="40" w:firstLine="555"/>
        <w:spacing w:after="0" w:line="255" w:lineRule="auto"/>
        <w:rPr>
          <w:sz w:val="20"/>
          <w:szCs w:val="20"/>
          <w:color w:val="auto"/>
        </w:rPr>
      </w:pPr>
      <w:r>
        <w:rPr>
          <w:rFonts w:ascii="Arial" w:cs="Arial" w:eastAsia="Arial" w:hAnsi="Arial"/>
          <w:sz w:val="18"/>
          <w:szCs w:val="18"/>
          <w:color w:val="auto"/>
        </w:rPr>
        <w:t>If a company is found to have promoted off-label uses, it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93"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505(b)(2) NDAs</w:t>
      </w:r>
    </w:p>
    <w:p>
      <w:pPr>
        <w:spacing w:after="0" w:line="117"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w:t>
      </w:r>
    </w:p>
    <w:p>
      <w:pPr>
        <w:spacing w:after="0" w:line="189"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Thus, Section 505(b)(2) authorizes the FDA to approve an NDA based on safety and effectiveness data that were not developed by the applicant. NDAs filed under Section 505(b)(2) may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17"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179"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color w:val="auto"/>
        </w:rPr>
        <w:t>Specifically, in order for an ANDA to be approved, the FDA must find that the generic version is identical to the RLD with respect to the active ingredients, route of administration, dosage form, strength and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the patient.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right="140" w:firstLine="555"/>
        <w:spacing w:after="0" w:line="273" w:lineRule="auto"/>
        <w:rPr>
          <w:sz w:val="20"/>
          <w:szCs w:val="20"/>
          <w:color w:val="auto"/>
        </w:rPr>
      </w:pPr>
      <w:r>
        <w:rPr>
          <w:rFonts w:ascii="Arial" w:cs="Arial" w:eastAsia="Arial" w:hAnsi="Arial"/>
          <w:sz w:val="17"/>
          <w:szCs w:val="17"/>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78"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89"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color w:val="auto"/>
        </w:rPr>
        <w:t>The FDA must establish a Priority Review track for certain generic drugs, requiring the FDA to review a drug application within eight months for a drug that has three or fewer approved drugs listed in the Orange Book and is no longer protected by any patent or regulatory exclusivities, or is on the FDA’s drug shortage list. The FDA is also authorized to expedite review of “competitor generic therapies” or drugs with inadequate generic competition, including holding meetings with or providing advice to the drug sponsor prior to submission of the application.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117"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17" w:lineRule="exact"/>
        <w:rPr>
          <w:sz w:val="20"/>
          <w:szCs w:val="20"/>
          <w:color w:val="auto"/>
        </w:rPr>
      </w:pPr>
    </w:p>
    <w:p>
      <w:pPr>
        <w:ind w:left="960" w:hanging="39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applicant is not seeking approval).</w:t>
      </w:r>
    </w:p>
    <w:p>
      <w:pPr>
        <w:spacing w:after="0" w:line="187" w:lineRule="exact"/>
        <w:rPr>
          <w:sz w:val="20"/>
          <w:szCs w:val="20"/>
          <w:color w:val="auto"/>
        </w:rPr>
      </w:pPr>
    </w:p>
    <w:p>
      <w:pPr>
        <w:ind w:right="140" w:firstLine="555"/>
        <w:spacing w:after="0" w:line="276" w:lineRule="auto"/>
        <w:rPr>
          <w:sz w:val="20"/>
          <w:szCs w:val="20"/>
          <w:color w:val="auto"/>
        </w:rPr>
      </w:pPr>
      <w:r>
        <w:rPr>
          <w:rFonts w:ascii="Arial" w:cs="Arial" w:eastAsia="Arial" w:hAnsi="Arial"/>
          <w:sz w:val="17"/>
          <w:szCs w:val="17"/>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the expiration of the patent, or a decision in the infringement case that is favorable to the ANDA applicant.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8" w:name="page49"/>
    <w:bookmarkEnd w:id="48"/>
    <w:p>
      <w:pPr>
        <w:ind w:right="100" w:firstLine="555"/>
        <w:spacing w:after="0" w:line="255" w:lineRule="auto"/>
        <w:rPr>
          <w:sz w:val="20"/>
          <w:szCs w:val="20"/>
          <w:color w:val="auto"/>
        </w:rPr>
      </w:pPr>
      <w:r>
        <w:rPr>
          <w:rFonts w:ascii="Arial" w:cs="Arial" w:eastAsia="Arial" w:hAnsi="Arial"/>
          <w:sz w:val="18"/>
          <w:szCs w:val="18"/>
          <w:color w:val="auto"/>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Exclusivity</w:t>
      </w:r>
    </w:p>
    <w:p>
      <w:pPr>
        <w:spacing w:after="0" w:line="117"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 pediatric exclusivity period will not attach to any patents for which a generic (ANDA or 505(b)(2) NDA) applicant submitted a paragraph IV patent certification, unless the NDA sponsor or patent owner first obtains a court determination that the patent is valid and infringed by a proposed generic product.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78"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condition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178"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Orphan drug exclusivity will not bar approval of another product under certain circumstances, including if a subsequent product with the same drug for the same condition is shown to be clinically superior to the approved product on the basis of greater efficacy or safety, or providing a major contribution to patient care, or if the company with orphan drug exclusivity is not able to meet market demand. This is the case despite an earlier court opinion holding that the Orphan Drug Act unambiguously required the FDA to recognize orphan exclusivity regardless of a showing of clinical superiority.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Health Care Law and Regulation</w:t>
      </w:r>
    </w:p>
    <w:p>
      <w:pPr>
        <w:spacing w:after="0" w:line="117" w:lineRule="exact"/>
        <w:rPr>
          <w:sz w:val="20"/>
          <w:szCs w:val="20"/>
          <w:color w:val="auto"/>
        </w:rPr>
      </w:pPr>
    </w:p>
    <w:p>
      <w:pPr>
        <w:jc w:val="both"/>
        <w:ind w:right="160" w:firstLine="555"/>
        <w:spacing w:after="0" w:line="279"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63" w:lineRule="exact"/>
        <w:rPr>
          <w:sz w:val="20"/>
          <w:szCs w:val="20"/>
          <w:color w:val="auto"/>
        </w:rPr>
      </w:pPr>
    </w:p>
    <w:p>
      <w:pPr>
        <w:ind w:left="960" w:right="100" w:hanging="398"/>
        <w:spacing w:after="0" w:line="259"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78" w:lineRule="exact"/>
        <w:rPr>
          <w:rFonts w:ascii="Arial" w:cs="Arial" w:eastAsia="Arial" w:hAnsi="Arial"/>
          <w:sz w:val="18"/>
          <w:szCs w:val="18"/>
          <w:color w:val="auto"/>
        </w:rPr>
      </w:pPr>
    </w:p>
    <w:p>
      <w:pPr>
        <w:ind w:left="960" w:right="480" w:hanging="398"/>
        <w:spacing w:after="0" w:line="259"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960" w:hanging="398"/>
        <w:spacing w:after="0" w:line="26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73" w:lineRule="exact"/>
        <w:rPr>
          <w:rFonts w:ascii="Arial" w:cs="Arial" w:eastAsia="Arial" w:hAnsi="Arial"/>
          <w:sz w:val="18"/>
          <w:szCs w:val="18"/>
          <w:color w:val="auto"/>
        </w:rPr>
      </w:pPr>
    </w:p>
    <w:p>
      <w:pPr>
        <w:ind w:left="960" w:right="320" w:hanging="398"/>
        <w:spacing w:after="0" w:line="286" w:lineRule="auto"/>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57" w:lineRule="exact"/>
        <w:rPr>
          <w:rFonts w:ascii="Arial" w:cs="Arial" w:eastAsia="Arial" w:hAnsi="Arial"/>
          <w:sz w:val="17"/>
          <w:szCs w:val="17"/>
          <w:color w:val="auto"/>
        </w:rPr>
      </w:pPr>
    </w:p>
    <w:p>
      <w:pPr>
        <w:ind w:left="960" w:right="120" w:hanging="398"/>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62" w:lineRule="exact"/>
        <w:rPr>
          <w:rFonts w:ascii="Arial" w:cs="Arial" w:eastAsia="Arial" w:hAnsi="Arial"/>
          <w:sz w:val="18"/>
          <w:szCs w:val="18"/>
          <w:color w:val="auto"/>
        </w:rPr>
      </w:pPr>
    </w:p>
    <w:p>
      <w:pPr>
        <w:ind w:left="960" w:right="80" w:hanging="398"/>
        <w:spacing w:after="0" w:line="308" w:lineRule="auto"/>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38" w:lineRule="exact"/>
        <w:rPr>
          <w:rFonts w:ascii="Arial" w:cs="Arial" w:eastAsia="Arial" w:hAnsi="Arial"/>
          <w:sz w:val="17"/>
          <w:szCs w:val="17"/>
          <w:color w:val="auto"/>
        </w:rPr>
      </w:pPr>
    </w:p>
    <w:p>
      <w:pPr>
        <w:ind w:left="960" w:right="80" w:hanging="398"/>
        <w:spacing w:after="0" w:line="297"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the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50" w:lineRule="exact"/>
        <w:rPr>
          <w:rFonts w:ascii="Arial" w:cs="Arial" w:eastAsia="Arial" w:hAnsi="Arial"/>
          <w:sz w:val="16"/>
          <w:szCs w:val="16"/>
          <w:color w:val="auto"/>
        </w:rPr>
      </w:pPr>
    </w:p>
    <w:p>
      <w:pPr>
        <w:ind w:left="960" w:right="380" w:hanging="398"/>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70"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117" w:lineRule="exact"/>
        <w:rPr>
          <w:sz w:val="20"/>
          <w:szCs w:val="20"/>
          <w:color w:val="auto"/>
        </w:rPr>
      </w:pPr>
    </w:p>
    <w:p>
      <w:pPr>
        <w:ind w:right="40" w:firstLine="555"/>
        <w:spacing w:after="0" w:line="289"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67"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78"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89"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181" w:lineRule="exact"/>
        <w:rPr>
          <w:sz w:val="20"/>
          <w:szCs w:val="20"/>
          <w:color w:val="auto"/>
        </w:rPr>
      </w:pPr>
    </w:p>
    <w:p>
      <w:pPr>
        <w:ind w:right="380" w:firstLine="555"/>
        <w:spacing w:after="0" w:line="342" w:lineRule="auto"/>
        <w:rPr>
          <w:sz w:val="20"/>
          <w:szCs w:val="20"/>
          <w:color w:val="auto"/>
        </w:rPr>
      </w:pPr>
      <w:r>
        <w:rPr>
          <w:rFonts w:ascii="Arial" w:cs="Arial" w:eastAsia="Arial" w:hAnsi="Arial"/>
          <w:sz w:val="16"/>
          <w:szCs w:val="16"/>
          <w:color w:val="auto"/>
        </w:rPr>
        <w:t>In March 2010, the United States Congress enacted the ACA, which, among other things, includes changes to the coverage and payment for drug products under government health care programs. Among the provisions of the ACA of importance to our potential product candidates are:</w:t>
      </w:r>
    </w:p>
    <w:p>
      <w:pPr>
        <w:spacing w:after="0" w:line="16" w:lineRule="exact"/>
        <w:rPr>
          <w:sz w:val="20"/>
          <w:szCs w:val="20"/>
          <w:color w:val="auto"/>
        </w:rPr>
      </w:pPr>
    </w:p>
    <w:p>
      <w:pPr>
        <w:ind w:left="960" w:right="200" w:hanging="398"/>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960" w:right="80" w:hanging="398"/>
        <w:spacing w:after="0" w:line="342"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5" w:lineRule="exact"/>
        <w:rPr>
          <w:rFonts w:ascii="Arial" w:cs="Arial" w:eastAsia="Arial" w:hAnsi="Arial"/>
          <w:sz w:val="16"/>
          <w:szCs w:val="16"/>
          <w:color w:val="auto"/>
        </w:rPr>
      </w:pPr>
    </w:p>
    <w:p>
      <w:pPr>
        <w:jc w:val="both"/>
        <w:ind w:left="960" w:right="400" w:hanging="398"/>
        <w:spacing w:after="0" w:line="264"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73" w:lineRule="exact"/>
        <w:rPr>
          <w:rFonts w:ascii="Arial" w:cs="Arial" w:eastAsia="Arial" w:hAnsi="Arial"/>
          <w:sz w:val="18"/>
          <w:szCs w:val="18"/>
          <w:color w:val="auto"/>
        </w:rPr>
      </w:pPr>
    </w:p>
    <w:p>
      <w:pPr>
        <w:ind w:left="960" w:right="140" w:hanging="398"/>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17" w:lineRule="exact"/>
        <w:rPr>
          <w:rFonts w:ascii="Arial" w:cs="Arial" w:eastAsia="Arial" w:hAnsi="Arial"/>
          <w:sz w:val="18"/>
          <w:szCs w:val="18"/>
          <w:color w:val="auto"/>
        </w:rPr>
      </w:pPr>
    </w:p>
    <w:p>
      <w:pPr>
        <w:ind w:left="960" w:right="380" w:hanging="398"/>
        <w:spacing w:after="0" w:line="264"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and</w:t>
      </w:r>
    </w:p>
    <w:p>
      <w:pPr>
        <w:spacing w:after="0" w:line="73" w:lineRule="exact"/>
        <w:rPr>
          <w:rFonts w:ascii="Arial" w:cs="Arial" w:eastAsia="Arial" w:hAnsi="Arial"/>
          <w:sz w:val="18"/>
          <w:szCs w:val="18"/>
          <w:color w:val="auto"/>
        </w:rPr>
      </w:pPr>
    </w:p>
    <w:p>
      <w:pPr>
        <w:ind w:left="960" w:right="180" w:hanging="398"/>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1" w:name="page52"/>
    <w:bookmarkEnd w:id="51"/>
    <w:p>
      <w:pPr>
        <w:ind w:right="40" w:firstLine="555"/>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and, due to subsequent legislative amendments, will remain in effect through 2029 unless additional Congressional action is taken. In January 2013, President Obama signed into law the American Taxpayer Relief Act of 2012, which, among other things, further reduced Medicare payments to several providers, including hospitals, imaging centers, and increased the statute of limitations period for the government to recover overpayments to providers from three to five years.</w:t>
      </w:r>
    </w:p>
    <w:p>
      <w:pPr>
        <w:spacing w:after="0" w:line="179" w:lineRule="exact"/>
        <w:rPr>
          <w:sz w:val="20"/>
          <w:szCs w:val="20"/>
          <w:color w:val="auto"/>
        </w:rPr>
      </w:pPr>
    </w:p>
    <w:p>
      <w:pPr>
        <w:ind w:right="200" w:firstLine="555"/>
        <w:spacing w:after="0" w:line="290" w:lineRule="auto"/>
        <w:rPr>
          <w:sz w:val="20"/>
          <w:szCs w:val="20"/>
          <w:color w:val="auto"/>
        </w:rPr>
      </w:pPr>
      <w:r>
        <w:rPr>
          <w:rFonts w:ascii="Arial" w:cs="Arial" w:eastAsia="Arial" w:hAnsi="Arial"/>
          <w:sz w:val="16"/>
          <w:szCs w:val="16"/>
          <w:color w:val="auto"/>
        </w:rPr>
        <w:t>Since enactment of the ACA, there have been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is effective as of 2019.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The Congress may consider other legislation to replace elements of the ACA during the next Congressional session.</w:t>
      </w:r>
    </w:p>
    <w:p>
      <w:pPr>
        <w:spacing w:after="0" w:line="166"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In addition,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Trump administration and CMS have both stated that the ruling will have no immediate effect, and on December 30, 2018 the same judge issued an order staying the judgment pending appeal. The Trump Administration has recently represented to the Court of Appeals considering this judgment that it does not oppose the lower court’s ruling. On July 10, 2019, the Court of Appeals for the Fifth Circuit heard oral argument in this case. On December 18, 2019, that court affirmed the lower court’s ruling that the individual mandate portion of the ACA is unconstitutional and it remanded the case to the district court for reconsideration of the severability question and additional analysis of the provisions of the ACA. On January 21, 2020, the U.S. Supreme Court declined to review this decision on an expedited basis. Litigation and legislation over the ACA are likely to continue, with unpredictable and uncertain results.</w:t>
      </w:r>
    </w:p>
    <w:p>
      <w:pPr>
        <w:spacing w:after="0" w:line="182"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This decision is under review by the U.S. Supreme Court during its current term. The full effects of this gap in reimbursement on third-party payors, the viability of the ACA marketplace, providers, and potentially our business, are not yet known.</w:t>
      </w:r>
    </w:p>
    <w:p>
      <w:pPr>
        <w:spacing w:after="0" w:line="169" w:lineRule="exact"/>
        <w:rPr>
          <w:sz w:val="20"/>
          <w:szCs w:val="20"/>
          <w:color w:val="auto"/>
        </w:rPr>
      </w:pPr>
    </w:p>
    <w:p>
      <w:pPr>
        <w:ind w:right="80" w:firstLine="555"/>
        <w:spacing w:after="0" w:line="287" w:lineRule="auto"/>
        <w:rPr>
          <w:sz w:val="20"/>
          <w:szCs w:val="20"/>
          <w:color w:val="auto"/>
        </w:rPr>
      </w:pPr>
      <w:r>
        <w:rPr>
          <w:rFonts w:ascii="Arial" w:cs="Arial" w:eastAsia="Arial" w:hAnsi="Arial"/>
          <w:sz w:val="16"/>
          <w:szCs w:val="16"/>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For example,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December 23, 2019, the Trump Administration published a proposed rulemaking that, if finalized, would allow states or certain other non-federal government entities to submit importation program proposals to FDA for review and approval. Applicants would be required to demonstrate their importation plans pose no additional risk to public health and safety and will result in significant cost savings for consumers. At the same time, FDA issued draft guidance that would allow manufacturers to import their own FDA-approved drugs that are authorized for sale in other countries (multi-market approved products).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2" w:name="page53"/>
    <w:bookmarkEnd w:id="52"/>
    <w:p>
      <w:pPr>
        <w:ind w:right="20" w:firstLine="555"/>
        <w:spacing w:after="0" w:line="286" w:lineRule="auto"/>
        <w:rPr>
          <w:sz w:val="20"/>
          <w:szCs w:val="20"/>
          <w:color w:val="auto"/>
        </w:rPr>
      </w:pPr>
      <w:r>
        <w:rPr>
          <w:rFonts w:ascii="Arial" w:cs="Arial" w:eastAsia="Arial" w:hAnsi="Arial"/>
          <w:sz w:val="16"/>
          <w:szCs w:val="16"/>
          <w:color w:val="auto"/>
        </w:rPr>
        <w:t>Additionally, on May 11, 2018, the Administration issued a plan to lower drug prices. Under this blueprint for action, the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In addition, on December 23, 2019, the Trump Administration published a proposed rulemaking that, if finalized, would allow states or certain other non-federal government entities to submit importation program proposals to FDA for review and approval. Applicants would be required to demonstrate their importation plans pose no additional risk to public health and safety and will result in significant cost savings for consumers. At the same time, FDA issued draft guidance that would allow manufacturers to import their own FDA-approved drugs that are authorized for sale in other countries (multi-market approved products).</w:t>
      </w:r>
    </w:p>
    <w:p>
      <w:pPr>
        <w:spacing w:after="0" w:line="175"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117"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or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Clinical Trials Directive 2001/20/EC, the Directive 2005/28/EC on GCP and the related national implementing provisions of the individual member states of the European Union, or EU Member States, govern the system for the approval of clinical trials in the EU.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ind w:firstLine="555"/>
        <w:spacing w:after="0" w:line="270" w:lineRule="auto"/>
        <w:rPr>
          <w:sz w:val="20"/>
          <w:szCs w:val="20"/>
          <w:color w:val="auto"/>
        </w:rPr>
      </w:pPr>
      <w:r>
        <w:rPr>
          <w:rFonts w:ascii="Arial" w:cs="Arial" w:eastAsia="Arial" w:hAnsi="Arial"/>
          <w:sz w:val="17"/>
          <w:szCs w:val="17"/>
          <w:color w:val="auto"/>
        </w:rPr>
        <w:t>In April 2014, the new Clinical Trials Regulation, (EU) No 536/2014, was adopted. The Clinical Trials Regulation will be directly applicable in all the EU Member States, repealing the current Clinical Trials Directive 2001/20/EC and replacing any national legislation that was put in place to implement the Directive. Conduct of all clinical trials performed in the EU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 As of January 1, 2020, the website of the European Commission reported that the implementation of the Clinical Trials Regulation was dependent on the development of a fully functional clinical trials portal and database, which would be confirmed by an independent audit, and that the new legislation would come into effect six months after the European Commission publishes a notice of this confirmation. The website indicated that the audit was expected to commence in December 2020.</w:t>
      </w:r>
    </w:p>
    <w:p>
      <w:pPr>
        <w:spacing w:after="0" w:line="178"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The new Clinical Trials Regulation aims to simplify and streamline the approval of clinical trials in the EU. The main characteristics of the regulation include: a streamlined application procedure via a single entry point, the “EU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 Member States in which an application for authorization of a clinical trial has been submitted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Trials Regulation.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Designation in the EU</w:t>
      </w:r>
    </w:p>
    <w:p>
      <w:pPr>
        <w:spacing w:after="0" w:line="117"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Agency contact and rapporteur from the Committee for Human Medicinal Products, or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 Regulation (EC) No 1901/2006 provides that prior to obtaining a marketing authorization in the EU,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78"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across the European Economic Area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 The centralized procedure may at the request of the applicant also be used in certain other cases. We anticipate that the centralized procedure will be mandatory for the product candidates we are developing.</w:t>
      </w:r>
    </w:p>
    <w:p>
      <w:pPr>
        <w:spacing w:after="0" w:line="178" w:lineRule="exact"/>
        <w:rPr>
          <w:sz w:val="20"/>
          <w:szCs w:val="20"/>
          <w:color w:val="auto"/>
        </w:rPr>
      </w:pPr>
    </w:p>
    <w:p>
      <w:pPr>
        <w:jc w:val="both"/>
        <w:ind w:right="120" w:firstLine="555"/>
        <w:spacing w:after="0" w:line="259" w:lineRule="auto"/>
        <w:rPr>
          <w:sz w:val="20"/>
          <w:szCs w:val="20"/>
          <w:color w:val="auto"/>
        </w:rPr>
      </w:pPr>
      <w:r>
        <w:rPr>
          <w:rFonts w:ascii="Arial" w:cs="Arial" w:eastAsia="Arial" w:hAnsi="Arial"/>
          <w:sz w:val="18"/>
          <w:szCs w:val="18"/>
          <w:color w:val="auto"/>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4" w:name="page55"/>
    <w:bookmarkEnd w:id="54"/>
    <w:p>
      <w:pPr>
        <w:ind w:right="20"/>
        <w:spacing w:after="0" w:line="269" w:lineRule="auto"/>
        <w:rPr>
          <w:sz w:val="20"/>
          <w:szCs w:val="20"/>
          <w:color w:val="auto"/>
        </w:rPr>
      </w:pPr>
      <w:r>
        <w:rPr>
          <w:rFonts w:ascii="Arial" w:cs="Arial" w:eastAsia="Arial" w:hAnsi="Arial"/>
          <w:sz w:val="17"/>
          <w:szCs w:val="17"/>
          <w:color w:val="auto"/>
        </w:rPr>
        <w:t>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83" w:lineRule="exact"/>
        <w:rPr>
          <w:sz w:val="20"/>
          <w:szCs w:val="20"/>
          <w:color w:val="auto"/>
        </w:rPr>
      </w:pPr>
    </w:p>
    <w:p>
      <w:pPr>
        <w:ind w:right="140" w:firstLine="555"/>
        <w:spacing w:after="0" w:line="273" w:lineRule="auto"/>
        <w:rPr>
          <w:sz w:val="20"/>
          <w:szCs w:val="20"/>
          <w:color w:val="auto"/>
        </w:rPr>
      </w:pPr>
      <w:r>
        <w:rPr>
          <w:rFonts w:ascii="Arial" w:cs="Arial" w:eastAsia="Arial" w:hAnsi="Arial"/>
          <w:sz w:val="17"/>
          <w:szCs w:val="17"/>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70" w:lineRule="exact"/>
        <w:rPr>
          <w:sz w:val="20"/>
          <w:szCs w:val="20"/>
          <w:color w:val="auto"/>
        </w:rPr>
      </w:pPr>
    </w:p>
    <w:p>
      <w:pPr>
        <w:ind w:left="960" w:right="20" w:hanging="398"/>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62" w:lineRule="exact"/>
        <w:rPr>
          <w:rFonts w:ascii="Arial" w:cs="Arial" w:eastAsia="Arial" w:hAnsi="Arial"/>
          <w:sz w:val="18"/>
          <w:szCs w:val="18"/>
          <w:color w:val="auto"/>
        </w:rPr>
      </w:pPr>
    </w:p>
    <w:p>
      <w:pPr>
        <w:ind w:left="960" w:right="500" w:hanging="398"/>
        <w:spacing w:after="0" w:line="308"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38" w:lineRule="exact"/>
        <w:rPr>
          <w:rFonts w:ascii="Arial" w:cs="Arial" w:eastAsia="Arial" w:hAnsi="Arial"/>
          <w:sz w:val="17"/>
          <w:szCs w:val="17"/>
          <w:color w:val="auto"/>
        </w:rPr>
      </w:pPr>
    </w:p>
    <w:p>
      <w:pPr>
        <w:ind w:left="960" w:right="460" w:hanging="398"/>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70" w:lineRule="exact"/>
        <w:rPr>
          <w:sz w:val="20"/>
          <w:szCs w:val="20"/>
          <w:color w:val="auto"/>
        </w:rPr>
      </w:pPr>
    </w:p>
    <w:p>
      <w:pPr>
        <w:ind w:right="140" w:firstLine="555"/>
        <w:spacing w:after="0" w:line="297" w:lineRule="auto"/>
        <w:rPr>
          <w:sz w:val="20"/>
          <w:szCs w:val="20"/>
          <w:color w:val="auto"/>
        </w:rPr>
      </w:pPr>
      <w:r>
        <w:rPr>
          <w:rFonts w:ascii="Arial" w:cs="Arial" w:eastAsia="Arial" w:hAnsi="Arial"/>
          <w:sz w:val="16"/>
          <w:szCs w:val="16"/>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158"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applicant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78"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60" w:firstLine="555"/>
        <w:spacing w:after="0" w:line="272" w:lineRule="auto"/>
        <w:rPr>
          <w:sz w:val="20"/>
          <w:szCs w:val="20"/>
          <w:color w:val="auto"/>
        </w:rPr>
      </w:pPr>
      <w:r>
        <w:rPr>
          <w:rFonts w:ascii="Arial" w:cs="Arial" w:eastAsia="Arial" w:hAnsi="Arial"/>
          <w:sz w:val="17"/>
          <w:szCs w:val="17"/>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78"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EU</w:t>
      </w:r>
    </w:p>
    <w:p>
      <w:pPr>
        <w:spacing w:after="0" w:line="117"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right="100" w:firstLine="555"/>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Paediatric Studies and Exclusivity</w:t>
      </w:r>
    </w:p>
    <w:p>
      <w:pPr>
        <w:spacing w:after="0" w:line="117" w:lineRule="exact"/>
        <w:rPr>
          <w:sz w:val="20"/>
          <w:szCs w:val="20"/>
          <w:color w:val="auto"/>
        </w:rPr>
      </w:pPr>
    </w:p>
    <w:p>
      <w:pPr>
        <w:ind w:right="60" w:firstLine="555"/>
        <w:spacing w:after="0" w:line="269" w:lineRule="auto"/>
        <w:rPr>
          <w:sz w:val="20"/>
          <w:szCs w:val="20"/>
          <w:color w:val="auto"/>
        </w:rPr>
      </w:pPr>
      <w:r>
        <w:rPr>
          <w:rFonts w:ascii="Arial" w:cs="Arial" w:eastAsia="Arial" w:hAnsi="Arial"/>
          <w:sz w:val="17"/>
          <w:szCs w:val="17"/>
          <w:color w:val="auto"/>
        </w:rPr>
        <w:t>Prior to obtaining a marketing authorization in the European Union,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ind w:right="220" w:firstLine="555"/>
        <w:spacing w:after="0" w:line="272" w:lineRule="auto"/>
        <w:rPr>
          <w:sz w:val="20"/>
          <w:szCs w:val="20"/>
          <w:color w:val="auto"/>
        </w:rPr>
      </w:pPr>
      <w:r>
        <w:rPr>
          <w:rFonts w:ascii="Arial" w:cs="Arial" w:eastAsia="Arial" w:hAnsi="Arial"/>
          <w:sz w:val="17"/>
          <w:szCs w:val="17"/>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78" w:lineRule="exact"/>
        <w:rPr>
          <w:sz w:val="20"/>
          <w:szCs w:val="20"/>
          <w:color w:val="auto"/>
        </w:rPr>
      </w:pPr>
    </w:p>
    <w:p>
      <w:pPr>
        <w:ind w:firstLine="555"/>
        <w:spacing w:after="0" w:line="253" w:lineRule="auto"/>
        <w:rPr>
          <w:sz w:val="20"/>
          <w:szCs w:val="20"/>
          <w:color w:val="auto"/>
        </w:rPr>
      </w:pPr>
      <w:r>
        <w:rPr>
          <w:rFonts w:ascii="Arial" w:cs="Arial" w:eastAsia="Arial" w:hAnsi="Arial"/>
          <w:sz w:val="18"/>
          <w:szCs w:val="18"/>
          <w:color w:val="auto"/>
        </w:rPr>
        <w:t>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117"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62" w:lineRule="exact"/>
        <w:rPr>
          <w:sz w:val="20"/>
          <w:szCs w:val="20"/>
          <w:color w:val="auto"/>
        </w:rPr>
      </w:pPr>
    </w:p>
    <w:p>
      <w:pPr>
        <w:ind w:left="960" w:right="300" w:hanging="398"/>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62" w:lineRule="exact"/>
        <w:rPr>
          <w:rFonts w:ascii="Arial" w:cs="Arial" w:eastAsia="Arial" w:hAnsi="Arial"/>
          <w:sz w:val="18"/>
          <w:szCs w:val="18"/>
          <w:color w:val="auto"/>
        </w:rPr>
      </w:pPr>
    </w:p>
    <w:p>
      <w:pPr>
        <w:ind w:left="960" w:hanging="398"/>
        <w:spacing w:after="0" w:line="276"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64" w:lineRule="exact"/>
        <w:rPr>
          <w:rFonts w:ascii="Arial" w:cs="Arial" w:eastAsia="Arial" w:hAnsi="Arial"/>
          <w:sz w:val="17"/>
          <w:szCs w:val="17"/>
          <w:color w:val="auto"/>
        </w:rPr>
      </w:pPr>
    </w:p>
    <w:p>
      <w:pPr>
        <w:jc w:val="both"/>
        <w:ind w:left="960" w:right="80" w:hanging="398"/>
        <w:spacing w:after="0" w:line="312"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are also subject to EU Member State laws. Direct-to-consumer advertising of prescription medicines is prohibited across the EU.</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17" w:lineRule="exact"/>
        <w:rPr>
          <w:sz w:val="20"/>
          <w:szCs w:val="20"/>
          <w:color w:val="auto"/>
        </w:rPr>
      </w:pPr>
    </w:p>
    <w:p>
      <w:pPr>
        <w:ind w:right="80" w:firstLine="555"/>
        <w:spacing w:after="0" w:line="272" w:lineRule="auto"/>
        <w:rPr>
          <w:sz w:val="20"/>
          <w:szCs w:val="20"/>
          <w:color w:val="auto"/>
        </w:rPr>
      </w:pPr>
      <w:r>
        <w:rPr>
          <w:rFonts w:ascii="Arial" w:cs="Arial" w:eastAsia="Arial" w:hAnsi="Arial"/>
          <w:sz w:val="17"/>
          <w:szCs w:val="17"/>
          <w:color w:val="auto"/>
        </w:rPr>
        <w:t>On June 23, 2016, the electorate in the United Kingdom voted in favor of leaving the EU, commonly referred to as Brexit. Following protracted negotiations, the United Kingdom left the EU on January 31, 2020. Under the withdrawal agreement, there is a transitional period until December 31, 2020 (extendable up to two years). Discussions between the United Kingdom and the European Union have so far mainly focused on finalizing withdrawal issues and transition agreements but have been extremely difficult to date. To date, only an outline of a trade agreement has been reached. Much remains open but the Prime Minister has indicated that the United Kingdom will not seek to extend the transitional period beyond the end of 2020. If no trade agreement has been reached before the end of the transitional period, there may be significant market and economic disruption. The Prime Minister has also indicated that the United Kingdom will not accept high regulatory alignment with the EU.</w:t>
      </w:r>
    </w:p>
    <w:p>
      <w:pPr>
        <w:spacing w:after="0" w:line="178"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that applies to products and the approval of product candidates in the United Kingdom. It remains to be seen how, if at all, Brexit will impact regulatory requirements for product candidates and products in the United Kingdom.</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117"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color w:val="auto"/>
        </w:rPr>
        <w:t>The collection, use,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Products</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spacing w:after="0" w:line="17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As of February 28, 2020, we had 73 full-time employees, including a total of 31 employees with M.D. or Ph.D. degrees. Of these full-time employees, 53 employees are engaged in research and development. None of our employees are represented by labor unions or covered by collective bargaining agreements. We consider our relationship with our employees to be good.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page i of this Annual Report on Form 10-K for a discussion of some of the forward-looking statements that are qualified by these risk factors. Factors that could cause or contribute to such differences include those factors discussed below.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Since inception, we have incurred significant operating losses. Our net loss was $82.7 million for the year ended December 31, 2019 and</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$32.6 million for the year ended December 31, 2018. As of December 31, 2019, we had an accumulated deficit of $150.8 million. To date, we have funded our operations primarily through the issuance of common stock in our initial public offering, or IPO, convertible preferred stock and convertible notes, and an upfront payment received under the collaboration and license agreement with Acceleron Pharma Inc., or Acceleron.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5" w:lineRule="exact"/>
        <w:rPr>
          <w:sz w:val="20"/>
          <w:szCs w:val="20"/>
          <w:color w:val="auto"/>
        </w:rPr>
      </w:pPr>
    </w:p>
    <w:p>
      <w:pPr>
        <w:ind w:left="960" w:hanging="39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2b and Phase 2 open label clinical trials;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continue investigational new drug application, or IND, enabling studies and prepare for a planned Phase 1 clinical trial of FTX-6058;</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960" w:right="380" w:hanging="398"/>
        <w:spacing w:after="0" w:line="308"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38" w:lineRule="exact"/>
        <w:rPr>
          <w:rFonts w:ascii="Arial" w:cs="Arial" w:eastAsia="Arial" w:hAnsi="Arial"/>
          <w:sz w:val="17"/>
          <w:szCs w:val="17"/>
          <w:color w:val="auto"/>
        </w:rPr>
      </w:pPr>
    </w:p>
    <w:p>
      <w:pPr>
        <w:ind w:left="960" w:hanging="39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960" w:right="80" w:hanging="398"/>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960" w:right="320" w:hanging="398"/>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9" w:name="page60"/>
    <w:bookmarkEnd w:id="59"/>
    <w:p>
      <w:pPr>
        <w:ind w:right="340" w:firstLine="555"/>
        <w:spacing w:after="0" w:line="291"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59" w:lineRule="exact"/>
        <w:rPr>
          <w:sz w:val="20"/>
          <w:szCs w:val="20"/>
          <w:color w:val="auto"/>
        </w:rPr>
      </w:pPr>
    </w:p>
    <w:p>
      <w:pPr>
        <w:ind w:left="960" w:right="480" w:hanging="398"/>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required by the U.S. Food and Drug Administration, or the FDA, the European Medicines Agency, or the EMA, or other regulatory authorities to perform trials or studies in addition to, or different than, those expected;</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or</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62"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We expect to devote substantial financial resources to our ongoing and planned activities, particularly as we continue our Phase 2b and Phase 2 open label clinical trials of losmapimod and prepare for a planned Phase 1 clinical trial of FTX-6058; and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we will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960" w:hanging="39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2b and Phase 2 open label clinical trials of losmapimod;</w:t>
      </w:r>
    </w:p>
    <w:p>
      <w:pPr>
        <w:spacing w:after="0" w:line="117" w:lineRule="exact"/>
        <w:rPr>
          <w:rFonts w:ascii="Arial" w:cs="Arial" w:eastAsia="Arial" w:hAnsi="Arial"/>
          <w:sz w:val="18"/>
          <w:szCs w:val="18"/>
          <w:color w:val="auto"/>
        </w:rPr>
      </w:pPr>
    </w:p>
    <w:p>
      <w:pPr>
        <w:ind w:left="960" w:right="620" w:hanging="398"/>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1 clinical trial of FTX-6058;</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960" w:right="340" w:hanging="398"/>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our collaboration with Acceleron;</w:t>
      </w:r>
    </w:p>
    <w:p>
      <w:pPr>
        <w:spacing w:after="0" w:line="117" w:lineRule="exact"/>
        <w:rPr>
          <w:rFonts w:ascii="Arial" w:cs="Arial" w:eastAsia="Arial" w:hAnsi="Arial"/>
          <w:sz w:val="18"/>
          <w:szCs w:val="18"/>
          <w:color w:val="auto"/>
        </w:rPr>
      </w:pPr>
    </w:p>
    <w:p>
      <w:pPr>
        <w:ind w:left="960" w:right="760" w:hanging="398"/>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960" w:right="280" w:hanging="398"/>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960" w:right="80" w:hanging="398"/>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ind w:right="60" w:firstLine="555"/>
        <w:spacing w:after="0" w:line="259" w:lineRule="auto"/>
        <w:rPr>
          <w:sz w:val="20"/>
          <w:szCs w:val="20"/>
          <w:color w:val="auto"/>
        </w:rPr>
      </w:pPr>
      <w:r>
        <w:rPr>
          <w:rFonts w:ascii="Arial" w:cs="Arial" w:eastAsia="Arial" w:hAnsi="Arial"/>
          <w:sz w:val="18"/>
          <w:szCs w:val="18"/>
          <w:color w:val="auto"/>
        </w:rPr>
        <w:t>As of December 31, 2019, we had cash and cash equivalents of approximately $96.7 million. We believe that our cash and cash equivalents as of December 31, 2019 will enable us to fund our operating expenses and capital expenditure requirements into the third quarter of 2021.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87"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2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140" w:firstLine="555"/>
        <w:spacing w:after="0" w:line="293"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65"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stockholders to evaluate the success of our business to date and to assess our future viability.</w:t>
      </w:r>
    </w:p>
    <w:p>
      <w:pPr>
        <w:spacing w:after="0" w:line="140"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We commenced activities in 2015 and are an early-stage company. Our operations to date have been limited to organizing and staffing our company, business planning, raising capital, developing our technology, identifying drug targets and potential product candidates, undertaking preclinical studies and conducting one early-stage clinical trial.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as our business grows, we may encounter unforeseen expenses, difficulties, complications, delays and other known and unknown factors.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will need to transition at some point from a company with a research and development focus to a company capable of supporting commercial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may not be successful in such a transition.</w:t>
      </w:r>
    </w:p>
    <w:p>
      <w:pPr>
        <w:spacing w:after="0" w:line="211" w:lineRule="exact"/>
        <w:rPr>
          <w:sz w:val="20"/>
          <w:szCs w:val="20"/>
          <w:color w:val="auto"/>
        </w:rPr>
      </w:pPr>
    </w:p>
    <w:p>
      <w:pPr>
        <w:jc w:val="both"/>
        <w:ind w:right="160" w:firstLine="555"/>
        <w:spacing w:after="0" w:line="264" w:lineRule="auto"/>
        <w:rPr>
          <w:sz w:val="20"/>
          <w:szCs w:val="20"/>
          <w:color w:val="auto"/>
        </w:rPr>
      </w:pPr>
      <w:r>
        <w:rPr>
          <w:rFonts w:ascii="Arial" w:cs="Arial" w:eastAsia="Arial" w:hAnsi="Arial"/>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1" w:name="page62"/>
    <w:bookmarkEnd w:id="61"/>
    <w:p>
      <w:pPr>
        <w:ind w:right="20"/>
        <w:spacing w:after="0" w:line="342" w:lineRule="auto"/>
        <w:rPr>
          <w:sz w:val="20"/>
          <w:szCs w:val="20"/>
          <w:color w:val="auto"/>
        </w:rPr>
      </w:pPr>
      <w:r>
        <w:rPr>
          <w:rFonts w:ascii="Arial" w:cs="Arial" w:eastAsia="Arial" w:hAnsi="Arial"/>
          <w:sz w:val="16"/>
          <w:szCs w:val="16"/>
          <w:b w:val="1"/>
          <w:bCs w:val="1"/>
          <w:i w:val="1"/>
          <w:iCs w:val="1"/>
          <w:color w:val="auto"/>
        </w:rPr>
        <w:t>In the past, we have identified conditions and events that raise substantial doubt about our ability to continue as a going concern and it is possible that we may identify conditions and events in the future that raise substantial doubt about our ability to continue as a going concern.</w:t>
      </w:r>
    </w:p>
    <w:p>
      <w:pPr>
        <w:spacing w:after="0" w:line="16" w:lineRule="exact"/>
        <w:rPr>
          <w:sz w:val="20"/>
          <w:szCs w:val="20"/>
          <w:color w:val="auto"/>
        </w:rPr>
      </w:pPr>
    </w:p>
    <w:p>
      <w:pPr>
        <w:ind w:right="40" w:firstLine="555"/>
        <w:spacing w:after="0" w:line="269" w:lineRule="auto"/>
        <w:rPr>
          <w:sz w:val="20"/>
          <w:szCs w:val="20"/>
          <w:color w:val="auto"/>
        </w:rPr>
      </w:pPr>
      <w:r>
        <w:rPr>
          <w:rFonts w:ascii="Arial" w:cs="Arial" w:eastAsia="Arial" w:hAnsi="Arial"/>
          <w:sz w:val="17"/>
          <w:szCs w:val="17"/>
          <w:color w:val="auto"/>
        </w:rPr>
        <w:t>Previously, we have identified conditions and events that raise substantial doubt about our ability to continue as a going concern, and our independent registered public accounting firm’s report on our consolidated financial statements as of and for the year ended December 31, 2018 that was issued prior to our IPO included a going concern uncertainty paragraph. With the completion of our IPO, we believe that our existing cash and cash equivalents as of December 31, 2019 will enable us to fund our operating expenses and capital expenditure requirements into the third quarter of 2021. However, we have based this estimate on assumptions that may prove to be wrong, and we could exhaust our available capital resources sooner than we expect. In the future, if we are unable to obtain sufficient funding to support our operations, we could be forced to delay, reduce or eliminate all of our research and development programs, product portfolio expansion or commercialization efforts, and our financial condition and results of operations will be materially and adversely affected and we may be unable to continue as a going concern. In the future, reports from our independent registered public accounting firm may also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use our NOLs and research and development tax credit carryforwards to offset future taxable income may be subject to certain limitations.</w:t>
      </w:r>
    </w:p>
    <w:p>
      <w:pPr>
        <w:spacing w:after="0" w:line="152"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As of December 31, 2019, we had federal and state net operating loss carryforwards of $111.6 million and $111.1 million, respectively, which begin to expire in 2035. Approximately $80.6 million of the federal net operating losses can be carried forward indefinitely. As of December 31, 2019, we also had federal and state research and development tax credit carryforwards of $2.8 million and $2.4 million, respectively, which begin to expire in 2035 and 2030, respectively. These net operating loss and tax credit carryforwards could expire unused and be unavailable to offset future income tax liabilities.</w:t>
      </w:r>
    </w:p>
    <w:p>
      <w:pPr>
        <w:spacing w:after="0" w:line="154" w:lineRule="exact"/>
        <w:rPr>
          <w:sz w:val="20"/>
          <w:szCs w:val="20"/>
          <w:color w:val="auto"/>
        </w:rPr>
      </w:pPr>
    </w:p>
    <w:p>
      <w:pPr>
        <w:ind w:right="120" w:firstLine="555"/>
        <w:spacing w:after="0" w:line="308" w:lineRule="auto"/>
        <w:rPr>
          <w:sz w:val="20"/>
          <w:szCs w:val="20"/>
          <w:color w:val="auto"/>
        </w:rPr>
      </w:pPr>
      <w:r>
        <w:rPr>
          <w:rFonts w:ascii="Arial" w:cs="Arial" w:eastAsia="Arial" w:hAnsi="Arial"/>
          <w:sz w:val="17"/>
          <w:szCs w:val="17"/>
          <w:color w:val="auto"/>
        </w:rPr>
        <w:t>We have a history of cumulative losses and anticipate that we will continue to incur significant losses in the foreseeable future; thus, we do not know whether or when we will generate taxable income necessary to utilize our NOLs or research and development tax credit carryforwards.</w:t>
      </w:r>
    </w:p>
    <w:p>
      <w:pPr>
        <w:spacing w:after="0" w:line="147"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In general, under Section 382 of the Code and corresponding provisions of state law, a corporation that undergoes an “ownership change” is subject to limitations on its ability to utilize its pre-change NOLs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(which may be outside our control). As a result, if, and to the extent that, we earn net taxable income, our ability to use our pre-change NOLs and research and development tax credit carryforwards to offset such taxable income may be subject to limitations. Our NOLs or credits may also be impaired under state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We are early in our development efforts, and we only have one product candidate in clinical trials. Our other product candidate is in IND-enabling studies. If we are unable to commercialize our product candidates or experience significant delays in doing so, our business will be materially harmed.</w:t>
      </w:r>
    </w:p>
    <w:p>
      <w:pPr>
        <w:spacing w:after="0" w:line="1"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We are early in our development efforts, and we have advanced only one candidate into clinical trials, losmapimod for the treatment of facioscapulohumeral muscular dystrophy, or FSHD. FTX-6058, our other product candidate, is in IND-enabling studies. We have invested substantially all of our efforts and financial resources in our proprietary product engine to identify and validate cellular drug targets that can potentially modulate gene expression to address the root cause of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85" w:lineRule="exact"/>
        <w:rPr>
          <w:sz w:val="20"/>
          <w:szCs w:val="20"/>
          <w:color w:val="auto"/>
        </w:rPr>
      </w:pPr>
    </w:p>
    <w:p>
      <w:pPr>
        <w:ind w:left="960" w:hanging="39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117" w:lineRule="exact"/>
        <w:rPr>
          <w:rFonts w:ascii="Arial" w:cs="Arial" w:eastAsia="Arial" w:hAnsi="Arial"/>
          <w:sz w:val="18"/>
          <w:szCs w:val="18"/>
          <w:color w:val="auto"/>
        </w:rPr>
      </w:pPr>
    </w:p>
    <w:p>
      <w:pPr>
        <w:ind w:left="960" w:right="100" w:hanging="398"/>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allowance by the FDA or other regulatory agencies of the INDs, clinical trial applications, or CTAs, or other regulatory filings for losmapimod, FTX-6058 and future product candidates;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2" w:name="page63"/>
    <w:bookmarkEnd w:id="62"/>
    <w:p>
      <w:pPr>
        <w:ind w:left="960" w:hanging="398"/>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117" w:lineRule="exact"/>
        <w:rPr>
          <w:rFonts w:ascii="Arial" w:cs="Arial" w:eastAsia="Arial" w:hAnsi="Arial"/>
          <w:sz w:val="18"/>
          <w:szCs w:val="18"/>
          <w:color w:val="auto"/>
        </w:rPr>
      </w:pPr>
    </w:p>
    <w:p>
      <w:pPr>
        <w:ind w:left="960" w:right="220" w:hanging="398"/>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obtaining and maintaining coverage, adequate pricing and adequate reimbursement from third-party payors, including government payors;</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117"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with our product engine, including those subject to our collaboration with Acceleron, advance any of these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3"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We have one product candidate in clinical development and one product candidate in IND-enabling studies.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begun or completed a pivotal clinical trial of any product candidate. 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92" w:lineRule="exact"/>
        <w:rPr>
          <w:sz w:val="20"/>
          <w:szCs w:val="20"/>
          <w:color w:val="auto"/>
        </w:rPr>
      </w:pPr>
    </w:p>
    <w:p>
      <w:pPr>
        <w:ind w:right="100" w:firstLine="555"/>
        <w:spacing w:after="0" w:line="271" w:lineRule="auto"/>
        <w:rPr>
          <w:sz w:val="20"/>
          <w:szCs w:val="20"/>
          <w:color w:val="auto"/>
        </w:rPr>
      </w:pPr>
      <w:r>
        <w:rPr>
          <w:rFonts w:ascii="Arial" w:cs="Arial" w:eastAsia="Arial" w:hAnsi="Arial"/>
          <w:sz w:val="17"/>
          <w:szCs w:val="17"/>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3" w:name="page64"/>
    <w:bookmarkEnd w:id="63"/>
    <w:p>
      <w:pPr>
        <w:ind w:firstLine="555"/>
        <w:spacing w:after="0" w:line="286" w:lineRule="auto"/>
        <w:rPr>
          <w:sz w:val="20"/>
          <w:szCs w:val="20"/>
          <w:color w:val="auto"/>
        </w:rPr>
      </w:pPr>
      <w:r>
        <w:rPr>
          <w:rFonts w:ascii="Arial" w:cs="Arial" w:eastAsia="Arial" w:hAnsi="Arial"/>
          <w:sz w:val="16"/>
          <w:szCs w:val="16"/>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Losmapimod may not be effective at reducing DUX4-driven gene expression or, even if losmapimod successfully reduces expression of DUX4-driven genes, such reduction may not result in overall clinical benefit.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7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In February 2019, we entered into a right of reference and license agreement, or the GSK Agreement, with affiliates of GSK pursuant to which, among other things, GSK granted us a right of reference to certain INDs filed with the FDA and controlled by GSK or its affiliates relating to losmapimod and an exclusive worldwide license to certain of GSK’s preclinical and clinical data with respect to losmapimod. Although losmapimod was originally evaluated by GSK in nearly 3,500 subjects, GSK did not evaluate losmapimod in FSHD or in any other muscular dystrophy, and most of the subjects in these trials were given a dose that was lower than our planned dosage of 15 mg of losmapimod twice per day, so the safety data generated from GSK’s clinical trials of losmapimod may not be predictive or indicative of the results of our clinical trials. Similarly, while we believe the safety data from GSK’s clinical trials may, in part, enable us to apply for accelerated approval, there can be no assurance that this will happen. Regulatory authorities may also raise questions regarding the transition in the future from GSK-manufactured tablets to tablets manufactured by us or another party, and we may be required to conduct comparability assessments, which could result in delays in development and additional costs.</w:t>
      </w:r>
    </w:p>
    <w:p>
      <w:pPr>
        <w:spacing w:after="0" w:line="182"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960" w:right="300" w:hanging="398"/>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960" w:right="20" w:hanging="398"/>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960" w:right="460" w:hanging="398"/>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62" w:lineRule="exact"/>
        <w:rPr>
          <w:rFonts w:ascii="Arial" w:cs="Arial" w:eastAsia="Arial" w:hAnsi="Arial"/>
          <w:sz w:val="18"/>
          <w:szCs w:val="18"/>
          <w:color w:val="auto"/>
        </w:rPr>
      </w:pPr>
    </w:p>
    <w:p>
      <w:pPr>
        <w:ind w:left="960" w:right="500" w:hanging="398"/>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960" w:right="480" w:hanging="398"/>
        <w:spacing w:after="0" w:line="342"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 w:lineRule="exact"/>
        <w:rPr>
          <w:rFonts w:ascii="Arial" w:cs="Arial" w:eastAsia="Arial" w:hAnsi="Arial"/>
          <w:sz w:val="16"/>
          <w:szCs w:val="16"/>
          <w:color w:val="auto"/>
        </w:rPr>
      </w:pPr>
    </w:p>
    <w:p>
      <w:pPr>
        <w:ind w:left="960" w:right="220" w:hanging="398"/>
        <w:spacing w:after="0" w:line="264"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73" w:lineRule="exact"/>
        <w:rPr>
          <w:rFonts w:ascii="Arial" w:cs="Arial" w:eastAsia="Arial" w:hAnsi="Arial"/>
          <w:sz w:val="18"/>
          <w:szCs w:val="18"/>
          <w:color w:val="auto"/>
        </w:rPr>
      </w:pPr>
    </w:p>
    <w:p>
      <w:pPr>
        <w:ind w:left="960" w:right="220" w:hanging="398"/>
        <w:spacing w:after="0" w:line="308" w:lineRule="auto"/>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960" w:right="140" w:hanging="398"/>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4" w:name="page65"/>
    <w:bookmarkEnd w:id="64"/>
    <w:p>
      <w:pPr>
        <w:ind w:left="960" w:right="560" w:hanging="398"/>
        <w:spacing w:after="0" w:line="342"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5" w:lineRule="exact"/>
        <w:rPr>
          <w:rFonts w:ascii="Arial" w:cs="Arial" w:eastAsia="Arial" w:hAnsi="Arial"/>
          <w:sz w:val="16"/>
          <w:szCs w:val="16"/>
          <w:color w:val="auto"/>
        </w:rPr>
      </w:pPr>
    </w:p>
    <w:p>
      <w:pPr>
        <w:ind w:left="960" w:right="360" w:hanging="398"/>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960" w:right="800" w:hanging="398"/>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960" w:right="80" w:hanging="398"/>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 and</w:t>
      </w:r>
    </w:p>
    <w:p>
      <w:pPr>
        <w:spacing w:after="0" w:line="62" w:lineRule="exact"/>
        <w:rPr>
          <w:rFonts w:ascii="Arial" w:cs="Arial" w:eastAsia="Arial" w:hAnsi="Arial"/>
          <w:sz w:val="18"/>
          <w:szCs w:val="18"/>
          <w:color w:val="auto"/>
        </w:rPr>
      </w:pPr>
    </w:p>
    <w:p>
      <w:pPr>
        <w:ind w:left="960" w:right="580" w:hanging="398"/>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170"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3" w:lineRule="exact"/>
        <w:rPr>
          <w:sz w:val="20"/>
          <w:szCs w:val="20"/>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73"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There are currently no therapies approved to treat FSHD, and there may be no therapies approved to treat the underlying causes of diseases that we attempt to address or may address in the future.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such as the optimized time up and go test we intend to use in our losmapimod clinical trials, which we refer to as the FSHD-TUG test,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 Additionally, if we pursue accelerated approval for certain product candidates, the FDA or another regulatory authority may determine that the biomarker efficacy endpoint we select for evaluation is not sufficiently predictive of clinical benefit to support accelerated approval. For example, if we pursue accelerated approval with the FDA for losmapimod for the treatment of FSHD, the FDA may determine that our proposed biomarker efficacy endpoint of measuring DUX4-driven gene expression as a biomarker in muscle biopsies is inadequate to accurately capture treatment effects in muscle over time or is not sufficiently predictive of clinical benefit to support accelerated approval. The FDA may also determine that the measurement interval for our Phase 2b clinical trial is too short to evaluate the potential clinical benefit of losmapimod for FSHD where the progression of symptoms is relatively slow and chronic dosing is required.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5" w:name="page66"/>
    <w:bookmarkEnd w:id="65"/>
    <w:p>
      <w:pPr>
        <w:ind w:right="40" w:firstLine="555"/>
        <w:spacing w:after="0" w:line="255" w:lineRule="auto"/>
        <w:rPr>
          <w:sz w:val="20"/>
          <w:szCs w:val="20"/>
          <w:color w:val="auto"/>
        </w:rPr>
      </w:pPr>
      <w:r>
        <w:rPr>
          <w:rFonts w:ascii="Arial" w:cs="Arial" w:eastAsia="Arial" w:hAnsi="Arial"/>
          <w:sz w:val="18"/>
          <w:szCs w:val="18"/>
          <w:color w:val="auto"/>
        </w:rPr>
        <w:t>Even if the FDA does find our clinical trial success criteria to be sufficiently validated and clinically meaningful,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primary endpoint, if we do not do so on our secondary efficacy endpoints.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rare diseases, we may have difficulty enrolling a sufficient number of eligible patients.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117" w:lineRule="exact"/>
        <w:rPr>
          <w:sz w:val="20"/>
          <w:szCs w:val="20"/>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225" w:lineRule="exact"/>
        <w:rPr>
          <w:sz w:val="20"/>
          <w:szCs w:val="20"/>
          <w:color w:val="auto"/>
        </w:rPr>
      </w:pPr>
    </w:p>
    <w:p>
      <w:pPr>
        <w:ind w:right="220" w:firstLine="555"/>
        <w:spacing w:after="0" w:line="259"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limit our ability to obtain additional financing.</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62"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ind w:firstLine="555"/>
        <w:spacing w:after="0" w:line="255" w:lineRule="auto"/>
        <w:rPr>
          <w:sz w:val="20"/>
          <w:szCs w:val="20"/>
          <w:color w:val="auto"/>
        </w:rPr>
      </w:pPr>
      <w:r>
        <w:rPr>
          <w:rFonts w:ascii="Arial" w:cs="Arial" w:eastAsia="Arial" w:hAnsi="Arial"/>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30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6"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80" w:lineRule="exact"/>
        <w:rPr>
          <w:sz w:val="20"/>
          <w:szCs w:val="20"/>
          <w:color w:val="auto"/>
        </w:rPr>
      </w:pPr>
    </w:p>
    <w:p>
      <w:pPr>
        <w:ind w:left="960" w:hanging="39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requirement that we implement a REMS or create a medication guide outlining the risks of such side effects for distribution to patients;</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25"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00" w:firstLine="555"/>
        <w:spacing w:after="0" w:line="290"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disorders, hemoglobinopathies and central nervous system diseases.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67" w:name="page68"/>
    <w:bookmarkEnd w:id="67"/>
    <w:p>
      <w:pPr>
        <w:ind w:right="340"/>
        <w:spacing w:after="0" w:line="264" w:lineRule="auto"/>
        <w:rPr>
          <w:sz w:val="20"/>
          <w:szCs w:val="20"/>
          <w:color w:val="auto"/>
        </w:rPr>
      </w:pPr>
      <w:r>
        <w:rPr>
          <w:rFonts w:ascii="Arial" w:cs="Arial" w:eastAsia="Arial" w:hAnsi="Arial"/>
          <w:sz w:val="18"/>
          <w:szCs w:val="18"/>
          <w:b w:val="1"/>
          <w:bCs w:val="1"/>
          <w:i w:val="1"/>
          <w:iCs w:val="1"/>
          <w:color w:val="auto"/>
        </w:rPr>
        <w:t>We are conducting Phase 2b and Phase 2 open label clinical trials of losmapimod in patients with FSHD in Europe and currently plan to conduct additional clinical trials for our product candidates at sites outside the United States, and the FDA may not accept data from trials conducted in such locations.</w:t>
      </w:r>
    </w:p>
    <w:p>
      <w:pPr>
        <w:spacing w:after="0" w:line="73"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We are currently conducting Phase 2b and Phase 2 open label clinical trials of losmapimod in patients with FSHD in Europe, and we plan to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73"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0" w:lineRule="exact"/>
        <w:rPr>
          <w:sz w:val="20"/>
          <w:szCs w:val="20"/>
          <w:color w:val="auto"/>
        </w:rPr>
      </w:pPr>
    </w:p>
    <w:p>
      <w:pPr>
        <w:ind w:left="960" w:hanging="398"/>
        <w:spacing w:after="0"/>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efficacy and potential advantages of our product candidates compared to the advantages and relative risks of alternative treatments;</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960" w:right="100" w:hanging="398"/>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8" w:name="page69"/>
    <w:bookmarkEnd w:id="68"/>
    <w:p>
      <w:pPr>
        <w:ind w:firstLine="555"/>
        <w:spacing w:after="0" w:line="286" w:lineRule="auto"/>
        <w:rPr>
          <w:sz w:val="20"/>
          <w:szCs w:val="20"/>
          <w:color w:val="auto"/>
        </w:rPr>
      </w:pPr>
      <w:r>
        <w:rPr>
          <w:rFonts w:ascii="Arial" w:cs="Arial" w:eastAsia="Arial" w:hAnsi="Arial"/>
          <w:sz w:val="16"/>
          <w:szCs w:val="16"/>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We commissioned Clarion Healthcare, LLC to conduct market research with physicians and payors to better understand the commercial landscape and to assist in our commercial planning. A total of 14 physicians in the United States, the European Union and Asia and nine payors and payor experts in the United States and the European Union were surveyed. As the survey involved a limited number of physicians and payors, the results from such survey may be less reflective of market opportunity than a survey conducted with a larger sample size.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28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38" w:lineRule="exact"/>
        <w:rPr>
          <w:sz w:val="20"/>
          <w:szCs w:val="20"/>
          <w:color w:val="auto"/>
        </w:rPr>
      </w:pPr>
    </w:p>
    <w:p>
      <w:pPr>
        <w:ind w:right="340" w:firstLine="555"/>
        <w:spacing w:after="0" w:line="264"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81"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960" w:right="240" w:hanging="398"/>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960" w:hanging="398"/>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rFonts w:ascii="Arial" w:cs="Arial" w:eastAsia="Arial" w:hAnsi="Arial"/>
          <w:sz w:val="16"/>
          <w:szCs w:val="16"/>
          <w:color w:val="auto"/>
        </w:rPr>
      </w:pPr>
    </w:p>
    <w:p>
      <w:pPr>
        <w:ind w:left="960" w:hanging="39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960" w:right="40" w:hanging="398"/>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ind w:right="80" w:firstLine="555"/>
        <w:spacing w:after="0" w:line="273" w:lineRule="auto"/>
        <w:rPr>
          <w:sz w:val="20"/>
          <w:szCs w:val="20"/>
          <w:color w:val="auto"/>
        </w:rPr>
      </w:pPr>
      <w:r>
        <w:rPr>
          <w:rFonts w:ascii="Arial" w:cs="Arial" w:eastAsia="Arial" w:hAnsi="Arial"/>
          <w:sz w:val="17"/>
          <w:szCs w:val="17"/>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87"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152" w:lineRule="exact"/>
        <w:rPr>
          <w:sz w:val="20"/>
          <w:szCs w:val="20"/>
          <w:color w:val="auto"/>
        </w:rPr>
      </w:pPr>
    </w:p>
    <w:p>
      <w:pPr>
        <w:ind w:right="80" w:firstLine="555"/>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9"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For example, we are aware of several product candidates in clinical development that could be competitive with product candidates that we may successfully develop and commercialize. bluebird bio, Inc., Aruvant Sciences, Inc., EpiDestiny, Inc., or EpiDestiny (in collaboration with Novo Nordisk A/S), Imara, Inc. and Sangamo Therapeutics Inc., or Sangamo (in collaboration with Bioverativ Inc.), are developing therapeutic approaches for patients with sickle cell disease, or SCD. Acceleron (in collaboration with Celgene Corp.), Bellicum Pharmaceuticals, Inc., Kiadis Pharma, EpiDestiny (in collaboration with Novo Nordisk A/S), Orchard Therapeutics plc, Sangamo (in collaboration with Bioverativ, Inc.) and CRISPR Therapeutics AG (in collaboration with Vertex Pharmaceuticals, Inc.) are developing therapeutic approaches for patients with ß-thalassemia.</w:t>
      </w:r>
    </w:p>
    <w:p>
      <w:pPr>
        <w:spacing w:after="0" w:line="178"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93"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181"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ind w:right="20"/>
        <w:spacing w:after="0" w:line="286" w:lineRule="auto"/>
        <w:rPr>
          <w:sz w:val="20"/>
          <w:szCs w:val="20"/>
          <w:color w:val="auto"/>
        </w:rPr>
      </w:pPr>
      <w:r>
        <w:rPr>
          <w:rFonts w:ascii="Arial" w:cs="Arial" w:eastAsia="Arial" w:hAnsi="Arial"/>
          <w:sz w:val="17"/>
          <w:szCs w:val="17"/>
          <w:b w:val="1"/>
          <w:bCs w:val="1"/>
          <w:i w:val="1"/>
          <w:iCs w:val="1"/>
          <w:color w:val="auto"/>
        </w:rPr>
        <w:t>If the market opportunities for our product candidates are smaller than we believe they are, our revenue may be adversely affected, and our business may suffer. Because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57"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83"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Our target patient populations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95"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We expect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1" w:lineRule="exact"/>
        <w:rPr>
          <w:sz w:val="20"/>
          <w:szCs w:val="20"/>
          <w:color w:val="auto"/>
        </w:rPr>
      </w:pPr>
    </w:p>
    <w:p>
      <w:pPr>
        <w:ind w:right="60" w:firstLine="555"/>
        <w:spacing w:after="0" w:line="287" w:lineRule="auto"/>
        <w:rPr>
          <w:sz w:val="20"/>
          <w:szCs w:val="20"/>
          <w:color w:val="auto"/>
        </w:rPr>
      </w:pPr>
      <w:r>
        <w:rPr>
          <w:rFonts w:ascii="Arial" w:cs="Arial" w:eastAsia="Arial" w:hAnsi="Arial"/>
          <w:sz w:val="16"/>
          <w:szCs w:val="16"/>
          <w:color w:val="auto"/>
        </w:rPr>
        <w:t>We expect to rely on third parties to manufacture clinical supplies of our product candidates and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 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These facilities may also be affected by natural disasters, such as floods or fire, as well as public health issues (for example, an outbreak of a contagious disease such as the novel coronavirus), or such facilities could face manufacturing issues, such as contamination or regulatory concerns following a regulatory inspection of such facility. In such instances, we may need to locate an appropriate replacement third-party facility and establish a contractual relationship, which may not be readily available or on acceptable terms, which would cause additional delay and increased expense, including as a result of additional required FDA approvals, and may have a material adverse effect on our business.</w:t>
      </w:r>
    </w:p>
    <w:p>
      <w:pPr>
        <w:spacing w:after="0" w:line="173"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171"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1" w:name="page72"/>
    <w:bookmarkEnd w:id="71"/>
    <w:p>
      <w:pPr>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62"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79"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80" w:lineRule="exact"/>
        <w:rPr>
          <w:sz w:val="20"/>
          <w:szCs w:val="20"/>
          <w:color w:val="auto"/>
        </w:rPr>
      </w:pPr>
    </w:p>
    <w:p>
      <w:pPr>
        <w:ind w:right="80" w:firstLine="555"/>
        <w:spacing w:after="0" w:line="269"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jc w:val="both"/>
        <w:ind w:right="100" w:firstLine="555"/>
        <w:spacing w:after="0" w:line="312" w:lineRule="auto"/>
        <w:rPr>
          <w:sz w:val="20"/>
          <w:szCs w:val="20"/>
          <w:color w:val="auto"/>
        </w:rPr>
      </w:pPr>
      <w:r>
        <w:rPr>
          <w:rFonts w:ascii="Arial" w:cs="Arial" w:eastAsia="Arial" w:hAnsi="Arial"/>
          <w:sz w:val="16"/>
          <w:szCs w:val="16"/>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ind w:right="28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European Union. If we commercialize our product candidates in foreign markets, we will be subject to additional risks and uncertainties, including:</w:t>
      </w:r>
    </w:p>
    <w:p>
      <w:pPr>
        <w:spacing w:after="0" w:line="114" w:lineRule="exact"/>
        <w:rPr>
          <w:sz w:val="20"/>
          <w:szCs w:val="20"/>
          <w:color w:val="auto"/>
        </w:rPr>
      </w:pPr>
    </w:p>
    <w:p>
      <w:pPr>
        <w:ind w:left="960" w:hanging="39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17" w:lineRule="exact"/>
        <w:rPr>
          <w:rFonts w:ascii="Arial" w:cs="Arial" w:eastAsia="Arial" w:hAnsi="Arial"/>
          <w:sz w:val="18"/>
          <w:szCs w:val="18"/>
          <w:color w:val="auto"/>
        </w:rPr>
      </w:pPr>
    </w:p>
    <w:p>
      <w:pPr>
        <w:ind w:left="960" w:right="200" w:hanging="398"/>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 trade protection measures, import or export licensing requirements or other restrictive actions by U.S. or foreign governments;</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 and related prevalence of generic alternatives to therapeutics;</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risks related to any of these uncertainties materializes, it could have a material adverse effect on our business.</w:t>
      </w:r>
    </w:p>
    <w:p>
      <w:pPr>
        <w:spacing w:after="0" w:line="33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62"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0" w:lineRule="exact"/>
        <w:rPr>
          <w:sz w:val="20"/>
          <w:szCs w:val="20"/>
          <w:color w:val="auto"/>
        </w:rPr>
      </w:pPr>
    </w:p>
    <w:p>
      <w:pPr>
        <w:ind w:left="960" w:hanging="39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3" w:name="page74"/>
    <w:bookmarkEnd w:id="73"/>
    <w:p>
      <w:pPr>
        <w:ind w:right="60" w:firstLine="555"/>
        <w:spacing w:after="0" w:line="255" w:lineRule="auto"/>
        <w:rPr>
          <w:sz w:val="20"/>
          <w:szCs w:val="20"/>
          <w:color w:val="auto"/>
        </w:rPr>
      </w:pPr>
      <w:r>
        <w:rPr>
          <w:rFonts w:ascii="Arial" w:cs="Arial" w:eastAsia="Arial" w:hAnsi="Arial"/>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62"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We currently rely on third-party clinical research organizations to conduct our ongoing Phase 2b and Phase 2 open label clinical trials of losmapimod and plan to rely on third-party clinical research organizations or third-party research collaboratives to conduct our planned clinical trials. We do not plan to independently conduct clinical trials of our other product candidates. We expect to continue to rely on third parties, such as clinical research organizations,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93"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89"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187" w:lineRule="exact"/>
        <w:rPr>
          <w:sz w:val="20"/>
          <w:szCs w:val="20"/>
          <w:color w:val="auto"/>
        </w:rPr>
      </w:pPr>
    </w:p>
    <w:p>
      <w:pPr>
        <w:jc w:val="both"/>
        <w:ind w:right="340" w:firstLine="555"/>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9"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We plan to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39"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We do not have any manufacturing facilities. Although we believe we have obtained sufficient losmapimod tablets from GSK to complete our ongoing Phase 2 clinical trials and that we have received a sufficient quantity of losmapimod API to complete further clinical trials in FSHD, we cannot be sure we have correctly estimated our drug product and API requirements or that such drug product or API will not expire before we want to use it. We have also engaged a contract manufacturing organization to prepare our own API and to manufacture losmapimod tablets. While we believe that we have all the necessary information from GSK to enable any required technology transfer to a contract manufacturing organization, there can be no assurances that we will be able to effect such transfer in a timely manner.</w:t>
      </w:r>
    </w:p>
    <w:p>
      <w:pPr>
        <w:spacing w:after="0" w:line="193"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We expect to rely on third parties for the manufacture of FTX-6058 and any future product candidates for preclinical and clinical testing, as well as for commercial manufacture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4" w:name="page75"/>
    <w:bookmarkEnd w:id="74"/>
    <w:p>
      <w:pPr>
        <w:ind w:firstLine="555"/>
        <w:spacing w:after="0" w:line="259" w:lineRule="auto"/>
        <w:rPr>
          <w:sz w:val="20"/>
          <w:szCs w:val="20"/>
          <w:color w:val="auto"/>
        </w:rPr>
      </w:pPr>
      <w:r>
        <w:rPr>
          <w:rFonts w:ascii="Arial" w:cs="Arial" w:eastAsia="Arial" w:hAnsi="Arial"/>
          <w:sz w:val="18"/>
          <w:szCs w:val="18"/>
          <w:color w:val="auto"/>
        </w:rPr>
        <w:t>We also expect to rely on third-party manufacturers or third-party collaborators for the manufacture of commercial supply of any other product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79" w:lineRule="exact"/>
        <w:rPr>
          <w:sz w:val="20"/>
          <w:szCs w:val="20"/>
          <w:color w:val="auto"/>
        </w:rPr>
      </w:pPr>
    </w:p>
    <w:p>
      <w:pPr>
        <w:ind w:left="960" w:hanging="398"/>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8" w:lineRule="exact"/>
        <w:rPr>
          <w:sz w:val="20"/>
          <w:szCs w:val="20"/>
          <w:color w:val="auto"/>
        </w:rPr>
      </w:pPr>
    </w:p>
    <w:p>
      <w:pPr>
        <w:ind w:right="120" w:firstLine="555"/>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24"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71" w:lineRule="exact"/>
        <w:rPr>
          <w:sz w:val="20"/>
          <w:szCs w:val="20"/>
          <w:color w:val="auto"/>
        </w:rPr>
      </w:pPr>
    </w:p>
    <w:p>
      <w:pPr>
        <w:ind w:right="80" w:firstLine="555"/>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5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have entered into, and may in the future enter into, collaborations with third parties for the development or commercialization of our product candidates. If our collaborations are not successful, we may not be able to capitalize on the market potential of these product candidates and our business could be adversely affected.</w:t>
      </w:r>
    </w:p>
    <w:p>
      <w:pPr>
        <w:spacing w:after="0" w:line="73"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In December 2019, we entered into a collaboration and license agreement with Acceleron to identify biological targets to modulate specific pathways associated with a targeted indication within the pulmonary disease space.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5" w:name="page76"/>
    <w:bookmarkEnd w:id="75"/>
    <w:p>
      <w:pPr>
        <w:ind w:right="440" w:firstLine="555"/>
        <w:spacing w:after="0" w:line="277" w:lineRule="auto"/>
        <w:rPr>
          <w:sz w:val="20"/>
          <w:szCs w:val="20"/>
          <w:color w:val="auto"/>
        </w:rPr>
      </w:pPr>
      <w:r>
        <w:rPr>
          <w:rFonts w:ascii="Arial" w:cs="Arial" w:eastAsia="Arial" w:hAnsi="Arial"/>
          <w:sz w:val="18"/>
          <w:szCs w:val="18"/>
          <w:color w:val="auto"/>
        </w:rPr>
        <w:t>Collaborations that we enter into, including our collaboration with Acceleron, may not be successful, and any success will depend heavily on the efforts and activities of such collaborators. Collaborations pose a number of risks, including the following:</w:t>
      </w:r>
    </w:p>
    <w:p>
      <w:pPr>
        <w:spacing w:after="0" w:line="62" w:lineRule="exact"/>
        <w:rPr>
          <w:sz w:val="20"/>
          <w:szCs w:val="20"/>
          <w:color w:val="auto"/>
        </w:rPr>
      </w:pPr>
    </w:p>
    <w:p>
      <w:pPr>
        <w:ind w:left="960" w:right="1020" w:hanging="398"/>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960" w:right="380" w:hanging="398"/>
        <w:spacing w:after="0" w:line="264"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73" w:lineRule="exact"/>
        <w:rPr>
          <w:rFonts w:ascii="Arial" w:cs="Arial" w:eastAsia="Arial" w:hAnsi="Arial"/>
          <w:sz w:val="18"/>
          <w:szCs w:val="18"/>
          <w:color w:val="auto"/>
        </w:rPr>
      </w:pPr>
    </w:p>
    <w:p>
      <w:pPr>
        <w:ind w:left="960" w:right="240" w:hanging="398"/>
        <w:spacing w:after="0" w:line="286" w:lineRule="auto"/>
        <w:tabs>
          <w:tab w:leader="none" w:pos="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57" w:lineRule="exact"/>
        <w:rPr>
          <w:rFonts w:ascii="Arial" w:cs="Arial" w:eastAsia="Arial" w:hAnsi="Arial"/>
          <w:sz w:val="17"/>
          <w:szCs w:val="17"/>
          <w:color w:val="auto"/>
        </w:rPr>
      </w:pPr>
    </w:p>
    <w:p>
      <w:pPr>
        <w:ind w:left="960" w:right="700" w:hanging="398"/>
        <w:spacing w:after="0" w:line="308" w:lineRule="auto"/>
        <w:tabs>
          <w:tab w:leader="none" w:pos="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960" w:right="260" w:hanging="398"/>
        <w:spacing w:after="0" w:line="264"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73" w:lineRule="exact"/>
        <w:rPr>
          <w:rFonts w:ascii="Arial" w:cs="Arial" w:eastAsia="Arial" w:hAnsi="Arial"/>
          <w:sz w:val="18"/>
          <w:szCs w:val="18"/>
          <w:color w:val="auto"/>
        </w:rPr>
      </w:pPr>
    </w:p>
    <w:p>
      <w:pPr>
        <w:ind w:left="960" w:hanging="398"/>
        <w:spacing w:after="0" w:line="264"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960" w:right="120" w:hanging="398"/>
        <w:spacing w:after="0" w:line="308" w:lineRule="auto"/>
        <w:tabs>
          <w:tab w:leader="none" w:pos="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960" w:right="80" w:hanging="398"/>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960" w:right="120" w:hanging="398"/>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960" w:right="20" w:hanging="398"/>
        <w:spacing w:after="0" w:line="259"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960" w:right="240" w:hanging="398"/>
        <w:spacing w:after="0" w:line="264"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73" w:lineRule="exact"/>
        <w:rPr>
          <w:rFonts w:ascii="Arial" w:cs="Arial" w:eastAsia="Arial" w:hAnsi="Arial"/>
          <w:sz w:val="18"/>
          <w:szCs w:val="18"/>
          <w:color w:val="auto"/>
        </w:rPr>
      </w:pPr>
    </w:p>
    <w:p>
      <w:pPr>
        <w:ind w:left="960" w:hanging="398"/>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17" w:lineRule="exact"/>
        <w:rPr>
          <w:rFonts w:ascii="Arial" w:cs="Arial" w:eastAsia="Arial" w:hAnsi="Arial"/>
          <w:sz w:val="18"/>
          <w:szCs w:val="18"/>
          <w:color w:val="auto"/>
        </w:rPr>
      </w:pPr>
    </w:p>
    <w:p>
      <w:pPr>
        <w:ind w:left="960" w:right="100" w:hanging="398"/>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62" w:lineRule="exact"/>
        <w:rPr>
          <w:rFonts w:ascii="Arial" w:cs="Arial" w:eastAsia="Arial" w:hAnsi="Arial"/>
          <w:sz w:val="18"/>
          <w:szCs w:val="18"/>
          <w:color w:val="auto"/>
        </w:rPr>
      </w:pPr>
    </w:p>
    <w:p>
      <w:pPr>
        <w:ind w:left="960" w:right="200" w:hanging="398"/>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6" w:name="page77"/>
    <w:bookmarkEnd w:id="76"/>
    <w:p>
      <w:pPr>
        <w:ind w:right="20" w:firstLine="555"/>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193"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62" w:lineRule="exact"/>
        <w:rPr>
          <w:sz w:val="20"/>
          <w:szCs w:val="20"/>
          <w:color w:val="auto"/>
        </w:rPr>
      </w:pPr>
    </w:p>
    <w:p>
      <w:pPr>
        <w:ind w:right="20" w:firstLine="555"/>
        <w:spacing w:after="0" w:line="268" w:lineRule="auto"/>
        <w:rPr>
          <w:sz w:val="20"/>
          <w:szCs w:val="20"/>
          <w:color w:val="auto"/>
        </w:rPr>
      </w:pPr>
      <w:r>
        <w:rPr>
          <w:rFonts w:ascii="Arial" w:cs="Arial" w:eastAsia="Arial" w:hAnsi="Arial"/>
          <w:sz w:val="17"/>
          <w:szCs w:val="17"/>
          <w:color w:val="auto"/>
        </w:rPr>
        <w:t>For some of our product candidates, we may decide to collaborate with pharmaceutical or biotechnology companies for the development and potential commercialization of those product candidates. For example, in December 2019, we entered into a collaboration and license agreement with Acceleron to identify biological targets to modulate specific pathways associated with a targeted indication within the pulmonary disease space.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85"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We are also restricted under our collaboration with Acceleron from, directly or indirectly, researching, developing, manufacturing, commercializing, using or otherwise exploiting any compound or product for the treatment, prophylaxis, or diagnosis of a targeted indication within the pulmonary disease space, other than for Acceleron, while we are performing the research activities pursuant to the research plan and for a specified period thereafter. Additionally, we are restricted under our collaboration with Acceleron from researching, developing, manufacturing, commercializing, using, or otherwise exploiting any compound or product for the treatment, prophylaxis, or diagnosis of a targeted indication within the pulmonary disease space that is directed against certain specified biological targets identified by us in the performance of the research activities while we are performing the research activities pursuant to the research plan and for a specified period thereafter.</w:t>
      </w:r>
    </w:p>
    <w:p>
      <w:pPr>
        <w:spacing w:after="0" w:line="166" w:lineRule="exact"/>
        <w:rPr>
          <w:sz w:val="20"/>
          <w:szCs w:val="20"/>
          <w:color w:val="auto"/>
        </w:rPr>
      </w:pPr>
    </w:p>
    <w:p>
      <w:pPr>
        <w:ind w:right="420" w:firstLine="555"/>
        <w:spacing w:after="0" w:line="342"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24" w:lineRule="exact"/>
        <w:rPr>
          <w:sz w:val="20"/>
          <w:szCs w:val="20"/>
          <w:color w:val="auto"/>
        </w:rPr>
      </w:pPr>
    </w:p>
    <w:p>
      <w:pPr>
        <w:ind w:right="240" w:firstLine="555"/>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39"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93"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193"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w:t>
      </w:r>
    </w:p>
    <w:p>
      <w:pPr>
        <w:spacing w:after="0" w:line="181"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Currently, our patent portfolio related to FTX-6058 is in early stages and comprises one owned PCT application. We have no issued patents related to FTX-6058 or our SCD or ß-thalassemia programs. In order to continue to pursue protection based on the PCT application, we will need to nationalize this application into corresponding foreign applications and/or U.S. non-provisional patent applications prior to the expiration deadline of the PCT application. Even then, as highlighted above, patents may never issue from our patent applications, or the scope of any patent may not be sufficient to provide a competitive advantage. With respect to losmapimod, the patents to losmapimod licensed from GSK as a composition of matter and pharmaceutical composition are expected to expire on February 10, 2023. We own one patent covering the use of losmapimod for the treatment of patients with FSHD and we own one patent covering the use of other clinical-stage p38 inhibitors for the treatment of patients with FSHD. In addition, our owned patents and patent applications pertaining to losmapimod are not to the composition but, rather, are directed to certain methods of treating FSHD. We cannot be certain that our pending patent applications related to the losmapimod program will be granted. Even if such patent applications issue as patents, they will not prevent third parties from commercializing losmapimod for other indications.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78" w:name="page79"/>
    <w:bookmarkEnd w:id="78"/>
    <w:p>
      <w:pPr>
        <w:ind w:right="40" w:firstLine="555"/>
        <w:spacing w:after="0" w:line="272" w:lineRule="auto"/>
        <w:rPr>
          <w:sz w:val="20"/>
          <w:szCs w:val="20"/>
          <w:color w:val="auto"/>
        </w:rPr>
      </w:pPr>
      <w:r>
        <w:rPr>
          <w:rFonts w:ascii="Arial" w:cs="Arial" w:eastAsia="Arial" w:hAnsi="Arial"/>
          <w:sz w:val="17"/>
          <w:szCs w:val="17"/>
          <w:color w:val="auto"/>
        </w:rPr>
        <w:t xml:space="preserve">Moreover, we or our licensors may be subject to a third-party preissuance submission of prior art to the United States Patent and Trademark Office, or USPTO, or become involved in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78" w:lineRule="exact"/>
        <w:rPr>
          <w:sz w:val="20"/>
          <w:szCs w:val="20"/>
          <w:color w:val="auto"/>
        </w:rPr>
      </w:pPr>
    </w:p>
    <w:p>
      <w:pPr>
        <w:ind w:right="20" w:firstLine="555"/>
        <w:spacing w:after="0" w:line="287"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62"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8"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9" w:name="page80"/>
    <w:bookmarkEnd w:id="79"/>
    <w:p>
      <w:pPr>
        <w:ind w:firstLine="555"/>
        <w:spacing w:after="0" w:line="254" w:lineRule="auto"/>
        <w:rPr>
          <w:sz w:val="20"/>
          <w:szCs w:val="20"/>
          <w:color w:val="auto"/>
        </w:rPr>
      </w:pPr>
      <w:r>
        <w:rPr>
          <w:rFonts w:ascii="Arial" w:cs="Arial" w:eastAsia="Arial" w:hAnsi="Arial"/>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300"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If we do not obtain patent term extension in the United States under the Hatch-Waxman Act and in foreign countries under similar legislation, thereby potentially extending the term of our marketing exclusivity for any product candidates we may develop, our business may be materially harmed.</w:t>
      </w:r>
    </w:p>
    <w:p>
      <w:pPr>
        <w:spacing w:after="0" w:line="1"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69"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It is possible that we will not obtain patent term extension under the Hatch-Waxman Act for a U.S. patent covering any of our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3"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62"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0" w:name="page81"/>
    <w:bookmarkEnd w:id="80"/>
    <w:p>
      <w:pPr>
        <w:spacing w:after="0" w:line="291" w:lineRule="auto"/>
        <w:rPr>
          <w:sz w:val="20"/>
          <w:szCs w:val="20"/>
          <w:color w:val="auto"/>
        </w:rPr>
      </w:pPr>
      <w:r>
        <w:rPr>
          <w:rFonts w:ascii="Arial" w:cs="Arial" w:eastAsia="Arial" w:hAnsi="Arial"/>
          <w:sz w:val="16"/>
          <w:szCs w:val="16"/>
          <w:color w:val="auto"/>
        </w:rPr>
        <w:t xml:space="preserve">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67"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2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62" w:lineRule="exact"/>
        <w:rPr>
          <w:sz w:val="20"/>
          <w:szCs w:val="20"/>
          <w:color w:val="auto"/>
        </w:rPr>
      </w:pPr>
    </w:p>
    <w:p>
      <w:pPr>
        <w:ind w:right="20" w:firstLine="555"/>
        <w:spacing w:after="0" w:line="287"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interference proceedings, derivation proceedings, and equivalent proceedings in foreign jurisdictions (e.g., opposition proceedings). The</w:t>
      </w:r>
      <w:r>
        <w:rPr>
          <w:rFonts w:ascii="Arial" w:cs="Arial" w:eastAsia="Arial" w:hAnsi="Arial"/>
          <w:sz w:val="16"/>
          <w:szCs w:val="16"/>
          <w:i w:val="1"/>
          <w:iCs w:val="1"/>
          <w:color w:val="auto"/>
        </w:rPr>
        <w:t xml:space="preserve"> </w:t>
      </w:r>
      <w:r>
        <w:rPr>
          <w:rFonts w:ascii="Arial" w:cs="Arial" w:eastAsia="Arial" w:hAnsi="Arial"/>
          <w:sz w:val="16"/>
          <w:szCs w:val="16"/>
          <w:color w:val="auto"/>
        </w:rPr>
        <w:t>outcome following legal assertions of invalidity and unenforceability is unpredictable.</w:t>
      </w:r>
    </w:p>
    <w:p>
      <w:pPr>
        <w:spacing w:after="0" w:line="173"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89" w:lineRule="exact"/>
        <w:rPr>
          <w:sz w:val="20"/>
          <w:szCs w:val="20"/>
          <w:color w:val="auto"/>
        </w:rPr>
      </w:pPr>
    </w:p>
    <w:p>
      <w:pPr>
        <w:ind w:right="180" w:firstLine="555"/>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1" w:name="page82"/>
    <w:bookmarkEnd w:id="81"/>
    <w:p>
      <w:pPr>
        <w:ind w:right="1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62"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2"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8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82"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3" w:lineRule="exact"/>
        <w:rPr>
          <w:sz w:val="20"/>
          <w:szCs w:val="20"/>
          <w:color w:val="auto"/>
        </w:rPr>
      </w:pPr>
    </w:p>
    <w:p>
      <w:pPr>
        <w:ind w:right="80" w:firstLine="555"/>
        <w:spacing w:after="0" w:line="269" w:lineRule="auto"/>
        <w:rPr>
          <w:sz w:val="20"/>
          <w:szCs w:val="20"/>
          <w:color w:val="auto"/>
        </w:rPr>
      </w:pPr>
      <w:r>
        <w:rPr>
          <w:rFonts w:ascii="Arial" w:cs="Arial" w:eastAsia="Arial" w:hAnsi="Arial"/>
          <w:sz w:val="17"/>
          <w:szCs w:val="17"/>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82" w:name="page83"/>
    <w:bookmarkEnd w:id="82"/>
    <w:p>
      <w:pPr>
        <w:ind w:right="20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62"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90"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60" w:firstLine="555"/>
        <w:spacing w:after="0" w:line="287"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77" w:lineRule="exact"/>
        <w:rPr>
          <w:sz w:val="20"/>
          <w:szCs w:val="20"/>
          <w:color w:val="auto"/>
        </w:rPr>
      </w:pPr>
    </w:p>
    <w:p>
      <w:pPr>
        <w:ind w:right="56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 w:lineRule="exact"/>
        <w:rPr>
          <w:sz w:val="20"/>
          <w:szCs w:val="20"/>
          <w:color w:val="auto"/>
        </w:rPr>
      </w:pPr>
    </w:p>
    <w:p>
      <w:pPr>
        <w:ind w:right="20" w:firstLine="555"/>
        <w:spacing w:after="0" w:line="268" w:lineRule="auto"/>
        <w:rPr>
          <w:sz w:val="20"/>
          <w:szCs w:val="20"/>
          <w:color w:val="auto"/>
        </w:rPr>
      </w:pPr>
      <w:r>
        <w:rPr>
          <w:rFonts w:ascii="Arial" w:cs="Arial" w:eastAsia="Arial" w:hAnsi="Arial"/>
          <w:sz w:val="17"/>
          <w:szCs w:val="17"/>
          <w:color w:val="auto"/>
        </w:rPr>
        <w:t>We are party to license and funding agreements, such as the GSK Agreement, that impose, and we may enter into additional licensing and funding arrangements with third parties that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83" w:name="page84"/>
    <w:bookmarkEnd w:id="83"/>
    <w:p>
      <w:pPr>
        <w:ind w:left="5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960" w:hanging="398"/>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960" w:hanging="398"/>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960" w:right="80" w:hanging="398"/>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67"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4"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right="120" w:firstLine="555"/>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2"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4" w:name="page85"/>
    <w:bookmarkEnd w:id="84"/>
    <w:p>
      <w:pPr>
        <w:ind w:right="20" w:firstLine="555"/>
        <w:spacing w:after="0" w:line="297"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5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8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39"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8"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58"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contract research organizations, contract manufacturers,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960" w:right="80" w:hanging="398"/>
        <w:spacing w:after="0" w:line="264"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73" w:lineRule="exact"/>
        <w:rPr>
          <w:rFonts w:ascii="Arial" w:cs="Arial" w:eastAsia="Arial" w:hAnsi="Arial"/>
          <w:sz w:val="18"/>
          <w:szCs w:val="18"/>
          <w:color w:val="auto"/>
        </w:rPr>
      </w:pPr>
    </w:p>
    <w:p>
      <w:pPr>
        <w:ind w:left="960" w:hanging="398"/>
        <w:spacing w:after="0"/>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others may be able to make product candidates that are similar to ours but that are not covered by the claims of the patents that we own;</w:t>
      </w:r>
    </w:p>
    <w:p>
      <w:pPr>
        <w:spacing w:after="0" w:line="128" w:lineRule="exact"/>
        <w:rPr>
          <w:rFonts w:ascii="Arial" w:cs="Arial" w:eastAsia="Arial" w:hAnsi="Arial"/>
          <w:sz w:val="17"/>
          <w:szCs w:val="17"/>
          <w:color w:val="auto"/>
        </w:rPr>
      </w:pPr>
    </w:p>
    <w:p>
      <w:pPr>
        <w:ind w:left="960" w:hanging="398"/>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62" w:lineRule="exact"/>
        <w:rPr>
          <w:rFonts w:ascii="Arial" w:cs="Arial" w:eastAsia="Arial" w:hAnsi="Arial"/>
          <w:sz w:val="18"/>
          <w:szCs w:val="18"/>
          <w:color w:val="auto"/>
        </w:rPr>
      </w:pPr>
    </w:p>
    <w:p>
      <w:pPr>
        <w:ind w:left="960" w:right="200" w:hanging="398"/>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960" w:right="200" w:hanging="398"/>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62" w:lineRule="exact"/>
        <w:rPr>
          <w:rFonts w:ascii="Arial" w:cs="Arial" w:eastAsia="Arial" w:hAnsi="Arial"/>
          <w:sz w:val="18"/>
          <w:szCs w:val="18"/>
          <w:color w:val="auto"/>
        </w:rPr>
      </w:pPr>
    </w:p>
    <w:p>
      <w:pPr>
        <w:ind w:left="960" w:right="160" w:hanging="398"/>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auto"/>
        </w:rPr>
      </w:pPr>
    </w:p>
    <w:p>
      <w:pPr>
        <w:ind w:left="960" w:right="20" w:hanging="398"/>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960" w:right="480" w:hanging="398"/>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2" w:lineRule="exact"/>
        <w:rPr>
          <w:rFonts w:ascii="Arial" w:cs="Arial" w:eastAsia="Arial" w:hAnsi="Arial"/>
          <w:sz w:val="18"/>
          <w:szCs w:val="18"/>
          <w:color w:val="auto"/>
        </w:rPr>
      </w:pPr>
    </w:p>
    <w:p>
      <w:pPr>
        <w:ind w:left="960" w:right="100" w:hanging="398"/>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117" w:lineRule="exact"/>
        <w:rPr>
          <w:rFonts w:ascii="Arial" w:cs="Arial" w:eastAsia="Arial" w:hAnsi="Arial"/>
          <w:sz w:val="18"/>
          <w:szCs w:val="18"/>
          <w:color w:val="auto"/>
        </w:rPr>
      </w:pPr>
    </w:p>
    <w:p>
      <w:pPr>
        <w:ind w:left="960" w:right="520" w:hanging="398"/>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86" w:name="page87"/>
    <w:bookmarkEnd w:id="86"/>
    <w:p>
      <w:pPr>
        <w:ind w:left="960" w:hanging="398"/>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960" w:right="540" w:hanging="398"/>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9"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design, testing, manufacture, packaging, recordkeeping, labeling, storage, approval, advertising, promotion, sale and distribution, export, import and adverse event reporting, are subject to comprehensive regulation by the FDA and other regulatory agencies in the United States and by the EMA and similar regulatory authorities outside of the United States. Marketing approval of drugs in the United States requires the submission of a new drug application, or NDA, to the FDA and we are not permitted to market any drug candidate in the United States until we obtain approval from the FDA of the NDA for that product.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167" w:lineRule="exact"/>
        <w:rPr>
          <w:sz w:val="20"/>
          <w:szCs w:val="20"/>
          <w:color w:val="auto"/>
        </w:rPr>
      </w:pPr>
    </w:p>
    <w:p>
      <w:pPr>
        <w:ind w:right="80" w:firstLine="555"/>
        <w:spacing w:after="0" w:line="254"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92" w:lineRule="exact"/>
        <w:rPr>
          <w:sz w:val="20"/>
          <w:szCs w:val="20"/>
          <w:color w:val="auto"/>
        </w:rPr>
      </w:pPr>
    </w:p>
    <w:p>
      <w:pPr>
        <w:ind w:right="100" w:firstLine="555"/>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9"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7" w:name="page88"/>
    <w:bookmarkEnd w:id="87"/>
    <w:p>
      <w:pPr>
        <w:ind w:right="16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62"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The FDA has granted orphan drug designation to losmapimod for the treatment of FSHD. We plan to apply for orphan drug designation for our product candidates for FSHD in Europe, and we may seek orphan drug designation for our other current and future product candidates.</w:t>
      </w:r>
    </w:p>
    <w:p>
      <w:pPr>
        <w:spacing w:after="0" w:line="188"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65"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87"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w:t>
      </w:r>
    </w:p>
    <w:p>
      <w:pPr>
        <w:spacing w:after="0" w:line="117"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62" w:lineRule="exact"/>
        <w:rPr>
          <w:sz w:val="20"/>
          <w:szCs w:val="20"/>
          <w:color w:val="auto"/>
        </w:rPr>
      </w:pPr>
    </w:p>
    <w:p>
      <w:pPr>
        <w:ind w:right="100" w:firstLine="555"/>
        <w:spacing w:after="0" w:line="293"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88" w:name="page89"/>
    <w:bookmarkEnd w:id="88"/>
    <w:p>
      <w:pPr>
        <w:ind w:right="20" w:firstLine="555"/>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Even if the FDA agrees that we may pursue an accelerated approval NDA submission, that does not guarantee that the NDA will receive an accelerated approval, or a complete response letter, nor does submission of an accelerated approval NDA ensure that the product candidate will receive a faster development or regulatory review process.</w:t>
      </w:r>
    </w:p>
    <w:p>
      <w:pPr>
        <w:spacing w:after="0" w:line="73"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We may seek approval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(i.e., an intermediate clinical endpoint). The FDA or other applicable regulatory agency makes the determination regarding whether a biomarker efficacy endpoint is reasonably likely to predict long-term clinical benefit.</w:t>
      </w:r>
    </w:p>
    <w:p>
      <w:pPr>
        <w:spacing w:after="0" w:line="173"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Prior to seeking such accelerated approval, we will seek feedback from the FDA and otherwise evaluate our ability to seek and receive such accelerated approval. As a condition of approval, the FDA may require that a sponsor of a drug or biologic product candidate receiving accelerated approval perform one or more adequate and well-controlled post-marketing clinical trials. These confirmatory trials must be completed with due diligence and we may be required to evaluate different or additional endpoints in these post-marketing confirmatory trials. In addition, the FDA currently requires as a condition for accelerated approval pre-approval of promotional materials, which could adversely impact the timing of the commercial launch of the product.</w:t>
      </w:r>
    </w:p>
    <w:p>
      <w:pPr>
        <w:spacing w:after="0" w:line="158"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There can be no assurance that the FDA will agree with our biomarker efficacy endpoints or intermediate clinical endpoints, such as measuring DUX4-driven gene expression in muscle tissue biopsies or measuring the fraction of muscle tissue by replaced by fat, or that we will decide to pursue or submit an NDA for accelerated approval or any other form of expedited development, review or approval.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65"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Moreover, as noted above, for drugs granted accelerated approval, the FDA typically requires post-marketing confirmatory trials to evaluate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117"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169" w:lineRule="exact"/>
        <w:rPr>
          <w:sz w:val="20"/>
          <w:szCs w:val="20"/>
          <w:color w:val="auto"/>
        </w:rPr>
      </w:pPr>
    </w:p>
    <w:p>
      <w:pPr>
        <w:ind w:right="140" w:firstLine="555"/>
        <w:spacing w:after="0" w:line="291" w:lineRule="auto"/>
        <w:rPr>
          <w:sz w:val="20"/>
          <w:szCs w:val="20"/>
          <w:color w:val="auto"/>
        </w:rPr>
      </w:pPr>
      <w:r>
        <w:rPr>
          <w:rFonts w:ascii="Arial" w:cs="Arial" w:eastAsia="Arial" w:hAnsi="Arial"/>
          <w:sz w:val="16"/>
          <w:szCs w:val="16"/>
          <w:color w:val="auto"/>
        </w:rPr>
        <w:t>Since the regulatory framework for pharmaceutical products in the United Kingdom covering quality, safety and efficacy of pharmaceutical product, clinical trials, marketing authorization, commercial sales and distribution of pharmaceutical products is derived from European Union directives and regulations, Brexit could materially impact the regulatory regime that applies to products and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27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73" w:lineRule="exact"/>
        <w:rPr>
          <w:sz w:val="20"/>
          <w:szCs w:val="20"/>
          <w:color w:val="auto"/>
        </w:rPr>
      </w:pPr>
    </w:p>
    <w:p>
      <w:pPr>
        <w:ind w:right="80" w:firstLine="555"/>
        <w:spacing w:after="0" w:line="254"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192"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or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92"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62" w:lineRule="exact"/>
        <w:rPr>
          <w:sz w:val="20"/>
          <w:szCs w:val="20"/>
          <w:color w:val="auto"/>
        </w:rPr>
      </w:pPr>
    </w:p>
    <w:p>
      <w:pPr>
        <w:ind w:left="960" w:hanging="398"/>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0" w:name="page91"/>
    <w:bookmarkEnd w:id="90"/>
    <w:p>
      <w:pPr>
        <w:ind w:left="960" w:hanging="398"/>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81" w:lineRule="exact"/>
        <w:rPr>
          <w:sz w:val="20"/>
          <w:szCs w:val="20"/>
          <w:color w:val="auto"/>
        </w:rPr>
      </w:pPr>
    </w:p>
    <w:p>
      <w:pPr>
        <w:ind w:right="40" w:firstLine="555"/>
        <w:spacing w:after="0" w:line="291" w:lineRule="auto"/>
        <w:rPr>
          <w:sz w:val="20"/>
          <w:szCs w:val="20"/>
          <w:color w:val="auto"/>
        </w:rPr>
      </w:pPr>
      <w:r>
        <w:rPr>
          <w:rFonts w:ascii="Arial" w:cs="Arial" w:eastAsia="Arial" w:hAnsi="Arial"/>
          <w:sz w:val="16"/>
          <w:szCs w:val="16"/>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2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62"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requiring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Trump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1" w:name="page92"/>
    <w:bookmarkEnd w:id="91"/>
    <w:p>
      <w:pPr>
        <w:jc w:val="both"/>
        <w:ind w:right="120"/>
        <w:spacing w:after="0" w:line="340"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23" w:lineRule="exact"/>
        <w:rPr>
          <w:sz w:val="20"/>
          <w:szCs w:val="20"/>
          <w:color w:val="auto"/>
        </w:rPr>
      </w:pPr>
    </w:p>
    <w:p>
      <w:pPr>
        <w:ind w:right="100" w:firstLine="555"/>
        <w:spacing w:after="0" w:line="293" w:lineRule="auto"/>
        <w:rPr>
          <w:sz w:val="20"/>
          <w:szCs w:val="20"/>
          <w:color w:val="auto"/>
        </w:rPr>
      </w:pPr>
      <w:r>
        <w:rPr>
          <w:rFonts w:ascii="Arial" w:cs="Arial" w:eastAsia="Arial" w:hAnsi="Arial"/>
          <w:sz w:val="16"/>
          <w:szCs w:val="16"/>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Restrictions under applicable federal and state healthcare laws and regulations include the following:</w:t>
      </w:r>
    </w:p>
    <w:p>
      <w:pPr>
        <w:spacing w:after="0" w:line="57" w:lineRule="exact"/>
        <w:rPr>
          <w:sz w:val="20"/>
          <w:szCs w:val="20"/>
          <w:color w:val="auto"/>
        </w:rPr>
      </w:pPr>
    </w:p>
    <w:p>
      <w:pPr>
        <w:ind w:left="960" w:right="180" w:hanging="398"/>
        <w:spacing w:after="0" w:line="259"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960" w:right="160" w:hanging="398"/>
        <w:spacing w:after="0" w:line="25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$11,181 and a maximum of $22,363 per false claim;</w:t>
      </w:r>
    </w:p>
    <w:p>
      <w:pPr>
        <w:spacing w:after="0" w:line="80" w:lineRule="exact"/>
        <w:rPr>
          <w:rFonts w:ascii="Arial" w:cs="Arial" w:eastAsia="Arial" w:hAnsi="Arial"/>
          <w:sz w:val="18"/>
          <w:szCs w:val="18"/>
          <w:color w:val="auto"/>
        </w:rPr>
      </w:pPr>
    </w:p>
    <w:p>
      <w:pPr>
        <w:ind w:left="960" w:right="140" w:hanging="398"/>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960" w:right="20" w:hanging="398"/>
        <w:spacing w:after="0" w:line="264"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960" w:hanging="398"/>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17" w:lineRule="exact"/>
        <w:rPr>
          <w:rFonts w:ascii="Arial" w:cs="Arial" w:eastAsia="Arial" w:hAnsi="Arial"/>
          <w:sz w:val="18"/>
          <w:szCs w:val="18"/>
          <w:color w:val="auto"/>
        </w:rPr>
      </w:pPr>
    </w:p>
    <w:p>
      <w:pPr>
        <w:ind w:left="960" w:right="20" w:hanging="398"/>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and</w:t>
      </w:r>
    </w:p>
    <w:p>
      <w:pPr>
        <w:spacing w:after="0" w:line="62" w:lineRule="exact"/>
        <w:rPr>
          <w:rFonts w:ascii="Arial" w:cs="Arial" w:eastAsia="Arial" w:hAnsi="Arial"/>
          <w:sz w:val="18"/>
          <w:szCs w:val="18"/>
          <w:color w:val="auto"/>
        </w:rPr>
      </w:pPr>
    </w:p>
    <w:p>
      <w:pPr>
        <w:ind w:left="960" w:right="60" w:hanging="398"/>
        <w:spacing w:after="0" w:line="264"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81" w:lineRule="exact"/>
        <w:rPr>
          <w:sz w:val="20"/>
          <w:szCs w:val="20"/>
          <w:color w:val="auto"/>
        </w:rPr>
      </w:pPr>
    </w:p>
    <w:p>
      <w:pPr>
        <w:ind w:right="200" w:firstLine="555"/>
        <w:spacing w:after="0" w:line="297"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58"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92" w:name="page93"/>
    <w:bookmarkEnd w:id="92"/>
    <w:p>
      <w:pPr>
        <w:jc w:val="both"/>
        <w:ind w:right="360"/>
        <w:spacing w:after="0" w:line="264"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73" w:lineRule="exact"/>
        <w:rPr>
          <w:sz w:val="20"/>
          <w:szCs w:val="20"/>
          <w:color w:val="auto"/>
        </w:rPr>
      </w:pPr>
    </w:p>
    <w:p>
      <w:pPr>
        <w:ind w:firstLine="555"/>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75" w:lineRule="exact"/>
        <w:rPr>
          <w:sz w:val="20"/>
          <w:szCs w:val="20"/>
          <w:color w:val="auto"/>
        </w:rPr>
      </w:pPr>
    </w:p>
    <w:p>
      <w:pPr>
        <w:ind w:right="100" w:firstLine="555"/>
        <w:spacing w:after="0" w:line="288"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 GDPR’s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7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6" w:lineRule="exact"/>
        <w:rPr>
          <w:sz w:val="20"/>
          <w:szCs w:val="20"/>
          <w:color w:val="auto"/>
        </w:rPr>
      </w:pPr>
    </w:p>
    <w:p>
      <w:pPr>
        <w:ind w:right="200" w:firstLine="555"/>
        <w:spacing w:after="0" w:line="297"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58" w:lineRule="exact"/>
        <w:rPr>
          <w:sz w:val="20"/>
          <w:szCs w:val="20"/>
          <w:color w:val="auto"/>
        </w:rPr>
      </w:pPr>
    </w:p>
    <w:p>
      <w:pPr>
        <w:ind w:right="80" w:firstLine="555"/>
        <w:spacing w:after="0" w:line="272" w:lineRule="auto"/>
        <w:rPr>
          <w:sz w:val="20"/>
          <w:szCs w:val="20"/>
          <w:color w:val="auto"/>
        </w:rPr>
      </w:pPr>
      <w:r>
        <w:rPr>
          <w:rFonts w:ascii="Arial" w:cs="Arial" w:eastAsia="Arial" w:hAnsi="Arial"/>
          <w:sz w:val="17"/>
          <w:szCs w:val="17"/>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3" w:name="page94"/>
    <w:bookmarkEnd w:id="93"/>
    <w:p>
      <w:pPr>
        <w:ind w:firstLine="555"/>
        <w:spacing w:after="0" w:line="286" w:lineRule="auto"/>
        <w:rPr>
          <w:sz w:val="20"/>
          <w:szCs w:val="20"/>
          <w:color w:val="auto"/>
        </w:rPr>
      </w:pPr>
      <w:r>
        <w:rPr>
          <w:rFonts w:ascii="Arial" w:cs="Arial" w:eastAsia="Arial" w:hAnsi="Arial"/>
          <w:sz w:val="17"/>
          <w:szCs w:val="17"/>
          <w:color w:val="auto"/>
        </w:rPr>
        <w:t>In March 2010, President Obama signed into law the Patient Protection and Affordable Care Act, as amended by the Health Care and Education Reconciliation Act of 2010, or collectively the ACA. Among the provisions of the ACA of potential importance to our business, including, without limitation, our ability to commercialize and the prices we may obtain for any of our product candidates that are approved for sale, are the following:</w:t>
      </w:r>
    </w:p>
    <w:p>
      <w:pPr>
        <w:spacing w:after="0" w:line="57" w:lineRule="exact"/>
        <w:rPr>
          <w:sz w:val="20"/>
          <w:szCs w:val="20"/>
          <w:color w:val="auto"/>
        </w:rPr>
      </w:pPr>
    </w:p>
    <w:p>
      <w:pPr>
        <w:ind w:left="960" w:right="140" w:hanging="398"/>
        <w:spacing w:after="0" w:line="264"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73" w:lineRule="exact"/>
        <w:rPr>
          <w:rFonts w:ascii="Arial" w:cs="Arial" w:eastAsia="Arial" w:hAnsi="Arial"/>
          <w:sz w:val="18"/>
          <w:szCs w:val="18"/>
          <w:color w:val="auto"/>
        </w:rPr>
      </w:pPr>
    </w:p>
    <w:p>
      <w:pPr>
        <w:ind w:left="960" w:hanging="398"/>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960" w:right="420" w:hanging="398"/>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960" w:right="500" w:hanging="398"/>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70% point-of-sale discounts off negotiated prices;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960" w:right="80" w:hanging="398"/>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2029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67"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3"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Since the enactment of the ACA, there have been, and continue to be, numerous legal challenges and Congressional actions to repeal and replace provisions of the law. For example, with enactment of the Tax Cuts and Jobs Act, or the TCJA, which was signed by President Trump on December 22, 2017, Congress repealed the “individual mandate.” The repeal of this provision, which requires most Americans to carry a minimal level of health insurance, will become effective in 2019.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The Congress may consider other legislation to replace elements of the ACA during the next Congressional session.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4" w:name="page95"/>
    <w:bookmarkEnd w:id="94"/>
    <w:p>
      <w:pPr>
        <w:ind w:right="40" w:firstLine="555"/>
        <w:spacing w:after="0" w:line="272"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w:t>
      </w:r>
    </w:p>
    <w:p>
      <w:pPr>
        <w:spacing w:after="0" w:line="178"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In addition, the Centers for Medicare &amp; Medicaid Services, or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This decision is under review by the U.S. Supreme Court during its current term. The full effects of this gap in reimbursement on third-party payors, the viability of the ACA marketplace, providers, and potentially our business, are not yet known.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 authorization (PA) and step therapy (ST) for six protected classes of drugs, with certain exceptions; permit plans to implement PA and ST in Medicare Part B drugs; and change the definition of “negotiated prices” as well as add a definition of “price concession” in the regulations. It is unclear whether these proposed changes will be accepted, and if so, what effect such changes will have on our business. Litigation and legislation over the ACA are likely to continue, with unpredictable and uncertain results.</w:t>
      </w:r>
    </w:p>
    <w:p>
      <w:pPr>
        <w:spacing w:after="0" w:line="180" w:lineRule="exact"/>
        <w:rPr>
          <w:sz w:val="20"/>
          <w:szCs w:val="20"/>
          <w:color w:val="auto"/>
        </w:rPr>
      </w:pPr>
    </w:p>
    <w:p>
      <w:pPr>
        <w:ind w:right="120" w:firstLine="555"/>
        <w:spacing w:after="0" w:line="289" w:lineRule="auto"/>
        <w:rPr>
          <w:sz w:val="20"/>
          <w:szCs w:val="20"/>
          <w:color w:val="auto"/>
        </w:rPr>
      </w:pPr>
      <w:r>
        <w:rPr>
          <w:rFonts w:ascii="Arial" w:cs="Arial" w:eastAsia="Arial" w:hAnsi="Arial"/>
          <w:sz w:val="16"/>
          <w:szCs w:val="16"/>
          <w:color w:val="auto"/>
        </w:rPr>
        <w:t>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on December 30, 2018 the same judge issued an order staying the judgment pending appeal. The Trump administration thereafter represented to the Court of Appeals considering this judgment that it does not oppose the lower court’s ruling. On July 10, 2019, the Court of Appeals for the Fifth Circuit heard oral argument in this case. In those arguments, the Trump administration argued in support of upholding the lower court decision. On December 18, 2019, that court affirmed the lower court’s ruling that the individual mandate portion of the ACA is unconstitutional and it remanded the case to the district court for reconsideration of the severability question and additional analysis of the provisions of the ACA. On January 21, 2020, the U.S. Supreme Court declined to review this decision on an expedited basis. Litigation and legislation over the ACA are likely to continue, with unpredictable and uncertain results.</w:t>
      </w:r>
    </w:p>
    <w:p>
      <w:pPr>
        <w:spacing w:after="0" w:line="167" w:lineRule="exact"/>
        <w:rPr>
          <w:sz w:val="20"/>
          <w:szCs w:val="20"/>
          <w:color w:val="auto"/>
        </w:rPr>
      </w:pPr>
    </w:p>
    <w:p>
      <w:pPr>
        <w:ind w:right="140" w:firstLine="555"/>
        <w:spacing w:after="0" w:line="269" w:lineRule="auto"/>
        <w:rPr>
          <w:sz w:val="20"/>
          <w:szCs w:val="20"/>
          <w:color w:val="auto"/>
        </w:rPr>
      </w:pPr>
      <w:r>
        <w:rPr>
          <w:rFonts w:ascii="Arial" w:cs="Arial" w:eastAsia="Arial" w:hAnsi="Arial"/>
          <w:sz w:val="17"/>
          <w:szCs w:val="17"/>
          <w:color w:val="auto"/>
        </w:rPr>
        <w:t>The costs of prescription pharmaceuticals have also been the subject of considerable discussion in the United States, and members of Congress and the Trump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 continues to press for further drug price control measures that could be enacted during the annual budget process or in other future legislation.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5" w:name="page96"/>
    <w:bookmarkEnd w:id="95"/>
    <w:p>
      <w:pPr>
        <w:ind w:right="60" w:firstLine="555"/>
        <w:spacing w:after="0" w:line="285" w:lineRule="auto"/>
        <w:rPr>
          <w:sz w:val="20"/>
          <w:szCs w:val="20"/>
          <w:color w:val="auto"/>
        </w:rPr>
      </w:pPr>
      <w:r>
        <w:rPr>
          <w:rFonts w:ascii="Arial" w:cs="Arial" w:eastAsia="Arial" w:hAnsi="Arial"/>
          <w:sz w:val="16"/>
          <w:szCs w:val="16"/>
          <w:color w:val="auto"/>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Trump administration issued a plan to lower drug prices. Under this blueprint for action, the Trump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In addition, on December 23, 2019, the Trump Administration published a proposed rulemaking that, if finalized, would allow states or certain other non-federal government entities to submit importation program proposals to FDA for review and approval. Applicants would be required to demonstrate their importation plans pose no additional risk to public health and safety and will result in significant cost savings for consumers. At the same time, FDA issued draft guidance that would allow manufacturers to import their own FDA-approved drugs that are authorized for sale in other countries (multi-market approved products).</w:t>
      </w:r>
    </w:p>
    <w:p>
      <w:pPr>
        <w:spacing w:after="0" w:line="175"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9"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117"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62"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6" w:name="page97"/>
    <w:bookmarkEnd w:id="96"/>
    <w:p>
      <w:pPr>
        <w:jc w:val="both"/>
        <w:ind w:right="60" w:firstLine="555"/>
        <w:spacing w:after="0" w:line="259"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1" w:lineRule="exact"/>
        <w:rPr>
          <w:sz w:val="20"/>
          <w:szCs w:val="20"/>
          <w:color w:val="auto"/>
        </w:rPr>
      </w:pPr>
    </w:p>
    <w:p>
      <w:pPr>
        <w:ind w:right="280" w:firstLine="555"/>
        <w:spacing w:after="0" w:line="276" w:lineRule="auto"/>
        <w:rPr>
          <w:sz w:val="20"/>
          <w:szCs w:val="20"/>
          <w:color w:val="auto"/>
        </w:rPr>
      </w:pPr>
      <w:r>
        <w:rPr>
          <w:rFonts w:ascii="Arial" w:cs="Arial" w:eastAsia="Arial" w:hAnsi="Arial"/>
          <w:sz w:val="17"/>
          <w:szCs w:val="17"/>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63"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9"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73"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92" w:lineRule="exact"/>
        <w:rPr>
          <w:sz w:val="20"/>
          <w:szCs w:val="20"/>
          <w:color w:val="auto"/>
        </w:rPr>
      </w:pPr>
    </w:p>
    <w:p>
      <w:pPr>
        <w:ind w:right="100" w:firstLine="555"/>
        <w:spacing w:after="0" w:line="291"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7" w:name="page98"/>
    <w:bookmarkEnd w:id="97"/>
    <w:p>
      <w:pPr>
        <w:ind w:right="20"/>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6"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80" w:firstLine="555"/>
        <w:spacing w:after="0" w:line="287"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173"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98" w:name="page99"/>
    <w:bookmarkEnd w:id="98"/>
    <w:p>
      <w:pPr>
        <w:ind w:right="20" w:firstLine="555"/>
        <w:spacing w:after="0" w:line="269" w:lineRule="auto"/>
        <w:rPr>
          <w:sz w:val="20"/>
          <w:szCs w:val="20"/>
          <w:color w:val="auto"/>
        </w:rPr>
      </w:pPr>
      <w:r>
        <w:rPr>
          <w:rFonts w:ascii="Arial" w:cs="Arial" w:eastAsia="Arial" w:hAnsi="Arial"/>
          <w:sz w:val="17"/>
          <w:szCs w:val="17"/>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right="120" w:firstLine="555"/>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all matters submitted to stockholders for approval.</w:t>
      </w:r>
    </w:p>
    <w:p>
      <w:pPr>
        <w:spacing w:after="0" w:line="62"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As of February 28, 2020, our executive officers and directors and our stockholders who owned more than 5% of our outstanding common stock in the aggregate owned shares representing approximately 60.7% of our capital stock.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concentration of ownership control may:</w:t>
      </w:r>
    </w:p>
    <w:p>
      <w:pPr>
        <w:spacing w:after="0" w:line="117" w:lineRule="exact"/>
        <w:rPr>
          <w:sz w:val="20"/>
          <w:szCs w:val="20"/>
          <w:color w:val="auto"/>
        </w:rPr>
      </w:pPr>
    </w:p>
    <w:p>
      <w:pPr>
        <w:ind w:left="960" w:hanging="398"/>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9" w:name="page100"/>
    <w:bookmarkEnd w:id="99"/>
    <w:p>
      <w:pPr>
        <w:jc w:val="both"/>
        <w:ind w:right="50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 w:lineRule="exact"/>
        <w:rPr>
          <w:sz w:val="20"/>
          <w:szCs w:val="20"/>
          <w:color w:val="auto"/>
        </w:rPr>
      </w:pPr>
    </w:p>
    <w:p>
      <w:pPr>
        <w:ind w:right="140" w:firstLine="555"/>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960" w:hanging="398"/>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17" w:lineRule="exact"/>
        <w:rPr>
          <w:rFonts w:ascii="Arial" w:cs="Arial" w:eastAsia="Arial" w:hAnsi="Arial"/>
          <w:sz w:val="18"/>
          <w:szCs w:val="18"/>
          <w:color w:val="auto"/>
        </w:rPr>
      </w:pPr>
    </w:p>
    <w:p>
      <w:pPr>
        <w:ind w:left="960" w:right="260" w:hanging="398"/>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960" w:right="580" w:hanging="398"/>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jc w:val="both"/>
        <w:ind w:left="960" w:hanging="398"/>
        <w:spacing w:after="0" w:line="264"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3" w:lineRule="exact"/>
        <w:rPr>
          <w:rFonts w:ascii="Arial" w:cs="Arial" w:eastAsia="Arial" w:hAnsi="Arial"/>
          <w:sz w:val="18"/>
          <w:szCs w:val="18"/>
          <w:color w:val="auto"/>
        </w:rPr>
      </w:pPr>
    </w:p>
    <w:p>
      <w:pPr>
        <w:ind w:left="960" w:right="300" w:hanging="398"/>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70"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right="100" w:firstLine="555"/>
        <w:spacing w:after="0" w:line="312" w:lineRule="auto"/>
        <w:rPr>
          <w:sz w:val="20"/>
          <w:szCs w:val="20"/>
          <w:color w:val="auto"/>
        </w:rPr>
      </w:pPr>
      <w:r>
        <w:rPr>
          <w:rFonts w:ascii="Arial" w:cs="Arial" w:eastAsia="Arial" w:hAnsi="Arial"/>
          <w:sz w:val="16"/>
          <w:szCs w:val="16"/>
          <w:color w:val="auto"/>
        </w:rPr>
        <w:t>Our shares of common stock began trading on the Nasdaq Global Market on July 18, 2019.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their shares without depressing the market price for the shares, or at all.</w:t>
      </w:r>
    </w:p>
    <w:p>
      <w:pPr>
        <w:spacing w:after="0" w:line="25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38"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our stockholders.</w:t>
      </w:r>
    </w:p>
    <w:p>
      <w:pPr>
        <w:spacing w:after="0" w:line="129" w:lineRule="exact"/>
        <w:rPr>
          <w:sz w:val="20"/>
          <w:szCs w:val="20"/>
          <w:color w:val="auto"/>
        </w:rPr>
      </w:pPr>
    </w:p>
    <w:p>
      <w:pPr>
        <w:ind w:right="300" w:firstLine="555"/>
        <w:spacing w:after="0" w:line="259"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9" w:lineRule="exact"/>
        <w:rPr>
          <w:sz w:val="20"/>
          <w:szCs w:val="20"/>
          <w:color w:val="auto"/>
        </w:rPr>
      </w:pPr>
    </w:p>
    <w:p>
      <w:pPr>
        <w:ind w:left="960" w:right="960" w:hanging="398"/>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or developments in preclinical studies and clinical trials of our product candidates or those of our competitors or potential collaborators;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960" w:right="380" w:hanging="398"/>
        <w:spacing w:after="0" w:line="308" w:lineRule="auto"/>
        <w:tabs>
          <w:tab w:leader="none" w:pos="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38" w:lineRule="exact"/>
        <w:rPr>
          <w:rFonts w:ascii="Arial" w:cs="Arial" w:eastAsia="Arial" w:hAnsi="Arial"/>
          <w:sz w:val="17"/>
          <w:szCs w:val="17"/>
          <w:color w:val="auto"/>
        </w:rPr>
      </w:pPr>
    </w:p>
    <w:p>
      <w:pPr>
        <w:ind w:left="960" w:hanging="398"/>
        <w:spacing w:after="0"/>
        <w:tabs>
          <w:tab w:leader="none" w:pos="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360" w:firstLine="555"/>
        <w:spacing w:after="0" w:line="273"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6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IPO continue to hold a substantial number of shares of our common stock. If such persons sell, or indicate an intention to sell, substantial amounts of our common stock in the public market, the trading price of our common stock could decline.</w:t>
      </w:r>
    </w:p>
    <w:p>
      <w:pPr>
        <w:spacing w:after="0" w:line="187" w:lineRule="exact"/>
        <w:rPr>
          <w:sz w:val="20"/>
          <w:szCs w:val="20"/>
          <w:color w:val="auto"/>
        </w:rPr>
      </w:pPr>
    </w:p>
    <w:p>
      <w:pPr>
        <w:jc w:val="both"/>
        <w:ind w:right="80" w:firstLine="555"/>
        <w:spacing w:after="0" w:line="259" w:lineRule="auto"/>
        <w:rPr>
          <w:sz w:val="20"/>
          <w:szCs w:val="20"/>
          <w:color w:val="auto"/>
        </w:rPr>
      </w:pPr>
      <w:r>
        <w:rPr>
          <w:rFonts w:ascii="Arial" w:cs="Arial" w:eastAsia="Arial" w:hAnsi="Arial"/>
          <w:sz w:val="18"/>
          <w:szCs w:val="18"/>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 In August 2019, we filed a registration statement registering all shares of common stock that we may issue under our equity compensation plans. These shares can be freely sold in the public market upon issuance, subject to volume limitations applicable to affiliates.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01" w:name="page102"/>
    <w:bookmarkEnd w:id="101"/>
    <w:p>
      <w:pPr>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85" w:lineRule="exact"/>
        <w:rPr>
          <w:sz w:val="20"/>
          <w:szCs w:val="20"/>
          <w:color w:val="auto"/>
        </w:rPr>
      </w:pPr>
    </w:p>
    <w:p>
      <w:pPr>
        <w:ind w:left="960" w:hanging="398"/>
        <w:spacing w:after="0"/>
        <w:tabs>
          <w:tab w:leader="none" w:pos="9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960" w:right="680" w:hanging="398"/>
        <w:spacing w:after="0" w:line="264"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3" w:lineRule="exact"/>
        <w:rPr>
          <w:rFonts w:ascii="Arial" w:cs="Arial" w:eastAsia="Arial" w:hAnsi="Arial"/>
          <w:sz w:val="18"/>
          <w:szCs w:val="18"/>
          <w:color w:val="auto"/>
        </w:rPr>
      </w:pPr>
    </w:p>
    <w:p>
      <w:pPr>
        <w:ind w:left="960" w:hanging="39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960" w:right="280" w:hanging="398"/>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2"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2" w:name="page103"/>
    <w:bookmarkEnd w:id="102"/>
    <w:p>
      <w:pPr>
        <w:ind w:right="20" w:firstLine="555"/>
        <w:spacing w:after="0" w:line="288" w:lineRule="auto"/>
        <w:rPr>
          <w:sz w:val="20"/>
          <w:szCs w:val="20"/>
          <w:color w:val="auto"/>
        </w:rPr>
      </w:pPr>
      <w:r>
        <w:rPr>
          <w:rFonts w:ascii="Arial" w:cs="Arial" w:eastAsia="Arial" w:hAnsi="Arial"/>
          <w:sz w:val="16"/>
          <w:szCs w:val="16"/>
          <w:color w:val="auto"/>
        </w:rPr>
        <w:t>Pursuant to Section 404 of the Sarbanes-Oxley Act of 2002,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7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62" w:lineRule="exact"/>
        <w:rPr>
          <w:sz w:val="20"/>
          <w:szCs w:val="20"/>
          <w:color w:val="auto"/>
        </w:rPr>
      </w:pPr>
    </w:p>
    <w:p>
      <w:pPr>
        <w:ind w:right="220" w:firstLine="555"/>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89"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of 1933, as amended, or the Securities Exchange Act of 1934, as amended.</w:t>
      </w:r>
    </w:p>
    <w:p>
      <w:pPr>
        <w:spacing w:after="0" w:line="192"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960" w:firstLine="555"/>
        <w:spacing w:after="0" w:line="277" w:lineRule="auto"/>
        <w:rPr>
          <w:sz w:val="20"/>
          <w:szCs w:val="20"/>
          <w:color w:val="auto"/>
        </w:rPr>
      </w:pPr>
      <w:r>
        <w:rPr>
          <w:rFonts w:ascii="Arial" w:cs="Arial" w:eastAsia="Arial" w:hAnsi="Arial"/>
          <w:sz w:val="18"/>
          <w:szCs w:val="18"/>
          <w:color w:val="auto"/>
        </w:rPr>
        <w:t>Our principal facilities consist of office and laboratory space. We occupy approximately 28,731 square feet of office space in Cambridge, Massachusetts under a lease that currently expires in June 2028.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08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360" w:firstLine="555"/>
        <w:spacing w:after="0" w:line="277" w:lineRule="auto"/>
        <w:rPr>
          <w:sz w:val="20"/>
          <w:szCs w:val="20"/>
          <w:color w:val="auto"/>
        </w:rPr>
      </w:pPr>
      <w:r>
        <w:rPr>
          <w:rFonts w:ascii="Arial" w:cs="Arial" w:eastAsia="Arial" w:hAnsi="Arial"/>
          <w:sz w:val="18"/>
          <w:szCs w:val="18"/>
          <w:color w:val="auto"/>
        </w:rPr>
        <w:t>Our common stock trades under the symbol “FULC” on the Nasdaq Global Market and has been publicly traded since July 18, 2019. Prior to this time, there was no public market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121"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As of February 28, 2020, there were approximately 74 holders of record of shares of our common stock. This number does not include stockholders for whom shares are held in “nominee” or “street” name.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right="160" w:firstLine="555"/>
        <w:spacing w:after="0" w:line="279"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Set forth below is information regarding shares of equity securities sold or issued, and options granted, by us during the year ended December 31, 2019 that were not registered under the Securities Act of 1933, as amended, or the Securities Act, and that were not previously reported in a Quarterly Report on Form 10-Q or Current Report on Form 8-K.</w:t>
      </w:r>
    </w:p>
    <w:p>
      <w:pPr>
        <w:spacing w:after="0" w:line="181" w:lineRule="exact"/>
        <w:rPr>
          <w:sz w:val="20"/>
          <w:szCs w:val="20"/>
          <w:color w:val="auto"/>
        </w:rPr>
      </w:pPr>
    </w:p>
    <w:p>
      <w:pPr>
        <w:ind w:right="120" w:firstLine="555"/>
        <w:spacing w:after="0" w:line="273" w:lineRule="auto"/>
        <w:rPr>
          <w:sz w:val="20"/>
          <w:szCs w:val="20"/>
          <w:color w:val="auto"/>
        </w:rPr>
      </w:pPr>
      <w:r>
        <w:rPr>
          <w:rFonts w:ascii="Arial" w:cs="Arial" w:eastAsia="Arial" w:hAnsi="Arial"/>
          <w:sz w:val="17"/>
          <w:szCs w:val="17"/>
          <w:color w:val="auto"/>
        </w:rPr>
        <w:t>On February 8, 2019, we issued 12,500,000 shares of our Series B preferred stock to GlaxoSmithKline, or GSK, as partial consideration for the right of reference and licenses granted under the right of reference and license agreement with affiliates of GSK. The securities were issued to GSK in reliance upon the exemption from the registration requirements of the Securities Act, as set forth in Section 4(a)(2) under the Securities Act or Regulation D promulgated thereunder, relative to transactions by an issuer not involving any public offering, to the extent an exemption from such registration was required. The purchaser received written disclosures that the securities had not been registered under the Securities Act and that any resale must be made pursuant to a registration statement or an available exemption from such registration.</w:t>
      </w:r>
    </w:p>
    <w:p>
      <w:pPr>
        <w:spacing w:after="0" w:line="178"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During the three months ended March 31, 2019, we granted options to purchase an aggregate of 1,020,496 shares of common stock, with exercise prices ranging from $7.84 to $8.33 per share, to our employees, directors, advisors and/or consultants pursuant to our 2016 Stock Incentive Plan, as amended. The options become exercisable upon the schedule specified in the applicable option agreement. The stock options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registration was required. All recipients either received adequate information about our company or had access, through employment or other relationships, to such information. On August 26, 2019, we filed a registration statement on Form S-8 under the Securities Act to register all of the shares of our common stock subject to outstanding options.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Issuer Purchases of Equity Securities</w:t>
            </w: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4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(a) Total Number</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(b) Average Price</w:t>
            </w:r>
          </w:p>
        </w:tc>
        <w:tc>
          <w:tcPr>
            <w:tcW w:w="20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2"/>
              </w:rPr>
              <w:t>(c) Total Number of Shares</w:t>
            </w:r>
          </w:p>
        </w:tc>
        <w:tc>
          <w:tcPr>
            <w:tcW w:w="212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w w:val="98"/>
              </w:rPr>
              <w:t>(d) Approximate Dollar Value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Shares that May Yet Be Purchased</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Paid per Share</w:t>
            </w:r>
          </w:p>
        </w:tc>
        <w:tc>
          <w:tcPr>
            <w:tcW w:w="2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Announced Plans or Programs</w:t>
            </w:r>
          </w:p>
        </w:tc>
        <w:tc>
          <w:tcPr>
            <w:tcW w:w="120" w:type="dxa"/>
            <w:vAlign w:val="bottom"/>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Arial" w:cs="Arial" w:eastAsia="Arial" w:hAnsi="Arial"/>
                <w:sz w:val="14"/>
                <w:szCs w:val="14"/>
                <w:b w:val="1"/>
                <w:bCs w:val="1"/>
                <w:color w:val="auto"/>
              </w:rPr>
              <w:t>Under the Plans or Programs</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October 1, 2019 through October 31, 2019</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FF0FC"/>
          </w:tcPr>
          <w:p>
            <w:pPr>
              <w:ind w:left="18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w w:val="97"/>
              </w:rPr>
              <w:t>November 1, 2019 through November 30, 2019</w:t>
            </w:r>
          </w:p>
        </w:tc>
        <w:tc>
          <w:tcPr>
            <w:tcW w:w="1480" w:type="dxa"/>
            <w:vAlign w:val="bottom"/>
          </w:tcPr>
          <w:p>
            <w:pPr>
              <w:jc w:val="right"/>
              <w:spacing w:after="0"/>
              <w:rPr>
                <w:sz w:val="20"/>
                <w:szCs w:val="20"/>
                <w:color w:val="auto"/>
              </w:rPr>
            </w:pPr>
            <w:r>
              <w:rPr>
                <w:rFonts w:ascii="Arial" w:cs="Arial" w:eastAsia="Arial" w:hAnsi="Arial"/>
                <w:sz w:val="18"/>
                <w:szCs w:val="18"/>
                <w:color w:val="auto"/>
              </w:rPr>
              <w:t>5,126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9"/>
                <w:szCs w:val="19"/>
                <w:color w:val="auto"/>
              </w:rPr>
            </w:pPr>
          </w:p>
        </w:tc>
        <w:tc>
          <w:tcPr>
            <w:tcW w:w="2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1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w w:val="97"/>
              </w:rPr>
              <w:t>December 1, 2019 through December 31, 2019</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ind w:lef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ind w:left="18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right="140" w:hanging="552"/>
        <w:spacing w:after="0" w:line="264" w:lineRule="auto"/>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shares of unvested common stock that were repurchased by us from a former employee upon termination of employment in accordance with the terms of the applicable employee's restricted stock agreement. We repurchased the shares from the former employee at the original purchase price.</w:t>
      </w:r>
    </w:p>
    <w:p>
      <w:pPr>
        <w:spacing w:after="0" w:line="181"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The share figures set forth above have been retroactively adjusted, as appropriate, to reflect a one-for-seven reverse stock split of our common stock on July 5,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On July 22, 2019, we completed our IPO, pursuant to which we issued and sold 4,500,000 shares of our common stock at a public offering price of $16.00 per share. The offer and sale of all of the shares of our common stock in our IPO were registered under the Securities Act pursuant to a registration statement on Form S-1 (File No. 333-232260), which was declared effective by the Securities and Exchange Commission, or SEC, on July 17, 2019. Morgan Stanley &amp; Co. LLC, BofA Securities, Inc. and SVB Leerink LLC. acted as joint book-running managers for our IPO. The IPO commenced on July 17, 2019 and terminated without the sale of the 675,000 shares registered for potential issuance upon exercise of the underwriters’ option to purchase additional shares in the IPO.</w:t>
      </w:r>
    </w:p>
    <w:p>
      <w:pPr>
        <w:spacing w:after="0" w:line="193" w:lineRule="exact"/>
        <w:rPr>
          <w:sz w:val="20"/>
          <w:szCs w:val="20"/>
          <w:color w:val="auto"/>
        </w:rPr>
      </w:pPr>
    </w:p>
    <w:p>
      <w:pPr>
        <w:ind w:right="220" w:firstLine="555"/>
        <w:spacing w:after="0" w:line="312" w:lineRule="auto"/>
        <w:rPr>
          <w:sz w:val="20"/>
          <w:szCs w:val="20"/>
          <w:color w:val="auto"/>
        </w:rPr>
      </w:pPr>
      <w:r>
        <w:rPr>
          <w:rFonts w:ascii="Arial" w:cs="Arial" w:eastAsia="Arial" w:hAnsi="Arial"/>
          <w:sz w:val="16"/>
          <w:szCs w:val="16"/>
          <w:color w:val="auto"/>
        </w:rPr>
        <w:t>We received aggregate gross proceeds from our IPO of $72.0 million, or aggregate net proceeds of $63.9 million after deducting underwriting discounts and commissions and estimated offering expenses payable by us. None of the underwriting discounts and commissions or offering expenses were incurred or paid to directors or officers of ours or their associates or to persons owning 10% or more of our common stock or to any of our affiliates.</w:t>
      </w:r>
    </w:p>
    <w:p>
      <w:pPr>
        <w:spacing w:after="0" w:line="147"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We had not used any of the net proceeds from the IPO as of December 31, 2019 as we have continued to fund operations from proceeds received through our preferred stock financings. We have invested the unused net proceeds from the offering in money market accounts. There has been no material change in our planned use of the net proceeds from our IPO as described in our final prospectus filed pursuant to Rule 424(b)(4) under the Securities Act with the SEC on July 18,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under this item.</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 In August 2019, we initiated a Phase 2b clinical trial and a Phase 2 open label clinical trial of losmapimod, our product candidate for FSHD, to evaluate the efficacy and safety of losmapimod in addressing the underlying cause of FSHD.</w:t>
      </w:r>
    </w:p>
    <w:p>
      <w:pPr>
        <w:spacing w:after="0" w:line="178" w:lineRule="exact"/>
        <w:rPr>
          <w:sz w:val="20"/>
          <w:szCs w:val="20"/>
          <w:color w:val="auto"/>
        </w:rPr>
      </w:pPr>
    </w:p>
    <w:p>
      <w:pPr>
        <w:ind w:right="220" w:firstLine="555"/>
        <w:spacing w:after="0" w:line="257" w:lineRule="auto"/>
        <w:rPr>
          <w:sz w:val="20"/>
          <w:szCs w:val="20"/>
          <w:color w:val="auto"/>
        </w:rPr>
      </w:pPr>
      <w:r>
        <w:rPr>
          <w:rFonts w:ascii="Arial" w:cs="Arial" w:eastAsia="Arial" w:hAnsi="Arial"/>
          <w:sz w:val="18"/>
          <w:szCs w:val="18"/>
          <w:color w:val="auto"/>
        </w:rPr>
        <w:t>We plan to submit an investigational new drug application, or IND, for FTX-6058, our product candidate for certain hemoglobinopathies, in the second half of 2020. FTX-6058 is a novel upregulator of fetal hemoglobin. In pre-clinical research, treatment with FTX-6058 was shown to increase HbF levels to approximately 30% of total hemoglobin as measured by high performance liquid chromatography and mass spectrometry methods in human erythroid progenitor cells from multiple donors. FTX-6058 also elevated HbF in vivo in animal models at plasma concentrations reasonably expected to be achieved in humans.</w:t>
      </w:r>
    </w:p>
    <w:p>
      <w:pPr>
        <w:spacing w:after="0" w:line="188"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early clinical trials. To date, we have funded our operations primarily through the issuance of common stock in our initial public offering, or IPO, convertible preferred stock and convertible notes, and an upfront payment received under the collaboration and license agreement, or the Acceleron Collaboration Agreement, with Acceleron Pharma Inc., or Acceleron.</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July 22, 2019, we completed an IPO of our common stock and issued and sold 4,500,000 shares of common stock at a public offering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$16.00 per share, resulting in net proceeds of $63.9 million after deducting underwriting discounts and commissions and estimated offering expenses.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completion of the IPO, all 112,500,000 shares of outstanding convertible preferred stock automatically converted into 16,071,418 shares of common stock.</w:t>
      </w:r>
    </w:p>
    <w:p>
      <w:pPr>
        <w:spacing w:after="0" w:line="234"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In December 2019, we entered into the Acceleron Collaboration Agreement, to identify biological targets to modulate specific pathways associated with a targeted indication within the pulmonary disease space. Under the collaboration and license agreement with Acceleron, we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us for the treatment, prophylaxis, or diagnosis of a targeted indication within the pulmonary disease space. The primary goal of the collaboration is to identify and validate potential biological targets for further research, in order to support the development, manufacture and commercialization of product candidates by Acceleron for the targeted indication by leveraging our proprietary product engine.</w:t>
      </w:r>
    </w:p>
    <w:p>
      <w:pPr>
        <w:spacing w:after="0" w:line="178"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Under the terms of the Acceleron Collaboration Agreement, we received a $10.0 million upfront payment from Acceleron in December 2019. We are also eligible to receive up to $438.5 million in the aggregate in milestone payments with respect to certain research, developmental, clinical, regulatory and sales-related milestones. We are also be eligible to receive tiered royalty payments based on Acceleron’s (and any of its affiliates’ and sublicensees’) annual worldwide net sales of products directed to any identified targets.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6" w:name="page107"/>
    <w:bookmarkEnd w:id="106"/>
    <w:p>
      <w:pPr>
        <w:ind w:right="40" w:firstLine="555"/>
        <w:spacing w:after="0" w:line="276" w:lineRule="auto"/>
        <w:rPr>
          <w:sz w:val="20"/>
          <w:szCs w:val="20"/>
          <w:color w:val="auto"/>
        </w:rPr>
      </w:pPr>
      <w:r>
        <w:rPr>
          <w:rFonts w:ascii="Arial" w:cs="Arial" w:eastAsia="Arial" w:hAnsi="Arial"/>
          <w:sz w:val="17"/>
          <w:szCs w:val="17"/>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$82.7 million and $32.6 million for the years ended December 31, 2019 and 2018, respectively. As of December 31, 2019, we had an accumulated deficit of $150.8 million. We expect our expenses and operating losses will increase substantially over the next several years in connection with our ongoing activities, as we:</w:t>
      </w:r>
    </w:p>
    <w:p>
      <w:pPr>
        <w:spacing w:after="0" w:line="64" w:lineRule="exact"/>
        <w:rPr>
          <w:sz w:val="20"/>
          <w:szCs w:val="20"/>
          <w:color w:val="auto"/>
        </w:rPr>
      </w:pPr>
    </w:p>
    <w:p>
      <w:pPr>
        <w:ind w:left="960" w:hanging="398"/>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2b and Phase 2 open label clinical trials;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 IND-enabling studies and prepare for a planned Phase 1 clinical trial of FTX-6058;</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960" w:right="380" w:hanging="398"/>
        <w:spacing w:after="0" w:line="308" w:lineRule="auto"/>
        <w:tabs>
          <w:tab w:leader="none" w:pos="9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38" w:lineRule="exact"/>
        <w:rPr>
          <w:rFonts w:ascii="Arial" w:cs="Arial" w:eastAsia="Arial" w:hAnsi="Arial"/>
          <w:sz w:val="17"/>
          <w:szCs w:val="17"/>
          <w:color w:val="auto"/>
        </w:rPr>
      </w:pPr>
    </w:p>
    <w:p>
      <w:pPr>
        <w:ind w:left="960" w:hanging="398"/>
        <w:spacing w:after="0"/>
        <w:tabs>
          <w:tab w:leader="none" w:pos="9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960" w:right="80" w:hanging="398"/>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960" w:right="320" w:hanging="398"/>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65" w:lineRule="exact"/>
        <w:rPr>
          <w:sz w:val="20"/>
          <w:szCs w:val="20"/>
          <w:color w:val="auto"/>
        </w:rPr>
      </w:pPr>
    </w:p>
    <w:p>
      <w:pPr>
        <w:ind w:right="260" w:firstLine="555"/>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jc w:val="both"/>
        <w:ind w:right="40" w:firstLine="555"/>
        <w:spacing w:after="0" w:line="312" w:lineRule="auto"/>
        <w:rPr>
          <w:sz w:val="20"/>
          <w:szCs w:val="20"/>
          <w:color w:val="auto"/>
        </w:rPr>
      </w:pPr>
      <w:r>
        <w:rPr>
          <w:rFonts w:ascii="Arial" w:cs="Arial" w:eastAsia="Arial" w:hAnsi="Arial"/>
          <w:sz w:val="16"/>
          <w:szCs w:val="16"/>
          <w:color w:val="auto"/>
        </w:rPr>
        <w:t>As of December 31, 2019, we had $96.7 million in cash and cash equivalents. We believe that our existing cash and cash equivalents will enable us to fund our operating expenses and capital expenditure requirements into the third quarter of 2021. We have based this estimate on assumptions that may prove to be wrong, and we could exhaust our available capital resources sooner than we expect. See “—Liquidity and Capital Resources.”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71"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For the year ended December 31, 2019, we recognized no collaboration revenue under the Acceleron Collaboration Agreement. As of December 31, 2019, we have recorded $10.0 million of deferred revenue associated with the Acceleron Collaboration Agreement, which is classified as either current or net of current portion in our consolidated balance sheets based on the period over which the revenue is expected to be recognized. As of December 31, 2019, we had not received any milestone, royalty, or cost reimbursement payments under the Acceleron Collaboration Agreement.</w:t>
      </w:r>
    </w:p>
    <w:p>
      <w:pPr>
        <w:spacing w:after="0" w:line="171"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In the future, we will generate revenue from the Acceleron Collaboration Agreement associated with the $10.0 million upfront payment, which we have recorded as deferred revenue as of December 31, 2019, and reimbursement of costs incurred under the Acceleron Collaboration Agreement, and we may generate additional revenue from milestones and royalty payments under the Acceleron Collaboration Agreement. We expect that our revenue will fluctuate from quarter-to-quarter and year-to-year based upon our pattern of performance under the Acceleron Collaboration Agreement and as a result of the timing, amount, and achievement of milestones and reimbursement of costs incurred under the Acceleron Collaboration Agreement.</w:t>
      </w:r>
    </w:p>
    <w:p>
      <w:pPr>
        <w:spacing w:after="0" w:line="158"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Research and development expenses represent costs incurred by us for the discovery, development, and manufacture of our product candidates and include:</w:t>
      </w:r>
    </w:p>
    <w:p>
      <w:pPr>
        <w:spacing w:after="0" w:line="62" w:lineRule="exact"/>
        <w:rPr>
          <w:sz w:val="20"/>
          <w:szCs w:val="20"/>
          <w:color w:val="auto"/>
        </w:rPr>
      </w:pPr>
    </w:p>
    <w:p>
      <w:pPr>
        <w:ind w:left="960" w:right="120" w:hanging="398"/>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contract manufacturing organizations, or CMOs, and consultants;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140" w:lineRule="exact"/>
        <w:rPr>
          <w:rFonts w:ascii="Arial" w:cs="Arial" w:eastAsia="Arial" w:hAnsi="Arial"/>
          <w:sz w:val="16"/>
          <w:szCs w:val="16"/>
          <w:color w:val="auto"/>
        </w:rPr>
      </w:pPr>
    </w:p>
    <w:p>
      <w:pPr>
        <w:ind w:left="960" w:hanging="398"/>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117" w:lineRule="exact"/>
        <w:rPr>
          <w:rFonts w:ascii="Arial" w:cs="Arial" w:eastAsia="Arial" w:hAnsi="Arial"/>
          <w:sz w:val="18"/>
          <w:szCs w:val="18"/>
          <w:color w:val="auto"/>
        </w:rPr>
      </w:pPr>
    </w:p>
    <w:p>
      <w:pPr>
        <w:ind w:left="960" w:right="60" w:hanging="398"/>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in-process research and development, or IPR&amp;D, expenses, which relate to IPR&amp;D acquired as part of an asset acquisition for which there is no alternative future use;</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related to the achievement of a specified clinical milestone payable to GSK;</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960" w:right="240" w:hanging="398"/>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w:t>
      </w:r>
    </w:p>
    <w:p>
      <w:pPr>
        <w:spacing w:after="0" w:line="170"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08" w:name="page109"/>
    <w:bookmarkEnd w:id="108"/>
    <w:p>
      <w:pPr>
        <w:ind w:firstLine="555"/>
        <w:spacing w:after="0" w:line="259"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7"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The following table summarizes our external research and development expenses by program following nomination as a development candidate for the years ended December 31, 2019 and 2018. Pre-development candidate expenses, unallocated expenses and internal research and development expenses are classified separately. Losmapimod external expenses include IPR&amp;D expenses. We nominated FTX-6058 as a development candidate in the third quarter of 2019.</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Losmapimod external expenses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40,390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FTX-6058 external expenses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Pre-development candidate expenses and unallocated expenses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14,948</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12,519</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71,072</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25,184</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9" w:lineRule="exact"/>
        <w:rPr>
          <w:sz w:val="20"/>
          <w:szCs w:val="20"/>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117" w:lineRule="exact"/>
        <w:rPr>
          <w:rFonts w:ascii="Arial" w:cs="Arial" w:eastAsia="Arial" w:hAnsi="Arial"/>
          <w:sz w:val="18"/>
          <w:szCs w:val="18"/>
          <w:color w:val="auto"/>
        </w:rPr>
      </w:pPr>
    </w:p>
    <w:p>
      <w:pPr>
        <w:ind w:left="960" w:right="180" w:hanging="398"/>
        <w:spacing w:after="0" w:line="277"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U.S. Food and Drug Administration, or FDA, or any comparable foreign regulatory authority;</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establish and operate a manufacturing facility, or secure manufacturing supply through relationships with third parties;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and regulatory exclusivity, both in the United States and internationally;</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9" w:name="page110"/>
    <w:bookmarkEnd w:id="109"/>
    <w:p>
      <w:pPr>
        <w:ind w:right="300" w:firstLine="555"/>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70" w:lineRule="exact"/>
        <w:rPr>
          <w:sz w:val="20"/>
          <w:szCs w:val="20"/>
          <w:color w:val="auto"/>
        </w:rPr>
      </w:pPr>
    </w:p>
    <w:p>
      <w:pPr>
        <w:ind w:right="60" w:firstLine="555"/>
        <w:spacing w:after="0" w:line="289" w:lineRule="auto"/>
        <w:rPr>
          <w:sz w:val="20"/>
          <w:szCs w:val="20"/>
          <w:color w:val="auto"/>
        </w:rPr>
      </w:pPr>
      <w:r>
        <w:rPr>
          <w:rFonts w:ascii="Arial" w:cs="Arial" w:eastAsia="Arial" w:hAnsi="Arial"/>
          <w:sz w:val="16"/>
          <w:szCs w:val="16"/>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and FTX-6058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20" w:firstLine="555"/>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7"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Other income, net consists primarily of interest income related to our investments in cash equivalents and proceeds from the sale of drug material to a third party during February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summarizes our results of operations for the years ended December 31, 2019 and 2018, along with the changes in those items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Operating expenses:</w:t>
            </w: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45,888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50,719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(84,217)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(50,719)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0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20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80" w:type="dxa"/>
            <w:vAlign w:val="bottom"/>
            <w:vMerge w:val="restart"/>
          </w:tcPr>
          <w:p>
            <w:pPr>
              <w:jc w:val="right"/>
              <w:ind w:right="610"/>
              <w:spacing w:after="0"/>
              <w:rPr>
                <w:sz w:val="20"/>
                <w:szCs w:val="20"/>
                <w:color w:val="auto"/>
              </w:rPr>
            </w:pPr>
            <w:r>
              <w:rPr>
                <w:rFonts w:ascii="Arial" w:cs="Arial" w:eastAsia="Arial" w:hAnsi="Arial"/>
                <w:sz w:val="18"/>
                <w:szCs w:val="18"/>
                <w:color w:val="auto"/>
              </w:rPr>
              <w:t>106</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right="340" w:firstLine="555"/>
        <w:spacing w:after="0" w:line="257" w:lineRule="auto"/>
        <w:rPr>
          <w:sz w:val="20"/>
          <w:szCs w:val="20"/>
          <w:color w:val="auto"/>
        </w:rPr>
      </w:pPr>
      <w:r>
        <w:rPr>
          <w:rFonts w:ascii="Arial" w:cs="Arial" w:eastAsia="Arial" w:hAnsi="Arial"/>
          <w:sz w:val="18"/>
          <w:szCs w:val="18"/>
          <w:color w:val="auto"/>
        </w:rPr>
        <w:t>We recognized no collaboration revenue during the years ended December 31, 2019 and 2018. As of December 31, 2019, we have recorded $10.0 million of deferred revenue associated with the Acceleron Collaboration Agreement, which is classified as either current or net of current portion in our consolidated balance sheets based on the period over which the revenue is expected to be recognized. We will recognize revenue under the Acceleron Collaboration Agreement based on our pattern of performance of the identified performance obligation, which is the period over which we will perform research services under the Acceleron Collaboration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Research and development expense increased by $45.9 million from $25.2 million for the year ended December 31, 2018 to $71.1 million for the year ended December 31, 2019. The increase in research and development expense was primarily attributable to the following:</w:t>
      </w:r>
    </w:p>
    <w:p>
      <w:pPr>
        <w:spacing w:after="0" w:line="62" w:lineRule="exact"/>
        <w:rPr>
          <w:sz w:val="20"/>
          <w:szCs w:val="20"/>
          <w:color w:val="auto"/>
        </w:rPr>
      </w:pPr>
    </w:p>
    <w:p>
      <w:pPr>
        <w:ind w:left="960" w:right="340" w:hanging="398"/>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$25.6 million in increased IPR&amp;D expenses associated with the recognition of the fair value attributable to the right of reference and license agreement with GSK during the year ended December 31, 2019;</w:t>
      </w:r>
    </w:p>
    <w:p>
      <w:pPr>
        <w:spacing w:after="0" w:line="62"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$9.1 million in increased costs for external clinical activities as we advanced losmapimod into Phase 1, Phase 2b, and Phase 2 open label clinical trials, and conducted preparatory studies in anticipation of initiating those Phase 2 clinical trials;</w:t>
      </w:r>
    </w:p>
    <w:p>
      <w:pPr>
        <w:spacing w:after="0" w:line="62" w:lineRule="exact"/>
        <w:rPr>
          <w:rFonts w:ascii="Arial" w:cs="Arial" w:eastAsia="Arial" w:hAnsi="Arial"/>
          <w:sz w:val="18"/>
          <w:szCs w:val="18"/>
          <w:color w:val="auto"/>
        </w:rPr>
      </w:pPr>
    </w:p>
    <w:p>
      <w:pPr>
        <w:ind w:left="960" w:right="400" w:hanging="398"/>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$4.0 million in increased personnel-related costs due to increased headcount, including $0.9 million of increased stock-based compensation expense;</w:t>
      </w:r>
    </w:p>
    <w:p>
      <w:pPr>
        <w:spacing w:after="0" w:line="62" w:lineRule="exact"/>
        <w:rPr>
          <w:rFonts w:ascii="Arial" w:cs="Arial" w:eastAsia="Arial" w:hAnsi="Arial"/>
          <w:sz w:val="18"/>
          <w:szCs w:val="18"/>
          <w:color w:val="auto"/>
        </w:rPr>
      </w:pPr>
    </w:p>
    <w:p>
      <w:pPr>
        <w:ind w:left="960" w:right="80" w:hanging="398"/>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$2.5 million in increased costs associated with the achievement of a milestone due under the right of reference and license agreement with GSK upon the initiation of a Phase 2 clinical trial of losmapimod;</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$1.3 million in increased costs for IND-enabling studies for FTX-6058;</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 million in increased laboratory supplies to support our expanding research efforts;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$0.6 million in increased facility-related costs, including depreciation and other utility and maintenance costs.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firstLine="555"/>
        <w:spacing w:after="0" w:line="308" w:lineRule="auto"/>
        <w:rPr>
          <w:sz w:val="20"/>
          <w:szCs w:val="20"/>
          <w:color w:val="auto"/>
        </w:rPr>
      </w:pPr>
      <w:r>
        <w:rPr>
          <w:rFonts w:ascii="Arial" w:cs="Arial" w:eastAsia="Arial" w:hAnsi="Arial"/>
          <w:sz w:val="17"/>
          <w:szCs w:val="17"/>
          <w:color w:val="auto"/>
        </w:rPr>
        <w:t>General and administrative expenses increased by $4.8 million from $8.3 million for the year ended December 31, 2018 to $13.1 million for the year ended December 31, 2019. The increase in general and administrative expenses was primarily attributable to the following:</w:t>
      </w:r>
    </w:p>
    <w:p>
      <w:pPr>
        <w:spacing w:after="0" w:line="38" w:lineRule="exact"/>
        <w:rPr>
          <w:sz w:val="20"/>
          <w:szCs w:val="20"/>
          <w:color w:val="auto"/>
        </w:rPr>
      </w:pPr>
    </w:p>
    <w:p>
      <w:pPr>
        <w:ind w:left="960" w:right="80" w:hanging="398"/>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$2.5 million in increased consulting and professional fees, including for insurance premiums, legal services, investor relations, market research, recruiting, and accounting; and</w:t>
      </w:r>
    </w:p>
    <w:p>
      <w:pPr>
        <w:spacing w:after="0" w:line="62" w:lineRule="exact"/>
        <w:rPr>
          <w:rFonts w:ascii="Arial" w:cs="Arial" w:eastAsia="Arial" w:hAnsi="Arial"/>
          <w:sz w:val="18"/>
          <w:szCs w:val="18"/>
          <w:color w:val="auto"/>
        </w:rPr>
      </w:pPr>
    </w:p>
    <w:p>
      <w:pPr>
        <w:ind w:left="960" w:right="160" w:hanging="398"/>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$2.3 million in increased personnel-related costs, primarily due to increased general and administrative headcount to support the growth of our research and development organization, including $1.2 million of increased stock-based compensation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Other income, net increased by $0.6 million from $0.9 million for the year ended December 31, 2018 to $1.5 million for the year ended December 31, 2019. Other income, net during the year ended December 31, 2019 was primarily attributable to investment income of $1.5 million from cash equivalents. During the year ended December 31, 2018, other income, net related primarily to the sale of drug material to a third party for $0.4 million and investment income of $0.5 million from cash equivalents.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Through December 31, 2019, we have primarily funded our operations with aggregate gross proceeds of $222.0 million from the issuance of common stock in our IPO, convertible preferred stock and convertible notes, and an upfront payment received under the Acceleron Collaboration Agreement. As of December 31, 2019, we had cash and cash equivalents of $96.7 million. On July 22, 2019, we completed an IPO of our common stock and issued and sold 4,500,000 shares of common stock at a public offering price of $16.00 per share, resulting in net proceeds of $63.9 million after deducting underwriting discounts and commissions and estimated offering expenses.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regarding our cash flows for the years ended December 31, 2019 and 2018:</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4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(944)</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(8,981)</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64,343</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105,025</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23,916</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73,482</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Net cash used in operating activities was $39.5 million during the year ended December 31, 2019 compared to net cash used in operating activities of $22.6 million during the year ended December 31, 2018. The increase in net cash used in operating activities of $16.9 million was primarily due to an increase in net loss of $50.1 million for the year ended December 31, 2019 as compared to the year ended December 31, 2018, partially offset by net changes in our operating assets and liabilities of $4.8 million, and a net increase in non-cash expenses of $28.4 million primarily due to an increase in IPR&amp;D expenses of $25.6 million, an increase in stock-based compensation expense of $2.1 million, and an increase in depreciation expense of $0.7 million.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220" w:firstLine="555"/>
        <w:spacing w:after="0" w:line="279" w:lineRule="auto"/>
        <w:rPr>
          <w:sz w:val="20"/>
          <w:szCs w:val="20"/>
          <w:color w:val="auto"/>
        </w:rPr>
      </w:pPr>
      <w:r>
        <w:rPr>
          <w:rFonts w:ascii="Arial" w:cs="Arial" w:eastAsia="Arial" w:hAnsi="Arial"/>
          <w:sz w:val="17"/>
          <w:szCs w:val="17"/>
          <w:color w:val="auto"/>
        </w:rPr>
        <w:t>Net cash used in investing activities was $0.9 million during the year ended December 31, 2019 compared to net cash used in investing activities of $9.0 million during the year ended December 31, 2018. Net cash used in investing activities for the years ended December 31, 2019 and 2018 primarily consisted of purchases of property and equipment. The decrease in net cash used in investing activities of $8.1 million was primarily due to a decrease in purchases of property and equipment associated with our new facility lease that commenced in December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Net cash provided by financing activities was $64.3 million during the year ended December 31, 2019 compared to net cash provided by financing activities of $105.0 million during the year ended December 31, 2018. The net cash provided by financing activities during the year ended December 31, 2019 was primarily the result of $64.2 million of net proceeds received from our IPO, after deducting underwriting discounts and commissions and estimated offering expenses. As of December 31, 2019, $0.3 million of offering expenses were unpaid. The net cash provided by financing activities during the year ended December 31, 2018 was primarily the result of $105.1 million of net proceeds received from private placements of our Series A preferred stock and Series B preferred stock.</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associated with operating as a public company. As a result, we expect to incur substantial operating losses and negative operating cash flows for the foreseeable future.</w:t>
      </w:r>
    </w:p>
    <w:p>
      <w:pPr>
        <w:spacing w:after="0" w:line="187"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Based on our current operating plan, we believe that our existing cash and cash equivalents as of December 31, 2019 will enable us to fund our operating expenses and capital expenditure requirements into the third quarter of 2021. However, we have based this estimate on assumptions that may prove to be wrong and we could exhaust our capital resources sooner than we expect.</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60" w:hanging="398"/>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2b and Phase 2 open label clinical trials of losmapimod;</w:t>
      </w:r>
    </w:p>
    <w:p>
      <w:pPr>
        <w:spacing w:after="0" w:line="117" w:lineRule="exact"/>
        <w:rPr>
          <w:rFonts w:ascii="Arial" w:cs="Arial" w:eastAsia="Arial" w:hAnsi="Arial"/>
          <w:sz w:val="18"/>
          <w:szCs w:val="18"/>
          <w:color w:val="auto"/>
        </w:rPr>
      </w:pPr>
    </w:p>
    <w:p>
      <w:pPr>
        <w:ind w:left="960" w:right="620" w:hanging="398"/>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1 clinical trial of FTX-6058;</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960" w:right="40" w:hanging="398"/>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our collaboration with Acceleron;</w:t>
      </w:r>
    </w:p>
    <w:p>
      <w:pPr>
        <w:spacing w:after="0" w:line="117" w:lineRule="exact"/>
        <w:rPr>
          <w:rFonts w:ascii="Arial" w:cs="Arial" w:eastAsia="Arial" w:hAnsi="Arial"/>
          <w:sz w:val="18"/>
          <w:szCs w:val="18"/>
          <w:color w:val="auto"/>
        </w:rPr>
      </w:pPr>
    </w:p>
    <w:p>
      <w:pPr>
        <w:ind w:left="960" w:right="760" w:hanging="398"/>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960" w:right="280" w:hanging="398"/>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960" w:right="80" w:hanging="398"/>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81" w:lineRule="exact"/>
        <w:rPr>
          <w:sz w:val="20"/>
          <w:szCs w:val="20"/>
          <w:color w:val="auto"/>
        </w:rPr>
      </w:pPr>
    </w:p>
    <w:p>
      <w:pPr>
        <w:ind w:right="140" w:firstLine="555"/>
        <w:spacing w:after="0" w:line="286" w:lineRule="auto"/>
        <w:rPr>
          <w:sz w:val="20"/>
          <w:szCs w:val="20"/>
          <w:color w:val="auto"/>
        </w:rPr>
      </w:pPr>
      <w:r>
        <w:rPr>
          <w:rFonts w:ascii="Arial" w:cs="Arial" w:eastAsia="Arial" w:hAnsi="Arial"/>
          <w:sz w:val="17"/>
          <w:szCs w:val="17"/>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66"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2019 and the effects that these obligations are expected to have on our liquidity and cash flows in future periods: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Less Than</w:t>
            </w:r>
          </w:p>
        </w:tc>
        <w:tc>
          <w:tcPr>
            <w:tcW w:w="20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1 to 3</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3 to 5</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 Year</w:t>
            </w: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Capital lease obligation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4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21,818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000" w:type="dxa"/>
            <w:vAlign w:val="bottom"/>
            <w:tcBorders>
              <w:bottom w:val="single" w:sz="8" w:color="auto"/>
            </w:tcBorders>
          </w:tcPr>
          <w:p>
            <w:pPr>
              <w:spacing w:after="0"/>
              <w:rPr>
                <w:sz w:val="10"/>
                <w:szCs w:val="10"/>
                <w:color w:val="auto"/>
              </w:rPr>
            </w:pPr>
          </w:p>
        </w:tc>
        <w:tc>
          <w:tcPr>
            <w:tcW w:w="4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0" w:right="400" w:hanging="552"/>
        <w:spacing w:after="0" w:line="277"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non-cancelable operating lease, which expires in June 2028. The minimum lease payments above do not include any related common area maintenance charges or real estate taxes.</w:t>
      </w:r>
    </w:p>
    <w:p>
      <w:pPr>
        <w:spacing w:after="0" w:line="170"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Under our right of reference and license agreement that we entered into in February 2019 with affiliates of GSK, we have payment obligations that are contingent upon the occurrence of future events such as our achievement of specified clinical, regulatory and sales milestones and are required to make royalty payments in connection with the sale of products developed under the agreement. Specifically, we may owe GSK up to $37.5 million in certain specified clinical and regulatory milestones, including a $2.5 million milestone payment we made to GSK during the year ended December 31, 2019 upon the initiation of a Phase 2 clinical trial, and up to $60.0 million in certain specified sales milestones and royalties on product sales, if any. We have not included any such contingent milestone or royalty payment obligations in the table above because the amount (in the case of potential royalty payments), timing and likelihood of such payments are not always known. For additional information regarding this license agreement, including our payment obligations thereunder, see “Business—Right of Reference and License Agreement with GlaxoSmithKline,” and Note 10 to our annual consolidated financial statements included elsewhere in this Annual Report on Form 10-K.</w:t>
      </w:r>
    </w:p>
    <w:p>
      <w:pPr>
        <w:spacing w:after="0" w:line="182"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We enter into contracts in the normal course of business with CROs, CMOs and other third parties for clinical trials, pre-clinical research studies, synthetic chemistry and testing and manufacturing services. These contracts are generally cancelable by us upon up to 30 days’ prior written notice. Payments due upon cancellation consist only of payments for services provided or expenses incurred, including noncancelable obligations of our service providers, up to and through the date of cancellation. These payments are not included in the preceding table as the amount and timing of these payments are not known.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60" w:firstLine="555"/>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60" w:firstLine="555"/>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w:t>
      </w:r>
    </w:p>
    <w:p>
      <w:pPr>
        <w:spacing w:after="0" w:line="182"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We believe that the accounting policies discussed below are critical to understanding our historical and future performance, as these policies relate to the most significant areas involving management’s judgments and estimates. See Note 2 to our annual consolidated financial statements included elsewhere in this Annual Report on Form 10-K for a description of our other significant accounting policies.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55"/>
        <w:spacing w:after="0" w:line="286" w:lineRule="auto"/>
        <w:rPr>
          <w:sz w:val="20"/>
          <w:szCs w:val="20"/>
          <w:color w:val="auto"/>
        </w:rPr>
      </w:pPr>
      <w:r>
        <w:rPr>
          <w:rFonts w:ascii="Arial" w:cs="Arial" w:eastAsia="Arial" w:hAnsi="Arial"/>
          <w:sz w:val="17"/>
          <w:szCs w:val="17"/>
          <w:color w:val="auto"/>
        </w:rPr>
        <w:t xml:space="preserve">Under the Financial Accounting Standards Board Accounting Standards Codification, or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 entity recognizes revenue when its customer obtains control of promised goods or services, in an amount that reflects the consideration that the entity expects to receive in exchange for those goods or services. In applying ASC 606, we perform the following five steps: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 Identify the contract with the customer</w:t>
      </w:r>
    </w:p>
    <w:p>
      <w:pPr>
        <w:spacing w:after="0" w:line="117"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A contract with a customer exists when (i) we enter into an enforceable contract with a customer that defines each party’s rights regarding the goods or services to be transferred and identifies the related payment terms, (ii) the contract has commercial substance and (iii) we determine that collection of substantially all consideration for goods and services that are transferred is probable based on the customer’s intent and ability to pay the promised consideration.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 Identify the promises and performance obligations in the contract</w:t>
      </w:r>
    </w:p>
    <w:p>
      <w:pPr>
        <w:spacing w:after="0" w:line="117"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available resources, and are distinct in the context of the contract, whereby the transfer of the good or service is separately identifiable from other promises in the contract. To the extent a contract includes multiple promised goods and services, we must apply judgment to determine whether promised goods and services are capable of being distinct and distinct in the context of the contract. In assessing whether a promised good or service is distinct, we consider factors such as the research, manufacturing and commercialization capabilities of the customer and the availability of the associated expertise in the marketplace. We also consider the intended benefit of the contract in assessing whether a promised good or service is separately identifiable from other promises in the contract. If these criteria are not met, the promised goods and services are accounted for as a combined performance obligation.</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3) Determine the transaction price</w:t>
      </w:r>
    </w:p>
    <w:p>
      <w:pPr>
        <w:spacing w:after="0" w:line="117" w:lineRule="exact"/>
        <w:rPr>
          <w:sz w:val="20"/>
          <w:szCs w:val="20"/>
          <w:color w:val="auto"/>
        </w:rPr>
      </w:pPr>
    </w:p>
    <w:p>
      <w:pPr>
        <w:ind w:right="280" w:firstLine="555"/>
        <w:spacing w:after="0" w:line="290" w:lineRule="auto"/>
        <w:rPr>
          <w:sz w:val="20"/>
          <w:szCs w:val="20"/>
          <w:color w:val="auto"/>
        </w:rPr>
      </w:pPr>
      <w:r>
        <w:rPr>
          <w:rFonts w:ascii="Arial" w:cs="Arial" w:eastAsia="Arial" w:hAnsi="Arial"/>
          <w:sz w:val="16"/>
          <w:szCs w:val="16"/>
          <w:color w:val="auto"/>
        </w:rPr>
        <w:t>The transaction price is determined based on the consideration to which we will be entitled in exchange for transferring goods and services to the customer. 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spacing w:after="0" w:line="166" w:lineRule="exact"/>
        <w:rPr>
          <w:sz w:val="20"/>
          <w:szCs w:val="20"/>
          <w:color w:val="auto"/>
        </w:rPr>
      </w:pPr>
    </w:p>
    <w:p>
      <w:pPr>
        <w:jc w:val="both"/>
        <w:ind w:right="440" w:firstLine="555"/>
        <w:spacing w:after="0" w:line="302" w:lineRule="auto"/>
        <w:rPr>
          <w:sz w:val="20"/>
          <w:szCs w:val="20"/>
          <w:color w:val="auto"/>
        </w:rPr>
      </w:pPr>
      <w:r>
        <w:rPr>
          <w:rFonts w:ascii="Arial" w:cs="Arial" w:eastAsia="Arial" w:hAnsi="Arial"/>
          <w:sz w:val="16"/>
          <w:szCs w:val="16"/>
          <w:color w:val="auto"/>
        </w:rPr>
        <w:t>If an arrangement includes research and development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such as regulatory approvals, are generally not considered probable of being achieved until the underlying events occur or the associated approvals are received.</w:t>
      </w:r>
    </w:p>
    <w:p>
      <w:pPr>
        <w:spacing w:after="0" w:line="154" w:lineRule="exact"/>
        <w:rPr>
          <w:sz w:val="20"/>
          <w:szCs w:val="20"/>
          <w:color w:val="auto"/>
        </w:rPr>
      </w:pPr>
    </w:p>
    <w:p>
      <w:pPr>
        <w:ind w:right="140" w:firstLine="555"/>
        <w:spacing w:after="0" w:line="286" w:lineRule="auto"/>
        <w:rPr>
          <w:sz w:val="20"/>
          <w:szCs w:val="20"/>
          <w:color w:val="auto"/>
        </w:rPr>
      </w:pPr>
      <w:r>
        <w:rPr>
          <w:rFonts w:ascii="Arial" w:cs="Arial" w:eastAsia="Arial" w:hAnsi="Arial"/>
          <w:sz w:val="17"/>
          <w:szCs w:val="17"/>
          <w:color w:val="auto"/>
        </w:rPr>
        <w:t>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166" w:lineRule="exact"/>
        <w:rPr>
          <w:sz w:val="20"/>
          <w:szCs w:val="20"/>
          <w:color w:val="auto"/>
        </w:rPr>
      </w:pPr>
    </w:p>
    <w:p>
      <w:pPr>
        <w:ind w:right="240" w:firstLine="555"/>
        <w:spacing w:after="0" w:line="342" w:lineRule="auto"/>
        <w:rPr>
          <w:sz w:val="20"/>
          <w:szCs w:val="20"/>
          <w:color w:val="auto"/>
        </w:rPr>
      </w:pPr>
      <w:r>
        <w:rPr>
          <w:rFonts w:ascii="Arial" w:cs="Arial" w:eastAsia="Arial" w:hAnsi="Arial"/>
          <w:sz w:val="16"/>
          <w:szCs w:val="16"/>
          <w:color w:val="auto"/>
        </w:rPr>
        <w:t>In determining the transaction price, we adjust consideration for the effects of the time value of money if the timing of payments provides us with a significant benefit of financing. We assess our revenue generating arrangements in order to determine whether a significant financing component exists.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5" w:name="page116"/>
    <w:bookmarkEnd w:id="115"/>
    <w:p>
      <w:pPr>
        <w:ind w:left="560"/>
        <w:spacing w:after="0"/>
        <w:rPr>
          <w:sz w:val="20"/>
          <w:szCs w:val="20"/>
          <w:color w:val="auto"/>
        </w:rPr>
      </w:pPr>
      <w:r>
        <w:rPr>
          <w:rFonts w:ascii="Arial" w:cs="Arial" w:eastAsia="Arial" w:hAnsi="Arial"/>
          <w:sz w:val="18"/>
          <w:szCs w:val="18"/>
          <w:i w:val="1"/>
          <w:iCs w:val="1"/>
          <w:color w:val="auto"/>
        </w:rPr>
        <w:t>4) Allocate the transaction price to the performance obligations in the contract</w:t>
      </w:r>
    </w:p>
    <w:p>
      <w:pPr>
        <w:spacing w:after="0" w:line="117"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If the contract contains a single performance obligation, the entire transaction consideration is allocated to the single performance obligation. Contracts that contain multiple performance obligations require an allocation of the transaction consideration to each performance obligation on a relative standalone selling price basis unless the transaction consideration is variable and meets the criteria to be allocated entirely to a single performance obligation or to a distinct service that forms part of a single performance obligation.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5) Recognize revenue when or as the Company satisfies a performance obligation</w:t>
      </w:r>
    </w:p>
    <w:p>
      <w:pPr>
        <w:spacing w:after="0" w:line="117"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We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158"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For revenue that we recognize over time, we assess whether an input or an output method is the appropriate measure of progress associated with the satisfaction of the performance obligation. In determining the appropriate method for measuring progress, we consider the nature of the good or service that the we have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our measurement of progress associated with the satisfaction of performance obligations include the total estimated costs to satisfy the associated performance obligation.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Note 9, “Acceleron Collaboration Agreement”, for further information on the application of ASC 606 to the Acceleron Collaboration Agreement.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92"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92" w:lineRule="exact"/>
        <w:rPr>
          <w:sz w:val="20"/>
          <w:szCs w:val="20"/>
          <w:color w:val="auto"/>
        </w:rPr>
      </w:pPr>
    </w:p>
    <w:p>
      <w:pPr>
        <w:ind w:firstLine="555"/>
        <w:spacing w:after="0" w:line="286"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We measure stock-based compensation expense related to all restricted stock awards and stock options based on the fair value of the award on the date of grant. We recognize compensation expense for these awards over the requisite service period, which is generally the vesting period of the respective award. Generally, we issue awards with only service-based vesting conditions and record the expense for these awards using the straight-line method. We have also granted certain stock-based awards with performance-based vesting conditions. We recognize compensation expense for awards with performance-based vesting conditions over the remaining service period using an accelerated attribution method when management determines that achievement of the performance condition is probable. At each reporting date, we evaluate if the achievement of a performance-based milestone is probable based on the expected satisfaction of the performance conditions.</w:t>
      </w:r>
    </w:p>
    <w:p>
      <w:pPr>
        <w:spacing w:after="0" w:line="178"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We determine the fair value of restricted stock awards based on the estimated fair value of our common stock on the date of grant, less any applicable purchase price. We estimate the fair value of stock options granted using the Black-Scholes option-pricing model. The determination of the grant date fair value of stock options using an option pricing model is affected principally by our estimated fair value of our common stock and requires management to make a number of other assumptions, including the expected term of the option, the estimated volatility of the underlying shares, the risk-free interest rate, and expected dividends. The assumptions used in the determination of the grant date fair value of stock options represent management’s best estimates at the time of measurement. Given the lack of public market for our common stock prior to the closing of our IPO and a lack of company-specific historical and implied volatility data, we based the estimate of expected volatility on the historical volatility of a representative group of publicly traded companies for which historical information is available. The historical volatility is calculated based on a period of time commensurate with the assumption used for the expected term. We use the simplified method to calculate the expected term for all stock options. We utilize this method as we do not have sufficient historical exercise data to provide a reasonable basis upon which to estimate the expected term. The risk-free interest rate is based on a U.S. treasury instrument whose term is consistent with the expected term of the stock options. The expected dividend yield is assumed to be zero as we have never paid dividends and do not have current plans to pay any dividends on common stock.</w:t>
      </w:r>
    </w:p>
    <w:p>
      <w:pPr>
        <w:spacing w:after="0" w:line="180" w:lineRule="exact"/>
        <w:rPr>
          <w:sz w:val="20"/>
          <w:szCs w:val="20"/>
          <w:color w:val="auto"/>
        </w:rPr>
      </w:pPr>
    </w:p>
    <w:p>
      <w:pPr>
        <w:ind w:right="560" w:firstLine="555"/>
        <w:spacing w:after="0" w:line="277" w:lineRule="auto"/>
        <w:rPr>
          <w:sz w:val="20"/>
          <w:szCs w:val="20"/>
          <w:color w:val="auto"/>
        </w:rPr>
      </w:pPr>
      <w:r>
        <w:rPr>
          <w:rFonts w:ascii="Arial" w:cs="Arial" w:eastAsia="Arial" w:hAnsi="Arial"/>
          <w:sz w:val="18"/>
          <w:szCs w:val="18"/>
          <w:color w:val="auto"/>
        </w:rPr>
        <w:t>In future periods, we expect stock-based compensation expense to increase, due in part to our existing unrecognized stock-based compensation expense and as we grant additional stock-based awards to continue to attract and retain our employees.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of Common Stock and Series B Preferred Stock prior to our IPO</w:t>
      </w:r>
    </w:p>
    <w:p>
      <w:pPr>
        <w:spacing w:after="0" w:line="117" w:lineRule="exact"/>
        <w:rPr>
          <w:sz w:val="20"/>
          <w:szCs w:val="20"/>
          <w:color w:val="auto"/>
        </w:rPr>
      </w:pPr>
    </w:p>
    <w:p>
      <w:pPr>
        <w:ind w:right="120" w:firstLine="555"/>
        <w:spacing w:after="0" w:line="271" w:lineRule="auto"/>
        <w:rPr>
          <w:sz w:val="20"/>
          <w:szCs w:val="20"/>
          <w:color w:val="auto"/>
        </w:rPr>
      </w:pPr>
      <w:r>
        <w:rPr>
          <w:rFonts w:ascii="Arial" w:cs="Arial" w:eastAsia="Arial" w:hAnsi="Arial"/>
          <w:sz w:val="17"/>
          <w:szCs w:val="17"/>
          <w:color w:val="auto"/>
        </w:rPr>
        <w:t>Prior to our IPO, there was no public market for our common stock. As a result, the estimated fair value of our common stock and Series B preferred stock was determined by our board of directors and management, respectively, as of the date of each equity issuance considering our most recently available third-party valuations of common stock or Series B preferred stock, and our assessment of additional objective and subjective factors. We were required to estimate the fair value of our common stock underlying our stock-based awards when estimating the grant date fair value of those awards. Additionally, we were required to estimate the fair value of the Series B preferred stock issued pursuant to the right of reference and license agreement that we entered into with GSK in February 2019. The third-party valuations of our common stock and our Series B preferred stock were performed in accordance with the guidance outlined in the American Institute of Certified Public Accountants’ Accounting and Valuation Guide, Valuation of Privately-Held-Company Equity Securities Issued as Compensation.</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assumptions underlying these valuations represented our best estimates, which involved inherent uncertainties and the application of judgment.</w:t>
      </w:r>
    </w:p>
    <w:p>
      <w:pPr>
        <w:spacing w:after="0" w:line="248"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Following the closing of our IPO, we have determined the fair value of our common stock based on the quoted market price of our common stock on the Nasdaq Global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7" w:name="page118"/>
    <w:bookmarkEnd w:id="117"/>
    <w:p>
      <w:pPr>
        <w:ind w:right="40" w:firstLine="555"/>
        <w:spacing w:after="0" w:line="259" w:lineRule="auto"/>
        <w:rPr>
          <w:sz w:val="20"/>
          <w:szCs w:val="20"/>
          <w:color w:val="auto"/>
        </w:rPr>
      </w:pPr>
      <w:r>
        <w:rPr>
          <w:rFonts w:ascii="Arial" w:cs="Arial" w:eastAsia="Arial" w:hAnsi="Arial"/>
          <w:sz w:val="18"/>
          <w:szCs w:val="18"/>
          <w:color w:val="auto"/>
        </w:rPr>
        <w:t>We account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As of each balance sheet date, we did not have any uncertain tax positions.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financial statements appearing at the end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As of December 31, 2019, we had cash and cash equivalents of $96.7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54"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December 31, 2019, we had minimal or no liabilities denominated in foreign currencies.</w:t>
      </w:r>
    </w:p>
    <w:p>
      <w:pPr>
        <w:spacing w:after="0" w:line="187" w:lineRule="exact"/>
        <w:rPr>
          <w:sz w:val="20"/>
          <w:szCs w:val="20"/>
          <w:color w:val="auto"/>
        </w:rPr>
      </w:pPr>
    </w:p>
    <w:p>
      <w:pPr>
        <w:ind w:right="540" w:firstLine="555"/>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years ended December 31, 2019 and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Our consolidated financial statements, together with the independent registered public accounting firm report thereon, are presented beginning on page F-1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Operating Officer (our principal executive officer and principal financial officer, respectively), evaluated the effectiveness of our disclosure controls and procedures as of December 31, 2019.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2019, our Chief Executive Officer and Chief Operating Officer concluded that, as of such date, our disclosure controls and procedures were effective at the reasonable assurance level.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the Company's independent registered public accounting firm due to a transition period established by rules of the SEC for newly public companies.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three months ended December 31, 2019 that has materially affected, or is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119" w:name="page120"/>
    <w:bookmarkEnd w:id="119"/>
    <w:p>
      <w:pPr>
        <w:ind w:left="56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80" w:firstLine="555"/>
        <w:spacing w:after="0" w:line="308" w:lineRule="auto"/>
        <w:rPr>
          <w:sz w:val="20"/>
          <w:szCs w:val="20"/>
          <w:color w:val="auto"/>
        </w:rPr>
      </w:pPr>
      <w:r>
        <w:rPr>
          <w:rFonts w:ascii="Arial" w:cs="Arial" w:eastAsia="Arial" w:hAnsi="Arial"/>
          <w:sz w:val="17"/>
          <w:szCs w:val="17"/>
          <w:color w:val="auto"/>
        </w:rPr>
        <w:t>Except to the extent provided below, the information required by this Item 10 will be included in our Definitive Proxy Statement to be filed with the Securities and Exchange Commission, or SEC, with respect to our 2020 Annual Meeting of Stockholders and is incorporated herein by reference.</w:t>
      </w:r>
    </w:p>
    <w:p>
      <w:pPr>
        <w:spacing w:after="0" w:line="147"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We post our Code of Business Conduct and Ethics, which applies to our directors, officers and employees, including our principal executive officer, principal financial officer, principal accounting officer or controller, or persons performing similar functions, in the “Corporate Governance” sub-section of the “Investor Relations” section (ir.fulcrumtx.com) of our corporate website at www.fulcrumtx.com. We intend to disclose on our website any amendments to, or waivers from, the Code of Business Conduct and Ethics that are required to be disclosed pursuant to the disclosure requirements of Item 5.05 of Form 8-K.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2020 Annual Meeting of Stockholders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2020 Annual Meeting of Stockholders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2020 Annual Meeting of Stockholders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2020 Annual Meeting of Stockholders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80" w:type="dxa"/>
            <w:vAlign w:val="bottom"/>
            <w:gridSpan w:val="3"/>
          </w:tcPr>
          <w:p>
            <w:pPr>
              <w:ind w:left="960"/>
              <w:spacing w:after="0"/>
              <w:rPr>
                <w:sz w:val="20"/>
                <w:szCs w:val="20"/>
                <w:color w:val="auto"/>
              </w:rPr>
            </w:pPr>
            <w:r>
              <w:rPr>
                <w:rFonts w:ascii="Arial" w:cs="Arial" w:eastAsia="Arial" w:hAnsi="Arial"/>
                <w:sz w:val="18"/>
                <w:szCs w:val="18"/>
                <w:b w:val="1"/>
                <w:bCs w:val="1"/>
                <w:color w:val="auto"/>
              </w:rPr>
              <w:t>PART IV</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76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760" w:type="dxa"/>
            <w:vAlign w:val="bottom"/>
            <w:gridSpan w:val="8"/>
          </w:tcPr>
          <w:p>
            <w:pPr>
              <w:spacing w:after="0"/>
              <w:rPr>
                <w:sz w:val="20"/>
                <w:szCs w:val="20"/>
                <w:color w:val="auto"/>
              </w:rPr>
            </w:pPr>
            <w:r>
              <w:rPr>
                <w:rFonts w:ascii="Arial" w:cs="Arial" w:eastAsia="Arial" w:hAnsi="Arial"/>
                <w:sz w:val="18"/>
                <w:szCs w:val="18"/>
                <w:b w:val="1"/>
                <w:bCs w:val="1"/>
                <w:color w:val="auto"/>
              </w:rPr>
              <w:t>(1) Consolidated Financial Statements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760" w:type="dxa"/>
            <w:vAlign w:val="bottom"/>
            <w:gridSpan w:val="8"/>
          </w:tcPr>
          <w:p>
            <w:pPr>
              <w:ind w:left="560"/>
              <w:spacing w:after="0"/>
              <w:rPr>
                <w:sz w:val="20"/>
                <w:szCs w:val="20"/>
                <w:color w:val="auto"/>
              </w:rPr>
            </w:pPr>
            <w:r>
              <w:rPr>
                <w:rFonts w:ascii="Arial" w:cs="Arial" w:eastAsia="Arial" w:hAnsi="Arial"/>
                <w:sz w:val="18"/>
                <w:szCs w:val="18"/>
                <w:color w:val="auto"/>
                <w:w w:val="91"/>
              </w:rPr>
              <w:t>The following documents are included on pages F-1 through F-28 attached hereto and are filed as part of this Annual Report on Form 10-K.</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40" w:type="dxa"/>
            <w:vAlign w:val="bottom"/>
            <w:gridSpan w:val="7"/>
            <w:vMerge w:val="restart"/>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Report of Independent Registered Public Accounting Firm</w:t>
              </w:r>
            </w:hyperlink>
          </w:p>
        </w:tc>
        <w:tc>
          <w:tcPr>
            <w:tcW w:w="220" w:type="dxa"/>
            <w:vAlign w:val="bottom"/>
          </w:tcPr>
          <w:p>
            <w:pPr>
              <w:spacing w:after="0"/>
              <w:rPr>
                <w:sz w:val="24"/>
                <w:szCs w:val="2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40" w:type="dxa"/>
            <w:vAlign w:val="bottom"/>
            <w:gridSpan w:val="7"/>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42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6540" w:type="dxa"/>
            <w:vAlign w:val="bottom"/>
            <w:gridSpan w:val="4"/>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760" w:type="dxa"/>
            <w:vAlign w:val="bottom"/>
            <w:gridSpan w:val="8"/>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Consolidated Statements of Operations and Comprehensive Loss</w:t>
              </w:r>
            </w:hyperlink>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26">
              <w:r>
                <w:rPr>
                  <w:rFonts w:ascii="Arial" w:cs="Arial" w:eastAsia="Arial" w:hAnsi="Arial"/>
                  <w:sz w:val="18"/>
                  <w:szCs w:val="18"/>
                  <w:color w:val="0000EE"/>
                  <w:w w:val="91"/>
                </w:rPr>
                <w:t>Consolidated Statements of Convertible Preferred Stock and Stockholders’ Equity (Deficit)</w:t>
              </w:r>
            </w:hyperlink>
          </w:p>
        </w:tc>
        <w:tc>
          <w:tcPr>
            <w:tcW w:w="4160" w:type="dxa"/>
            <w:vAlign w:val="bottom"/>
            <w:gridSpan w:val="2"/>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Consolidated Statements of Cash Flows</w:t>
              </w:r>
            </w:hyperlink>
          </w:p>
        </w:tc>
        <w:tc>
          <w:tcPr>
            <w:tcW w:w="7880" w:type="dxa"/>
            <w:vAlign w:val="bottom"/>
            <w:gridSpan w:val="6"/>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28">
              <w:r>
                <w:rPr>
                  <w:rFonts w:ascii="Arial" w:cs="Arial" w:eastAsia="Arial" w:hAnsi="Arial"/>
                  <w:sz w:val="18"/>
                  <w:szCs w:val="18"/>
                  <w:color w:val="0000EE"/>
                  <w:w w:val="89"/>
                </w:rPr>
                <w:t>Notes to Consolidated Financial Statements</w:t>
              </w:r>
            </w:hyperlink>
          </w:p>
        </w:tc>
        <w:tc>
          <w:tcPr>
            <w:tcW w:w="7600" w:type="dxa"/>
            <w:vAlign w:val="bottom"/>
            <w:gridSpan w:val="5"/>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right="680" w:firstLine="555"/>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consolidated financial statements or the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right="120" w:firstLine="555"/>
        <w:spacing w:after="0" w:line="342" w:lineRule="auto"/>
        <w:rPr>
          <w:sz w:val="20"/>
          <w:szCs w:val="20"/>
          <w:color w:val="auto"/>
        </w:rPr>
      </w:pPr>
      <w:r>
        <w:rPr>
          <w:rFonts w:ascii="Arial" w:cs="Arial" w:eastAsia="Arial" w:hAnsi="Arial"/>
          <w:sz w:val="16"/>
          <w:szCs w:val="16"/>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1" w:name="page122"/>
    <w:bookmarkEnd w:id="121"/>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40" w:type="dxa"/>
            <w:vAlign w:val="bottom"/>
            <w:gridSpan w:val="7"/>
            <w:vMerge w:val="restart"/>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Report of Independent Registered Public Accounting Firm</w:t>
              </w:r>
            </w:hyperlink>
          </w:p>
        </w:tc>
        <w:tc>
          <w:tcPr>
            <w:tcW w:w="900" w:type="dxa"/>
            <w:vAlign w:val="bottom"/>
            <w:gridSpan w:val="2"/>
          </w:tcPr>
          <w:p>
            <w:pPr>
              <w:ind w:lef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40" w:type="dxa"/>
            <w:vAlign w:val="bottom"/>
            <w:gridSpan w:val="7"/>
            <w:vMerge w:val="continue"/>
          </w:tcPr>
          <w:p>
            <w:pPr>
              <w:spacing w:after="0"/>
              <w:rPr>
                <w:sz w:val="14"/>
                <w:szCs w:val="14"/>
                <w:color w:val="auto"/>
              </w:rPr>
            </w:pPr>
          </w:p>
        </w:tc>
        <w:tc>
          <w:tcPr>
            <w:tcW w:w="880" w:type="dxa"/>
            <w:vAlign w:val="bottom"/>
            <w:tcBorders>
              <w:top w:val="single" w:sz="8" w:color="auto"/>
            </w:tcBorders>
          </w:tcPr>
          <w:p>
            <w:pPr>
              <w:ind w:left="64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6320" w:type="dxa"/>
            <w:vAlign w:val="bottom"/>
            <w:gridSpan w:val="3"/>
          </w:tcPr>
          <w:p>
            <w:pPr>
              <w:spacing w:after="0"/>
              <w:rPr>
                <w:sz w:val="17"/>
                <w:szCs w:val="17"/>
                <w:color w:val="auto"/>
              </w:rPr>
            </w:pPr>
          </w:p>
        </w:tc>
        <w:tc>
          <w:tcPr>
            <w:tcW w:w="900" w:type="dxa"/>
            <w:vAlign w:val="bottom"/>
            <w:gridSpan w:val="2"/>
          </w:tcPr>
          <w:p>
            <w:pPr>
              <w:ind w:left="64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540" w:type="dxa"/>
            <w:vAlign w:val="bottom"/>
            <w:gridSpan w:val="7"/>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Consolidated Statements of Operations and Comprehensive Loss</w:t>
              </w:r>
            </w:hyperlink>
          </w:p>
        </w:tc>
        <w:tc>
          <w:tcPr>
            <w:tcW w:w="900" w:type="dxa"/>
            <w:vAlign w:val="bottom"/>
            <w:gridSpan w:val="2"/>
          </w:tcPr>
          <w:p>
            <w:pPr>
              <w:ind w:left="64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26">
              <w:r>
                <w:rPr>
                  <w:rFonts w:ascii="Arial" w:cs="Arial" w:eastAsia="Arial" w:hAnsi="Arial"/>
                  <w:sz w:val="18"/>
                  <w:szCs w:val="18"/>
                  <w:color w:val="0000EE"/>
                  <w:w w:val="91"/>
                </w:rPr>
                <w:t>Consolidated Statements of Convertible Preferred Stock and Stockholders’ Equity (Deficit)</w:t>
              </w:r>
            </w:hyperlink>
          </w:p>
        </w:tc>
        <w:tc>
          <w:tcPr>
            <w:tcW w:w="3940" w:type="dxa"/>
            <w:vAlign w:val="bottom"/>
          </w:tcPr>
          <w:p>
            <w:pPr>
              <w:spacing w:after="0"/>
              <w:rPr>
                <w:sz w:val="17"/>
                <w:szCs w:val="17"/>
                <w:color w:val="auto"/>
              </w:rPr>
            </w:pPr>
          </w:p>
        </w:tc>
        <w:tc>
          <w:tcPr>
            <w:tcW w:w="900" w:type="dxa"/>
            <w:vAlign w:val="bottom"/>
            <w:gridSpan w:val="2"/>
          </w:tcPr>
          <w:p>
            <w:pPr>
              <w:ind w:left="64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Consolidated Statements of Cash Flows</w:t>
              </w:r>
            </w:hyperlink>
          </w:p>
        </w:tc>
        <w:tc>
          <w:tcPr>
            <w:tcW w:w="7660" w:type="dxa"/>
            <w:vAlign w:val="bottom"/>
            <w:gridSpan w:val="5"/>
          </w:tcPr>
          <w:p>
            <w:pPr>
              <w:spacing w:after="0"/>
              <w:rPr>
                <w:sz w:val="17"/>
                <w:szCs w:val="17"/>
                <w:color w:val="auto"/>
              </w:rPr>
            </w:pPr>
          </w:p>
        </w:tc>
        <w:tc>
          <w:tcPr>
            <w:tcW w:w="900" w:type="dxa"/>
            <w:vAlign w:val="bottom"/>
            <w:gridSpan w:val="2"/>
          </w:tcPr>
          <w:p>
            <w:pPr>
              <w:ind w:left="64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10540" w:type="dxa"/>
            <w:vAlign w:val="bottom"/>
            <w:gridSpan w:val="7"/>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Notes to Consolidated Financial Statements</w:t>
              </w:r>
            </w:hyperlink>
          </w:p>
        </w:tc>
        <w:tc>
          <w:tcPr>
            <w:tcW w:w="900" w:type="dxa"/>
            <w:vAlign w:val="bottom"/>
            <w:gridSpan w:val="2"/>
          </w:tcPr>
          <w:p>
            <w:pPr>
              <w:ind w:left="64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453"/>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60" w:type="dxa"/>
            <w:vAlign w:val="bottom"/>
            <w:gridSpan w:val="2"/>
          </w:tcPr>
          <w:p>
            <w:pPr>
              <w:ind w:left="900"/>
              <w:spacing w:after="0"/>
              <w:rPr>
                <w:sz w:val="20"/>
                <w:szCs w:val="20"/>
                <w:color w:val="auto"/>
              </w:rPr>
            </w:pPr>
            <w:r>
              <w:rPr>
                <w:rFonts w:ascii="Arial" w:cs="Arial" w:eastAsia="Arial" w:hAnsi="Arial"/>
                <w:sz w:val="18"/>
                <w:szCs w:val="18"/>
                <w:color w:val="auto"/>
              </w:rPr>
              <w:t>F-1</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2" w:name="page123"/>
    <w:bookmarkEnd w:id="122"/>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Fulcrum Therapeutics,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have audited the accompanying consolidated balance sheets of Fulcrum Therapeutics, Inc. (the Company) as of December 31, 2019 and 2018, the related consolidated statements of operations and comprehensive loss, convertible preferred stock and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96,713</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110,439</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85,771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2,186</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Deferred lease incentive, current portion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current portion</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rent, excluding current portion</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Deferred lease incentive, excluding current portion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excluding current portion</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excluding current portion</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w w:val="90"/>
              </w:rPr>
              <w:t>Series A convertible preferred stock, $0.001 par value; no shares and 60,000,000 shares authorized, issued</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and outstanding as of December 31, 2019 and December 31, 2018, respectively</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59,909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8"/>
                <w:szCs w:val="18"/>
                <w:color w:val="auto"/>
                <w:w w:val="90"/>
              </w:rPr>
              <w:t>Series B convertible preferred stock, $0.001 par value; no shares and 40,000,000 shares authorized, issued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and outstanding as of December 31, 2019 and December 31, 2018, respectively</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w w:val="93"/>
              </w:rPr>
              <w:t>Preferred stock, $0.001 par value; 5,000,000 shares authorized as of December 31, 2019; no shares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issued or outstanding as of December 31, 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Common stock, $0.001 par value; 200,000,000 and 135,000,000 shares authorized as of December 31,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2019 and December 31, 2018, respectively; 23,335,514 and 2,791,764 shares issued as of December</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31, 2019 and December 31, 2018, respectively; 22,654,444 and 1,587,953 shares outstanding as of</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31, 2019 and December 31, 2018, respectively</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w w:val="89"/>
              </w:rPr>
              <w:t>Treasury stock, at cost; no shares and 67,024 shares as of December 31, 2019 and December 31, 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(150,801)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(68,124)</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87,153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110,439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6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Year Ended</w:t>
      </w:r>
    </w:p>
    <w:p>
      <w:pPr>
        <w:jc w:val="center"/>
        <w:ind w:left="77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34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Loss from operations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(84,217)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5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and comprehensive loss</w:t>
            </w:r>
          </w:p>
        </w:tc>
        <w:tc>
          <w:tcPr>
            <w:tcW w:w="5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(82,677)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Cumulative convertible preferred stock dividends</w:t>
            </w:r>
          </w:p>
        </w:tc>
        <w:tc>
          <w:tcPr>
            <w:tcW w:w="5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5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(89,805)</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5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w w:val="95"/>
              </w:rPr>
              <w:t>Weighted average number of common shares used in net loss per share attributable to common</w:t>
            </w:r>
          </w:p>
        </w:tc>
        <w:tc>
          <w:tcPr>
            <w:tcW w:w="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stockholders, basic and diluted</w:t>
            </w:r>
          </w:p>
        </w:tc>
        <w:tc>
          <w:tcPr>
            <w:tcW w:w="5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84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rPr>
              <w:t>Series A Convertible</w:t>
            </w:r>
          </w:p>
        </w:tc>
        <w:tc>
          <w:tcPr>
            <w:tcW w:w="1920" w:type="dxa"/>
            <w:vAlign w:val="bottom"/>
            <w:tcBorders>
              <w:right w:val="single" w:sz="8" w:color="auto"/>
            </w:tcBorders>
            <w:gridSpan w:val="6"/>
            <w:vMerge w:val="restart"/>
          </w:tcPr>
          <w:p>
            <w:pPr>
              <w:jc w:val="right"/>
              <w:ind w:right="440"/>
              <w:spacing w:after="0"/>
              <w:rPr>
                <w:sz w:val="20"/>
                <w:szCs w:val="20"/>
                <w:color w:val="auto"/>
              </w:rPr>
            </w:pPr>
            <w:r>
              <w:rPr>
                <w:rFonts w:ascii="Arial" w:cs="Arial" w:eastAsia="Arial" w:hAnsi="Arial"/>
                <w:sz w:val="14"/>
                <w:szCs w:val="14"/>
                <w:b w:val="1"/>
                <w:bCs w:val="1"/>
                <w:color w:val="auto"/>
              </w:rPr>
              <w:t>Series B Convertible</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840" w:type="dxa"/>
            <w:vAlign w:val="bottom"/>
            <w:gridSpan w:val="6"/>
            <w:vMerge w:val="continue"/>
          </w:tcPr>
          <w:p>
            <w:pPr>
              <w:spacing w:after="0"/>
              <w:rPr>
                <w:sz w:val="12"/>
                <w:szCs w:val="12"/>
                <w:color w:val="auto"/>
              </w:rPr>
            </w:pPr>
          </w:p>
        </w:tc>
        <w:tc>
          <w:tcPr>
            <w:tcW w:w="1920" w:type="dxa"/>
            <w:vAlign w:val="bottom"/>
            <w:tcBorders>
              <w:right w:val="single" w:sz="8" w:color="auto"/>
            </w:tcBorders>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7"/>
              </w:rPr>
              <w:t>Common Stock</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4"/>
              </w:rPr>
              <w:t>Treasury Stock</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1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71"/>
        </w:trPr>
        <w:tc>
          <w:tcPr>
            <w:tcW w:w="1580" w:type="dxa"/>
            <w:vAlign w:val="bottom"/>
          </w:tcPr>
          <w:p>
            <w:pPr>
              <w:spacing w:after="0"/>
              <w:rPr>
                <w:sz w:val="14"/>
                <w:szCs w:val="14"/>
                <w:color w:val="auto"/>
              </w:rPr>
            </w:pPr>
          </w:p>
        </w:tc>
        <w:tc>
          <w:tcPr>
            <w:tcW w:w="18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Preferred Stock</w:t>
            </w:r>
          </w:p>
        </w:tc>
        <w:tc>
          <w:tcPr>
            <w:tcW w:w="1920" w:type="dxa"/>
            <w:vAlign w:val="bottom"/>
            <w:tcBorders>
              <w:right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40"/>
              <w:spacing w:after="0"/>
              <w:rPr>
                <w:sz w:val="20"/>
                <w:szCs w:val="20"/>
                <w:color w:val="auto"/>
              </w:rPr>
            </w:pPr>
            <w:r>
              <w:rPr>
                <w:rFonts w:ascii="Arial" w:cs="Arial" w:eastAsia="Arial" w:hAnsi="Arial"/>
                <w:sz w:val="14"/>
                <w:szCs w:val="14"/>
                <w:b w:val="1"/>
                <w:bCs w:val="1"/>
                <w:color w:val="auto"/>
                <w:w w:val="94"/>
              </w:rPr>
              <w:t>Paid-In</w:t>
            </w:r>
          </w:p>
        </w:tc>
        <w:tc>
          <w:tcPr>
            <w:tcW w:w="11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Borders>
              <w:top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40"/>
              <w:spacing w:after="0" w:line="155"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8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200"/>
        </w:trPr>
        <w:tc>
          <w:tcPr>
            <w:tcW w:w="1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December</w:t>
            </w: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FF0FC"/>
          </w:tcPr>
          <w:p>
            <w:pPr>
              <w:spacing w:after="0"/>
              <w:rPr>
                <w:sz w:val="20"/>
                <w:szCs w:val="20"/>
                <w:color w:val="auto"/>
              </w:rPr>
            </w:pPr>
            <w:r>
              <w:rPr>
                <w:rFonts w:ascii="Arial" w:cs="Arial" w:eastAsia="Arial" w:hAnsi="Arial"/>
                <w:sz w:val="16"/>
                <w:szCs w:val="16"/>
                <w:color w:val="auto"/>
              </w:rPr>
              <w:t>31, 2017</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34,666,666</w:t>
            </w:r>
          </w:p>
        </w:tc>
        <w:tc>
          <w:tcPr>
            <w:tcW w:w="12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34,587</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972,266</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8,036</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2,270</w:t>
            </w:r>
          </w:p>
        </w:tc>
        <w:tc>
          <w:tcPr>
            <w:tcW w:w="30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(35,536)</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(33,265)</w:t>
            </w:r>
          </w:p>
        </w:tc>
        <w:tc>
          <w:tcPr>
            <w:tcW w:w="0" w:type="dxa"/>
            <w:vAlign w:val="bottom"/>
          </w:tcPr>
          <w:p>
            <w:pPr>
              <w:spacing w:after="0"/>
              <w:rPr>
                <w:sz w:val="1"/>
                <w:szCs w:val="1"/>
                <w:color w:val="auto"/>
              </w:rPr>
            </w:pPr>
          </w:p>
        </w:tc>
      </w:tr>
      <w:tr>
        <w:trPr>
          <w:trHeight w:val="206"/>
        </w:trPr>
        <w:tc>
          <w:tcPr>
            <w:tcW w:w="1580" w:type="dxa"/>
            <w:vAlign w:val="bottom"/>
          </w:tcPr>
          <w:p>
            <w:pPr>
              <w:ind w:left="260"/>
              <w:spacing w:after="0"/>
              <w:rPr>
                <w:sz w:val="20"/>
                <w:szCs w:val="20"/>
                <w:color w:val="auto"/>
              </w:rPr>
            </w:pPr>
            <w:r>
              <w:rPr>
                <w:rFonts w:ascii="Arial" w:cs="Arial" w:eastAsia="Arial" w:hAnsi="Arial"/>
                <w:sz w:val="16"/>
                <w:szCs w:val="16"/>
                <w:color w:val="auto"/>
                <w:w w:val="98"/>
              </w:rPr>
              <w:t>Issuance of Series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rPr>
                <w:sz w:val="20"/>
                <w:szCs w:val="20"/>
                <w:color w:val="auto"/>
              </w:rPr>
            </w:pPr>
            <w:r>
              <w:rPr>
                <w:rFonts w:ascii="Arial" w:cs="Arial" w:eastAsia="Arial" w:hAnsi="Arial"/>
                <w:sz w:val="16"/>
                <w:szCs w:val="16"/>
                <w:color w:val="auto"/>
              </w:rPr>
              <w:t>A convertible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rPr>
                <w:sz w:val="20"/>
                <w:szCs w:val="20"/>
                <w:color w:val="auto"/>
              </w:rPr>
            </w:pPr>
            <w:r>
              <w:rPr>
                <w:rFonts w:ascii="Arial" w:cs="Arial" w:eastAsia="Arial" w:hAnsi="Arial"/>
                <w:sz w:val="16"/>
                <w:szCs w:val="16"/>
                <w:color w:val="auto"/>
              </w:rPr>
              <w:t>preferred stock at</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rPr>
                <w:sz w:val="20"/>
                <w:szCs w:val="20"/>
                <w:color w:val="auto"/>
              </w:rPr>
            </w:pPr>
            <w:r>
              <w:rPr>
                <w:rFonts w:ascii="Arial" w:cs="Arial" w:eastAsia="Arial" w:hAnsi="Arial"/>
                <w:sz w:val="16"/>
                <w:szCs w:val="16"/>
                <w:color w:val="auto"/>
              </w:rPr>
              <w:t>$1.00 per share,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rPr>
                <w:sz w:val="20"/>
                <w:szCs w:val="20"/>
                <w:color w:val="auto"/>
              </w:rPr>
            </w:pPr>
            <w:r>
              <w:rPr>
                <w:rFonts w:ascii="Arial" w:cs="Arial" w:eastAsia="Arial" w:hAnsi="Arial"/>
                <w:sz w:val="16"/>
                <w:szCs w:val="16"/>
                <w:color w:val="auto"/>
              </w:rPr>
              <w:t>net of issuance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80" w:type="dxa"/>
            <w:vAlign w:val="bottom"/>
          </w:tcPr>
          <w:p>
            <w:pPr>
              <w:ind w:left="260"/>
              <w:spacing w:after="0"/>
              <w:rPr>
                <w:sz w:val="20"/>
                <w:szCs w:val="20"/>
                <w:color w:val="auto"/>
              </w:rPr>
            </w:pPr>
            <w:r>
              <w:rPr>
                <w:rFonts w:ascii="Arial" w:cs="Arial" w:eastAsia="Arial" w:hAnsi="Arial"/>
                <w:sz w:val="16"/>
                <w:szCs w:val="16"/>
                <w:color w:val="auto"/>
              </w:rPr>
              <w:t>costs</w:t>
            </w:r>
          </w:p>
        </w:tc>
        <w:tc>
          <w:tcPr>
            <w:tcW w:w="880" w:type="dxa"/>
            <w:vAlign w:val="bottom"/>
          </w:tcPr>
          <w:p>
            <w:pPr>
              <w:jc w:val="right"/>
              <w:spacing w:after="0"/>
              <w:rPr>
                <w:sz w:val="20"/>
                <w:szCs w:val="20"/>
                <w:color w:val="auto"/>
              </w:rPr>
            </w:pPr>
            <w:r>
              <w:rPr>
                <w:rFonts w:ascii="Arial" w:cs="Arial" w:eastAsia="Arial" w:hAnsi="Arial"/>
                <w:sz w:val="16"/>
                <w:szCs w:val="16"/>
                <w:color w:val="auto"/>
              </w:rPr>
              <w:t>25,333,334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25,322</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Issuance of Series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 convertible</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at</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$2.00 per share,</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of issuance</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costs</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40,000,000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79,761</w:t>
            </w: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580" w:type="dxa"/>
            <w:vAlign w:val="bottom"/>
          </w:tcPr>
          <w:p>
            <w:pPr>
              <w:ind w:left="260"/>
              <w:spacing w:after="0"/>
              <w:rPr>
                <w:sz w:val="20"/>
                <w:szCs w:val="20"/>
                <w:color w:val="auto"/>
              </w:rPr>
            </w:pPr>
            <w:r>
              <w:rPr>
                <w:rFonts w:ascii="Arial" w:cs="Arial" w:eastAsia="Arial" w:hAnsi="Arial"/>
                <w:sz w:val="16"/>
                <w:szCs w:val="16"/>
                <w:color w:val="auto"/>
              </w:rPr>
              <w:t>Issuance of</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8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615,687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 of</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6"/>
              </w:rPr>
              <w:t>unvested restricted</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awards</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93,711</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580" w:type="dxa"/>
            <w:vAlign w:val="bottom"/>
          </w:tcPr>
          <w:p>
            <w:pPr>
              <w:ind w:left="260"/>
              <w:spacing w:after="0"/>
              <w:rPr>
                <w:sz w:val="20"/>
                <w:szCs w:val="20"/>
                <w:color w:val="auto"/>
              </w:rPr>
            </w:pPr>
            <w:r>
              <w:rPr>
                <w:rFonts w:ascii="Arial" w:cs="Arial" w:eastAsia="Arial" w:hAnsi="Arial"/>
                <w:sz w:val="16"/>
                <w:szCs w:val="16"/>
                <w:color w:val="auto"/>
              </w:rPr>
              <w:t>Retirement of</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80" w:type="dxa"/>
            <w:vAlign w:val="bottom"/>
          </w:tcPr>
          <w:p>
            <w:pPr>
              <w:ind w:left="260"/>
              <w:spacing w:after="0"/>
              <w:rPr>
                <w:sz w:val="20"/>
                <w:szCs w:val="20"/>
                <w:color w:val="auto"/>
              </w:rPr>
            </w:pPr>
            <w:r>
              <w:rPr>
                <w:rFonts w:ascii="Arial" w:cs="Arial" w:eastAsia="Arial" w:hAnsi="Arial"/>
                <w:sz w:val="16"/>
                <w:szCs w:val="16"/>
                <w:color w:val="auto"/>
              </w:rPr>
              <w:t>treasury shares</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(34,723)</w:t>
            </w:r>
          </w:p>
        </w:tc>
        <w:tc>
          <w:tcPr>
            <w:tcW w:w="3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compensation</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expense</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(32,588)</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(32,588)</w:t>
            </w:r>
          </w:p>
        </w:tc>
        <w:tc>
          <w:tcPr>
            <w:tcW w:w="0" w:type="dxa"/>
            <w:vAlign w:val="bottom"/>
          </w:tcPr>
          <w:p>
            <w:pPr>
              <w:spacing w:after="0"/>
              <w:rPr>
                <w:sz w:val="1"/>
                <w:szCs w:val="1"/>
                <w:color w:val="auto"/>
              </w:rPr>
            </w:pPr>
          </w:p>
        </w:tc>
      </w:tr>
      <w:tr>
        <w:trPr>
          <w:trHeight w:val="203"/>
        </w:trPr>
        <w:tc>
          <w:tcPr>
            <w:tcW w:w="1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December</w:t>
            </w: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80" w:type="dxa"/>
            <w:vAlign w:val="bottom"/>
            <w:shd w:val="clear" w:color="auto" w:fill="CFF0FC"/>
          </w:tcPr>
          <w:p>
            <w:pPr>
              <w:spacing w:after="0"/>
              <w:rPr>
                <w:sz w:val="20"/>
                <w:szCs w:val="20"/>
                <w:color w:val="auto"/>
              </w:rPr>
            </w:pPr>
            <w:r>
              <w:rPr>
                <w:rFonts w:ascii="Arial" w:cs="Arial" w:eastAsia="Arial" w:hAnsi="Arial"/>
                <w:sz w:val="16"/>
                <w:szCs w:val="16"/>
                <w:color w:val="auto"/>
              </w:rPr>
              <w:t>31, 2018</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60,000,000</w:t>
            </w:r>
          </w:p>
        </w:tc>
        <w:tc>
          <w:tcPr>
            <w:tcW w:w="12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59,909</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40,000,000</w:t>
            </w:r>
          </w:p>
        </w:tc>
        <w:tc>
          <w:tcPr>
            <w:tcW w:w="12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79,761</w:t>
            </w: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1,587,953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67,024</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4,452</w:t>
            </w:r>
          </w:p>
        </w:tc>
        <w:tc>
          <w:tcPr>
            <w:tcW w:w="30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(68,124)</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(63,670)</w:t>
            </w: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w w:val="98"/>
              </w:rPr>
              <w:t>Issuance of Series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8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rPr>
                <w:sz w:val="20"/>
                <w:szCs w:val="20"/>
                <w:color w:val="auto"/>
              </w:rPr>
            </w:pPr>
            <w:r>
              <w:rPr>
                <w:rFonts w:ascii="Arial" w:cs="Arial" w:eastAsia="Arial" w:hAnsi="Arial"/>
                <w:sz w:val="16"/>
                <w:szCs w:val="16"/>
                <w:color w:val="auto"/>
              </w:rPr>
              <w:t>B convertible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rPr>
                <w:sz w:val="20"/>
                <w:szCs w:val="20"/>
                <w:color w:val="auto"/>
              </w:rPr>
            </w:pPr>
            <w:r>
              <w:rPr>
                <w:rFonts w:ascii="Arial" w:cs="Arial" w:eastAsia="Arial" w:hAnsi="Arial"/>
                <w:sz w:val="16"/>
                <w:szCs w:val="16"/>
                <w:color w:val="auto"/>
              </w:rPr>
              <w:t>preferred stock in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rPr>
                <w:sz w:val="20"/>
                <w:szCs w:val="20"/>
                <w:color w:val="auto"/>
              </w:rPr>
            </w:pPr>
            <w:r>
              <w:rPr>
                <w:rFonts w:ascii="Arial" w:cs="Arial" w:eastAsia="Arial" w:hAnsi="Arial"/>
                <w:sz w:val="16"/>
                <w:szCs w:val="16"/>
                <w:color w:val="auto"/>
              </w:rPr>
              <w:t>connection with</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rPr>
                <w:sz w:val="20"/>
                <w:szCs w:val="20"/>
                <w:color w:val="auto"/>
              </w:rPr>
            </w:pPr>
            <w:r>
              <w:rPr>
                <w:rFonts w:ascii="Arial" w:cs="Arial" w:eastAsia="Arial" w:hAnsi="Arial"/>
                <w:sz w:val="16"/>
                <w:szCs w:val="16"/>
                <w:color w:val="auto"/>
              </w:rPr>
              <w:t>asset acquisition,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rPr>
                <w:sz w:val="20"/>
                <w:szCs w:val="20"/>
                <w:color w:val="auto"/>
              </w:rPr>
            </w:pPr>
            <w:r>
              <w:rPr>
                <w:rFonts w:ascii="Arial" w:cs="Arial" w:eastAsia="Arial" w:hAnsi="Arial"/>
                <w:sz w:val="16"/>
                <w:szCs w:val="16"/>
                <w:color w:val="auto"/>
              </w:rPr>
              <w:t>net of issuance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80" w:type="dxa"/>
            <w:vAlign w:val="bottom"/>
          </w:tcPr>
          <w:p>
            <w:pPr>
              <w:ind w:left="260"/>
              <w:spacing w:after="0"/>
              <w:rPr>
                <w:sz w:val="20"/>
                <w:szCs w:val="20"/>
                <w:color w:val="auto"/>
              </w:rPr>
            </w:pPr>
            <w:r>
              <w:rPr>
                <w:rFonts w:ascii="Arial" w:cs="Arial" w:eastAsia="Arial" w:hAnsi="Arial"/>
                <w:sz w:val="16"/>
                <w:szCs w:val="16"/>
                <w:color w:val="auto"/>
              </w:rPr>
              <w:t>costs</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12,500,000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25,466</w:t>
            </w: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Conversion of</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convertible</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into common</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(60,000,000)</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3"/>
              </w:rPr>
              <w:t>(59,909)</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9"/>
              </w:rPr>
              <w:t>(52,500,000)</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3"/>
              </w:rPr>
              <w:t>(105,227)</w:t>
            </w: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16,071,418</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165,120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165,136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260"/>
              <w:spacing w:after="0"/>
              <w:rPr>
                <w:sz w:val="20"/>
                <w:szCs w:val="20"/>
                <w:color w:val="auto"/>
              </w:rPr>
            </w:pPr>
            <w:r>
              <w:rPr>
                <w:rFonts w:ascii="Arial" w:cs="Arial" w:eastAsia="Arial" w:hAnsi="Arial"/>
                <w:sz w:val="16"/>
                <w:szCs w:val="16"/>
                <w:color w:val="auto"/>
              </w:rPr>
              <w:t>Initial public</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rPr>
                <w:sz w:val="20"/>
                <w:szCs w:val="20"/>
                <w:color w:val="auto"/>
              </w:rPr>
            </w:pPr>
            <w:r>
              <w:rPr>
                <w:rFonts w:ascii="Arial" w:cs="Arial" w:eastAsia="Arial" w:hAnsi="Arial"/>
                <w:sz w:val="16"/>
                <w:szCs w:val="16"/>
                <w:color w:val="auto"/>
              </w:rPr>
              <w:t>offering, net of</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rPr>
                <w:sz w:val="20"/>
                <w:szCs w:val="20"/>
                <w:color w:val="auto"/>
              </w:rPr>
            </w:pPr>
            <w:r>
              <w:rPr>
                <w:rFonts w:ascii="Arial" w:cs="Arial" w:eastAsia="Arial" w:hAnsi="Arial"/>
                <w:sz w:val="16"/>
                <w:szCs w:val="16"/>
                <w:color w:val="auto"/>
              </w:rPr>
              <w:t>underwriting</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rPr>
                <w:sz w:val="20"/>
                <w:szCs w:val="20"/>
                <w:color w:val="auto"/>
              </w:rPr>
            </w:pPr>
            <w:r>
              <w:rPr>
                <w:rFonts w:ascii="Arial" w:cs="Arial" w:eastAsia="Arial" w:hAnsi="Arial"/>
                <w:sz w:val="16"/>
                <w:szCs w:val="16"/>
                <w:color w:val="auto"/>
              </w:rPr>
              <w:t>discounts,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rPr>
                <w:sz w:val="20"/>
                <w:szCs w:val="20"/>
                <w:color w:val="auto"/>
              </w:rPr>
            </w:pPr>
            <w:r>
              <w:rPr>
                <w:rFonts w:ascii="Arial" w:cs="Arial" w:eastAsia="Arial" w:hAnsi="Arial"/>
                <w:sz w:val="16"/>
                <w:szCs w:val="16"/>
                <w:color w:val="auto"/>
              </w:rPr>
              <w:t>commissions and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80" w:type="dxa"/>
            <w:vAlign w:val="bottom"/>
          </w:tcPr>
          <w:p>
            <w:pPr>
              <w:ind w:left="260"/>
              <w:spacing w:after="0"/>
              <w:rPr>
                <w:sz w:val="20"/>
                <w:szCs w:val="20"/>
                <w:color w:val="auto"/>
              </w:rPr>
            </w:pPr>
            <w:r>
              <w:rPr>
                <w:rFonts w:ascii="Arial" w:cs="Arial" w:eastAsia="Arial" w:hAnsi="Arial"/>
                <w:sz w:val="16"/>
                <w:szCs w:val="16"/>
                <w:color w:val="auto"/>
              </w:rPr>
              <w:t>offering costs</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4,500,000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63,867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63,872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495,073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260"/>
              <w:spacing w:after="0"/>
              <w:rPr>
                <w:sz w:val="20"/>
                <w:szCs w:val="20"/>
                <w:color w:val="auto"/>
              </w:rPr>
            </w:pPr>
            <w:r>
              <w:rPr>
                <w:rFonts w:ascii="Arial" w:cs="Arial" w:eastAsia="Arial" w:hAnsi="Arial"/>
                <w:sz w:val="16"/>
                <w:szCs w:val="16"/>
                <w:color w:val="auto"/>
              </w:rPr>
              <w:t>Repurchase of</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rPr>
                <w:sz w:val="20"/>
                <w:szCs w:val="20"/>
                <w:color w:val="auto"/>
              </w:rPr>
            </w:pPr>
            <w:r>
              <w:rPr>
                <w:rFonts w:ascii="Arial" w:cs="Arial" w:eastAsia="Arial" w:hAnsi="Arial"/>
                <w:sz w:val="16"/>
                <w:szCs w:val="16"/>
                <w:color w:val="auto"/>
                <w:w w:val="96"/>
              </w:rPr>
              <w:t>unvested restricted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80" w:type="dxa"/>
            <w:vAlign w:val="bottom"/>
          </w:tcPr>
          <w:p>
            <w:pPr>
              <w:ind w:left="260"/>
              <w:spacing w:after="0"/>
              <w:rPr>
                <w:sz w:val="20"/>
                <w:szCs w:val="20"/>
                <w:color w:val="auto"/>
              </w:rPr>
            </w:pPr>
            <w:r>
              <w:rPr>
                <w:rFonts w:ascii="Arial" w:cs="Arial" w:eastAsia="Arial" w:hAnsi="Arial"/>
                <w:sz w:val="16"/>
                <w:szCs w:val="16"/>
                <w:color w:val="auto"/>
              </w:rPr>
              <w:t>stock awards</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61,450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Retirement of</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treasury shares</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(128,474)</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580" w:type="dxa"/>
            <w:vAlign w:val="bottom"/>
          </w:tcPr>
          <w:p>
            <w:pPr>
              <w:ind w:left="260"/>
              <w:spacing w:after="0"/>
              <w:rPr>
                <w:sz w:val="20"/>
                <w:szCs w:val="20"/>
                <w:color w:val="auto"/>
              </w:rPr>
            </w:pPr>
            <w:r>
              <w:rPr>
                <w:rFonts w:ascii="Arial" w:cs="Arial" w:eastAsia="Arial" w:hAnsi="Arial"/>
                <w:sz w:val="16"/>
                <w:szCs w:val="16"/>
                <w:color w:val="auto"/>
              </w:rPr>
              <w:t>Stock-based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rPr>
                <w:sz w:val="20"/>
                <w:szCs w:val="20"/>
                <w:color w:val="auto"/>
              </w:rPr>
            </w:pPr>
            <w:r>
              <w:rPr>
                <w:rFonts w:ascii="Arial" w:cs="Arial" w:eastAsia="Arial" w:hAnsi="Arial"/>
                <w:sz w:val="16"/>
                <w:szCs w:val="16"/>
                <w:color w:val="auto"/>
              </w:rPr>
              <w:t>compensation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80" w:type="dxa"/>
            <w:vAlign w:val="bottom"/>
          </w:tcPr>
          <w:p>
            <w:pPr>
              <w:ind w:left="260"/>
              <w:spacing w:after="0"/>
              <w:rPr>
                <w:sz w:val="20"/>
                <w:szCs w:val="20"/>
                <w:color w:val="auto"/>
              </w:rPr>
            </w:pPr>
            <w:r>
              <w:rPr>
                <w:rFonts w:ascii="Arial" w:cs="Arial" w:eastAsia="Arial" w:hAnsi="Arial"/>
                <w:sz w:val="16"/>
                <w:szCs w:val="16"/>
                <w:color w:val="auto"/>
              </w:rPr>
              <w:t>expense</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(82,677)</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(82,677)</w:t>
            </w:r>
          </w:p>
        </w:tc>
        <w:tc>
          <w:tcPr>
            <w:tcW w:w="0" w:type="dxa"/>
            <w:vAlign w:val="bottom"/>
          </w:tcPr>
          <w:p>
            <w:pPr>
              <w:spacing w:after="0"/>
              <w:rPr>
                <w:sz w:val="1"/>
                <w:szCs w:val="1"/>
                <w:color w:val="auto"/>
              </w:rPr>
            </w:pPr>
          </w:p>
        </w:tc>
      </w:tr>
      <w:tr>
        <w:trPr>
          <w:trHeight w:val="200"/>
        </w:trPr>
        <w:tc>
          <w:tcPr>
            <w:tcW w:w="1580" w:type="dxa"/>
            <w:vAlign w:val="bottom"/>
          </w:tcPr>
          <w:p>
            <w:pPr>
              <w:spacing w:after="0"/>
              <w:rPr>
                <w:sz w:val="20"/>
                <w:szCs w:val="20"/>
                <w:color w:val="auto"/>
              </w:rPr>
            </w:pPr>
            <w:r>
              <w:rPr>
                <w:rFonts w:ascii="Arial" w:cs="Arial" w:eastAsia="Arial" w:hAnsi="Arial"/>
                <w:sz w:val="16"/>
                <w:szCs w:val="16"/>
                <w:color w:val="auto"/>
              </w:rPr>
              <w:t>Balance at December</w:t>
            </w: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20"/>
                <w:szCs w:val="20"/>
                <w:color w:val="auto"/>
              </w:rPr>
            </w:pPr>
            <w:r>
              <w:rPr>
                <w:rFonts w:ascii="Arial" w:cs="Arial" w:eastAsia="Arial" w:hAnsi="Arial"/>
                <w:sz w:val="16"/>
                <w:szCs w:val="16"/>
                <w:color w:val="auto"/>
              </w:rPr>
              <w:t>31, 2019</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22,654,444</w:t>
            </w:r>
          </w:p>
        </w:tc>
        <w:tc>
          <w:tcPr>
            <w:tcW w:w="1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237,931</w:t>
            </w: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(150,801)</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87,153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951"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Year Ended</w:t>
      </w:r>
    </w:p>
    <w:p>
      <w:pPr>
        <w:jc w:val="center"/>
        <w:ind w:left="77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8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80" w:type="dxa"/>
            <w:vAlign w:val="bottom"/>
          </w:tcPr>
          <w:p>
            <w:pPr>
              <w:spacing w:after="0"/>
              <w:rPr>
                <w:sz w:val="20"/>
                <w:szCs w:val="20"/>
                <w:color w:val="auto"/>
              </w:rPr>
            </w:pPr>
            <w:r>
              <w:rPr>
                <w:rFonts w:ascii="Arial" w:cs="Arial" w:eastAsia="Arial" w:hAnsi="Arial"/>
                <w:sz w:val="16"/>
                <w:szCs w:val="16"/>
                <w:color w:val="auto"/>
              </w:rPr>
              <w:t>Net loss</w:t>
            </w:r>
          </w:p>
        </w:tc>
        <w:tc>
          <w:tcPr>
            <w:tcW w:w="15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(82,677)</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(32,588)</w:t>
            </w:r>
          </w:p>
        </w:tc>
        <w:tc>
          <w:tcPr>
            <w:tcW w:w="0" w:type="dxa"/>
            <w:vAlign w:val="bottom"/>
          </w:tcPr>
          <w:p>
            <w:pPr>
              <w:spacing w:after="0"/>
              <w:rPr>
                <w:sz w:val="1"/>
                <w:szCs w:val="1"/>
                <w:color w:val="auto"/>
              </w:rPr>
            </w:pPr>
          </w:p>
        </w:tc>
      </w:tr>
      <w:tr>
        <w:trPr>
          <w:trHeight w:val="219"/>
        </w:trPr>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260"/>
              <w:spacing w:after="0"/>
              <w:rPr>
                <w:sz w:val="20"/>
                <w:szCs w:val="20"/>
                <w:color w:val="auto"/>
              </w:rPr>
            </w:pPr>
            <w:r>
              <w:rPr>
                <w:rFonts w:ascii="Arial" w:cs="Arial" w:eastAsia="Arial" w:hAnsi="Arial"/>
                <w:sz w:val="16"/>
                <w:szCs w:val="16"/>
                <w:color w:val="auto"/>
              </w:rPr>
              <w:t>In-process research and development expenses</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25,591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(2,459)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72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72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2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rent and deferred lease incentive</w:t>
            </w:r>
          </w:p>
        </w:tc>
        <w:tc>
          <w:tcPr>
            <w:tcW w:w="5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28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15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(39,483)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(22,562)</w:t>
            </w:r>
          </w:p>
        </w:tc>
        <w:tc>
          <w:tcPr>
            <w:tcW w:w="0" w:type="dxa"/>
            <w:vAlign w:val="bottom"/>
          </w:tcPr>
          <w:p>
            <w:pPr>
              <w:spacing w:after="0"/>
              <w:rPr>
                <w:sz w:val="1"/>
                <w:szCs w:val="1"/>
                <w:color w:val="auto"/>
              </w:rPr>
            </w:pPr>
          </w:p>
        </w:tc>
      </w:tr>
      <w:tr>
        <w:trPr>
          <w:trHeight w:val="222"/>
        </w:trPr>
        <w:tc>
          <w:tcPr>
            <w:tcW w:w="7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(8,981)</w:t>
            </w:r>
          </w:p>
        </w:tc>
        <w:tc>
          <w:tcPr>
            <w:tcW w:w="0" w:type="dxa"/>
            <w:vAlign w:val="bottom"/>
          </w:tcPr>
          <w:p>
            <w:pPr>
              <w:spacing w:after="0"/>
              <w:rPr>
                <w:sz w:val="1"/>
                <w:szCs w:val="1"/>
                <w:color w:val="auto"/>
              </w:rPr>
            </w:pPr>
          </w:p>
        </w:tc>
      </w:tr>
      <w:tr>
        <w:trPr>
          <w:trHeight w:val="219"/>
        </w:trPr>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Transaction costs associated with asset acquisition</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6"/>
                <w:szCs w:val="16"/>
                <w:color w:val="auto"/>
              </w:rPr>
              <w:t>Net cash used in investing activities</w:t>
            </w:r>
          </w:p>
        </w:tc>
        <w:tc>
          <w:tcPr>
            <w:tcW w:w="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(944)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(8,981)</w:t>
            </w:r>
          </w:p>
        </w:tc>
        <w:tc>
          <w:tcPr>
            <w:tcW w:w="0" w:type="dxa"/>
            <w:vAlign w:val="bottom"/>
          </w:tcPr>
          <w:p>
            <w:pPr>
              <w:spacing w:after="0"/>
              <w:rPr>
                <w:sz w:val="1"/>
                <w:szCs w:val="1"/>
                <w:color w:val="auto"/>
              </w:rPr>
            </w:pPr>
          </w:p>
        </w:tc>
      </w:tr>
      <w:tr>
        <w:trPr>
          <w:trHeight w:val="222"/>
        </w:trPr>
        <w:tc>
          <w:tcPr>
            <w:tcW w:w="7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spacing w:after="0"/>
              <w:rPr>
                <w:sz w:val="20"/>
                <w:szCs w:val="20"/>
                <w:color w:val="auto"/>
              </w:rPr>
            </w:pPr>
            <w:r>
              <w:rPr>
                <w:rFonts w:ascii="Arial" w:cs="Arial" w:eastAsia="Arial" w:hAnsi="Arial"/>
                <w:sz w:val="16"/>
                <w:szCs w:val="16"/>
                <w:color w:val="auto"/>
              </w:rPr>
              <w:t>Proceeds from issuance of Series A convertible preferred stock, net of issuance costs</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25,322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Series B convertible preferred stock, net of issuance costs</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spacing w:after="0"/>
              <w:rPr>
                <w:sz w:val="20"/>
                <w:szCs w:val="20"/>
                <w:color w:val="auto"/>
              </w:rPr>
            </w:pPr>
            <w:r>
              <w:rPr>
                <w:rFonts w:ascii="Arial" w:cs="Arial" w:eastAsia="Arial" w:hAnsi="Arial"/>
                <w:sz w:val="16"/>
                <w:szCs w:val="16"/>
                <w:color w:val="auto"/>
              </w:rPr>
              <w:t>Proceeds from initial public offering of common stock, net of underwriting discounts and commissions</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64,173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Principal payments on capital lease obligations</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7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Proceeds from issuance of common stock under benefit plans</w:t>
            </w:r>
          </w:p>
        </w:tc>
        <w:tc>
          <w:tcPr>
            <w:tcW w:w="5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58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64,343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105,025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80" w:type="dxa"/>
            <w:vAlign w:val="bottom"/>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23,916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73,482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5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280" w:type="dxa"/>
            <w:vAlign w:val="bottom"/>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15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97,805</w:t>
            </w:r>
          </w:p>
        </w:tc>
        <w:tc>
          <w:tcPr>
            <w:tcW w:w="160" w:type="dxa"/>
            <w:vAlign w:val="bottom"/>
          </w:tcPr>
          <w:p>
            <w:pPr>
              <w:spacing w:after="0"/>
              <w:rPr>
                <w:sz w:val="21"/>
                <w:szCs w:val="21"/>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73,889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5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80" w:type="dxa"/>
            <w:vAlign w:val="bottom"/>
          </w:tcPr>
          <w:p>
            <w:pPr>
              <w:spacing w:after="0"/>
              <w:rPr>
                <w:sz w:val="20"/>
                <w:szCs w:val="20"/>
                <w:color w:val="auto"/>
              </w:rPr>
            </w:pPr>
            <w:r>
              <w:rPr>
                <w:rFonts w:ascii="Arial" w:cs="Arial" w:eastAsia="Arial" w:hAnsi="Arial"/>
                <w:sz w:val="16"/>
                <w:szCs w:val="16"/>
                <w:color w:val="auto"/>
              </w:rPr>
              <w:t>Cash paid for interest</w:t>
            </w:r>
          </w:p>
        </w:tc>
        <w:tc>
          <w:tcPr>
            <w:tcW w:w="15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Non-cash investing and financing activities:</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spacing w:after="0"/>
              <w:rPr>
                <w:sz w:val="20"/>
                <w:szCs w:val="20"/>
                <w:color w:val="auto"/>
              </w:rPr>
            </w:pPr>
            <w:r>
              <w:rPr>
                <w:rFonts w:ascii="Arial" w:cs="Arial" w:eastAsia="Arial" w:hAnsi="Arial"/>
                <w:sz w:val="16"/>
                <w:szCs w:val="16"/>
                <w:color w:val="auto"/>
              </w:rPr>
              <w:t>Acquisition of in process research and development through issuance of stock</w:t>
            </w:r>
          </w:p>
        </w:tc>
        <w:tc>
          <w:tcPr>
            <w:tcW w:w="15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25,500</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Conversion of convertible preferred stock into common stock</w:t>
            </w:r>
          </w:p>
        </w:tc>
        <w:tc>
          <w:tcPr>
            <w:tcW w:w="1560" w:type="dxa"/>
            <w:vAlign w:val="bottom"/>
            <w:gridSpan w:val="2"/>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165,136</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280" w:type="dxa"/>
            <w:vAlign w:val="bottom"/>
          </w:tcPr>
          <w:p>
            <w:pPr>
              <w:spacing w:after="0"/>
              <w:rPr>
                <w:sz w:val="20"/>
                <w:szCs w:val="20"/>
                <w:color w:val="auto"/>
              </w:rPr>
            </w:pPr>
            <w:r>
              <w:rPr>
                <w:rFonts w:ascii="Arial" w:cs="Arial" w:eastAsia="Arial" w:hAnsi="Arial"/>
                <w:sz w:val="16"/>
                <w:szCs w:val="16"/>
                <w:color w:val="auto"/>
              </w:rPr>
              <w:t>Property and equipment purchases unpaid at end of period</w:t>
            </w:r>
          </w:p>
        </w:tc>
        <w:tc>
          <w:tcPr>
            <w:tcW w:w="15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Public offering costs unpaid at end of period</w:t>
            </w:r>
          </w:p>
        </w:tc>
        <w:tc>
          <w:tcPr>
            <w:tcW w:w="156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provides a reconciliation of the cash, cash equivalents, and restricted cash balances as of each of the periods shown above: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303"/>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80" w:type="dxa"/>
            <w:vAlign w:val="bottom"/>
            <w:tcBorders>
              <w:bottom w:val="single" w:sz="8" w:color="CFF0FC"/>
            </w:tcBorders>
          </w:tcPr>
          <w:p>
            <w:pPr>
              <w:spacing w:after="0"/>
              <w:rPr>
                <w:sz w:val="14"/>
                <w:szCs w:val="14"/>
                <w:color w:val="auto"/>
              </w:rPr>
            </w:pPr>
          </w:p>
        </w:tc>
        <w:tc>
          <w:tcPr>
            <w:tcW w:w="23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10"/>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96,713</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72,797</w:t>
            </w:r>
          </w:p>
        </w:tc>
        <w:tc>
          <w:tcPr>
            <w:tcW w:w="120" w:type="dxa"/>
            <w:vAlign w:val="bottom"/>
            <w:shd w:val="clear" w:color="auto" w:fill="CFF0FC"/>
          </w:tcPr>
          <w:p>
            <w:pPr>
              <w:spacing w:after="0"/>
              <w:rPr>
                <w:sz w:val="18"/>
                <w:szCs w:val="18"/>
                <w:color w:val="auto"/>
              </w:rPr>
            </w:pPr>
          </w:p>
        </w:tc>
      </w:tr>
      <w:tr>
        <w:trPr>
          <w:trHeight w:val="213"/>
        </w:trPr>
        <w:tc>
          <w:tcPr>
            <w:tcW w:w="5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Restricted cash</w:t>
            </w:r>
          </w:p>
        </w:tc>
        <w:tc>
          <w:tcPr>
            <w:tcW w:w="23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w:t>
            </w:r>
          </w:p>
        </w:tc>
        <w:tc>
          <w:tcPr>
            <w:tcW w:w="120" w:type="dxa"/>
            <w:vAlign w:val="bottom"/>
            <w:tcBorders>
              <w:bottom w:val="single" w:sz="8" w:color="CFF0FC"/>
            </w:tcBorders>
          </w:tcPr>
          <w:p>
            <w:pPr>
              <w:spacing w:after="0"/>
              <w:rPr>
                <w:sz w:val="18"/>
                <w:szCs w:val="18"/>
                <w:color w:val="auto"/>
              </w:rPr>
            </w:pPr>
          </w:p>
        </w:tc>
      </w:tr>
      <w:tr>
        <w:trPr>
          <w:trHeight w:val="210"/>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Total cash, cash equivalents, and restricted cash</w:t>
            </w:r>
          </w:p>
        </w:tc>
        <w:tc>
          <w:tcPr>
            <w:tcW w:w="2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97,805</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73,889</w:t>
            </w:r>
          </w:p>
        </w:tc>
        <w:tc>
          <w:tcPr>
            <w:tcW w:w="120" w:type="dxa"/>
            <w:vAlign w:val="bottom"/>
            <w:shd w:val="clear" w:color="auto" w:fill="CFF0FC"/>
          </w:tcPr>
          <w:p>
            <w:pPr>
              <w:spacing w:after="0"/>
              <w:rPr>
                <w:sz w:val="18"/>
                <w:szCs w:val="18"/>
                <w:color w:val="auto"/>
              </w:rPr>
            </w:pPr>
          </w:p>
        </w:tc>
      </w:tr>
      <w:tr>
        <w:trPr>
          <w:trHeight w:val="20"/>
        </w:trPr>
        <w:tc>
          <w:tcPr>
            <w:tcW w:w="5480" w:type="dxa"/>
            <w:vAlign w:val="bottom"/>
            <w:tcBorders>
              <w:top w:val="single" w:sz="8" w:color="CFF0FC"/>
            </w:tcBorders>
          </w:tcPr>
          <w:p>
            <w:pPr>
              <w:spacing w:after="0" w:line="20" w:lineRule="exact"/>
              <w:rPr>
                <w:sz w:val="1"/>
                <w:szCs w:val="1"/>
                <w:color w:val="auto"/>
              </w:rPr>
            </w:pPr>
          </w:p>
        </w:tc>
        <w:tc>
          <w:tcPr>
            <w:tcW w:w="2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7" w:name="page128"/>
    <w:bookmarkEnd w:id="127"/>
    <w:p>
      <w:pPr>
        <w:jc w:val="center"/>
        <w:ind w:right="-39"/>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rare diseases in areas of high unmet medical need.</w:t>
      </w:r>
    </w:p>
    <w:p>
      <w:pPr>
        <w:spacing w:after="0" w:line="170" w:lineRule="exact"/>
        <w:rPr>
          <w:sz w:val="20"/>
          <w:szCs w:val="20"/>
          <w:color w:val="auto"/>
        </w:rPr>
      </w:pPr>
    </w:p>
    <w:p>
      <w:pPr>
        <w:ind w:right="40" w:firstLine="555"/>
        <w:spacing w:after="0" w:line="291"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0" w:firstLine="555"/>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220" w:firstLine="555"/>
        <w:spacing w:after="0" w:line="259" w:lineRule="auto"/>
        <w:rPr>
          <w:sz w:val="20"/>
          <w:szCs w:val="20"/>
          <w:color w:val="auto"/>
        </w:rPr>
      </w:pPr>
      <w:r>
        <w:rPr>
          <w:rFonts w:ascii="Arial" w:cs="Arial" w:eastAsia="Arial" w:hAnsi="Arial"/>
          <w:sz w:val="18"/>
          <w:szCs w:val="18"/>
          <w:color w:val="auto"/>
        </w:rPr>
        <w:t>On July 22, 2019, the Company completed an initial public offering (“IPO”) of its common stock and issued and sold 4,500,000 shares of common stock at a public offering price of $16.00 per share, resulting in net proceeds of $63.9 million after deducting underwriting discounts and commissions and estimated offering expenses. Upon the closing of the IPO, all 112,500,000 shares of outstanding preferred stock automatically converted into 16,071,418 shares of common stock.</w:t>
      </w:r>
    </w:p>
    <w:p>
      <w:pPr>
        <w:spacing w:after="0" w:line="187"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On July 5, 2019, in connection with the IPO, the Company effected a one-for-seven reverse stock split of the Company’s issued and outstanding shares of common stock and a proportional adjustment to the existing conversion ratios for each of the Company’s outstanding series of preferred stock. All share and per share amounts in the accompanying consolidated financial statements and notes thereto have been retroactively adjusted for all periods presented to give effect to this reverse stock split, including reclassifying an amount equal to the reduction in par value of common stock to additional paid-in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The Company has incurred recurring losses and negative cash flows from operations since inception and has primarily funded its operations with proceeds from the IPO, issuances of convertible notes and convertible preferred stock, and an upfront payment received from its collaboration and license agreement (the “Acceleron Collaboration Agreement”) with Acceleron Pharma Inc. (“Acceleron”). As of December 31, 2019, the Company had an accumulated deficit of $150.8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28" w:name="page129"/>
    <w:bookmarkEnd w:id="128"/>
    <w:p>
      <w:pPr>
        <w:ind w:right="80" w:firstLine="555"/>
        <w:spacing w:after="0" w:line="273" w:lineRule="auto"/>
        <w:rPr>
          <w:sz w:val="20"/>
          <w:szCs w:val="20"/>
          <w:color w:val="auto"/>
        </w:rPr>
      </w:pPr>
      <w:r>
        <w:rPr>
          <w:rFonts w:ascii="Arial" w:cs="Arial" w:eastAsia="Arial" w:hAnsi="Arial"/>
          <w:sz w:val="17"/>
          <w:szCs w:val="17"/>
          <w:color w:val="auto"/>
        </w:rPr>
        <w:t>As of the date of issuance of these financial statements, the Company expects that its cash and cash equivalents will be sufficient to fund its operating expenses and capital expenditure requirements for at least twelve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the fair value of the common stock and convertible preferred stock prior to the completion of the Company’s IPO,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Cash equivalents are highly liquid investments that are readily convertible into cash with original maturities of three months or less when purchased. These assets include investments in money market funds that invest in U.S. Treasury obligations. The Company maintains its bank accounts at major financial institutions.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cash represents the cash held to secure a letter of credit associated with the Company’s facility lease.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60" w:firstLine="555"/>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70"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2" w:lineRule="exact"/>
        <w:rPr>
          <w:sz w:val="20"/>
          <w:szCs w:val="20"/>
          <w:color w:val="auto"/>
        </w:rPr>
      </w:pPr>
    </w:p>
    <w:p>
      <w:pPr>
        <w:ind w:left="560" w:right="680"/>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9" w:name="page130"/>
    <w:bookmarkEnd w:id="129"/>
    <w:p>
      <w:pPr>
        <w:ind w:left="560"/>
        <w:spacing w:after="0"/>
        <w:rPr>
          <w:sz w:val="20"/>
          <w:szCs w:val="20"/>
          <w:color w:val="auto"/>
        </w:rPr>
      </w:pPr>
      <w:r>
        <w:rPr>
          <w:rFonts w:ascii="Arial" w:cs="Arial" w:eastAsia="Arial" w:hAnsi="Arial"/>
          <w:sz w:val="17"/>
          <w:szCs w:val="17"/>
          <w:color w:val="auto"/>
        </w:rPr>
        <w:t>The Company’s cash equivalents are carried at fair value, determined according to the fair value hierarchy described above (see Note 3).</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right="220" w:firstLine="555"/>
        <w:spacing w:after="0" w:line="342" w:lineRule="auto"/>
        <w:rPr>
          <w:sz w:val="20"/>
          <w:szCs w:val="20"/>
          <w:color w:val="auto"/>
        </w:rPr>
      </w:pPr>
      <w:r>
        <w:rPr>
          <w:rFonts w:ascii="Arial" w:cs="Arial" w:eastAsia="Arial" w:hAnsi="Arial"/>
          <w:sz w:val="16"/>
          <w:szCs w:val="16"/>
          <w:color w:val="auto"/>
        </w:rPr>
        <w:t>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200" w:type="dxa"/>
            <w:vAlign w:val="bottom"/>
          </w:tcPr>
          <w:p>
            <w:pPr>
              <w:jc w:val="center"/>
              <w:ind w:left="53"/>
              <w:spacing w:after="0"/>
              <w:rPr>
                <w:sz w:val="20"/>
                <w:szCs w:val="20"/>
                <w:color w:val="auto"/>
              </w:rPr>
            </w:pPr>
            <w:r>
              <w:rPr>
                <w:rFonts w:ascii="Arial" w:cs="Arial" w:eastAsia="Arial" w:hAnsi="Arial"/>
                <w:sz w:val="14"/>
                <w:szCs w:val="14"/>
                <w:b w:val="1"/>
                <w:bCs w:val="1"/>
                <w:color w:val="auto"/>
                <w:w w:val="93"/>
              </w:rPr>
              <w:t>Estimated Useful Life (in years)</w:t>
            </w:r>
          </w:p>
        </w:tc>
      </w:tr>
      <w:tr>
        <w:trPr>
          <w:trHeight w:val="26"/>
        </w:trPr>
        <w:tc>
          <w:tcPr>
            <w:tcW w:w="20" w:type="dxa"/>
            <w:vAlign w:val="bottom"/>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520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200" w:type="dxa"/>
            <w:vAlign w:val="bottom"/>
          </w:tcPr>
          <w:p>
            <w:pPr>
              <w:jc w:val="center"/>
              <w:ind w:left="53"/>
              <w:spacing w:after="0"/>
              <w:rPr>
                <w:sz w:val="20"/>
                <w:szCs w:val="20"/>
                <w:color w:val="auto"/>
              </w:rPr>
            </w:pPr>
            <w:r>
              <w:rPr>
                <w:rFonts w:ascii="Arial" w:cs="Arial" w:eastAsia="Arial" w:hAnsi="Arial"/>
                <w:sz w:val="18"/>
                <w:szCs w:val="18"/>
                <w:color w:val="auto"/>
                <w:w w:val="99"/>
              </w:rPr>
              <w:t>4</w:t>
            </w: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520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Software</w:t>
            </w:r>
          </w:p>
        </w:tc>
        <w:tc>
          <w:tcPr>
            <w:tcW w:w="5200" w:type="dxa"/>
            <w:vAlign w:val="bottom"/>
          </w:tcPr>
          <w:p>
            <w:pPr>
              <w:jc w:val="center"/>
              <w:ind w:left="53"/>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20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2"/>
              </w:rPr>
              <w:t>Shorter of useful life or remaining lease term</w:t>
            </w:r>
          </w:p>
        </w:tc>
      </w:tr>
    </w:tbl>
    <w:p>
      <w:pPr>
        <w:spacing w:after="0" w:line="229"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Construction-in-progress is stated at cost, which includes direct costs attributable to the setup or construction of the related asset. Depreciation expense is not recorded on construction-in-progress until 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2019 and 2018.</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Leases are classified at their inception as either operating or capital leases. The Company recognizes rent expense for its facility lease, which is classified as an operating lease, on a straight-line basis over the respective lease term, inclusive of rent escalation provisions and rent holidays. The difference between rent payments made and straight-line rent expense is recorded as deferred rent. Additionally, the Company recognizes tenant improvement allowances for its operating leases as a deferred lease incentive and amortizes the lease incentive as a reduction to rent expense on a straight-line basis over the respective lease term.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420" w:firstLine="555"/>
        <w:spacing w:after="0" w:line="264" w:lineRule="auto"/>
        <w:rPr>
          <w:sz w:val="20"/>
          <w:szCs w:val="20"/>
          <w:color w:val="auto"/>
        </w:rPr>
      </w:pPr>
      <w:r>
        <w:rPr>
          <w:rFonts w:ascii="Arial" w:cs="Arial" w:eastAsia="Arial" w:hAnsi="Arial"/>
          <w:sz w:val="18"/>
          <w:szCs w:val="18"/>
          <w:color w:val="auto"/>
        </w:rPr>
        <w:t xml:space="preserve">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 entity recognizes revenue when its customer obtains control of promised goods or services, in an amount that reflects the consideration that the entity expects to receive in exchange for those goods or services. In applying ASC 606, the Company performs the following five steps: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 Identify the contract with the customer</w:t>
      </w:r>
    </w:p>
    <w:p>
      <w:pPr>
        <w:spacing w:after="0" w:line="117"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30" w:name="page131"/>
    <w:bookmarkEnd w:id="130"/>
    <w:p>
      <w:pPr>
        <w:ind w:left="560"/>
        <w:spacing w:after="0"/>
        <w:rPr>
          <w:sz w:val="20"/>
          <w:szCs w:val="20"/>
          <w:color w:val="auto"/>
        </w:rPr>
      </w:pPr>
      <w:r>
        <w:rPr>
          <w:rFonts w:ascii="Arial" w:cs="Arial" w:eastAsia="Arial" w:hAnsi="Arial"/>
          <w:sz w:val="18"/>
          <w:szCs w:val="18"/>
          <w:i w:val="1"/>
          <w:iCs w:val="1"/>
          <w:color w:val="auto"/>
        </w:rPr>
        <w:t>2) Identify the promises and performance obligations in the contract</w:t>
      </w:r>
    </w:p>
    <w:p>
      <w:pPr>
        <w:spacing w:after="0" w:line="117"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In assessing whether a promised good or service is distinct, the Company considers factors such as the research, manufacturing and commercialization capabilities of the customer and the availability of the associated expertise in the marketplace. The Company also considers the intended benefit of the contract in assessing whether a promised good or service is separately identifiable from other promises in the contract. If these criteria are not met, the promised goods and services are accounted for as a combined performance obligation.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3) Determine the transaction price</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goods and services to the customer.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the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spacing w:after="0" w:line="182"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If an arrangement includes research and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control, such as regulatory approvals, are generally not considered probable of being achieved until the underlying events occur or the associated approvals are received.</w:t>
      </w:r>
    </w:p>
    <w:p>
      <w:pPr>
        <w:spacing w:after="0" w:line="188" w:lineRule="exact"/>
        <w:rPr>
          <w:sz w:val="20"/>
          <w:szCs w:val="20"/>
          <w:color w:val="auto"/>
        </w:rPr>
      </w:pPr>
    </w:p>
    <w:p>
      <w:pPr>
        <w:ind w:right="80" w:firstLine="555"/>
        <w:spacing w:after="0" w:line="312" w:lineRule="auto"/>
        <w:rPr>
          <w:sz w:val="20"/>
          <w:szCs w:val="20"/>
          <w:color w:val="auto"/>
        </w:rPr>
      </w:pPr>
      <w:r>
        <w:rPr>
          <w:rFonts w:ascii="Arial" w:cs="Arial" w:eastAsia="Arial" w:hAnsi="Arial"/>
          <w:sz w:val="16"/>
          <w:szCs w:val="16"/>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pacing w:after="0" w:line="147" w:lineRule="exact"/>
        <w:rPr>
          <w:sz w:val="20"/>
          <w:szCs w:val="20"/>
          <w:color w:val="auto"/>
        </w:rPr>
      </w:pPr>
    </w:p>
    <w:p>
      <w:pPr>
        <w:jc w:val="both"/>
        <w:ind w:right="120" w:firstLine="555"/>
        <w:spacing w:after="0" w:line="264" w:lineRule="auto"/>
        <w:rPr>
          <w:sz w:val="20"/>
          <w:szCs w:val="20"/>
          <w:color w:val="auto"/>
        </w:rPr>
      </w:pPr>
      <w:r>
        <w:rPr>
          <w:rFonts w:ascii="Arial" w:cs="Arial" w:eastAsia="Arial" w:hAnsi="Arial"/>
          <w:sz w:val="18"/>
          <w:szCs w:val="18"/>
          <w:color w:val="auto"/>
        </w:rPr>
        <w:t>In determining the transaction price, the Company adjusts consideration for the effects of the time value of money if the timing of payments provides the Company with a significant benefit of financing. The Company assesses its revenue generating arrangements in order to determine whether a significant financing component exists.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4) Allocate the transaction price to the performance obligations in the contract</w:t>
      </w:r>
    </w:p>
    <w:p>
      <w:pPr>
        <w:spacing w:after="0" w:line="117"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If the contract contains a single performance obligation, the entire transaction consideration is allocated to the single performance obligation. Contracts that contain multiple performance obligations require an allocation of the transaction consideration to each performance obligation on a relative standalone selling price basis unless the transaction consideration is variable and meets the criteria to be allocated entirely to a single performance obligation or to a distinct service that forms part of a single performance obligation.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5) Recognize revenue when or as the Company satisfies a performance obligation</w:t>
      </w:r>
    </w:p>
    <w:p>
      <w:pPr>
        <w:spacing w:after="0" w:line="117" w:lineRule="exact"/>
        <w:rPr>
          <w:sz w:val="20"/>
          <w:szCs w:val="20"/>
          <w:color w:val="auto"/>
        </w:rPr>
      </w:pPr>
    </w:p>
    <w:p>
      <w:pPr>
        <w:ind w:right="80" w:firstLine="555"/>
        <w:spacing w:after="0" w:line="297" w:lineRule="auto"/>
        <w:rPr>
          <w:sz w:val="20"/>
          <w:szCs w:val="20"/>
          <w:color w:val="auto"/>
        </w:rPr>
      </w:pPr>
      <w:r>
        <w:rPr>
          <w:rFonts w:ascii="Arial" w:cs="Arial" w:eastAsia="Arial" w:hAnsi="Arial"/>
          <w:sz w:val="16"/>
          <w:szCs w:val="16"/>
          <w:color w:val="auto"/>
        </w:rPr>
        <w:t>The Company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1" w:name="page132"/>
    <w:bookmarkEnd w:id="131"/>
    <w:p>
      <w:pPr>
        <w:ind w:firstLine="555"/>
        <w:spacing w:after="0" w:line="255" w:lineRule="auto"/>
        <w:rPr>
          <w:sz w:val="20"/>
          <w:szCs w:val="20"/>
          <w:color w:val="auto"/>
        </w:rPr>
      </w:pPr>
      <w:r>
        <w:rPr>
          <w:rFonts w:ascii="Arial" w:cs="Arial" w:eastAsia="Arial" w:hAnsi="Arial"/>
          <w:sz w:val="18"/>
          <w:szCs w:val="18"/>
          <w:color w:val="auto"/>
        </w:rPr>
        <w:t>For revenue that the Company recognizes over time, the Company assesses whether an input or an output method is the appropriate measure of progress associated with the satisfaction of the performance obligation. In determining the appropriate method for measuring progress, the Company considers the nature of the good or service that it has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the measurement of progress associated with the satisfaction of performance obligations include the total estimated costs to satisfy the associated performance obligation.</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Note 9, “Acceleron Collaboration Agreement”, for further information on the application of ASC 606 to the Acceleron Collaboration Agreement.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00" w:firstLine="555"/>
        <w:spacing w:after="0" w:line="293"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11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The Company records accruals for estimated ongoing research costs. When evaluating the adequacy of the accrued liabilities, the Company analyzes progress of the studies or trials, including invoices received and contracted costs. Significant judgments and estimates are made in determining the accrued balances at each reporting period. Actual results could differ from the Company’s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Patent-Related Costs</w:t>
      </w:r>
    </w:p>
    <w:p>
      <w:pPr>
        <w:spacing w:after="0" w:line="117" w:lineRule="exact"/>
        <w:rPr>
          <w:sz w:val="20"/>
          <w:szCs w:val="20"/>
          <w:color w:val="auto"/>
        </w:rPr>
      </w:pPr>
    </w:p>
    <w:p>
      <w:pPr>
        <w:ind w:right="740" w:firstLine="555"/>
        <w:spacing w:after="0" w:line="342" w:lineRule="auto"/>
        <w:rPr>
          <w:sz w:val="20"/>
          <w:szCs w:val="20"/>
          <w:color w:val="auto"/>
        </w:rPr>
      </w:pPr>
      <w:r>
        <w:rPr>
          <w:rFonts w:ascii="Arial" w:cs="Arial" w:eastAsia="Arial" w:hAnsi="Arial"/>
          <w:sz w:val="16"/>
          <w:szCs w:val="16"/>
          <w:color w:val="auto"/>
        </w:rPr>
        <w:t>Patent-related costs incurred in connection with patent applications are expensed as incurred due to the uncertainty about the recovery of the expenditure. Amounts incurred are classified as general and administrative expenses in the accompanying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 and Series B Convertible Preferred Stock</w:t>
      </w:r>
    </w:p>
    <w:p>
      <w:pPr>
        <w:spacing w:after="0" w:line="117" w:lineRule="exact"/>
        <w:rPr>
          <w:sz w:val="20"/>
          <w:szCs w:val="20"/>
          <w:color w:val="auto"/>
        </w:rPr>
      </w:pPr>
    </w:p>
    <w:p>
      <w:pPr>
        <w:ind w:right="20" w:firstLine="555"/>
        <w:spacing w:after="0" w:line="287" w:lineRule="auto"/>
        <w:rPr>
          <w:sz w:val="20"/>
          <w:szCs w:val="20"/>
          <w:color w:val="auto"/>
        </w:rPr>
      </w:pPr>
      <w:r>
        <w:rPr>
          <w:rFonts w:ascii="Arial" w:cs="Arial" w:eastAsia="Arial" w:hAnsi="Arial"/>
          <w:sz w:val="16"/>
          <w:szCs w:val="16"/>
          <w:color w:val="auto"/>
        </w:rPr>
        <w:t>The Company determined the estimated fair value of common stock prior to the completion of the IPO and Series B convertible preferred stock (the “Series B Preferred Stock”) based on a number of objective and subjective factors, including, but not limited to, external market conditions affecting the biotechnology industry sector, the prices at which the Company sold shares of convertible preferred stock and the superior rights and preferences of securities senior to the Company’s common stock at the time, and the likelihood and potential timing of achieving a liquidity event, such as an initial public offering, in light of prevailing market conditions. The Company utilized valuation methodologies in accordance with the guidance outlined in the American Institute of Certified Public Accountants’ Accounting and Valuation Guide, Valuation of Privately-Held-Company Equity Securities Issued as Compensation, to estimate the fair value of common stock and the Series B Preferred Stock. The methodologies utilized to estimate the fair value of common stock prior to the completion of the IPO included the guideline public company method and/or the precedent transaction method to estimate the equity value, and the option-pricing method or the hybrid method, which is a probability-weighted expected return method, to allocate equity value to the common stock and preferred stock. The Company utilized the hybrid method to estimate the fair value of the Series B Preferred Stock. Significant changes to the key assumptions used in the valuations could result in different fair values of common stock and the Series B Preferred Stock.</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The Company measures stock-based awards based on the fair value on the date of grant. Compensation expense associated with those awards is recognized over the requisite service period, which is generally the vesting period of the respective award. Generally, the Company issues awards with only service-based vesting conditions and records the expense for these awards using the straight-line method. The Company has also granted certain stock-based awards with performance-based vesting conditions. The Company records the expense for stock-based awards with performance-based vesting conditions over the remaining service period using an accelerated attribution method when management determines that achievement of the performance condition is probable. At each reporting date, the Company evaluates if the achievement of a performance-based milestone is probable based on the expected satisfaction of the performance conditions.</w:t>
      </w:r>
    </w:p>
    <w:p>
      <w:pPr>
        <w:spacing w:after="0" w:line="189"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fair value of the Company’s common stock,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w:t>
      </w:r>
    </w:p>
    <w:p>
      <w:pPr>
        <w:spacing w:after="0" w:line="167"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The Company accounts for forfeitures as they occur. The Company classifies stock-based compensation expense in its statements of operations in the same manner in which the award recipient’s payroll or service costs are classified.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92"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For the years ended December 31, 2019 and 2018, comprehensive loss was equal to net loss.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ind w:right="40" w:firstLine="555"/>
        <w:spacing w:after="0" w:line="291" w:lineRule="auto"/>
        <w:rPr>
          <w:sz w:val="20"/>
          <w:szCs w:val="20"/>
          <w:color w:val="auto"/>
        </w:rPr>
      </w:pPr>
      <w:r>
        <w:rPr>
          <w:rFonts w:ascii="Arial" w:cs="Arial" w:eastAsia="Arial" w:hAnsi="Arial"/>
          <w:sz w:val="16"/>
          <w:szCs w:val="16"/>
          <w:color w:val="auto"/>
        </w:rPr>
        <w:t>The Company applies the two-class method to compute basic and diluted net income (loss) per share attributable to common stockholders when it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earnings as if all income (loss) for the period had been distributed. The Company’s convertible preferred stock participates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3" w:name="page134"/>
    <w:bookmarkEnd w:id="133"/>
    <w:p>
      <w:pPr>
        <w:ind w:firstLine="555"/>
        <w:spacing w:after="0" w:line="290" w:lineRule="auto"/>
        <w:rPr>
          <w:sz w:val="20"/>
          <w:szCs w:val="20"/>
          <w:color w:val="auto"/>
        </w:rPr>
      </w:pPr>
      <w:r>
        <w:rPr>
          <w:rFonts w:ascii="Arial" w:cs="Arial" w:eastAsia="Arial" w:hAnsi="Arial"/>
          <w:sz w:val="16"/>
          <w:szCs w:val="16"/>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per share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 dilutive common shares. For purpose of this calculation, outstanding options to purchase common stock, unvested restricted stock awards, and shares of convertible preferred stock are considered potential dilutive common shares. The Company has generated a net loss in all periods presented, and therefore the basic and diluted net loss per share attributable to common stockholders are the same as the inclusion of the potentially dilutive securities would be anti-dilutive.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117"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160" w:firstLine="555"/>
        <w:spacing w:after="0" w:line="312" w:lineRule="auto"/>
        <w:rPr>
          <w:sz w:val="20"/>
          <w:szCs w:val="20"/>
          <w:color w:val="auto"/>
        </w:rPr>
      </w:pPr>
      <w:r>
        <w:rPr>
          <w:rFonts w:ascii="Arial" w:cs="Arial" w:eastAsia="Arial" w:hAnsi="Arial"/>
          <w:sz w:val="16"/>
          <w:szCs w:val="16"/>
          <w:color w:val="auto"/>
        </w:rPr>
        <w:t>Operating segments are defined as components of an enterprise about which separate discrete financial information is available for evaluation by the chief operating decision-maker in making decisions regarding resource allocation and assessing performance. The Company and the Company’s chief operating decision-maker, the Company’s chief executive officer, view the Company’s operations and manage its business as a single operating segment.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The Company is an emerging growth company (“EGC”), as defined in the Jumpstart Our Business Startups Act (the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for ASUs. The Company may take advantage of these exemptions up until the last day of the fiscal year following the fifth anniversary of an offering or such earlier time that it is no longer an EGC.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(“ASU 2017-01”). The standard clarifies the framework for determining whether an integrated set of assets and activities meets the definition of a business. The revised framework establishes a screen for determining whether an integrated set of assets and activities is a business and narrows the definition of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 The Company adopted ASU 2017-01 effective as of January 1, 2018. The adoption of this standard did not have a material impact on the Company’s consolidated financial statements or footnote disclosures.</w:t>
      </w:r>
    </w:p>
    <w:p>
      <w:pPr>
        <w:spacing w:after="0" w:line="189" w:lineRule="exact"/>
        <w:rPr>
          <w:sz w:val="20"/>
          <w:szCs w:val="20"/>
          <w:color w:val="auto"/>
        </w:rPr>
      </w:pPr>
    </w:p>
    <w:p>
      <w:pPr>
        <w:ind w:right="440" w:firstLine="555"/>
        <w:spacing w:after="0" w:line="259"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The standard eliminates, adds and modifies certain disclosure requirements for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The Company adopted ASU 2018-13 effective as of January 1, 2018. The adoption of this standard did not have a material impact on the Company’s consolidated financial statements or footnote disclosures.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117" w:lineRule="exact"/>
        <w:rPr>
          <w:sz w:val="20"/>
          <w:szCs w:val="20"/>
          <w:color w:val="auto"/>
        </w:rPr>
      </w:pPr>
    </w:p>
    <w:p>
      <w:pPr>
        <w:ind w:right="80" w:firstLine="555"/>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which permits entities to continue applying legacy guidance in ASC 840, Leases, including its disclosure requirements, in the comparative periods presented in the year that the entity adopts the new leasing standard. In November 2019, the FASB deferred the effective date of ASU 2018-11 for private companies to fiscal years beginning after December 15, 2020. The new standard will become effective for the Company on January 1, 2021.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72"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The standard requires that credit losses be reported using an expected losses model rather than the incurred losses model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p>
    <w:p>
      <w:pPr>
        <w:spacing w:after="0" w:line="193"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 2017-11”). Part I of the standard applies to entities that issue financial instruments such as warrants, convertible debt or convertible preferred stock that contain down-round features. Part II of the standard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new standard will be effective for the Company on January 1, 2020 under the extended transition period. The Company is currently evaluating the impact that the adoption of ASU 2017-11 will have on its consolidated financial statements.</w:t>
      </w:r>
    </w:p>
    <w:p>
      <w:pPr>
        <w:spacing w:after="0" w:line="166"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 Clarifying the Interaction between Topic 808 and</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The standard clarifies that certain transactions between collaborative arrangement participants should be accounted for as revenue under ASC 606</w:t>
      </w:r>
      <w:r>
        <w:rPr>
          <w:rFonts w:ascii="Arial" w:cs="Arial" w:eastAsia="Arial" w:hAnsi="Arial"/>
          <w:sz w:val="16"/>
          <w:szCs w:val="16"/>
          <w:i w:val="1"/>
          <w:iCs w:val="1"/>
          <w:color w:val="auto"/>
        </w:rPr>
        <w:t xml:space="preserve"> </w:t>
      </w:r>
      <w:r>
        <w:rPr>
          <w:rFonts w:ascii="Arial" w:cs="Arial" w:eastAsia="Arial" w:hAnsi="Arial"/>
          <w:sz w:val="16"/>
          <w:szCs w:val="16"/>
          <w:color w:val="auto"/>
        </w:rPr>
        <w:t>when the collaborative arrangement participant is a customer in the context of a unit of account. The standard amends ASC 808 to refer to the unit-of-account guidance in ASC 606 and requires it to be used only when assessing whether a transaction is in the scope of ASC 606 when an entity is assessing whether the collaborative arrangement or a part of the arrangement is within the scope of ASC 606. The standard requires that in a transaction with a collaborative arrangement participant that is not directly related to sales to third parties, presenting that transaction together with revenue recognized under ASC 606 is precluded if the collaborative arrangement participant is not a customer. The new standard will be effective for the Company on January 1, 2020. The Company does not expect the adoption of this standard to have a material impact on the Company’s consolidated financial statements or footnote disclosures.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level of the fair value hierarchy utilized to determine such fair values as of December 31, 2019 and 2018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3"/>
              </w:rPr>
              <w:t>Fair Value Measurements at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8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0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96,713</w:t>
            </w:r>
          </w:p>
        </w:tc>
        <w:tc>
          <w:tcPr>
            <w:tcW w:w="24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96,713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96,713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38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3"/>
              </w:rPr>
              <w:t>Fair Value Measurements at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3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8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0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36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72,797</w:t>
            </w:r>
          </w:p>
        </w:tc>
        <w:tc>
          <w:tcPr>
            <w:tcW w:w="24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72,797</w:t>
            </w:r>
          </w:p>
        </w:tc>
        <w:tc>
          <w:tcPr>
            <w:tcW w:w="22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12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72,797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transfers between fair value levels during the years ended December 31, 2019 or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(3,947)</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(1,958)</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55"/>
        <w:spacing w:after="0" w:line="312" w:lineRule="auto"/>
        <w:rPr>
          <w:sz w:val="20"/>
          <w:szCs w:val="20"/>
          <w:color w:val="auto"/>
        </w:rPr>
      </w:pPr>
      <w:r>
        <w:rPr>
          <w:rFonts w:ascii="Arial" w:cs="Arial" w:eastAsia="Arial" w:hAnsi="Arial"/>
          <w:sz w:val="16"/>
          <w:szCs w:val="16"/>
          <w:color w:val="auto"/>
        </w:rPr>
        <w:t>Depreciation expense for the years ended December 31, 2019 and 2018 was $2.1 million and $1.3 million, respectively. Total property and equipment, gross, as of December 31, 2019 and 2018 included $0.2 million of property and equipment recorded under capital leases. Accumulated depreciation, as of December 31, 2019 and 2018, included $0.1 million and less than $0.1 million, respectively, for property and equipment recorded under capital leases.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Additional Balance Sheet Detail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Prepaid sign-on bonuses subject to vesting provisions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 allowance receivable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Interest income receivable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ind w:left="1720"/>
              <w:spacing w:after="0"/>
              <w:rPr>
                <w:sz w:val="20"/>
                <w:szCs w:val="20"/>
                <w:color w:val="auto"/>
              </w:rPr>
            </w:pPr>
            <w:r>
              <w:rPr>
                <w:rFonts w:ascii="Arial" w:cs="Arial" w:eastAsia="Arial" w:hAnsi="Arial"/>
                <w:sz w:val="18"/>
                <w:szCs w:val="18"/>
                <w:color w:val="auto"/>
              </w:rPr>
              <w:t>Total prepaid expenses and other current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vMerge w:val="restart"/>
          </w:tcPr>
          <w:p>
            <w:pPr>
              <w:ind w:left="3820"/>
              <w:spacing w:after="0"/>
              <w:rPr>
                <w:sz w:val="20"/>
                <w:szCs w:val="20"/>
                <w:color w:val="auto"/>
              </w:rPr>
            </w:pPr>
            <w:r>
              <w:rPr>
                <w:rFonts w:ascii="Arial" w:cs="Arial" w:eastAsia="Arial" w:hAnsi="Arial"/>
                <w:sz w:val="18"/>
                <w:szCs w:val="18"/>
                <w:color w:val="auto"/>
              </w:rPr>
              <w:t>F-15</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36" w:name="page137"/>
    <w:bookmarkEnd w:id="136"/>
    <w:p>
      <w:pPr>
        <w:ind w:left="5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Payroll and benefits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1,448</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liability, current portion</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Property and equipment purchases</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0" w:firstLine="555"/>
        <w:spacing w:after="0" w:line="342" w:lineRule="auto"/>
        <w:rPr>
          <w:sz w:val="20"/>
          <w:szCs w:val="20"/>
          <w:color w:val="auto"/>
        </w:rPr>
      </w:pPr>
      <w:r>
        <w:rPr>
          <w:rFonts w:ascii="Arial" w:cs="Arial" w:eastAsia="Arial" w:hAnsi="Arial"/>
          <w:sz w:val="16"/>
          <w:szCs w:val="16"/>
          <w:color w:val="auto"/>
        </w:rPr>
        <w:t>Future minimum lease payments associated with the Company’s capital lease obligations are less than $0.1 million in each of the years ending December 31, 2020 and 2021. No minimum lease payments associated with the Company’s capital lease obligations are due after December 31,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w:t>
      </w:r>
    </w:p>
    <w:p>
      <w:pPr>
        <w:spacing w:after="0" w:line="121"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In July 2016, the Company entered into a Series A convertible preferred stock purchase agreement (the “2016 Stock Purchase Agreement”), which provided for the issuance and sale of up to 55,000,000 shares of Series A convertible preferred stock (the “Series A Preferred Stock”) at a price of $1.00 per share in three tranches, each of which could occur in multiple closings. Included in the terms of the Series A Preferred Stock purchase agreement were tranche rights. The tranche rights obligated the investors in the Series A Preferred Stock to purchase, and the Company to sell, shares of Series A Preferred Stock at $1.00 per share, subject to the achievement of certain milestones related to the Company’s research platform and organizational development. The specified milestones were waivable with the consent of the holders of a majority of the shares of Series A Preferred Stock.</w:t>
      </w:r>
    </w:p>
    <w:p>
      <w:pPr>
        <w:spacing w:after="0" w:line="165"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During the year ended December 31, 2018, the Company sold 25,333,334 shares of Series A Preferred Stock under the 2016 Stock Purchase Agreement for aggregate proceeds of approximately $25.3 million. The Company incurred issuance costs associated with the 2016 Stock Purchase Agreement of less than $0.1 million during the year ended December 31, 2018.</w:t>
      </w:r>
    </w:p>
    <w:p>
      <w:pPr>
        <w:spacing w:after="0" w:line="181"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The Company determined that the tranche rights did not meet the definition of a freestanding financial instrument because, while separately exercisable, they were not legally detachable. Further, the Company determined that the embedded future tranche rights did not require bifurcation as they were clearly and closely related to the economic characteristics and risks of the Series A Preferred Stock and did not meet the definition of a derivative on a standalone basis.</w:t>
      </w:r>
    </w:p>
    <w:p>
      <w:pPr>
        <w:spacing w:after="0" w:line="18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In August 2018, the Company entered into a Series B convertible preferred stock purchase agreement (the “Series B Stock Purchase Agreement”), pursuant to which the Company sold 40,000,000 shares of Series B Preferred Stock at a purchase price of $2.00 per share for gross proceeds of $80,000,000. In connection with the Series B Stock Purchase Agreement, the Company’s Certificate of Incorporation was amended and restated to authorize the Company to issue 40,000,000 shares of Series B Preferred Stock. During the year ended December 31, 2019, the Company issued 12,500,000 shares of Series B Preferred Stock in connection with the GSK Agreement (Note 10). The rights, privileges, and preferences of the Series B Preferred Stock issued in connection with the GSK Agreement are consistent with the rights, privileges, and preferences of the Series B Preferred Stock issued during the year ended December 31, 2018.</w:t>
      </w:r>
    </w:p>
    <w:p>
      <w:pPr>
        <w:spacing w:after="0" w:line="189" w:lineRule="exact"/>
        <w:rPr>
          <w:sz w:val="20"/>
          <w:szCs w:val="20"/>
          <w:color w:val="auto"/>
        </w:rPr>
      </w:pPr>
    </w:p>
    <w:p>
      <w:pPr>
        <w:ind w:right="160" w:firstLine="555"/>
        <w:spacing w:after="0" w:line="293" w:lineRule="auto"/>
        <w:rPr>
          <w:sz w:val="20"/>
          <w:szCs w:val="20"/>
          <w:color w:val="auto"/>
        </w:rPr>
      </w:pPr>
      <w:r>
        <w:rPr>
          <w:rFonts w:ascii="Arial" w:cs="Arial" w:eastAsia="Arial" w:hAnsi="Arial"/>
          <w:sz w:val="16"/>
          <w:szCs w:val="16"/>
          <w:color w:val="auto"/>
        </w:rPr>
        <w:t>The Company assessed the Series A Preferred Stock and the Series B Preferred Stock (together, the “Preferred Stock”) for any beneficial conversion features or embedded derivatives, including the conversion option, that would require bifurcation from the Preferred Stock and receive separate accounting treatment. Based on the Company’s determination that the Preferred Stock is an “equity host,” the Company determined that all features of the Preferred Stock were either clearly and closely related to the equity host or did not meet the definition of a derivative, and therefore do not require bifurcation as a derivative liability. On the date of issuance, the estimated fair value of common stock into which the Preferred Stock was convertible was less than the effective conversion price of the Preferred Stock, and as such, there was no beneficial conversion feature at the commitment dates.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7" w:name="page138"/>
    <w:bookmarkEnd w:id="137"/>
    <w:p>
      <w:pPr>
        <w:ind w:right="80" w:firstLine="555"/>
        <w:spacing w:after="0" w:line="257" w:lineRule="auto"/>
        <w:rPr>
          <w:sz w:val="20"/>
          <w:szCs w:val="20"/>
          <w:color w:val="auto"/>
        </w:rPr>
      </w:pPr>
      <w:r>
        <w:rPr>
          <w:rFonts w:ascii="Arial" w:cs="Arial" w:eastAsia="Arial" w:hAnsi="Arial"/>
          <w:sz w:val="18"/>
          <w:szCs w:val="18"/>
          <w:color w:val="auto"/>
        </w:rPr>
        <w:t>As the Preferred Stock was redeemable upon the occurrence of a Deemed Liquidation Event (as defined below), the Preferred Stock has been classified outside of stockholders’ deficit. Since the Preferred Stock was not initially redeemable and the Company determined that it was not probable that it would be redeemable, the carrying value of the Preferred Stock has not been adjusted. No dividends have been declared since inception. Aggregate cumulative dividends associated with the Series A Preferred Stock and the Series B Preferred Stock as of December 31, 2018 were $7.2 million and $2.3 million, respectively.</w:t>
      </w:r>
    </w:p>
    <w:p>
      <w:pPr>
        <w:spacing w:after="0" w:line="188" w:lineRule="exact"/>
        <w:rPr>
          <w:sz w:val="20"/>
          <w:szCs w:val="20"/>
          <w:color w:val="auto"/>
        </w:rPr>
      </w:pPr>
    </w:p>
    <w:p>
      <w:pPr>
        <w:ind w:right="160" w:firstLine="555"/>
        <w:spacing w:after="0" w:line="308" w:lineRule="auto"/>
        <w:rPr>
          <w:sz w:val="20"/>
          <w:szCs w:val="20"/>
          <w:color w:val="auto"/>
        </w:rPr>
      </w:pPr>
      <w:r>
        <w:rPr>
          <w:rFonts w:ascii="Arial" w:cs="Arial" w:eastAsia="Arial" w:hAnsi="Arial"/>
          <w:sz w:val="17"/>
          <w:szCs w:val="17"/>
          <w:color w:val="auto"/>
        </w:rPr>
        <w:t>On July 5, 2019, the Company eliminated the gross proceeds threshold of $45.0 million for a firm-commitment underwritten public offering in order to effect an automatic conversion of all outstanding shares of Preferred Stock into common stock upon the closing of the IPO.</w:t>
      </w:r>
    </w:p>
    <w:p>
      <w:pPr>
        <w:spacing w:after="0" w:line="147"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Upon the completion of the IPO on July 22, 2019, all 112,500,000 shares of outstanding Preferred Stock automatically converted into 16,071,418 shares of common stock. In addition, upon the completion of the IPO, the Company amended and restated its certificate of incorporation to authorize 5,000,000 shares of preferred stock, which shares of preferred stock are currently undesignated. As of December 31, 2019, no shares of preferred stock were issued or outstanding.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Prior to the closing of the IPO, the holders of the Preferred Stock had the following rights, privileges, and preferences: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holders of the Preferred Stock were entitled to vote on all matters submitted to stockholders for a vote and had the right to vote the number of shares equal to the number of shares of common stock into which such shares of Preferred Stock could convert on the record date for determination of stockholders entitled to vote. The holders of Preferred Stock voted together with the holders of common stock as a single class, on an as-converted basis, unless otherwise specified by law or the Certificate of Incorporation. For example, the holders of Series A Preferred Stock, exclusively and as a separate class, were entitled to elect one director of the Company and the holders of Series B Preferred Stock, exclusively and as a separate class, were entitled to elect one director of the Company.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Each share of Preferred Stock was convertible, at the option of the holder, at any time, and without the payment of additional consideration by the holder, into such number of fully paid and nonassessable shares of common stock as is determined by dividing the Original Issue Price (as defined below) applicable to such series of Preferred Stock by the Conversion Price (as defined below) applicable to such series of Preferred Stock in effect at the time of conversion. The Original Issue Price was $1.00 per share for Series A Preferred Stock and $2.00 per share for Series B Preferred Stock, each subject to appropriate adjustment in the event of any stock dividend, stock split, combination or other similar recapitalization with respect to the Preferred Stock. The Conversion Price was $7.00 per share for Series A Preferred Stock and $14.00 per share for Series B Preferred Stock, each subject to appropriate adjustment in the event of any stock dividend, stock split, combination or other similar recapitalization and other adjustments, as set forth in the Company’s Certificate of Incorporation, as amended and/or restated.</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share of Preferred Stock would have been automatically converted into shares of common stock at the then-effective conversion ratio upon either</w:t>
      </w:r>
    </w:p>
    <w:p>
      <w:pPr>
        <w:spacing w:after="0" w:line="46" w:lineRule="exact"/>
        <w:rPr>
          <w:sz w:val="20"/>
          <w:szCs w:val="20"/>
          <w:color w:val="auto"/>
        </w:rPr>
      </w:pPr>
    </w:p>
    <w:p>
      <w:pPr>
        <w:ind w:firstLine="8"/>
        <w:spacing w:after="0" w:line="269" w:lineRule="auto"/>
        <w:tabs>
          <w:tab w:leader="none" w:pos="215"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closing of the sale of shares of common stock to the public in a firm-commitment underwritten public offering pursuant to an effective registration statement under the Securities Act of 1933, as amended (the “Securities Act”), and, following such offering, the common stock was listed on the New York Stock Exchange or Nasdaq or (ii) the date and time, or the occurrence of an event, specified by the vote or written consent of the holders of at least 65% of the outstanding shares of Preferred Stock. If the holders of at least 65% of the outstanding shares of Preferred Stock approved a mandatory conversion in connection with a proposed Deemed Liquidation Event in which the holders of Series B Preferred Stock would have received less than the full liquidation preference applicable to the Series B Preferred Stock (as discussed below), then the mandatory conversion would have also required the consent of the holders of a majority of the outstanding shares of Series B Preferred Stock, voting together as a separate class.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 w:firstLine="555"/>
        <w:spacing w:after="0" w:line="253" w:lineRule="auto"/>
        <w:rPr>
          <w:sz w:val="20"/>
          <w:szCs w:val="20"/>
          <w:color w:val="auto"/>
        </w:rPr>
      </w:pPr>
      <w:r>
        <w:rPr>
          <w:rFonts w:ascii="Arial" w:cs="Arial" w:eastAsia="Arial" w:hAnsi="Arial"/>
          <w:sz w:val="18"/>
          <w:szCs w:val="18"/>
          <w:color w:val="auto"/>
        </w:rPr>
        <w:t>From the date of issuance of the Series B Preferred Stock, dividends at an annual rate of $0.16 per share accrued on such shares of Series B Preferred Stock, subject to adjustment in the event of any stock split, stock dividend, or other similar recapitalization with respect to the Series B Preferred Stock (the “Series B Accruing Dividends”). From the date of issuance of the Series A Preferred Stock, dividends at an annual rate of $0.08 per share accrued on such shares of Series A Preferred Stock, subject to adjustment in the event of any stock split, stock dividend, or other similar recapitalization with respect to the Series A Preferred Stock (the “Series A Accruing Dividends”, and together with the Series B Accruing Dividends, the “Accruing Dividends”). The Accruing Dividends were cumulative and were payable only when and if declared by the board of directors of the Company or in the event of a liquidation, dissolution or winding up of the Company or a Deemed Liquidation Event. The Company could not declare dividends on the common stock unless the holders of Preferred Stock first received, or simultaneously received, a dividend on each outstanding share of Preferred Stock. No dividends have been declared since inception.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17" w:lineRule="exact"/>
        <w:rPr>
          <w:sz w:val="20"/>
          <w:szCs w:val="20"/>
          <w:color w:val="auto"/>
        </w:rPr>
      </w:pPr>
    </w:p>
    <w:p>
      <w:pPr>
        <w:ind w:right="140" w:firstLine="555"/>
        <w:spacing w:after="0" w:line="273"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Deemed Liquidation Event, the holders of shares of Preferred Stock then outstanding would have been entitled to be paid out of the assets of the Company available for distribution to its stockholders before any payment was made to the holders of common stock by reason of their ownership thereof, an amount per share equal to the greater of (i) the applicable Original Issue Price, plus any applicable Accruing Dividends accrued but unpaid thereon, whether or not declared, together with any other dividends declared but unpaid thereon or (ii) such amount per share as would have been payable had all shares of Preferred Stock been converted into common stock immediately prior to such liquidation, dissolution, winding up or Deemed Liquidation Event.</w:t>
      </w:r>
    </w:p>
    <w:p>
      <w:pPr>
        <w:spacing w:after="0" w:line="178"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After the payment of all preferential amounts required to be paid to the holders of shares of Preferred Stock, the remaining assets of the Company available for distribution to its stockholders would have been distributed among the holders of the shares of common stock, pro rata based on the number of shares held by each such holder.</w:t>
      </w:r>
    </w:p>
    <w:p>
      <w:pPr>
        <w:spacing w:after="0" w:line="181"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Unless the holders of at least 65% of the outstanding shares of Preferred Stock, voting together as a single class, elected otherwise, a “Deemed Liquidation Event” included (i) a merger or consolidation (other than one in which stockholders of the Company owning a majority by voting power of the outstanding shares of the Company prior to the merger or consolidation continue to own a majority by voting power of the outstanding shares of the surviving or acquiring corporation) or (ii) a sale, lease, transfer, exclusive license, or other disposition by the Company or its subsidiaries of all or substantially all of the assets of the Company and its subsidiaries, taken as a whole, or the sale or disposition of one or more subsidiaries of the Company if substantially all of the assets of the Company and its subsidiaries, taken as a whole, are held by such subsidiaries.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As of December 31, 2019, the Company’s certificate of incorporation, as amended and restated, authorized the Company to issue 200,000,000 shares of common stock, $0.001 par value per share.</w:t>
      </w:r>
    </w:p>
    <w:p>
      <w:pPr>
        <w:spacing w:after="0" w:line="170"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No dividends have been declared or paid by the Company since its inception.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39" w:name="page140"/>
    <w:bookmarkEnd w:id="139"/>
    <w:p>
      <w:pPr>
        <w:ind w:left="560"/>
        <w:spacing w:after="0"/>
        <w:rPr>
          <w:sz w:val="20"/>
          <w:szCs w:val="20"/>
          <w:color w:val="auto"/>
        </w:rPr>
      </w:pPr>
      <w:r>
        <w:rPr>
          <w:rFonts w:ascii="Arial" w:cs="Arial" w:eastAsia="Arial" w:hAnsi="Arial"/>
          <w:sz w:val="18"/>
          <w:szCs w:val="18"/>
          <w:color w:val="auto"/>
        </w:rPr>
        <w:t>As of December 31, 2019 and 2018, the Company has reserved for future issuance the following number of shares of common stock:</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660" w:type="dxa"/>
            <w:vAlign w:val="bottom"/>
            <w:tcBorders>
              <w:bottom w:val="single" w:sz="8" w:color="CFF0FC"/>
            </w:tcBorders>
          </w:tcPr>
          <w:p>
            <w:pPr>
              <w:spacing w:after="0"/>
              <w:rPr>
                <w:sz w:val="14"/>
                <w:szCs w:val="14"/>
                <w:color w:val="auto"/>
              </w:rPr>
            </w:pPr>
          </w:p>
        </w:tc>
        <w:tc>
          <w:tcPr>
            <w:tcW w:w="18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6"/>
              </w:rPr>
              <w:t>Shares reserved for conversion of outstanding Series A Preferred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8,571,427</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w w:val="96"/>
              </w:rPr>
              <w:t>Shares reserved for conversion of outstanding Series B Preferred Stock</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5,714,277</w:t>
            </w:r>
          </w:p>
        </w:tc>
        <w:tc>
          <w:tcPr>
            <w:tcW w:w="8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reserved for future issuance under the 2016</w:t>
            </w:r>
          </w:p>
        </w:tc>
        <w:tc>
          <w:tcPr>
            <w:tcW w:w="1860" w:type="dxa"/>
            <w:vAlign w:val="bottom"/>
            <w:shd w:val="clear" w:color="auto" w:fill="CFF0FC"/>
          </w:tcPr>
          <w:p>
            <w:pPr>
              <w:ind w:left="40"/>
              <w:spacing w:after="0"/>
              <w:rPr>
                <w:sz w:val="20"/>
                <w:szCs w:val="20"/>
                <w:color w:val="auto"/>
              </w:rPr>
            </w:pPr>
            <w:r>
              <w:rPr>
                <w:rFonts w:ascii="Arial" w:cs="Arial" w:eastAsia="Arial" w:hAnsi="Arial"/>
                <w:sz w:val="18"/>
                <w:szCs w:val="18"/>
                <w:color w:val="auto"/>
              </w:rPr>
              <w:t>Stock Incentive Plan</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919,030</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Shares reserved for exercises of outstanding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2,023,828</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507,891</w:t>
            </w:r>
          </w:p>
        </w:tc>
        <w:tc>
          <w:tcPr>
            <w:tcW w:w="8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reserved for future issuance under the 2019</w:t>
            </w:r>
          </w:p>
        </w:tc>
        <w:tc>
          <w:tcPr>
            <w:tcW w:w="1860" w:type="dxa"/>
            <w:vAlign w:val="bottom"/>
            <w:shd w:val="clear" w:color="auto" w:fill="CFF0FC"/>
          </w:tcPr>
          <w:p>
            <w:pPr>
              <w:ind w:left="40"/>
              <w:spacing w:after="0"/>
              <w:rPr>
                <w:sz w:val="20"/>
                <w:szCs w:val="20"/>
                <w:color w:val="auto"/>
              </w:rPr>
            </w:pPr>
            <w:r>
              <w:rPr>
                <w:rFonts w:ascii="Arial" w:cs="Arial" w:eastAsia="Arial" w:hAnsi="Arial"/>
                <w:sz w:val="18"/>
                <w:szCs w:val="18"/>
                <w:color w:val="auto"/>
              </w:rPr>
              <w:t>Stock Incentive 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1,866,694</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3660" w:type="dxa"/>
            <w:vAlign w:val="bottom"/>
          </w:tcPr>
          <w:p>
            <w:pPr>
              <w:spacing w:after="0"/>
              <w:rPr>
                <w:sz w:val="20"/>
                <w:szCs w:val="20"/>
                <w:color w:val="auto"/>
              </w:rPr>
            </w:pPr>
            <w:r>
              <w:rPr>
                <w:rFonts w:ascii="Arial" w:cs="Arial" w:eastAsia="Arial" w:hAnsi="Arial"/>
                <w:sz w:val="18"/>
                <w:szCs w:val="18"/>
                <w:color w:val="auto"/>
                <w:w w:val="88"/>
              </w:rPr>
              <w:t>Shares reserved for future issuance under the 2019</w:t>
            </w:r>
          </w:p>
        </w:tc>
        <w:tc>
          <w:tcPr>
            <w:tcW w:w="1860" w:type="dxa"/>
            <w:vAlign w:val="bottom"/>
          </w:tcPr>
          <w:p>
            <w:pPr>
              <w:ind w:left="40"/>
              <w:spacing w:after="0"/>
              <w:rPr>
                <w:sz w:val="20"/>
                <w:szCs w:val="20"/>
                <w:color w:val="auto"/>
              </w:rPr>
            </w:pPr>
            <w:r>
              <w:rPr>
                <w:rFonts w:ascii="Arial" w:cs="Arial" w:eastAsia="Arial" w:hAnsi="Arial"/>
                <w:sz w:val="18"/>
                <w:szCs w:val="18"/>
                <w:color w:val="auto"/>
              </w:rPr>
              <w:t>Employee Stock</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Purchase Plan</w:t>
            </w:r>
          </w:p>
        </w:tc>
        <w:tc>
          <w:tcPr>
            <w:tcW w:w="18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252,142</w:t>
            </w:r>
          </w:p>
        </w:tc>
        <w:tc>
          <w:tcPr>
            <w:tcW w:w="2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660" w:type="dxa"/>
            <w:vAlign w:val="bottom"/>
            <w:tcBorders>
              <w:top w:val="single" w:sz="8" w:color="CFF0FC"/>
              <w:bottom w:val="single" w:sz="8" w:color="CFF0FC"/>
            </w:tcBorders>
            <w:shd w:val="clear" w:color="auto" w:fill="CFF0FC"/>
          </w:tcPr>
          <w:p>
            <w:pPr>
              <w:spacing w:after="0"/>
              <w:rPr>
                <w:sz w:val="19"/>
                <w:szCs w:val="19"/>
                <w:color w:val="auto"/>
              </w:rPr>
            </w:pPr>
          </w:p>
        </w:tc>
        <w:tc>
          <w:tcPr>
            <w:tcW w:w="18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4,142,664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15,712,625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117" w:lineRule="exact"/>
        <w:rPr>
          <w:sz w:val="20"/>
          <w:szCs w:val="20"/>
          <w:color w:val="auto"/>
        </w:rPr>
      </w:pPr>
    </w:p>
    <w:p>
      <w:pPr>
        <w:ind w:right="100" w:firstLine="555"/>
        <w:spacing w:after="0" w:line="297" w:lineRule="auto"/>
        <w:rPr>
          <w:sz w:val="20"/>
          <w:szCs w:val="20"/>
          <w:color w:val="auto"/>
        </w:rPr>
      </w:pPr>
      <w:r>
        <w:rPr>
          <w:rFonts w:ascii="Arial" w:cs="Arial" w:eastAsia="Arial" w:hAnsi="Arial"/>
          <w:sz w:val="16"/>
          <w:szCs w:val="16"/>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The total number of shares of common stock that were authorized for issuance under the 2016 Plan as of December 31, 2018 was 3,209,285. As of the effective date of the 2019 Stock Incentive Plan (the “2019 Plan”), and as of December 31, 2019, no shares remained available for future issuance under the 2016 Plan. Any options or awards outstanding under the 2016 Plan remain outstanding and effective.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117"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is 2,017,142 shares, plus the shares of common stock remaining available for issuance under the 2016 Plan as of July 17, 2019. The number of shares reserved shall be annually increased on January 1, 2020 and each January 1 thereafter through January 1, 2029 by the least of (i) 2,000,000 shares, (ii) 4% of the number of shares of the Company’s common stock outstanding on the first day of the such year or (iii) an amount determined by the Company’s board of directors. As of December 31, 2019, there were 1,866,694 shares available for future issuance under the 2019 Plan. On January 1, 2020, the number of shares reserved for issuance under the 2019 Plan was increased by 933,420 shares.</w:t>
      </w:r>
    </w:p>
    <w:p>
      <w:pPr>
        <w:spacing w:after="0" w:line="179"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181"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For financial reporting purposes, the Company performed common stock valuations with the assistance of a third-party specialist as of May 10, 2019, March 15, 2019, November 30, 2018, August 24, 2018, June 1, 2018, December 31, 2017, and December 31, 2016 to determine stock-based compensation expense for restricted stock awards and stock options. Upon completion of the IPO, the fair value of the common stock on the grant date was based on the closing price of the stock on the Nasdaq Global Market on the date of grant.</w:t>
      </w:r>
    </w:p>
    <w:p>
      <w:pPr>
        <w:spacing w:after="0" w:line="18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 Company may repurchase unvested shares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0" w:name="page141"/>
    <w:bookmarkEnd w:id="140"/>
    <w:p>
      <w:pPr>
        <w:ind w:right="80" w:firstLine="555"/>
        <w:spacing w:after="0" w:line="277" w:lineRule="auto"/>
        <w:rPr>
          <w:sz w:val="20"/>
          <w:szCs w:val="20"/>
          <w:color w:val="auto"/>
        </w:rPr>
      </w:pPr>
      <w:r>
        <w:rPr>
          <w:rFonts w:ascii="Arial" w:cs="Arial" w:eastAsia="Arial" w:hAnsi="Arial"/>
          <w:sz w:val="18"/>
          <w:szCs w:val="18"/>
          <w:color w:val="auto"/>
        </w:rPr>
        <w:t>The shares of common stock underlying restricted stock awards typically vest over a four-year period. The shares are recorded in stockholders’ equity (deficit) as they vest.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restricted stock activity under the 2019 Plan and 2016 Plan since December 31, 2017:</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1,097,561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256,716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(503,544)</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(93,711)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757,022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(349,149)</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(61,450)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Stock options granted by the Company typically vest over a four year period and have a ten year contractual term. The following table summarizes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stock option activity under the 2019 Plan and 2016 Plan during the year ended December 31, 2019:</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507,891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367,427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1,561,594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(33,782)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(11,875)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9.58</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2,023,828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7"/>
              </w:rPr>
              <w:t>14,840,035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Exercisable at December 31, 2019</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8.94</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2,730,209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310,423</w:t>
            </w:r>
          </w:p>
        </w:tc>
        <w:tc>
          <w:tcPr>
            <w:tcW w:w="1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40" w:firstLine="555"/>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4"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color w:val="auto"/>
        </w:rPr>
        <w:t>The weighted average grant date fair value of stock options granted in the years ended December 31, 2019 and 2018 was $6.97 per share and $5.06 per share, respectively. The total intrinsic value of stock options exercised in the year ended December 31, 2019 was $0.2 million. No stock options were exercised in the year ended December 31, 2018.</w:t>
      </w:r>
    </w:p>
    <w:p>
      <w:pPr>
        <w:spacing w:after="0" w:line="181"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The fair value of stock options granted during the years ended December 31, 2019 and 2018 under the 2019 Plan and 2016 Plan has been calculated on the date of grant using the following weighted average assumptions: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w:t>
            </w: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Year</w:t>
            </w:r>
          </w:p>
        </w:tc>
        <w:tc>
          <w:tcPr>
            <w:tcW w:w="1740" w:type="dxa"/>
            <w:vAlign w:val="bottom"/>
          </w:tcPr>
          <w:p>
            <w:pPr>
              <w:spacing w:after="0"/>
              <w:rPr>
                <w:sz w:val="14"/>
                <w:szCs w:val="14"/>
                <w:color w:val="auto"/>
              </w:rPr>
            </w:pPr>
          </w:p>
        </w:tc>
      </w:tr>
      <w:tr>
        <w:trPr>
          <w:trHeight w:val="149"/>
        </w:trPr>
        <w:tc>
          <w:tcPr>
            <w:tcW w:w="1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1740" w:type="dxa"/>
            <w:vAlign w:val="bottom"/>
          </w:tcPr>
          <w:p>
            <w:pPr>
              <w:spacing w:after="0"/>
              <w:rPr>
                <w:sz w:val="12"/>
                <w:szCs w:val="12"/>
                <w:color w:val="auto"/>
              </w:rPr>
            </w:pPr>
          </w:p>
        </w:tc>
      </w:tr>
      <w:tr>
        <w:trPr>
          <w:trHeight w:val="171"/>
        </w:trPr>
        <w:tc>
          <w:tcPr>
            <w:tcW w:w="1720" w:type="dxa"/>
            <w:vAlign w:val="bottom"/>
          </w:tcPr>
          <w:p>
            <w:pPr>
              <w:spacing w:after="0"/>
              <w:rPr>
                <w:sz w:val="14"/>
                <w:szCs w:val="14"/>
                <w:color w:val="auto"/>
              </w:rPr>
            </w:pPr>
          </w:p>
        </w:tc>
        <w:tc>
          <w:tcPr>
            <w:tcW w:w="3020" w:type="dxa"/>
            <w:vAlign w:val="bottom"/>
            <w:tcBorders>
              <w:bottom w:val="single" w:sz="8" w:color="CFF0FC"/>
            </w:tcBorders>
          </w:tcPr>
          <w:p>
            <w:pPr>
              <w:spacing w:after="0"/>
              <w:rPr>
                <w:sz w:val="14"/>
                <w:szCs w:val="14"/>
                <w:color w:val="auto"/>
              </w:rPr>
            </w:pPr>
          </w:p>
        </w:tc>
        <w:tc>
          <w:tcPr>
            <w:tcW w:w="124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30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160" w:type="dxa"/>
            <w:vAlign w:val="bottom"/>
            <w:gridSpan w:val="3"/>
          </w:tcPr>
          <w:p>
            <w:pPr>
              <w:jc w:val="right"/>
              <w:ind w:right="160"/>
              <w:spacing w:after="0"/>
              <w:rPr>
                <w:sz w:val="20"/>
                <w:szCs w:val="20"/>
                <w:color w:val="auto"/>
              </w:rPr>
            </w:pPr>
            <w:r>
              <w:rPr>
                <w:rFonts w:ascii="Arial" w:cs="Arial" w:eastAsia="Arial" w:hAnsi="Arial"/>
                <w:sz w:val="18"/>
                <w:szCs w:val="18"/>
                <w:color w:val="auto"/>
              </w:rPr>
              <w:t>0.0%</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1740" w:type="dxa"/>
            <w:vAlign w:val="bottom"/>
          </w:tcPr>
          <w:p>
            <w:pPr>
              <w:spacing w:after="0"/>
              <w:rPr>
                <w:sz w:val="19"/>
                <w:szCs w:val="19"/>
                <w:color w:val="auto"/>
              </w:rPr>
            </w:pPr>
          </w:p>
        </w:tc>
      </w:tr>
      <w:tr>
        <w:trPr>
          <w:trHeight w:val="243"/>
        </w:trPr>
        <w:tc>
          <w:tcPr>
            <w:tcW w:w="1720" w:type="dxa"/>
            <w:vAlign w:val="bottom"/>
          </w:tcPr>
          <w:p>
            <w:pPr>
              <w:spacing w:after="0"/>
              <w:rPr>
                <w:sz w:val="21"/>
                <w:szCs w:val="21"/>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2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21"/>
                <w:szCs w:val="21"/>
                <w:color w:val="auto"/>
              </w:rPr>
            </w:pPr>
          </w:p>
        </w:tc>
        <w:tc>
          <w:tcPr>
            <w:tcW w:w="1740" w:type="dxa"/>
            <w:vAlign w:val="bottom"/>
          </w:tcPr>
          <w:p>
            <w:pPr>
              <w:spacing w:after="0"/>
              <w:rPr>
                <w:sz w:val="21"/>
                <w:szCs w:val="21"/>
                <w:color w:val="auto"/>
              </w:rPr>
            </w:pPr>
          </w:p>
        </w:tc>
      </w:tr>
      <w:tr>
        <w:trPr>
          <w:trHeight w:val="230"/>
        </w:trPr>
        <w:tc>
          <w:tcPr>
            <w:tcW w:w="17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3160" w:type="dxa"/>
            <w:vAlign w:val="bottom"/>
            <w:gridSpan w:val="3"/>
          </w:tcPr>
          <w:p>
            <w:pPr>
              <w:jc w:val="right"/>
              <w:ind w:right="160"/>
              <w:spacing w:after="0"/>
              <w:rPr>
                <w:sz w:val="20"/>
                <w:szCs w:val="20"/>
                <w:color w:val="auto"/>
              </w:rPr>
            </w:pPr>
            <w:r>
              <w:rPr>
                <w:rFonts w:ascii="Arial" w:cs="Arial" w:eastAsia="Arial" w:hAnsi="Arial"/>
                <w:sz w:val="18"/>
                <w:szCs w:val="18"/>
                <w:color w:val="auto"/>
              </w:rPr>
              <w:t>80.9%</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1740" w:type="dxa"/>
            <w:vAlign w:val="bottom"/>
          </w:tcPr>
          <w:p>
            <w:pPr>
              <w:spacing w:after="0"/>
              <w:rPr>
                <w:sz w:val="20"/>
                <w:szCs w:val="20"/>
                <w:color w:val="auto"/>
              </w:rPr>
            </w:pPr>
          </w:p>
        </w:tc>
      </w:tr>
      <w:tr>
        <w:trPr>
          <w:trHeight w:val="674"/>
        </w:trPr>
        <w:tc>
          <w:tcPr>
            <w:tcW w:w="1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160" w:type="dxa"/>
            <w:vAlign w:val="bottom"/>
            <w:gridSpan w:val="3"/>
          </w:tcPr>
          <w:p>
            <w:pPr>
              <w:jc w:val="right"/>
              <w:ind w:right="2020"/>
              <w:spacing w:after="0"/>
              <w:rPr>
                <w:sz w:val="20"/>
                <w:szCs w:val="20"/>
                <w:color w:val="auto"/>
              </w:rPr>
            </w:pPr>
            <w:r>
              <w:rPr>
                <w:rFonts w:ascii="Arial" w:cs="Arial" w:eastAsia="Arial" w:hAnsi="Arial"/>
                <w:sz w:val="18"/>
                <w:szCs w:val="18"/>
                <w:color w:val="auto"/>
              </w:rPr>
              <w:t>F-20</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i w:val="1"/>
          <w:iCs w:val="1"/>
          <w:color w:val="auto"/>
        </w:rPr>
        <w:t>Grants Outside of the 2016 Stock Incentive Plan and the 2019 Stock Incentive Plan</w:t>
      </w:r>
    </w:p>
    <w:p>
      <w:pPr>
        <w:spacing w:after="0" w:line="117"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During July 2016, the Company issued 724,997 shares and 65,713 shares of common stock outside of the Company’s 2016 Plan to non-employee founders and certain advisors, respectively. The shares were issued under the terms of restricted stock agreements between the Company and such holders, and the unvested shares are subject to repurchase by the Company upon the termination of the holder’s relationship with the Company. Of the total shares issued to non-employee founders, 82,141 vested immediately upon grant; 357,141 vest quarterly over a four-year period based on each holder’s continued service relationship with the Company; and 285,715 vest in equal quarterly installments over a period of one year, commencing with the first quarter after the four-year anniversary of the date of the respective non-employee founder’s agreement, based on each holder’s continued service relationship with the Company. Of the shares issued to non-employee advisors, 34,285 shares vest in equal quarterly installments over four years, 28,571 of the shares vest in equal quarterly installments over a period of two years upon the achievement of certain performance-based milestones, and 2,857 shares vested immediately upon grant. Stock-based compensation expense associated with the performance-based awards is recognized if the performance condition is considered probable of achievement using management’s best estimates. The shares are recorded in stockholders’ equity (deficit) as they vest.</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restricted stock activity outside of the 2019 Plan and 2016 Plan:</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558,932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(112,143)</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446,789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(112,142)</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334,647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 aggregate intrinsic value of all restricted stock awards that vested during the years ended December 31, 2019 and 2018 was $4.8 million and $3.4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 total compensation cost recognized in the statements of operations associated with all stock-based compensation awards granted by the Company is as follows (in thousands):</w:t>
      </w:r>
    </w:p>
    <w:p>
      <w:pPr>
        <w:spacing w:after="0" w:line="203"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Year Ended</w:t>
      </w:r>
    </w:p>
    <w:p>
      <w:pPr>
        <w:jc w:val="center"/>
        <w:ind w:left="53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46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2,247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1,977</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700" w:type="dxa"/>
            <w:vAlign w:val="bottom"/>
            <w:tcBorders>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4,224</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As of December 31, 2019, the Company had an aggregate of $12.2 million of unrecognized stock-based compensation expense, which is expected to be recognized over a weighted average period of 2.78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ind w:right="80" w:firstLine="555"/>
        <w:spacing w:after="0" w:line="297" w:lineRule="auto"/>
        <w:rPr>
          <w:sz w:val="20"/>
          <w:szCs w:val="20"/>
          <w:color w:val="auto"/>
        </w:rPr>
      </w:pPr>
      <w:r>
        <w:rPr>
          <w:rFonts w:ascii="Arial" w:cs="Arial" w:eastAsia="Arial" w:hAnsi="Arial"/>
          <w:sz w:val="16"/>
          <w:szCs w:val="16"/>
          <w:color w:val="auto"/>
        </w:rPr>
        <w:t>On July 2, 2019, the Company’s stockholders approved the 2019 Employee Stock Purchase Plan (the “ESPP”), which became effective on July 17, 2019. A total of 252,142 shares of common stock were reserved for issuance under the ESPP. In addition, the number of shares of common stock reserved under the ESPP shall be annually increased on January 1, 2020, and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2020, the number of shares reserved for issuance under the 2019 ESPP was increased by 233,355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9. Acceleron Collaboration Agreement</w:t>
      </w:r>
    </w:p>
    <w:p>
      <w:pPr>
        <w:spacing w:after="0" w:line="121"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color w:val="auto"/>
        </w:rPr>
        <w:t>On December 20, 2019, the Company entered into the Acceleron Collaboration Agreement to identify biological targets to modulate specific pathways associated with a targeted indication within the pulmonary disease space (the “Indication”). Under the terms of the collaboration and license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58" w:lineRule="exact"/>
        <w:rPr>
          <w:sz w:val="20"/>
          <w:szCs w:val="20"/>
          <w:color w:val="auto"/>
        </w:rPr>
      </w:pPr>
    </w:p>
    <w:p>
      <w:pPr>
        <w:ind w:right="60" w:firstLine="555"/>
        <w:spacing w:after="0" w:line="288" w:lineRule="auto"/>
        <w:rPr>
          <w:sz w:val="20"/>
          <w:szCs w:val="20"/>
          <w:color w:val="auto"/>
        </w:rPr>
      </w:pPr>
      <w:r>
        <w:rPr>
          <w:rFonts w:ascii="Arial" w:cs="Arial" w:eastAsia="Arial" w:hAnsi="Arial"/>
          <w:sz w:val="16"/>
          <w:szCs w:val="16"/>
          <w:color w:val="auto"/>
        </w:rPr>
        <w:t>Pursuant to a mutually agreed research plan, the Company will perform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will deliver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has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If Acceleron does not designate any Targets during the designated period, then the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Acceleron must use commercially reasonable efforts to commercialize such product in certain specified countries.</w:t>
      </w:r>
    </w:p>
    <w:p>
      <w:pPr>
        <w:spacing w:after="0" w:line="169"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Acceleron may also request that the Company perform medicinal chemistry services related to the generation and optimization of molecules directed against or expressing biological targets for the treatment, prophylaxis, or diagnosis of the Indication beyond the scope of the research plan. If the Company agrees to provide such medicinal chemistry services, the Company and Acceleron will negotiate to determine the scope, timeline and budget for such medicinal chemistry services.</w:t>
      </w:r>
    </w:p>
    <w:p>
      <w:pPr>
        <w:spacing w:after="0" w:line="187"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The Company received a non-refundable upfront payment of $10.0 million in December 2019 upon the execution of the Acceleron Collaboration Agreement. The Company will be entitled to research milestone payments of up to $18.5 million in the aggregate upon achievement of specified research milestones, development milestone payments of up to $202.5 million in the aggregate upon achievement of specified clinical and regulatory milestones, and sales milestones payments of up to $217.5 million in the aggregate upon the achievement of certain aggregate annual worldwide net sales milestones for certain products directed to a Target that have achieved such milestones. In addition, the Company will be entitled to tiered royalties ranging from a mid single-digit percentage to a low double-digit percentage on Acceleron’s annual worldwide net sales of products directed to any Target, subject to reduction in specified circumstances. The Company is also entitled to receive reimbursement from Acceleron for research costs incurred under the research plan, including internal and external costs.</w:t>
      </w:r>
    </w:p>
    <w:p>
      <w:pPr>
        <w:spacing w:after="0" w:line="179" w:lineRule="exact"/>
        <w:rPr>
          <w:sz w:val="20"/>
          <w:szCs w:val="20"/>
          <w:color w:val="auto"/>
        </w:rPr>
      </w:pPr>
    </w:p>
    <w:p>
      <w:pPr>
        <w:ind w:right="220" w:firstLine="555"/>
        <w:spacing w:after="0" w:line="255" w:lineRule="auto"/>
        <w:rPr>
          <w:sz w:val="20"/>
          <w:szCs w:val="20"/>
          <w:color w:val="auto"/>
        </w:rPr>
      </w:pPr>
      <w:r>
        <w:rPr>
          <w:rFonts w:ascii="Arial" w:cs="Arial" w:eastAsia="Arial" w:hAnsi="Arial"/>
          <w:sz w:val="18"/>
          <w:szCs w:val="18"/>
          <w:color w:val="auto"/>
        </w:rPr>
        <w:t>The Acceleron Collaboration Agreement continues on a country-by-country and Target-by-Target basis until the last to expire royalty term for a product directed to such Target, at which time the Acceleron Collaboration Agreement expires with respect to such Target in such country. Either party has the right to terminate the Acceleron Collaboration Agreement if the other party has materially breached in the performance of its obligations under the contract and such breach has not been cured within the applicable cure period. Acceleron also has the right to terminate the Acceleron Collaboration Agreement for convenience in its entirety or on a Target-by-Target and, if the Company performs medicinal chemistry services, on a molecule-by-molecule basis with respect to any molecule directed against a Target.</w:t>
      </w:r>
    </w:p>
    <w:p>
      <w:pPr>
        <w:spacing w:after="0" w:line="193"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While the Company is performing the research activities pursuant to the research plan and for a specified period thereafter, the Company may not research, develop, manufacture, commercialize, use, or otherwise exploit any compound or product for the treatment, prophylaxis, or diagnosis of the Indication other than for Acceleron. While the Company is performing the research activities pursuant to the research plan and for a specified period thereafter, other than for Acceleron, the Company may not research, develop, manufacture, commercialize, use, or otherwise exploit any compound or product for the treatment, prophylaxis, or diagnosis of the Indication that is directed against certain specified biological targets identified by the Company in the performance of the research activities.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assessed the Acceleron Collaboration Agreement and concluded that it represents a contract with a customer within the scope of ASC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117" w:lineRule="exact"/>
        <w:rPr>
          <w:sz w:val="20"/>
          <w:szCs w:val="20"/>
          <w:color w:val="auto"/>
        </w:rPr>
      </w:pPr>
    </w:p>
    <w:p>
      <w:pPr>
        <w:ind w:right="260" w:firstLine="555"/>
        <w:spacing w:after="0" w:line="302" w:lineRule="auto"/>
        <w:rPr>
          <w:sz w:val="20"/>
          <w:szCs w:val="20"/>
          <w:color w:val="auto"/>
        </w:rPr>
      </w:pPr>
      <w:r>
        <w:rPr>
          <w:rFonts w:ascii="Arial" w:cs="Arial" w:eastAsia="Arial" w:hAnsi="Arial"/>
          <w:sz w:val="16"/>
          <w:szCs w:val="16"/>
          <w:color w:val="auto"/>
        </w:rPr>
        <w:t>The Company determined that the Acceleron Collaboration Agreement contains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spacing w:after="0" w:line="154" w:lineRule="exact"/>
        <w:rPr>
          <w:sz w:val="20"/>
          <w:szCs w:val="20"/>
          <w:color w:val="auto"/>
        </w:rPr>
      </w:pPr>
    </w:p>
    <w:p>
      <w:pPr>
        <w:jc w:val="both"/>
        <w:ind w:right="180" w:firstLine="555"/>
        <w:spacing w:after="0" w:line="312" w:lineRule="auto"/>
        <w:rPr>
          <w:sz w:val="20"/>
          <w:szCs w:val="20"/>
          <w:color w:val="auto"/>
        </w:rPr>
      </w:pPr>
      <w:r>
        <w:rPr>
          <w:rFonts w:ascii="Arial" w:cs="Arial" w:eastAsia="Arial" w:hAnsi="Arial"/>
          <w:sz w:val="16"/>
          <w:szCs w:val="16"/>
          <w:color w:val="auto"/>
        </w:rPr>
        <w:t>The Company assessed the above promises and concluded that the License is not capable of being distinct from the Research Services given that the License has limited value without the performance of the Research Services and the Research Services can only be performed by the Company due to their specialized nature. Therefore, the Company has concluded that the License and the Research Services represent a single combined performance obligation.</w:t>
      </w:r>
    </w:p>
    <w:p>
      <w:pPr>
        <w:spacing w:after="0" w:line="147"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color w:val="auto"/>
        </w:rPr>
        <w:t>The Company also assessed the participation on the JSC and concluded that the promise is quantitatively and qualitatively immaterial in the context of the Acceleron Collaboration Agreement. Accordingly, the Company has disregarded its participation on the JSC as a performance obligation.</w:t>
      </w:r>
    </w:p>
    <w:p>
      <w:pPr>
        <w:spacing w:after="0" w:line="14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The potential medicinal chemistry services were not identified as a promised good or service because the Company is under no obligation to provide those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117"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The Company received a non-refundable upfront payment of $10.0 million upon the execution of the Acceleron Collaboration Agreement, which the Company included in the transaction price. Based on the uncertainty associated with the achievement of any research and development milestone payments that the Company is eligible to receive, the Company has constrained the variable consideration associated with those milestone payments and excluded them from the transaction price. As part of its evaluation of constraining the research and development milestones, the Company considered numerous factors, including the fact that the achievement of the research and development milestones are contingent upon the results of the underlying research and development activities and are thus outside of the control of the Company. The Company also included in the transaction price the expected amount of costs to be reimbursed for the Research Services. The Company will reassess the transaction price at the end of each reporting period and as uncertain events are resolved or other changes in circumstances occur, and, if necessary, adjust its estimate of the transaction price.</w:t>
      </w:r>
    </w:p>
    <w:p>
      <w:pPr>
        <w:spacing w:after="0" w:line="166" w:lineRule="exact"/>
        <w:rPr>
          <w:sz w:val="20"/>
          <w:szCs w:val="20"/>
          <w:color w:val="auto"/>
        </w:rPr>
      </w:pPr>
    </w:p>
    <w:p>
      <w:pPr>
        <w:jc w:val="both"/>
        <w:ind w:right="320" w:firstLine="555"/>
        <w:spacing w:after="0" w:line="264"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Acceleron and therefore are recognized at the later of when the related sales occur or the performance obligation is satisfied.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117"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Acceleron Collaboration Agreement. Therefore, the Company will allocate the entire amount of the transaction price to the identified single performance obligation.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Revenue</w:t>
      </w:r>
    </w:p>
    <w:p>
      <w:pPr>
        <w:spacing w:after="0" w:line="117" w:lineRule="exact"/>
        <w:rPr>
          <w:sz w:val="20"/>
          <w:szCs w:val="20"/>
          <w:color w:val="auto"/>
        </w:rPr>
      </w:pPr>
    </w:p>
    <w:p>
      <w:pPr>
        <w:ind w:right="160" w:firstLine="555"/>
        <w:spacing w:after="0" w:line="273" w:lineRule="auto"/>
        <w:rPr>
          <w:sz w:val="20"/>
          <w:szCs w:val="20"/>
          <w:color w:val="auto"/>
        </w:rPr>
      </w:pPr>
      <w:r>
        <w:rPr>
          <w:rFonts w:ascii="Arial" w:cs="Arial" w:eastAsia="Arial" w:hAnsi="Arial"/>
          <w:sz w:val="17"/>
          <w:szCs w:val="17"/>
          <w:color w:val="auto"/>
        </w:rPr>
        <w:t>The Company recognizes revenue related to the Acceleron Collaboration Agreement over time as the Research Services are rendered. The Company has concluded that an input method is a representative depiction of the transfer of services under the Acceleron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Research Services. Changes in estimates of total internal and external costs expected to be incurred are recognized in the period of change as a cumulative catch-up adjustment.</w:t>
      </w:r>
    </w:p>
    <w:p>
      <w:pPr>
        <w:spacing w:after="0" w:line="178" w:lineRule="exact"/>
        <w:rPr>
          <w:sz w:val="20"/>
          <w:szCs w:val="20"/>
          <w:color w:val="auto"/>
        </w:rPr>
      </w:pPr>
    </w:p>
    <w:p>
      <w:pPr>
        <w:ind w:right="300" w:firstLine="555"/>
        <w:spacing w:after="0" w:line="273" w:lineRule="auto"/>
        <w:rPr>
          <w:sz w:val="20"/>
          <w:szCs w:val="20"/>
          <w:color w:val="auto"/>
        </w:rPr>
      </w:pPr>
      <w:r>
        <w:rPr>
          <w:rFonts w:ascii="Arial" w:cs="Arial" w:eastAsia="Arial" w:hAnsi="Arial"/>
          <w:sz w:val="17"/>
          <w:szCs w:val="17"/>
          <w:color w:val="auto"/>
        </w:rPr>
        <w:t>As of December 31, 2019, no Research Services had been performed. Accordingly, for the year ended December 31, 2019, the Company had not recognized any revenue under the Acceleron Collaboration Agreement. As of December 31, 2019, the Company has recorded deferred revenue of $10.0 million,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December 31, 2019. As of December 31, 2019, the Company had not received any milestone, royalty, or cost reimbursement payments under the Acceleron Collaboration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10. Asset Acquisition</w:t>
      </w:r>
    </w:p>
    <w:p>
      <w:pPr>
        <w:spacing w:after="0" w:line="121"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In February 2019, the Company entered into a right of reference and license agreement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78"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Under the GSK Agreement, the Company issued 12,500,000 million shares of Series B Preferred Stock to GSK with an estimated fair value of $25.5 million, or $2.04 per share, which was determined with the assistance of a third-party specialist contemporaneously with the issuance of the Series B Preferred Stock to GSK. In addition, the Company may owe GSK up to $37.5 million in certain specified clinical and regulatory milestones, of which $2.5 million is due upon the initiation of a Phase 2 clinical trial,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also incurred $0.1 million of direct expenses related to the transaction, which the Company included in the total consideration for the transaction. During the year ended December 31, 2019, the $2.5 million milestone due upon the initiation of a Phase 2 clinical trial was achieved and paid. The Company recorded the $2.5 million milestone due upon the initiation of a Phase 2 clinical trial as research and development expense in the Company’s consolidated statement of operations and comprehensive loss for the year ended December 31, 2019.</w:t>
      </w:r>
    </w:p>
    <w:p>
      <w:pPr>
        <w:spacing w:after="0" w:line="178"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7" w:lineRule="exact"/>
        <w:rPr>
          <w:sz w:val="20"/>
          <w:szCs w:val="20"/>
          <w:color w:val="auto"/>
        </w:rPr>
      </w:pPr>
    </w:p>
    <w:p>
      <w:pPr>
        <w:ind w:right="160" w:firstLine="555"/>
        <w:spacing w:after="0" w:line="287" w:lineRule="auto"/>
        <w:rPr>
          <w:sz w:val="20"/>
          <w:szCs w:val="20"/>
          <w:color w:val="auto"/>
        </w:rPr>
      </w:pPr>
      <w:r>
        <w:rPr>
          <w:rFonts w:ascii="Arial" w:cs="Arial" w:eastAsia="Arial" w:hAnsi="Arial"/>
          <w:sz w:val="16"/>
          <w:szCs w:val="16"/>
          <w:color w:val="auto"/>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was recorded as in-process research and development expense (a component of research and development expenses) in the Company’s consolidated statement of operations and comprehensive loss for the year ended December 31,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In May 2016, the Company entered into a sublease agreement for approximately 8,143 square feet of office and laboratory space at its prior corporate headquarters in Cambridge, Massachusetts. The sublease commenced during June 2016. The Company had the option to extend the sublease until June 30, 2019, subject to the landlord’s own need for the space. During June 2017, the Company exercised its option to extend the sublease through June 30, 2019. During February 2018, the Company amended its sublease agreement to reduce the term of the sublease to June 30, 2018. The Company recorded rent expense for this sublease on a straight-line basis. Rent expense associated with this sublease for the year ended December 31, 2018 was $0.3 million. The sublease for this space terminated on June 30, 2018.</w:t>
      </w:r>
    </w:p>
    <w:p>
      <w:pPr>
        <w:spacing w:after="0" w:line="178" w:lineRule="exact"/>
        <w:rPr>
          <w:sz w:val="20"/>
          <w:szCs w:val="20"/>
          <w:color w:val="auto"/>
        </w:rPr>
      </w:pPr>
    </w:p>
    <w:p>
      <w:pPr>
        <w:ind w:right="120" w:firstLine="555"/>
        <w:spacing w:after="0" w:line="273" w:lineRule="auto"/>
        <w:rPr>
          <w:sz w:val="20"/>
          <w:szCs w:val="20"/>
          <w:color w:val="auto"/>
        </w:rPr>
      </w:pPr>
      <w:r>
        <w:rPr>
          <w:rFonts w:ascii="Arial" w:cs="Arial" w:eastAsia="Arial" w:hAnsi="Arial"/>
          <w:sz w:val="17"/>
          <w:szCs w:val="17"/>
          <w:color w:val="auto"/>
        </w:rPr>
        <w:t>In November 2017, the Company entered into a lease agreement for its current corporate headquarters for approximately 28,731 square feet of office and laboratory space in Cambridge, Massachusetts, commencing December 2017 when the Company gained access to the leased space for purposes of making leasehold improvements. The Company began recognizing rent expense associated with this lease during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45" w:name="page146"/>
    <w:bookmarkEnd w:id="145"/>
    <w:p>
      <w:pPr>
        <w:spacing w:after="0" w:line="255" w:lineRule="auto"/>
        <w:rPr>
          <w:sz w:val="20"/>
          <w:szCs w:val="20"/>
          <w:color w:val="auto"/>
        </w:rPr>
      </w:pPr>
      <w:r>
        <w:rPr>
          <w:rFonts w:ascii="Arial" w:cs="Arial" w:eastAsia="Arial" w:hAnsi="Arial"/>
          <w:sz w:val="18"/>
          <w:szCs w:val="18"/>
          <w:color w:val="auto"/>
        </w:rPr>
        <w:t>of $25.1 million over the ten year term, and includes escalating rent payments. The lease provides the Company with an allowance for normal leasehold improvements of $5.0 million. The Company accounts for leasehold improvement incentives as a reduction to rent expense ratably over the lease term. The balance from the leasehold improvement incentives is classified as a deferred lease incentive on the balance sheet. The lease agreement requires the Company to either pay a security deposit or maintain a letter of credit of $1.1 million. The Company obtained a letter of credit for this lease in April 2018 and has recorded the cash held to secure the letter of credit as restricted cash on the consolidated balance sheets as of December 31, 2019 and 2018. The Company records rent expense for this lease on a straight-line basis. Rent expense associated with this lease for the years ended December 31, 2019 and 2018 was approximately $1.9 million.</w:t>
      </w:r>
    </w:p>
    <w:p>
      <w:pPr>
        <w:spacing w:after="0" w:line="189"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color w:val="auto"/>
        </w:rPr>
        <w:t>The future minimum lease payments associated with the lease for the Company’s current headquarters as of December 31, 2019 are as follows (in thousands):</w:t>
      </w:r>
    </w:p>
    <w:p>
      <w:pPr>
        <w:spacing w:after="0" w:line="212"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2,354</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2,497</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9,615</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1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December 31, 2019, the Company has not exercised its rights to license such technologies.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120" w:firstLine="555"/>
        <w:spacing w:after="0" w:line="27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2019 or 2018.</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for the years ended December 31, 2019 and 2018.</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Year Ended</w:t>
            </w: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06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at statutory rate</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21.00%</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Permanent differences</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(0.67)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Federal and state research and development credits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220" w:type="dxa"/>
            <w:vAlign w:val="bottom"/>
          </w:tcPr>
          <w:p>
            <w:pPr>
              <w:jc w:val="right"/>
              <w:spacing w:after="0"/>
              <w:rPr>
                <w:sz w:val="20"/>
                <w:szCs w:val="20"/>
                <w:color w:val="auto"/>
              </w:rPr>
            </w:pPr>
            <w:r>
              <w:rPr>
                <w:rFonts w:ascii="Arial" w:cs="Arial" w:eastAsia="Arial" w:hAnsi="Arial"/>
                <w:sz w:val="18"/>
                <w:szCs w:val="18"/>
                <w:color w:val="auto"/>
              </w:rPr>
              <w:t>6.16</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(29.03)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0"/>
        </w:trPr>
        <w:tc>
          <w:tcPr>
            <w:tcW w:w="5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vMerge w:val="continue"/>
            <w:shd w:val="clear" w:color="auto" w:fill="CFF0FC"/>
          </w:tcPr>
          <w:p>
            <w:pPr>
              <w:spacing w:after="0"/>
              <w:rPr>
                <w:sz w:val="19"/>
                <w:szCs w:val="19"/>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During the years ended December 31, 2019 and 2018, the Company incurred book and tax losses and, because it maintains a full valuation allowance on its net deferred tax assets, did not recognize federal or state income tax expense or benefit.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deferred tax assets and liabilities consist of the following (in thousands):</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30,444</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16,566</w:t>
            </w:r>
          </w:p>
        </w:tc>
        <w:tc>
          <w:tcPr>
            <w:tcW w:w="80" w:type="dxa"/>
            <w:vAlign w:val="bottom"/>
          </w:tcPr>
          <w:p>
            <w:pPr>
              <w:spacing w:after="0"/>
              <w:rPr>
                <w:sz w:val="19"/>
                <w:szCs w:val="19"/>
                <w:color w:val="auto"/>
              </w:rPr>
            </w:pPr>
          </w:p>
        </w:tc>
      </w:tr>
      <w:tr>
        <w:trPr>
          <w:trHeight w:val="230"/>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 carryforwards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2,503</w:t>
            </w:r>
          </w:p>
        </w:tc>
        <w:tc>
          <w:tcPr>
            <w:tcW w:w="80" w:type="dxa"/>
            <w:vAlign w:val="bottom"/>
            <w:shd w:val="clear" w:color="auto" w:fill="CFF0FC"/>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FF0FC"/>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Deferred lease incentive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19"/>
                <w:szCs w:val="19"/>
                <w:color w:val="auto"/>
              </w:rPr>
            </w:pPr>
          </w:p>
        </w:tc>
      </w:tr>
      <w:tr>
        <w:trPr>
          <w:trHeight w:val="230"/>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w:t>
            </w: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21,127</w:t>
            </w:r>
          </w:p>
        </w:tc>
        <w:tc>
          <w:tcPr>
            <w:tcW w:w="80" w:type="dxa"/>
            <w:vAlign w:val="bottom"/>
          </w:tcPr>
          <w:p>
            <w:pPr>
              <w:spacing w:after="0"/>
              <w:rPr>
                <w:sz w:val="19"/>
                <w:szCs w:val="19"/>
                <w:color w:val="auto"/>
              </w:rPr>
            </w:pPr>
          </w:p>
        </w:tc>
      </w:tr>
      <w:tr>
        <w:trPr>
          <w:trHeight w:val="230"/>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(43,586)</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(19,592)</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8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(1,416)</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(1,535)</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The Company has evaluated the positive and negative evidence bearing upon its ability to realize the net deferred tax assets. The Company considered its history of cumulative net losses incurred since inception and its lack of commercialization of any products since inception and has concluded that it is more likely than not that the Company will not realize the benefits of the net deferred tax assets. Accordingly, a full valuation allowance has been established against the net deferred tax assets as of December 31, 2019 and 2018. The Company reevaluates the positive and negative evidence at each reporting period.</w:t>
      </w:r>
    </w:p>
    <w:p>
      <w:pPr>
        <w:spacing w:after="0" w:line="154"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As of December 31, 2019, the Company had federal net operating loss carryforwards of approximately $111.6 million which begin to expire in 2035. Approximately $80.6 million of the federal net operating losses can be carried forward indefinitely. As of December 31, 2019, the Company also had state net operating loss carryforwards of approximately $111.1 million, which begin to expire in 2035.</w:t>
      </w:r>
    </w:p>
    <w:p>
      <w:pPr>
        <w:spacing w:after="0" w:line="181"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As of December 31, 2019, the Company had federal research and development tax credit carryforwards of approximately $2.8 million, which begin to expire in 2035. As of December 31, 2019, the Company also had state research and development tax credit carryforwards of approximately $2.4 million, which begin to expire in 2030.</w:t>
      </w:r>
    </w:p>
    <w:p>
      <w:pPr>
        <w:spacing w:after="0" w:line="181"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Utilization of the net operating loss carryforwards and research and development tax credit carryforwards may be subject to an annual limitation under Section 382 of the Internal Revenue Code of 1986, as amended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7" w:name="page148"/>
    <w:bookmarkEnd w:id="147"/>
    <w:p>
      <w:pPr>
        <w:ind w:right="40"/>
        <w:spacing w:after="0" w:line="271" w:lineRule="auto"/>
        <w:rPr>
          <w:sz w:val="20"/>
          <w:szCs w:val="20"/>
          <w:color w:val="auto"/>
        </w:rPr>
      </w:pPr>
      <w:r>
        <w:rPr>
          <w:rFonts w:ascii="Arial" w:cs="Arial" w:eastAsia="Arial" w:hAnsi="Arial"/>
          <w:sz w:val="17"/>
          <w:szCs w:val="17"/>
          <w:color w:val="auto"/>
        </w:rPr>
        <w:t>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79"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2019, the Company’s tax years are still open under statute from 2016 to the present.</w:t>
      </w:r>
    </w:p>
    <w:p>
      <w:pPr>
        <w:spacing w:after="0" w:line="181"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It is the Company’s policy to include penalties and interest expense related to income taxes as a component of the provision for income taxes. As of December 31, 2019 and 2018, the Company had no accrued interest or penalties related to uncertain tax positions and no amounts have been recognized in the Company’s statements of operations. For the year ended December 31, 2019,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result in an adjustment to the deferred tax asset established for the research and development credit carryforwards and the valuation allowance.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w:t>
      </w:r>
    </w:p>
    <w:p>
      <w:pPr>
        <w:spacing w:after="0" w:line="121" w:lineRule="exact"/>
        <w:rPr>
          <w:sz w:val="20"/>
          <w:szCs w:val="20"/>
          <w:color w:val="auto"/>
        </w:rPr>
      </w:pPr>
    </w:p>
    <w:p>
      <w:pPr>
        <w:ind w:right="60" w:firstLine="555"/>
        <w:spacing w:after="0" w:line="312"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21"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attributable to common stockholders for the periods indicated because including them would have had an anti-dilutive effect:</w:t>
      </w:r>
    </w:p>
    <w:p>
      <w:pPr>
        <w:spacing w:after="0" w:line="203"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Year Ended</w:t>
      </w:r>
    </w:p>
    <w:p>
      <w:pPr>
        <w:jc w:val="center"/>
        <w:ind w:left="50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720" w:type="dxa"/>
            <w:vAlign w:val="bottom"/>
          </w:tcPr>
          <w:p>
            <w:pPr>
              <w:spacing w:after="0"/>
              <w:rPr>
                <w:sz w:val="13"/>
                <w:szCs w:val="13"/>
                <w:color w:val="auto"/>
              </w:rPr>
            </w:pPr>
          </w:p>
        </w:tc>
        <w:tc>
          <w:tcPr>
            <w:tcW w:w="310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Stock</w:t>
            </w:r>
          </w:p>
        </w:tc>
        <w:tc>
          <w:tcPr>
            <w:tcW w:w="20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8,571,427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20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5,714,277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3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2,023,828</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507,891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Unvested restricted stock awards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681,070</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1,203,811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2,704,898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15,997,406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500" w:type="dxa"/>
            <w:vAlign w:val="bottom"/>
            <w:gridSpan w:val="3"/>
          </w:tcPr>
          <w:p>
            <w:pPr>
              <w:ind w:left="720"/>
              <w:spacing w:after="0"/>
              <w:rPr>
                <w:sz w:val="20"/>
                <w:szCs w:val="20"/>
                <w:color w:val="auto"/>
              </w:rPr>
            </w:pPr>
            <w:r>
              <w:rPr>
                <w:rFonts w:ascii="Arial" w:cs="Arial" w:eastAsia="Arial" w:hAnsi="Arial"/>
                <w:sz w:val="18"/>
                <w:szCs w:val="18"/>
                <w:color w:val="auto"/>
              </w:rPr>
              <w:t>F-27</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15. Related-Party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the years ended December 31, 2019 and 2018, the Company paid fees to Third Rock Ventures, LLC (“TRV”), an affiliate of one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Company’s principal stockholders, in exchange for consulting services. The Company recorded expenses related to such fees of less than $0.1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during the years ended December 31, 2019 and 2018, respectively. As of December 31, 2018, there was less than $0.1 million of amounts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TRV for such services that were included in accounts payable and accrued expenses. As of December 31, 2019, there were no amounts due to TRV for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that were included in accounts payable and accrued expenses. Additionally, consultants that provide services to the Company are employees of TRV.</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issued an aggregate of 142,284 shares of common stock to these consultants in exchange for their continuing consulting services.</w:t>
      </w:r>
    </w:p>
    <w:p>
      <w:pPr>
        <w:spacing w:after="0" w:line="222"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color w:val="auto"/>
        </w:rPr>
        <w:t>During the year ended December 31, 2018, the Company recorded other income of $0.4 million related to the sale of drug material to an entity affiliated with TRV.</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80" w:type="dxa"/>
            <w:vAlign w:val="bottom"/>
          </w:tcPr>
          <w:p>
            <w:pPr>
              <w:ind w:left="4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2"/>
        </w:trPr>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480" w:type="dxa"/>
            <w:vAlign w:val="bottom"/>
            <w:vMerge w:val="restart"/>
          </w:tcPr>
          <w:p>
            <w:pPr>
              <w:ind w:left="4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10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960" w:right="140" w:hanging="778"/>
        <w:spacing w:after="0" w:line="258"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93">
        <w:r>
          <w:rPr>
            <w:rFonts w:ascii="Arial" w:cs="Arial" w:eastAsia="Arial" w:hAnsi="Arial"/>
            <w:sz w:val="18"/>
            <w:szCs w:val="18"/>
            <w:u w:val="single" w:color="auto"/>
            <w:color w:val="0000EE"/>
          </w:rPr>
          <w:t>Restated Certificate of Incorporation of the Registrant (incorporated by reference to Exhibit 3.1 to the Registrant’s Current Report on Form 8-K</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(File No. 001-38978) filed with the Securities and Exchange Commission on July 22, 2019).</w:t>
        </w:r>
      </w:hyperlink>
    </w:p>
    <w:p>
      <w:pPr>
        <w:spacing w:after="0" w:line="1" w:lineRule="exact"/>
        <w:rPr>
          <w:sz w:val="20"/>
          <w:szCs w:val="20"/>
          <w:color w:val="auto"/>
        </w:rPr>
      </w:pPr>
    </w:p>
    <w:p>
      <w:pPr>
        <w:ind w:left="960" w:right="140" w:hanging="778"/>
        <w:spacing w:after="0" w:line="258"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94">
        <w:r>
          <w:rPr>
            <w:rFonts w:ascii="Arial" w:cs="Arial" w:eastAsia="Arial" w:hAnsi="Arial"/>
            <w:sz w:val="18"/>
            <w:szCs w:val="18"/>
            <w:u w:val="single" w:color="auto"/>
            <w:color w:val="0000EE"/>
          </w:rPr>
          <w:t>Amended and Restated Bylaws of the Registrant (incorporated by reference to Exhibit 3.2 to the Registrant’s Current Report on Form 8-K (File</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No. 001-38978) filed with the Securities and Exchange Commission on July 22, 2019).</w:t>
        </w:r>
      </w:hyperlink>
    </w:p>
    <w:p>
      <w:pPr>
        <w:spacing w:after="0" w:line="1" w:lineRule="exact"/>
        <w:rPr>
          <w:sz w:val="20"/>
          <w:szCs w:val="20"/>
          <w:color w:val="auto"/>
        </w:rPr>
      </w:pPr>
    </w:p>
    <w:p>
      <w:pPr>
        <w:ind w:left="960" w:right="620" w:hanging="778"/>
        <w:spacing w:after="0" w:line="273"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4.1</w:t>
      </w:r>
      <w:r>
        <w:rPr>
          <w:sz w:val="20"/>
          <w:szCs w:val="20"/>
          <w:color w:val="auto"/>
        </w:rPr>
        <w:tab/>
      </w:r>
      <w:hyperlink r:id="rId195">
        <w:r>
          <w:rPr>
            <w:rFonts w:ascii="Arial" w:cs="Arial" w:eastAsia="Arial" w:hAnsi="Arial"/>
            <w:sz w:val="17"/>
            <w:szCs w:val="17"/>
            <w:u w:val="single" w:color="auto"/>
            <w:color w:val="0000EE"/>
          </w:rPr>
          <w:t>Specimen Stock Certificate evidencing shares of common stock (incorporated by reference to Exhibit 4.1 to the Registrant’s Registration</w:t>
        </w:r>
      </w:hyperlink>
      <w:r>
        <w:rPr>
          <w:rFonts w:ascii="Arial" w:cs="Arial" w:eastAsia="Arial" w:hAnsi="Arial"/>
          <w:sz w:val="17"/>
          <w:szCs w:val="17"/>
          <w:u w:val="single" w:color="auto"/>
          <w:color w:val="0000EE"/>
        </w:rPr>
        <w:t xml:space="preserve"> </w:t>
      </w:r>
      <w:hyperlink r:id="rId195">
        <w:r>
          <w:rPr>
            <w:rFonts w:ascii="Arial" w:cs="Arial" w:eastAsia="Arial" w:hAnsi="Arial"/>
            <w:sz w:val="17"/>
            <w:szCs w:val="17"/>
            <w:u w:val="single" w:color="auto"/>
            <w:color w:val="0000EE"/>
          </w:rPr>
          <w:t>Statement on Form S-1 (File No. 333-232260) filed with the Securities and Exchange Commission on June 21, 2019).</w:t>
        </w:r>
      </w:hyperlink>
    </w:p>
    <w:p>
      <w:pPr>
        <w:spacing w:after="0" w:line="1" w:lineRule="exact"/>
        <w:rPr>
          <w:sz w:val="20"/>
          <w:szCs w:val="20"/>
          <w:color w:val="auto"/>
        </w:rPr>
      </w:pPr>
    </w:p>
    <w:p>
      <w:pPr>
        <w:ind w:left="18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w:anchor="page153">
        <w:r>
          <w:rPr>
            <w:rFonts w:ascii="Arial" w:cs="Arial" w:eastAsia="Arial" w:hAnsi="Arial"/>
            <w:sz w:val="16"/>
            <w:szCs w:val="16"/>
            <w:u w:val="single" w:color="auto"/>
            <w:color w:val="0000EE"/>
          </w:rPr>
          <w:t>Description of the Registrant’s Securities Registered under Section 12 of the Exchange Act</w:t>
        </w:r>
      </w:hyperlink>
      <w:r>
        <w:rPr>
          <w:rFonts w:ascii="Arial" w:cs="Arial" w:eastAsia="Arial" w:hAnsi="Arial"/>
          <w:sz w:val="16"/>
          <w:szCs w:val="16"/>
          <w:color w:val="000000"/>
        </w:rPr>
        <w:t>.</w:t>
      </w:r>
    </w:p>
    <w:p>
      <w:pPr>
        <w:spacing w:after="0" w:line="23" w:lineRule="exact"/>
        <w:rPr>
          <w:sz w:val="20"/>
          <w:szCs w:val="20"/>
          <w:color w:val="auto"/>
        </w:rPr>
      </w:pPr>
    </w:p>
    <w:p>
      <w:pPr>
        <w:ind w:left="960" w:right="380" w:hanging="868"/>
        <w:spacing w:after="0" w:line="255"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96">
        <w:r>
          <w:rPr>
            <w:rFonts w:ascii="Arial" w:cs="Arial" w:eastAsia="Arial" w:hAnsi="Arial"/>
            <w:sz w:val="18"/>
            <w:szCs w:val="18"/>
            <w:u w:val="single" w:color="auto"/>
            <w:color w:val="0000EE"/>
          </w:rPr>
          <w:t>Amended and Restated Investors' Rights Agreement, dated as of August 24, 2018, by and among the Registrant and the other parties thereto</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(incorporated by reference to Exhibit 10.1 to the Registrant’s Registration Statement on Form S-1 (File No. 333-232260) filed with the</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Securities and Exchange Commission on June 21, 2019).</w:t>
        </w:r>
      </w:hyperlink>
    </w:p>
    <w:p>
      <w:pPr>
        <w:spacing w:after="0" w:line="2" w:lineRule="exact"/>
        <w:rPr>
          <w:rFonts w:ascii="Arial" w:cs="Arial" w:eastAsia="Arial" w:hAnsi="Arial"/>
          <w:sz w:val="18"/>
          <w:szCs w:val="18"/>
          <w:u w:val="single" w:color="auto"/>
          <w:color w:val="0000EE"/>
        </w:rPr>
      </w:pPr>
    </w:p>
    <w:p>
      <w:pPr>
        <w:ind w:left="960" w:right="180" w:hanging="868"/>
        <w:spacing w:after="0" w:line="258"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97">
        <w:r>
          <w:rPr>
            <w:rFonts w:ascii="Arial" w:cs="Arial" w:eastAsia="Arial" w:hAnsi="Arial"/>
            <w:sz w:val="18"/>
            <w:szCs w:val="18"/>
            <w:u w:val="single" w:color="auto"/>
            <w:color w:val="0000EE"/>
          </w:rPr>
          <w:t>2016 Stock Incentive Plan, as amended (incorporated by reference to Exhibit 10.2 to the Registrant’s Registration Statement on Form S-1 (File</w:t>
        </w:r>
      </w:hyperlink>
      <w:r>
        <w:rPr>
          <w:rFonts w:ascii="Arial" w:cs="Arial" w:eastAsia="Arial" w:hAnsi="Arial"/>
          <w:sz w:val="18"/>
          <w:szCs w:val="18"/>
          <w:u w:val="single" w:color="auto"/>
          <w:color w:val="0000EE"/>
        </w:rPr>
        <w:t xml:space="preserve"> </w:t>
      </w:r>
      <w:hyperlink r:id="rId197">
        <w:r>
          <w:rPr>
            <w:rFonts w:ascii="Arial" w:cs="Arial" w:eastAsia="Arial" w:hAnsi="Arial"/>
            <w:sz w:val="18"/>
            <w:szCs w:val="18"/>
            <w:u w:val="single" w:color="auto"/>
            <w:color w:val="0000EE"/>
          </w:rPr>
          <w:t>No. 333-232260) filed with the Securities and Exchange Commission on June 21, 2019).</w:t>
        </w:r>
      </w:hyperlink>
    </w:p>
    <w:p>
      <w:pPr>
        <w:spacing w:after="0" w:line="1" w:lineRule="exact"/>
        <w:rPr>
          <w:sz w:val="20"/>
          <w:szCs w:val="20"/>
          <w:color w:val="auto"/>
        </w:rPr>
      </w:pPr>
    </w:p>
    <w:p>
      <w:pPr>
        <w:jc w:val="center"/>
        <w:ind w:right="140"/>
        <w:spacing w:after="0" w:line="273" w:lineRule="auto"/>
        <w:rPr>
          <w:rFonts w:ascii="Arial" w:cs="Arial" w:eastAsia="Arial" w:hAnsi="Arial"/>
          <w:sz w:val="17"/>
          <w:szCs w:val="17"/>
          <w:color w:val="0000EE"/>
        </w:rPr>
      </w:pPr>
      <w:r>
        <w:rPr>
          <w:rFonts w:ascii="Arial" w:cs="Arial" w:eastAsia="Arial" w:hAnsi="Arial"/>
          <w:sz w:val="17"/>
          <w:szCs w:val="17"/>
          <w:color w:val="auto"/>
        </w:rPr>
        <w:t xml:space="preserve">10.3#     </w:t>
      </w:r>
      <w:hyperlink r:id="rId198">
        <w:r>
          <w:rPr>
            <w:rFonts w:ascii="Arial" w:cs="Arial" w:eastAsia="Arial" w:hAnsi="Arial"/>
            <w:sz w:val="17"/>
            <w:szCs w:val="17"/>
            <w:u w:val="single" w:color="auto"/>
            <w:color w:val="0000EE"/>
          </w:rPr>
          <w:t>Form of Incentive Stock Option Agreement under the 2016 Stock Incentive Plan (incorporated by reference to Exhibit 10.3 to the Registrant’s</w:t>
        </w:r>
      </w:hyperlink>
      <w:r>
        <w:rPr>
          <w:rFonts w:ascii="Arial" w:cs="Arial" w:eastAsia="Arial" w:hAnsi="Arial"/>
          <w:sz w:val="17"/>
          <w:szCs w:val="17"/>
          <w:color w:val="auto"/>
        </w:rPr>
        <w:t xml:space="preserve"> </w:t>
      </w:r>
      <w:hyperlink r:id="rId198">
        <w:r>
          <w:rPr>
            <w:rFonts w:ascii="Arial" w:cs="Arial" w:eastAsia="Arial" w:hAnsi="Arial"/>
            <w:sz w:val="17"/>
            <w:szCs w:val="17"/>
            <w:u w:val="single" w:color="auto"/>
            <w:color w:val="0000EE"/>
          </w:rPr>
          <w:t>Registration Statement on Form S-1 (File No. 333-232260) filed with the Securities and Exchange Commission on June 21, 2019)</w:t>
        </w:r>
        <w:r>
          <w:rPr>
            <w:rFonts w:ascii="Arial" w:cs="Arial" w:eastAsia="Arial" w:hAnsi="Arial"/>
            <w:sz w:val="17"/>
            <w:szCs w:val="17"/>
            <w:color w:val="000000"/>
          </w:rPr>
          <w:t>.</w:t>
        </w:r>
      </w:hyperlink>
    </w:p>
    <w:p>
      <w:pPr>
        <w:spacing w:after="0" w:line="1" w:lineRule="exact"/>
        <w:rPr>
          <w:sz w:val="20"/>
          <w:szCs w:val="20"/>
          <w:color w:val="auto"/>
        </w:rPr>
      </w:pPr>
    </w:p>
    <w:p>
      <w:pPr>
        <w:jc w:val="both"/>
        <w:ind w:left="960" w:right="140" w:hanging="868"/>
        <w:spacing w:after="0" w:line="290"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99">
        <w:r>
          <w:rPr>
            <w:rFonts w:ascii="Arial" w:cs="Arial" w:eastAsia="Arial" w:hAnsi="Arial"/>
            <w:sz w:val="16"/>
            <w:szCs w:val="16"/>
            <w:u w:val="single" w:color="auto"/>
            <w:color w:val="0000EE"/>
          </w:rPr>
          <w:t>Form of Non-Statutory Stock Option Agreement under the 2016 Stock Incentive Plan (incorporated by reference to Exhibit 10.4 to the</w:t>
        </w:r>
      </w:hyperlink>
      <w:r>
        <w:rPr>
          <w:rFonts w:ascii="Arial" w:cs="Arial" w:eastAsia="Arial" w:hAnsi="Arial"/>
          <w:sz w:val="16"/>
          <w:szCs w:val="16"/>
          <w:u w:val="single" w:color="auto"/>
          <w:color w:val="0000EE"/>
        </w:rPr>
        <w:t xml:space="preserve"> </w:t>
      </w:r>
      <w:hyperlink r:id="rId199">
        <w:r>
          <w:rPr>
            <w:rFonts w:ascii="Arial" w:cs="Arial" w:eastAsia="Arial" w:hAnsi="Arial"/>
            <w:sz w:val="16"/>
            <w:szCs w:val="16"/>
            <w:u w:val="single" w:color="auto"/>
            <w:color w:val="0000EE"/>
          </w:rPr>
          <w:t>Registrant’s Registration Statement on Form S-1 (File No. 333-232260) filed with the Securities and Exchange Commission on June 21, 2019).</w:t>
        </w:r>
      </w:hyperlink>
    </w:p>
    <w:p>
      <w:pPr>
        <w:spacing w:after="0" w:line="1" w:lineRule="exact"/>
        <w:rPr>
          <w:sz w:val="20"/>
          <w:szCs w:val="20"/>
          <w:color w:val="auto"/>
        </w:rPr>
      </w:pPr>
    </w:p>
    <w:p>
      <w:pPr>
        <w:ind w:left="960" w:right="720" w:hanging="868"/>
        <w:spacing w:after="0" w:line="290"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200">
        <w:r>
          <w:rPr>
            <w:rFonts w:ascii="Arial" w:cs="Arial" w:eastAsia="Arial" w:hAnsi="Arial"/>
            <w:sz w:val="16"/>
            <w:szCs w:val="16"/>
            <w:u w:val="single" w:color="auto"/>
            <w:color w:val="0000EE"/>
          </w:rPr>
          <w:t>Form of Restricted Stock Agreement under the 2016 Stock Incentive Plan (incorporated by reference to Exhibit 10.5 to the Registrant’s</w:t>
        </w:r>
      </w:hyperlink>
      <w:r>
        <w:rPr>
          <w:rFonts w:ascii="Arial" w:cs="Arial" w:eastAsia="Arial" w:hAnsi="Arial"/>
          <w:sz w:val="16"/>
          <w:szCs w:val="16"/>
          <w:u w:val="single" w:color="auto"/>
          <w:color w:val="0000EE"/>
        </w:rPr>
        <w:t xml:space="preserve"> </w:t>
      </w:r>
      <w:hyperlink r:id="rId200">
        <w:r>
          <w:rPr>
            <w:rFonts w:ascii="Arial" w:cs="Arial" w:eastAsia="Arial" w:hAnsi="Arial"/>
            <w:sz w:val="16"/>
            <w:szCs w:val="16"/>
            <w:u w:val="single" w:color="auto"/>
            <w:color w:val="0000EE"/>
          </w:rPr>
          <w:t>Registration Statement on Form S-1 (File No. 333-232260) filed with the Securities and Exchange Commission on June 21, 2019).</w:t>
        </w:r>
      </w:hyperlink>
    </w:p>
    <w:p>
      <w:pPr>
        <w:spacing w:after="0" w:line="1" w:lineRule="exact"/>
        <w:rPr>
          <w:sz w:val="20"/>
          <w:szCs w:val="20"/>
          <w:color w:val="auto"/>
        </w:rPr>
      </w:pPr>
    </w:p>
    <w:p>
      <w:pPr>
        <w:ind w:left="960" w:right="200" w:hanging="868"/>
        <w:spacing w:after="0" w:line="258"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201">
        <w:r>
          <w:rPr>
            <w:rFonts w:ascii="Arial" w:cs="Arial" w:eastAsia="Arial" w:hAnsi="Arial"/>
            <w:sz w:val="18"/>
            <w:szCs w:val="18"/>
            <w:u w:val="single" w:color="auto"/>
            <w:color w:val="0000EE"/>
          </w:rPr>
          <w:t>2019 Stock Incentive Plan (incorporated by reference to Exhibit 10.6 to Amendment No. 1 to Registrant’s Registration Statement on Form S-1</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(File No. 333-232260) filed with the Securities and Exchange Commission on July 8, 2019).</w:t>
        </w:r>
      </w:hyperlink>
    </w:p>
    <w:p>
      <w:pPr>
        <w:spacing w:after="0" w:line="1" w:lineRule="exact"/>
        <w:rPr>
          <w:sz w:val="20"/>
          <w:szCs w:val="20"/>
          <w:color w:val="auto"/>
        </w:rPr>
      </w:pPr>
    </w:p>
    <w:p>
      <w:pPr>
        <w:ind w:left="960" w:right="260" w:hanging="868"/>
        <w:spacing w:after="0" w:line="290"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202">
        <w:r>
          <w:rPr>
            <w:rFonts w:ascii="Arial" w:cs="Arial" w:eastAsia="Arial" w:hAnsi="Arial"/>
            <w:sz w:val="16"/>
            <w:szCs w:val="16"/>
            <w:u w:val="single" w:color="auto"/>
            <w:color w:val="0000EE"/>
          </w:rPr>
          <w:t>Form of Stock Option Agreement under the 2019 Stock Incentive Plan (incorporated by reference to Exhibit 10.7 to Amendment No. 1 to</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Registrant’s Registration Statement on Form S-1 (File No. 333-232260) filed with the Securities and Exchange Commission on July 8, 2019).</w:t>
        </w:r>
      </w:hyperlink>
    </w:p>
    <w:p>
      <w:pPr>
        <w:spacing w:after="0" w:line="1" w:lineRule="exact"/>
        <w:rPr>
          <w:sz w:val="20"/>
          <w:szCs w:val="20"/>
          <w:color w:val="auto"/>
        </w:rPr>
      </w:pPr>
    </w:p>
    <w:p>
      <w:pPr>
        <w:jc w:val="both"/>
        <w:ind w:left="960" w:right="180" w:hanging="868"/>
        <w:spacing w:after="0" w:line="258"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203">
        <w:r>
          <w:rPr>
            <w:rFonts w:ascii="Arial" w:cs="Arial" w:eastAsia="Arial" w:hAnsi="Arial"/>
            <w:sz w:val="18"/>
            <w:szCs w:val="18"/>
            <w:u w:val="single" w:color="auto"/>
            <w:color w:val="0000EE"/>
          </w:rPr>
          <w:t>2019 Employee Stock Purchase Plan (incorporated by reference to Exhibit 10.8 to Amendment No. 1 to Registrant’s Registration Statement on</w:t>
        </w:r>
      </w:hyperlink>
      <w:r>
        <w:rPr>
          <w:rFonts w:ascii="Arial" w:cs="Arial" w:eastAsia="Arial" w:hAnsi="Arial"/>
          <w:sz w:val="18"/>
          <w:szCs w:val="18"/>
          <w:u w:val="single" w:color="auto"/>
          <w:color w:val="0000EE"/>
        </w:rPr>
        <w:t xml:space="preserve"> </w:t>
      </w:r>
      <w:hyperlink r:id="rId203">
        <w:r>
          <w:rPr>
            <w:rFonts w:ascii="Arial" w:cs="Arial" w:eastAsia="Arial" w:hAnsi="Arial"/>
            <w:sz w:val="18"/>
            <w:szCs w:val="18"/>
            <w:u w:val="single" w:color="auto"/>
            <w:color w:val="0000EE"/>
          </w:rPr>
          <w:t>Form S-1 (File No. 333-232260) filed with the Securities and Exchange Commission on July 8, 2019).</w:t>
        </w:r>
      </w:hyperlink>
    </w:p>
    <w:p>
      <w:pPr>
        <w:spacing w:after="0" w:line="1" w:lineRule="exact"/>
        <w:rPr>
          <w:sz w:val="20"/>
          <w:szCs w:val="20"/>
          <w:color w:val="auto"/>
        </w:rPr>
      </w:pPr>
    </w:p>
    <w:p>
      <w:pPr>
        <w:ind w:left="10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r:id="rId204">
        <w:r>
          <w:rPr>
            <w:rFonts w:ascii="Arial" w:cs="Arial" w:eastAsia="Arial" w:hAnsi="Arial"/>
            <w:sz w:val="16"/>
            <w:szCs w:val="16"/>
            <w:u w:val="single" w:color="auto"/>
            <w:color w:val="0000EE"/>
          </w:rPr>
          <w:t>Summary of Non-Employee Director Compensation Program (incorporated by reference to Exhibit 10.9 to Amendment No. 1 to Registrant’s</w:t>
        </w:r>
      </w:hyperlink>
    </w:p>
    <w:p>
      <w:pPr>
        <w:spacing w:after="0" w:line="23" w:lineRule="exact"/>
        <w:rPr>
          <w:sz w:val="20"/>
          <w:szCs w:val="20"/>
          <w:color w:val="auto"/>
        </w:rPr>
      </w:pPr>
    </w:p>
    <w:p>
      <w:pPr>
        <w:ind w:left="960"/>
        <w:spacing w:after="0"/>
        <w:rPr>
          <w:rFonts w:ascii="Arial" w:cs="Arial" w:eastAsia="Arial" w:hAnsi="Arial"/>
          <w:sz w:val="18"/>
          <w:szCs w:val="18"/>
          <w:u w:val="single" w:color="auto"/>
          <w:color w:val="0000EE"/>
        </w:rPr>
      </w:pPr>
      <w:hyperlink r:id="rId204">
        <w:r>
          <w:rPr>
            <w:rFonts w:ascii="Arial" w:cs="Arial" w:eastAsia="Arial" w:hAnsi="Arial"/>
            <w:sz w:val="18"/>
            <w:szCs w:val="18"/>
            <w:u w:val="single" w:color="auto"/>
            <w:color w:val="0000EE"/>
          </w:rPr>
          <w:t>Registration Statement on Form S-1 (File No. 333-232260) filed with the Securities and Exchange Commission on July 8, 2019).</w:t>
        </w:r>
      </w:hyperlink>
    </w:p>
    <w:p>
      <w:pPr>
        <w:spacing w:after="0" w:line="9" w:lineRule="exact"/>
        <w:rPr>
          <w:sz w:val="20"/>
          <w:szCs w:val="20"/>
          <w:color w:val="auto"/>
        </w:rPr>
      </w:pPr>
    </w:p>
    <w:p>
      <w:pPr>
        <w:jc w:val="both"/>
        <w:ind w:left="960" w:right="160" w:hanging="868"/>
        <w:spacing w:after="0" w:line="270"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10.10</w:t>
      </w:r>
      <w:r>
        <w:rPr>
          <w:rFonts w:ascii="Arial" w:cs="Arial" w:eastAsia="Arial" w:hAnsi="Arial"/>
          <w:sz w:val="14"/>
          <w:szCs w:val="14"/>
          <w:color w:val="auto"/>
        </w:rPr>
        <w:t>†</w:t>
      </w:r>
      <w:r>
        <w:rPr>
          <w:sz w:val="20"/>
          <w:szCs w:val="20"/>
          <w:color w:val="auto"/>
        </w:rPr>
        <w:tab/>
      </w:r>
      <w:hyperlink r:id="rId205">
        <w:r>
          <w:rPr>
            <w:rFonts w:ascii="Arial" w:cs="Arial" w:eastAsia="Arial" w:hAnsi="Arial"/>
            <w:sz w:val="17"/>
            <w:szCs w:val="17"/>
            <w:u w:val="single" w:color="auto"/>
            <w:color w:val="0000EE"/>
          </w:rPr>
          <w:t>Right of Reference and License Agreement, dated as of February 8, 2019, by and among the Registrant, GlaxoSmithKline Intellectual Property</w:t>
        </w:r>
      </w:hyperlink>
      <w:r>
        <w:rPr>
          <w:rFonts w:ascii="Arial" w:cs="Arial" w:eastAsia="Arial" w:hAnsi="Arial"/>
          <w:sz w:val="17"/>
          <w:szCs w:val="17"/>
          <w:u w:val="single" w:color="auto"/>
          <w:color w:val="0000EE"/>
        </w:rPr>
        <w:t xml:space="preserve"> </w:t>
      </w:r>
      <w:hyperlink r:id="rId205">
        <w:r>
          <w:rPr>
            <w:rFonts w:ascii="Arial" w:cs="Arial" w:eastAsia="Arial" w:hAnsi="Arial"/>
            <w:sz w:val="17"/>
            <w:szCs w:val="17"/>
            <w:u w:val="single" w:color="auto"/>
            <w:color w:val="0000EE"/>
          </w:rPr>
          <w:t>(No. 2) Limited, GlaxoSmithKline LLC and Glaxo Group Limited (incorporated by reference to Exhibit 10.10 to the Registrant’s Registration</w:t>
        </w:r>
      </w:hyperlink>
      <w:r>
        <w:rPr>
          <w:rFonts w:ascii="Arial" w:cs="Arial" w:eastAsia="Arial" w:hAnsi="Arial"/>
          <w:sz w:val="17"/>
          <w:szCs w:val="17"/>
          <w:u w:val="single" w:color="auto"/>
          <w:color w:val="0000EE"/>
        </w:rPr>
        <w:t xml:space="preserve"> </w:t>
      </w:r>
      <w:hyperlink r:id="rId205">
        <w:r>
          <w:rPr>
            <w:rFonts w:ascii="Arial" w:cs="Arial" w:eastAsia="Arial" w:hAnsi="Arial"/>
            <w:sz w:val="17"/>
            <w:szCs w:val="17"/>
            <w:u w:val="single" w:color="auto"/>
            <w:color w:val="0000EE"/>
          </w:rPr>
          <w:t>Statement on Form S-1 (File No. 333-232260) filed with the Securities and Exchange Commission on June 21, 2019).</w:t>
        </w:r>
      </w:hyperlink>
    </w:p>
    <w:p>
      <w:pPr>
        <w:spacing w:after="0" w:line="2" w:lineRule="exact"/>
        <w:rPr>
          <w:rFonts w:ascii="Arial" w:cs="Arial" w:eastAsia="Arial" w:hAnsi="Arial"/>
          <w:sz w:val="17"/>
          <w:szCs w:val="17"/>
          <w:u w:val="single" w:color="auto"/>
          <w:color w:val="0000EE"/>
        </w:rPr>
      </w:pPr>
    </w:p>
    <w:p>
      <w:pPr>
        <w:ind w:left="960" w:right="120" w:hanging="868"/>
        <w:spacing w:after="0" w:line="255"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206">
        <w:r>
          <w:rPr>
            <w:rFonts w:ascii="Arial" w:cs="Arial" w:eastAsia="Arial" w:hAnsi="Arial"/>
            <w:sz w:val="18"/>
            <w:szCs w:val="18"/>
            <w:u w:val="single" w:color="auto"/>
            <w:color w:val="0000EE"/>
          </w:rPr>
          <w:t>Lease for 26 Landsdowne Street, dated November 22, 2017, by and between the UP 26 Landsdowne, LLC and the Registrant (incorporated by</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reference to Exhibit 10.11 to the Registrant’s Registration Statement on Form S-1 (File No. 333-232260) filed with the Securities and Exchange</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Commission on June 21, 2019).</w:t>
        </w:r>
      </w:hyperlink>
    </w:p>
    <w:p>
      <w:pPr>
        <w:spacing w:after="0" w:line="2" w:lineRule="exact"/>
        <w:rPr>
          <w:rFonts w:ascii="Arial" w:cs="Arial" w:eastAsia="Arial" w:hAnsi="Arial"/>
          <w:sz w:val="18"/>
          <w:szCs w:val="18"/>
          <w:u w:val="single" w:color="auto"/>
          <w:color w:val="0000EE"/>
        </w:rPr>
      </w:pPr>
    </w:p>
    <w:p>
      <w:pPr>
        <w:ind w:left="960" w:right="600" w:hanging="868"/>
        <w:spacing w:after="0" w:line="290"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207">
        <w:r>
          <w:rPr>
            <w:rFonts w:ascii="Arial" w:cs="Arial" w:eastAsia="Arial" w:hAnsi="Arial"/>
            <w:sz w:val="16"/>
            <w:szCs w:val="16"/>
            <w:u w:val="single" w:color="auto"/>
            <w:color w:val="0000EE"/>
          </w:rPr>
          <w:t>Form of Employment Agreement for Executive Officers (incorporated by reference to Exhibit 10.12 to Amendment No. 1 to Registrant’s</w:t>
        </w:r>
      </w:hyperlink>
      <w:r>
        <w:rPr>
          <w:rFonts w:ascii="Arial" w:cs="Arial" w:eastAsia="Arial" w:hAnsi="Arial"/>
          <w:sz w:val="16"/>
          <w:szCs w:val="16"/>
          <w:u w:val="single" w:color="auto"/>
          <w:color w:val="0000EE"/>
        </w:rPr>
        <w:t xml:space="preserve"> </w:t>
      </w:r>
      <w:hyperlink r:id="rId207">
        <w:r>
          <w:rPr>
            <w:rFonts w:ascii="Arial" w:cs="Arial" w:eastAsia="Arial" w:hAnsi="Arial"/>
            <w:sz w:val="16"/>
            <w:szCs w:val="16"/>
            <w:u w:val="single" w:color="auto"/>
            <w:color w:val="0000EE"/>
          </w:rPr>
          <w:t>Registration Statement on Form S-1 (File No. 333-232260) filed with the Securities and Exchange Commission on July 8, 2019).</w:t>
        </w:r>
      </w:hyperlink>
    </w:p>
    <w:p>
      <w:pPr>
        <w:spacing w:after="0" w:line="1" w:lineRule="exact"/>
        <w:rPr>
          <w:sz w:val="20"/>
          <w:szCs w:val="20"/>
          <w:color w:val="auto"/>
        </w:rPr>
      </w:pPr>
    </w:p>
    <w:p>
      <w:pPr>
        <w:ind w:left="10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208">
        <w:r>
          <w:rPr>
            <w:rFonts w:ascii="Arial" w:cs="Arial" w:eastAsia="Arial" w:hAnsi="Arial"/>
            <w:sz w:val="16"/>
            <w:szCs w:val="16"/>
            <w:u w:val="single" w:color="auto"/>
            <w:color w:val="0000EE"/>
          </w:rPr>
          <w:t>Employment Agreement, dated June 30, 2019, by and between the Registrant and Robert J. Gould (incorporated by reference to Exhibit 10.13 to</w:t>
        </w:r>
      </w:hyperlink>
    </w:p>
    <w:p>
      <w:pPr>
        <w:spacing w:after="0" w:line="23" w:lineRule="exact"/>
        <w:rPr>
          <w:sz w:val="20"/>
          <w:szCs w:val="20"/>
          <w:color w:val="auto"/>
        </w:rPr>
      </w:pPr>
    </w:p>
    <w:p>
      <w:pPr>
        <w:ind w:left="960" w:right="920"/>
        <w:spacing w:after="0" w:line="250" w:lineRule="auto"/>
        <w:rPr>
          <w:rFonts w:ascii="Arial" w:cs="Arial" w:eastAsia="Arial" w:hAnsi="Arial"/>
          <w:sz w:val="18"/>
          <w:szCs w:val="18"/>
          <w:u w:val="single" w:color="auto"/>
          <w:color w:val="0000EE"/>
        </w:rPr>
      </w:pPr>
      <w:hyperlink r:id="rId208">
        <w:r>
          <w:rPr>
            <w:rFonts w:ascii="Arial" w:cs="Arial" w:eastAsia="Arial" w:hAnsi="Arial"/>
            <w:sz w:val="18"/>
            <w:szCs w:val="18"/>
            <w:u w:val="single" w:color="auto"/>
            <w:color w:val="0000EE"/>
          </w:rPr>
          <w:t>Amendment No. 2 to Registrant’s Registration Statement on Form S-1 (File No. 333-232260) filed with the Securities and Exchange</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Commission on July 12, 2019).</w:t>
        </w:r>
      </w:hyperlink>
    </w:p>
    <w:p>
      <w:pPr>
        <w:spacing w:after="0" w:line="1" w:lineRule="exact"/>
        <w:rPr>
          <w:sz w:val="20"/>
          <w:szCs w:val="20"/>
          <w:color w:val="auto"/>
        </w:rPr>
      </w:pPr>
    </w:p>
    <w:p>
      <w:pPr>
        <w:ind w:left="960" w:right="400" w:hanging="868"/>
        <w:spacing w:after="0" w:line="26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209">
        <w:r>
          <w:rPr>
            <w:rFonts w:ascii="Arial" w:cs="Arial" w:eastAsia="Arial" w:hAnsi="Arial"/>
            <w:sz w:val="18"/>
            <w:szCs w:val="18"/>
            <w:u w:val="single" w:color="auto"/>
            <w:color w:val="0000EE"/>
          </w:rPr>
          <w:t>Employment Agreement, dated July 3, 2019, by and between the Registrant and Bryan Stuart (incorporated by reference to Exhibit 10.14 to</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Amendment No. 2 to Registrant’s Registration Statement on Form S-1 (File No. 333-232260) filed with the Securities and Exchange</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Commission on July 12, 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7"/>
        </w:trPr>
        <w:tc>
          <w:tcPr>
            <w:tcW w:w="960" w:type="dxa"/>
            <w:vAlign w:val="bottom"/>
          </w:tcPr>
          <w:p>
            <w:pPr>
              <w:ind w:left="100"/>
              <w:spacing w:after="0"/>
              <w:rPr>
                <w:sz w:val="20"/>
                <w:szCs w:val="20"/>
                <w:color w:val="auto"/>
              </w:rPr>
            </w:pPr>
            <w:r>
              <w:rPr>
                <w:rFonts w:ascii="Arial" w:cs="Arial" w:eastAsia="Arial" w:hAnsi="Arial"/>
                <w:sz w:val="18"/>
                <w:szCs w:val="18"/>
                <w:color w:val="auto"/>
              </w:rPr>
              <w:t>10.15#</w:t>
            </w:r>
          </w:p>
        </w:tc>
        <w:tc>
          <w:tcPr>
            <w:tcW w:w="10380" w:type="dxa"/>
            <w:vAlign w:val="bottom"/>
            <w:tcBorders>
              <w:bottom w:val="single" w:sz="8" w:color="0000EE"/>
            </w:tcBorders>
            <w:gridSpan w:val="14"/>
          </w:tcPr>
          <w:p>
            <w:pPr>
              <w:spacing w:after="0"/>
              <w:rPr>
                <w:rFonts w:ascii="Arial" w:cs="Arial" w:eastAsia="Arial" w:hAnsi="Arial"/>
                <w:sz w:val="18"/>
                <w:szCs w:val="18"/>
                <w:color w:val="0000EE"/>
                <w:w w:val="90"/>
              </w:rPr>
            </w:pPr>
            <w:hyperlink r:id="rId211">
              <w:r>
                <w:rPr>
                  <w:rFonts w:ascii="Arial" w:cs="Arial" w:eastAsia="Arial" w:hAnsi="Arial"/>
                  <w:sz w:val="18"/>
                  <w:szCs w:val="18"/>
                  <w:color w:val="0000EE"/>
                  <w:w w:val="90"/>
                </w:rPr>
                <w:t>Employment Agreement, dated June 30, 2019, by and between the Registrant and Diego Cadavid (incorporated by reference to Exhibit 10.15 to</w:t>
              </w:r>
            </w:hyperlink>
          </w:p>
        </w:tc>
        <w:tc>
          <w:tcPr>
            <w:tcW w:w="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00" w:type="dxa"/>
            <w:vAlign w:val="bottom"/>
            <w:gridSpan w:val="15"/>
          </w:tcPr>
          <w:p>
            <w:pPr>
              <w:spacing w:after="0" w:line="196" w:lineRule="exact"/>
              <w:rPr>
                <w:rFonts w:ascii="Arial" w:cs="Arial" w:eastAsia="Arial" w:hAnsi="Arial"/>
                <w:sz w:val="18"/>
                <w:szCs w:val="18"/>
                <w:color w:val="0000EE"/>
                <w:w w:val="99"/>
              </w:rPr>
            </w:pPr>
            <w:hyperlink r:id="rId211">
              <w:r>
                <w:rPr>
                  <w:rFonts w:ascii="Arial" w:cs="Arial" w:eastAsia="Arial" w:hAnsi="Arial"/>
                  <w:sz w:val="18"/>
                  <w:szCs w:val="18"/>
                  <w:color w:val="0000EE"/>
                  <w:w w:val="99"/>
                </w:rPr>
                <w:t>Amendment No. 2 to Registrant’s Registration Statement on Form S-1 (File No. 333-232260) filed with the Securities and Exchange</w:t>
              </w:r>
            </w:hyperlink>
          </w:p>
        </w:tc>
      </w:tr>
      <w:tr>
        <w:trPr>
          <w:trHeight w:val="196"/>
        </w:trPr>
        <w:tc>
          <w:tcPr>
            <w:tcW w:w="960" w:type="dxa"/>
            <w:vAlign w:val="bottom"/>
          </w:tcPr>
          <w:p>
            <w:pPr>
              <w:spacing w:after="0"/>
              <w:rPr>
                <w:sz w:val="17"/>
                <w:szCs w:val="17"/>
                <w:color w:val="auto"/>
              </w:rPr>
            </w:pPr>
          </w:p>
        </w:tc>
        <w:tc>
          <w:tcPr>
            <w:tcW w:w="95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Commission on July 12, 2019).</w:t>
              </w:r>
            </w:hyperlink>
          </w:p>
        </w:tc>
        <w:tc>
          <w:tcPr>
            <w:tcW w:w="840" w:type="dxa"/>
            <w:vAlign w:val="bottom"/>
            <w:gridSpan w:val="7"/>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960" w:type="dxa"/>
            <w:vAlign w:val="bottom"/>
          </w:tcPr>
          <w:p>
            <w:pPr>
              <w:ind w:left="100"/>
              <w:spacing w:after="0"/>
              <w:rPr>
                <w:sz w:val="20"/>
                <w:szCs w:val="20"/>
                <w:color w:val="auto"/>
              </w:rPr>
            </w:pPr>
            <w:r>
              <w:rPr>
                <w:rFonts w:ascii="Arial" w:cs="Arial" w:eastAsia="Arial" w:hAnsi="Arial"/>
                <w:sz w:val="18"/>
                <w:szCs w:val="18"/>
                <w:color w:val="auto"/>
              </w:rPr>
              <w:t>10.16#</w:t>
            </w:r>
          </w:p>
        </w:tc>
        <w:tc>
          <w:tcPr>
            <w:tcW w:w="10400" w:type="dxa"/>
            <w:vAlign w:val="bottom"/>
            <w:gridSpan w:val="15"/>
          </w:tcPr>
          <w:p>
            <w:pPr>
              <w:spacing w:after="0"/>
              <w:rPr>
                <w:rFonts w:ascii="Arial" w:cs="Arial" w:eastAsia="Arial" w:hAnsi="Arial"/>
                <w:sz w:val="18"/>
                <w:szCs w:val="18"/>
                <w:color w:val="0000EE"/>
                <w:w w:val="95"/>
              </w:rPr>
            </w:pPr>
            <w:hyperlink r:id="rId212">
              <w:r>
                <w:rPr>
                  <w:rFonts w:ascii="Arial" w:cs="Arial" w:eastAsia="Arial" w:hAnsi="Arial"/>
                  <w:sz w:val="18"/>
                  <w:szCs w:val="18"/>
                  <w:color w:val="0000EE"/>
                  <w:w w:val="95"/>
                </w:rPr>
                <w:t>Form of Indemnification Agreement between the Registrant and each of its Executive Officers and Directors (incorporated by reference to</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4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Exhibit 10.15 to Registrant’s Registration Statement on Form S-1 (File No. 333-232260) filed with the Securities and Exchange Commission on</w:t>
              </w:r>
            </w:hyperlink>
          </w:p>
        </w:tc>
      </w:tr>
      <w:tr>
        <w:trPr>
          <w:trHeight w:val="196"/>
        </w:trPr>
        <w:tc>
          <w:tcPr>
            <w:tcW w:w="96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212">
              <w:r>
                <w:rPr>
                  <w:rFonts w:ascii="Arial" w:cs="Arial" w:eastAsia="Arial" w:hAnsi="Arial"/>
                  <w:sz w:val="18"/>
                  <w:szCs w:val="18"/>
                  <w:color w:val="0000EE"/>
                  <w:w w:val="87"/>
                </w:rPr>
                <w:t>June 21, 2019).</w:t>
              </w:r>
            </w:hyperlink>
          </w:p>
        </w:tc>
        <w:tc>
          <w:tcPr>
            <w:tcW w:w="9280" w:type="dxa"/>
            <w:vAlign w:val="bottom"/>
            <w:gridSpan w:val="13"/>
          </w:tcPr>
          <w:p>
            <w:pPr>
              <w:spacing w:after="0"/>
              <w:rPr>
                <w:sz w:val="17"/>
                <w:szCs w:val="17"/>
                <w:color w:val="auto"/>
              </w:rPr>
            </w:pPr>
          </w:p>
        </w:tc>
      </w:tr>
      <w:tr>
        <w:trPr>
          <w:trHeight w:val="210"/>
        </w:trPr>
        <w:tc>
          <w:tcPr>
            <w:tcW w:w="960" w:type="dxa"/>
            <w:vAlign w:val="bottom"/>
          </w:tcPr>
          <w:p>
            <w:pPr>
              <w:ind w:left="100"/>
              <w:spacing w:after="0"/>
              <w:rPr>
                <w:sz w:val="20"/>
                <w:szCs w:val="20"/>
                <w:color w:val="auto"/>
              </w:rPr>
            </w:pPr>
            <w:r>
              <w:rPr>
                <w:rFonts w:ascii="Arial" w:cs="Arial" w:eastAsia="Arial" w:hAnsi="Arial"/>
                <w:sz w:val="18"/>
                <w:szCs w:val="18"/>
                <w:color w:val="auto"/>
              </w:rPr>
              <w:t>10.17</w:t>
            </w:r>
            <w:r>
              <w:rPr>
                <w:rFonts w:ascii="Arial" w:cs="Arial" w:eastAsia="Arial" w:hAnsi="Arial"/>
                <w:sz w:val="14"/>
                <w:szCs w:val="14"/>
                <w:color w:val="auto"/>
              </w:rPr>
              <w:t>†</w:t>
            </w:r>
            <w:r>
              <w:rPr>
                <w:rFonts w:ascii="Arial" w:cs="Arial" w:eastAsia="Arial" w:hAnsi="Arial"/>
                <w:sz w:val="18"/>
                <w:szCs w:val="18"/>
                <w:color w:val="auto"/>
              </w:rPr>
              <w:t>*</w:t>
            </w:r>
          </w:p>
        </w:tc>
        <w:tc>
          <w:tcPr>
            <w:tcW w:w="93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55">
              <w:r>
                <w:rPr>
                  <w:rFonts w:ascii="Arial" w:cs="Arial" w:eastAsia="Arial" w:hAnsi="Arial"/>
                  <w:sz w:val="18"/>
                  <w:szCs w:val="18"/>
                  <w:color w:val="0000EE"/>
                  <w:w w:val="89"/>
                </w:rPr>
                <w:t>Collaboration and License Agreement, dated as of December 20, 2019, by and between the Registrant and Acceleron Pharma Inc.</w:t>
              </w:r>
            </w:hyperlink>
          </w:p>
        </w:tc>
        <w:tc>
          <w:tcPr>
            <w:tcW w:w="1040" w:type="dxa"/>
            <w:vAlign w:val="bottom"/>
            <w:gridSpan w:val="8"/>
          </w:tcPr>
          <w:p>
            <w:pPr>
              <w:spacing w:after="0"/>
              <w:rPr>
                <w:sz w:val="18"/>
                <w:szCs w:val="18"/>
                <w:color w:val="auto"/>
              </w:rPr>
            </w:pPr>
          </w:p>
        </w:tc>
      </w:tr>
      <w:tr>
        <w:trPr>
          <w:trHeight w:val="210"/>
        </w:trPr>
        <w:tc>
          <w:tcPr>
            <w:tcW w:w="960" w:type="dxa"/>
            <w:vAlign w:val="bottom"/>
          </w:tcPr>
          <w:p>
            <w:pPr>
              <w:ind w:left="100"/>
              <w:spacing w:after="0"/>
              <w:rPr>
                <w:sz w:val="20"/>
                <w:szCs w:val="20"/>
                <w:color w:val="auto"/>
              </w:rPr>
            </w:pPr>
            <w:r>
              <w:rPr>
                <w:rFonts w:ascii="Arial" w:cs="Arial" w:eastAsia="Arial" w:hAnsi="Arial"/>
                <w:sz w:val="18"/>
                <w:szCs w:val="18"/>
                <w:color w:val="auto"/>
              </w:rPr>
              <w:t>21.1*</w:t>
            </w:r>
          </w:p>
        </w:tc>
        <w:tc>
          <w:tcPr>
            <w:tcW w:w="10400" w:type="dxa"/>
            <w:vAlign w:val="bottom"/>
            <w:gridSpan w:val="15"/>
          </w:tcPr>
          <w:p>
            <w:pPr>
              <w:spacing w:after="0"/>
              <w:rPr>
                <w:rFonts w:ascii="Arial" w:cs="Arial" w:eastAsia="Arial" w:hAnsi="Arial"/>
                <w:sz w:val="18"/>
                <w:szCs w:val="18"/>
                <w:color w:val="0000EE"/>
              </w:rPr>
            </w:pPr>
            <w:hyperlink w:anchor="page199">
              <w:r>
                <w:rPr>
                  <w:rFonts w:ascii="Arial" w:cs="Arial" w:eastAsia="Arial" w:hAnsi="Arial"/>
                  <w:sz w:val="18"/>
                  <w:szCs w:val="18"/>
                  <w:color w:val="0000EE"/>
                </w:rPr>
                <w:t>Subsidiary of the Registrant.</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960" w:type="dxa"/>
            <w:vAlign w:val="bottom"/>
          </w:tcPr>
          <w:p>
            <w:pPr>
              <w:ind w:left="100"/>
              <w:spacing w:after="0"/>
              <w:rPr>
                <w:sz w:val="20"/>
                <w:szCs w:val="20"/>
                <w:color w:val="auto"/>
              </w:rPr>
            </w:pPr>
            <w:r>
              <w:rPr>
                <w:rFonts w:ascii="Arial" w:cs="Arial" w:eastAsia="Arial" w:hAnsi="Arial"/>
                <w:sz w:val="18"/>
                <w:szCs w:val="18"/>
                <w:color w:val="auto"/>
              </w:rPr>
              <w:t>23.1*</w:t>
            </w:r>
          </w:p>
        </w:tc>
        <w:tc>
          <w:tcPr>
            <w:tcW w:w="10400" w:type="dxa"/>
            <w:vAlign w:val="bottom"/>
            <w:gridSpan w:val="15"/>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Consent of Ernst &amp; Young LLP, independent registered public accounting firm</w:t>
              </w:r>
            </w:hyperlink>
            <w:r>
              <w:rPr>
                <w:rFonts w:ascii="Arial" w:cs="Arial" w:eastAsia="Arial" w:hAnsi="Arial"/>
                <w:sz w:val="18"/>
                <w:szCs w:val="18"/>
                <w:u w:val="single" w:color="auto"/>
                <w:color w:val="000000"/>
              </w:rPr>
              <w:t>.</w:t>
            </w: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960" w:type="dxa"/>
            <w:vAlign w:val="bottom"/>
          </w:tcPr>
          <w:p>
            <w:pPr>
              <w:ind w:left="100"/>
              <w:spacing w:after="0"/>
              <w:rPr>
                <w:sz w:val="20"/>
                <w:szCs w:val="20"/>
                <w:color w:val="auto"/>
              </w:rPr>
            </w:pPr>
            <w:r>
              <w:rPr>
                <w:rFonts w:ascii="Arial" w:cs="Arial" w:eastAsia="Arial" w:hAnsi="Arial"/>
                <w:sz w:val="18"/>
                <w:szCs w:val="18"/>
                <w:color w:val="auto"/>
              </w:rPr>
              <w:t>31.1*</w:t>
            </w:r>
          </w:p>
        </w:tc>
        <w:tc>
          <w:tcPr>
            <w:tcW w:w="103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201">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100" w:type="dxa"/>
            <w:vAlign w:val="bottom"/>
            <w:gridSpan w:val="4"/>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0400" w:type="dxa"/>
            <w:vAlign w:val="bottom"/>
            <w:gridSpan w:val="15"/>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Pursuant to Section 302 of the Sarbanes-Oxley Act of 2002.</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10400" w:type="dxa"/>
            <w:vAlign w:val="bottom"/>
            <w:gridSpan w:val="15"/>
          </w:tcPr>
          <w:p>
            <w:pPr>
              <w:spacing w:after="0"/>
              <w:rPr>
                <w:rFonts w:ascii="Arial" w:cs="Arial" w:eastAsia="Arial" w:hAnsi="Arial"/>
                <w:sz w:val="18"/>
                <w:szCs w:val="18"/>
                <w:color w:val="0000EE"/>
                <w:w w:val="92"/>
              </w:rPr>
            </w:pPr>
            <w:hyperlink w:anchor="page202">
              <w:r>
                <w:rPr>
                  <w:rFonts w:ascii="Arial" w:cs="Arial" w:eastAsia="Arial" w:hAnsi="Arial"/>
                  <w:sz w:val="18"/>
                  <w:szCs w:val="18"/>
                  <w:color w:val="0000EE"/>
                  <w:w w:val="92"/>
                </w:rPr>
                <w:t>Certification of Principal Financial Officer Pursuant to Rules 13a-14(a) and 15d-14(a) under the Securities Exchange Act of 1934, as Adopted</w:t>
              </w:r>
            </w:hyperlink>
          </w:p>
        </w:tc>
      </w:tr>
      <w:tr>
        <w:trPr>
          <w:trHeight w:val="196"/>
        </w:trPr>
        <w:tc>
          <w:tcPr>
            <w:tcW w:w="960" w:type="dxa"/>
            <w:vAlign w:val="bottom"/>
          </w:tcPr>
          <w:p>
            <w:pPr>
              <w:spacing w:after="0"/>
              <w:rPr>
                <w:sz w:val="17"/>
                <w:szCs w:val="17"/>
                <w:color w:val="auto"/>
              </w:rPr>
            </w:pPr>
          </w:p>
        </w:tc>
        <w:tc>
          <w:tcPr>
            <w:tcW w:w="102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Pursuant to Section 302 of the Sarbanes-Oxley Act of 2002.</w:t>
              </w:r>
            </w:hyperlink>
          </w:p>
        </w:tc>
        <w:tc>
          <w:tcPr>
            <w:tcW w:w="160" w:type="dxa"/>
            <w:vAlign w:val="bottom"/>
            <w:gridSpan w:val="5"/>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10400" w:type="dxa"/>
            <w:vAlign w:val="bottom"/>
            <w:gridSpan w:val="15"/>
          </w:tcPr>
          <w:p>
            <w:pPr>
              <w:spacing w:after="0"/>
              <w:rPr>
                <w:rFonts w:ascii="Arial" w:cs="Arial" w:eastAsia="Arial" w:hAnsi="Arial"/>
                <w:sz w:val="18"/>
                <w:szCs w:val="18"/>
                <w:color w:val="0000EE"/>
                <w:w w:val="91"/>
              </w:rPr>
            </w:pPr>
            <w:hyperlink w:anchor="page203">
              <w:r>
                <w:rPr>
                  <w:rFonts w:ascii="Arial" w:cs="Arial" w:eastAsia="Arial" w:hAnsi="Arial"/>
                  <w:sz w:val="18"/>
                  <w:szCs w:val="18"/>
                  <w:color w:val="0000EE"/>
                  <w:w w:val="91"/>
                </w:rPr>
                <w:t>Certification of Principal Executive Officer Pursuant to 18 U.S.C. Section 1350, as Adopted Pursuant to Section 906 of the Sarbanes-Oxley Act</w:t>
              </w:r>
            </w:hyperlink>
          </w:p>
        </w:tc>
      </w:tr>
      <w:tr>
        <w:trPr>
          <w:trHeight w:val="196"/>
        </w:trPr>
        <w:tc>
          <w:tcPr>
            <w:tcW w:w="960" w:type="dxa"/>
            <w:vAlign w:val="bottom"/>
          </w:tcPr>
          <w:p>
            <w:pPr>
              <w:spacing w:after="0"/>
              <w:rPr>
                <w:sz w:val="17"/>
                <w:szCs w:val="17"/>
                <w:color w:val="auto"/>
              </w:rPr>
            </w:pPr>
          </w:p>
        </w:tc>
        <w:tc>
          <w:tcPr>
            <w:tcW w:w="103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of 2002.</w:t>
              </w:r>
            </w:hyperlink>
          </w:p>
        </w:tc>
        <w:tc>
          <w:tcPr>
            <w:tcW w:w="40" w:type="dxa"/>
            <w:vAlign w:val="bottom"/>
            <w:gridSpan w:val="2"/>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20" w:type="dxa"/>
            <w:vAlign w:val="bottom"/>
            <w:gridSpan w:val="11"/>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0"/>
        </w:trPr>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1032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204">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80" w:type="dxa"/>
            <w:vAlign w:val="bottom"/>
            <w:gridSpan w:val="3"/>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0400" w:type="dxa"/>
            <w:vAlign w:val="bottom"/>
            <w:gridSpan w:val="15"/>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of 2002.</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0" w:type="dxa"/>
            <w:vAlign w:val="bottom"/>
            <w:gridSpan w:val="14"/>
          </w:tcPr>
          <w:p>
            <w:pPr>
              <w:spacing w:after="0" w:line="20" w:lineRule="exact"/>
              <w:rPr>
                <w:sz w:val="1"/>
                <w:szCs w:val="1"/>
                <w:color w:val="auto"/>
              </w:rPr>
            </w:pPr>
          </w:p>
        </w:tc>
      </w:tr>
      <w:tr>
        <w:trPr>
          <w:trHeight w:val="249"/>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143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55" w:lineRule="exact"/>
        <w:rPr>
          <w:sz w:val="20"/>
          <w:szCs w:val="20"/>
          <w:color w:val="auto"/>
        </w:rPr>
      </w:pPr>
    </w:p>
    <w:p>
      <w:pPr>
        <w:ind w:left="560" w:hanging="552"/>
        <w:spacing w:after="0"/>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50" w:lineRule="exact"/>
        <w:rPr>
          <w:sz w:val="20"/>
          <w:szCs w:val="20"/>
          <w:color w:val="auto"/>
        </w:rPr>
      </w:pPr>
    </w:p>
    <w:p>
      <w:pPr>
        <w:ind w:left="560" w:right="680" w:hanging="552"/>
        <w:spacing w:after="0" w:line="274" w:lineRule="auto"/>
        <w:tabs>
          <w:tab w:leader="none" w:pos="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because they are not material and would likely cause competitive harm to the Registrant if disclosed.</w:t>
      </w:r>
    </w:p>
    <w:p>
      <w:pPr>
        <w:ind w:left="560" w:hanging="552"/>
        <w:spacing w:after="0"/>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60" w:hanging="552"/>
        <w:spacing w:after="0"/>
        <w:tabs>
          <w:tab w:leader="none" w:pos="5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8" w:right="299" w:bottom="1440" w:gutter="0" w:footer="0" w:header="0"/>
        </w:sectPr>
      </w:pPr>
    </w:p>
    <w:bookmarkStart w:id="151" w:name="page152"/>
    <w:bookmarkEnd w:id="151"/>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Fulcrum Therapeutics, Inc.</w:t>
      </w:r>
    </w:p>
    <w:p>
      <w:pPr>
        <w:sectPr>
          <w:pgSz w:w="11900" w:h="16838" w:orient="portrait"/>
          <w:cols w:equalWidth="0" w:num="1">
            <w:col w:w="11320"/>
          </w:cols>
          <w:pgMar w:left="240" w:top="337" w:right="3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 March 5, 2020</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860"/>
        <w:spacing w:after="0"/>
        <w:rPr>
          <w:sz w:val="20"/>
          <w:szCs w:val="20"/>
          <w:color w:val="auto"/>
        </w:rPr>
      </w:pPr>
      <w:r>
        <w:rPr>
          <w:rFonts w:ascii="Arial" w:cs="Arial" w:eastAsia="Arial" w:hAnsi="Arial"/>
          <w:sz w:val="16"/>
          <w:szCs w:val="16"/>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29210</wp:posOffset>
            </wp:positionV>
            <wp:extent cx="33445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5100" w:space="720"/>
            <w:col w:w="1560" w:space="720"/>
            <w:col w:w="3220"/>
          </w:cols>
          <w:pgMar w:left="240" w:top="337" w:right="339" w:bottom="1440" w:gutter="0" w:footer="0" w:header="0"/>
          <w:type w:val="continuous"/>
        </w:sectPr>
      </w:pPr>
    </w:p>
    <w:p>
      <w:pPr>
        <w:jc w:val="center"/>
        <w:ind w:left="6140"/>
        <w:spacing w:after="0"/>
        <w:rPr>
          <w:sz w:val="20"/>
          <w:szCs w:val="20"/>
          <w:color w:val="auto"/>
        </w:rPr>
      </w:pPr>
      <w:r>
        <w:rPr>
          <w:rFonts w:ascii="Arial" w:cs="Arial" w:eastAsia="Arial" w:hAnsi="Arial"/>
          <w:sz w:val="18"/>
          <w:szCs w:val="18"/>
          <w:color w:val="auto"/>
        </w:rPr>
        <w:t>Robert J. Gould, Ph.D.</w:t>
      </w:r>
    </w:p>
    <w:p>
      <w:pPr>
        <w:spacing w:after="0" w:line="23"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3" w:lineRule="exact"/>
        <w:rPr>
          <w:sz w:val="20"/>
          <w:szCs w:val="20"/>
          <w:color w:val="auto"/>
        </w:rPr>
      </w:pPr>
    </w:p>
    <w:p>
      <w:pPr>
        <w:ind w:left="2040"/>
        <w:spacing w:after="0"/>
        <w:tabs>
          <w:tab w:leader="none" w:pos="6920" w:val="left"/>
          <w:tab w:leader="none" w:pos="104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J. Gould</w:t>
            </w:r>
          </w:p>
        </w:tc>
        <w:tc>
          <w:tcPr>
            <w:tcW w:w="4600" w:type="dxa"/>
            <w:vAlign w:val="bottom"/>
          </w:tcPr>
          <w:p>
            <w:pPr>
              <w:ind w:left="120"/>
              <w:spacing w:after="0"/>
              <w:rPr>
                <w:sz w:val="20"/>
                <w:szCs w:val="20"/>
                <w:color w:val="auto"/>
              </w:rPr>
            </w:pPr>
            <w:r>
              <w:rPr>
                <w:rFonts w:ascii="Arial" w:cs="Arial" w:eastAsia="Arial" w:hAnsi="Arial"/>
                <w:sz w:val="18"/>
                <w:szCs w:val="18"/>
                <w:color w:val="auto"/>
              </w:rPr>
              <w:t>President and Chief Executive Officer, Director</w:t>
            </w:r>
          </w:p>
        </w:tc>
        <w:tc>
          <w:tcPr>
            <w:tcW w:w="1720" w:type="dxa"/>
            <w:vAlign w:val="bottom"/>
          </w:tcPr>
          <w:p>
            <w:pPr>
              <w:ind w:left="660"/>
              <w:spacing w:after="0"/>
              <w:rPr>
                <w:sz w:val="20"/>
                <w:szCs w:val="20"/>
                <w:color w:val="auto"/>
              </w:rPr>
            </w:pPr>
            <w:r>
              <w:rPr>
                <w:rFonts w:ascii="Arial" w:cs="Arial" w:eastAsia="Arial" w:hAnsi="Arial"/>
                <w:sz w:val="18"/>
                <w:szCs w:val="18"/>
                <w:color w:val="auto"/>
                <w:w w:val="90"/>
              </w:rPr>
              <w:t>March 5, 2020</w:t>
            </w: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color w:val="auto"/>
                <w:w w:val="92"/>
              </w:rPr>
              <w:t>Robert J. Gould, Ph.D.</w:t>
            </w:r>
          </w:p>
        </w:tc>
        <w:tc>
          <w:tcPr>
            <w:tcW w:w="46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1720" w:type="dxa"/>
            <w:vAlign w:val="bottom"/>
          </w:tcPr>
          <w:p>
            <w:pPr>
              <w:spacing w:after="0"/>
              <w:rPr>
                <w:sz w:val="20"/>
                <w:szCs w:val="20"/>
                <w:color w:val="auto"/>
              </w:rPr>
            </w:pPr>
          </w:p>
        </w:tc>
      </w:tr>
      <w:tr>
        <w:trPr>
          <w:trHeight w:val="350"/>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Bryan Stuart</w:t>
            </w:r>
          </w:p>
        </w:tc>
        <w:tc>
          <w:tcPr>
            <w:tcW w:w="4600" w:type="dxa"/>
            <w:vAlign w:val="bottom"/>
          </w:tcPr>
          <w:p>
            <w:pPr>
              <w:ind w:left="120"/>
              <w:spacing w:after="0"/>
              <w:rPr>
                <w:sz w:val="20"/>
                <w:szCs w:val="20"/>
                <w:color w:val="auto"/>
              </w:rPr>
            </w:pPr>
            <w:r>
              <w:rPr>
                <w:rFonts w:ascii="Arial" w:cs="Arial" w:eastAsia="Arial" w:hAnsi="Arial"/>
                <w:sz w:val="18"/>
                <w:szCs w:val="18"/>
                <w:color w:val="auto"/>
              </w:rPr>
              <w:t>Chief Operating Officer (Principal Financial Officer)</w:t>
            </w:r>
          </w:p>
        </w:tc>
        <w:tc>
          <w:tcPr>
            <w:tcW w:w="1720" w:type="dxa"/>
            <w:vAlign w:val="bottom"/>
          </w:tcPr>
          <w:p>
            <w:pPr>
              <w:ind w:left="660"/>
              <w:spacing w:after="0"/>
              <w:rPr>
                <w:sz w:val="20"/>
                <w:szCs w:val="20"/>
                <w:color w:val="auto"/>
              </w:rPr>
            </w:pPr>
            <w:r>
              <w:rPr>
                <w:rFonts w:ascii="Arial" w:cs="Arial" w:eastAsia="Arial" w:hAnsi="Arial"/>
                <w:sz w:val="18"/>
                <w:szCs w:val="18"/>
                <w:color w:val="auto"/>
                <w:w w:val="90"/>
              </w:rPr>
              <w:t>March 5, 2020</w:t>
            </w:r>
          </w:p>
        </w:tc>
      </w:tr>
      <w:tr>
        <w:trPr>
          <w:trHeight w:val="176"/>
        </w:trPr>
        <w:tc>
          <w:tcPr>
            <w:tcW w:w="4460" w:type="dxa"/>
            <w:vAlign w:val="bottom"/>
          </w:tcPr>
          <w:p>
            <w:pPr>
              <w:jc w:val="center"/>
              <w:spacing w:after="0"/>
              <w:rPr>
                <w:sz w:val="20"/>
                <w:szCs w:val="20"/>
                <w:color w:val="auto"/>
              </w:rPr>
            </w:pPr>
            <w:r>
              <w:rPr>
                <w:rFonts w:ascii="Arial" w:cs="Arial" w:eastAsia="Arial" w:hAnsi="Arial"/>
                <w:sz w:val="14"/>
                <w:szCs w:val="14"/>
                <w:color w:val="auto"/>
                <w:w w:val="95"/>
              </w:rPr>
              <w:t>Bryan Stuart</w:t>
            </w:r>
          </w:p>
        </w:tc>
        <w:tc>
          <w:tcPr>
            <w:tcW w:w="46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4"/>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Peter Thomson</w:t>
            </w:r>
          </w:p>
        </w:tc>
        <w:tc>
          <w:tcPr>
            <w:tcW w:w="4600" w:type="dxa"/>
            <w:vAlign w:val="bottom"/>
          </w:tcPr>
          <w:p>
            <w:pPr>
              <w:ind w:left="120"/>
              <w:spacing w:after="0"/>
              <w:rPr>
                <w:sz w:val="20"/>
                <w:szCs w:val="20"/>
                <w:color w:val="auto"/>
              </w:rPr>
            </w:pPr>
            <w:r>
              <w:rPr>
                <w:rFonts w:ascii="Arial" w:cs="Arial" w:eastAsia="Arial" w:hAnsi="Arial"/>
                <w:sz w:val="18"/>
                <w:szCs w:val="18"/>
                <w:color w:val="auto"/>
              </w:rPr>
              <w:t>Vice President, Finance &amp; Accounting (Principal</w:t>
            </w:r>
          </w:p>
        </w:tc>
        <w:tc>
          <w:tcPr>
            <w:tcW w:w="1720" w:type="dxa"/>
            <w:vAlign w:val="bottom"/>
          </w:tcPr>
          <w:p>
            <w:pPr>
              <w:ind w:left="660"/>
              <w:spacing w:after="0"/>
              <w:rPr>
                <w:sz w:val="20"/>
                <w:szCs w:val="20"/>
                <w:color w:val="auto"/>
              </w:rPr>
            </w:pPr>
            <w:r>
              <w:rPr>
                <w:rFonts w:ascii="Arial" w:cs="Arial" w:eastAsia="Arial" w:hAnsi="Arial"/>
                <w:sz w:val="18"/>
                <w:szCs w:val="18"/>
                <w:color w:val="auto"/>
                <w:w w:val="90"/>
              </w:rPr>
              <w:t>March 5, 2020</w:t>
            </w: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color w:val="auto"/>
                <w:w w:val="89"/>
              </w:rPr>
              <w:t>Peter Thomson</w:t>
            </w:r>
          </w:p>
        </w:tc>
        <w:tc>
          <w:tcPr>
            <w:tcW w:w="4600" w:type="dxa"/>
            <w:vAlign w:val="bottom"/>
          </w:tcPr>
          <w:p>
            <w:pPr>
              <w:ind w:left="120"/>
              <w:spacing w:after="0"/>
              <w:rPr>
                <w:sz w:val="20"/>
                <w:szCs w:val="20"/>
                <w:color w:val="auto"/>
              </w:rPr>
            </w:pPr>
            <w:r>
              <w:rPr>
                <w:rFonts w:ascii="Arial" w:cs="Arial" w:eastAsia="Arial" w:hAnsi="Arial"/>
                <w:sz w:val="18"/>
                <w:szCs w:val="18"/>
                <w:color w:val="auto"/>
              </w:rPr>
              <w:t>Accounting Officer)</w:t>
            </w:r>
          </w:p>
        </w:tc>
        <w:tc>
          <w:tcPr>
            <w:tcW w:w="1720" w:type="dxa"/>
            <w:vAlign w:val="bottom"/>
          </w:tcPr>
          <w:p>
            <w:pPr>
              <w:spacing w:after="0"/>
              <w:rPr>
                <w:sz w:val="20"/>
                <w:szCs w:val="20"/>
                <w:color w:val="auto"/>
              </w:rPr>
            </w:pPr>
          </w:p>
        </w:tc>
      </w:tr>
      <w:tr>
        <w:trPr>
          <w:trHeight w:val="350"/>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Levin</w:t>
            </w:r>
          </w:p>
        </w:tc>
        <w:tc>
          <w:tcPr>
            <w:tcW w:w="4600" w:type="dxa"/>
            <w:vAlign w:val="bottom"/>
          </w:tcPr>
          <w:p>
            <w:pPr>
              <w:ind w:left="120"/>
              <w:spacing w:after="0"/>
              <w:rPr>
                <w:sz w:val="20"/>
                <w:szCs w:val="20"/>
                <w:color w:val="auto"/>
              </w:rPr>
            </w:pPr>
            <w:r>
              <w:rPr>
                <w:rFonts w:ascii="Arial" w:cs="Arial" w:eastAsia="Arial" w:hAnsi="Arial"/>
                <w:sz w:val="18"/>
                <w:szCs w:val="18"/>
                <w:color w:val="auto"/>
              </w:rPr>
              <w:t>Chairman of the Board</w:t>
            </w:r>
          </w:p>
        </w:tc>
        <w:tc>
          <w:tcPr>
            <w:tcW w:w="1720" w:type="dxa"/>
            <w:vAlign w:val="bottom"/>
          </w:tcPr>
          <w:p>
            <w:pPr>
              <w:ind w:left="660"/>
              <w:spacing w:after="0"/>
              <w:rPr>
                <w:sz w:val="20"/>
                <w:szCs w:val="20"/>
                <w:color w:val="auto"/>
              </w:rPr>
            </w:pPr>
            <w:r>
              <w:rPr>
                <w:rFonts w:ascii="Arial" w:cs="Arial" w:eastAsia="Arial" w:hAnsi="Arial"/>
                <w:sz w:val="18"/>
                <w:szCs w:val="18"/>
                <w:color w:val="auto"/>
                <w:w w:val="90"/>
              </w:rPr>
              <w:t>March 5, 2020</w:t>
            </w:r>
          </w:p>
        </w:tc>
      </w:tr>
      <w:tr>
        <w:trPr>
          <w:trHeight w:val="176"/>
        </w:trPr>
        <w:tc>
          <w:tcPr>
            <w:tcW w:w="4460" w:type="dxa"/>
            <w:vAlign w:val="bottom"/>
          </w:tcPr>
          <w:p>
            <w:pPr>
              <w:jc w:val="center"/>
              <w:spacing w:after="0"/>
              <w:rPr>
                <w:sz w:val="20"/>
                <w:szCs w:val="20"/>
                <w:color w:val="auto"/>
              </w:rPr>
            </w:pPr>
            <w:r>
              <w:rPr>
                <w:rFonts w:ascii="Arial" w:cs="Arial" w:eastAsia="Arial" w:hAnsi="Arial"/>
                <w:sz w:val="14"/>
                <w:szCs w:val="14"/>
                <w:color w:val="auto"/>
              </w:rPr>
              <w:t>Mark Levin</w:t>
            </w:r>
          </w:p>
        </w:tc>
        <w:tc>
          <w:tcPr>
            <w:tcW w:w="46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4"/>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J. Collins</w:t>
            </w:r>
          </w:p>
        </w:tc>
        <w:tc>
          <w:tcPr>
            <w:tcW w:w="46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660"/>
              <w:spacing w:after="0"/>
              <w:rPr>
                <w:sz w:val="20"/>
                <w:szCs w:val="20"/>
                <w:color w:val="auto"/>
              </w:rPr>
            </w:pPr>
            <w:r>
              <w:rPr>
                <w:rFonts w:ascii="Arial" w:cs="Arial" w:eastAsia="Arial" w:hAnsi="Arial"/>
                <w:sz w:val="18"/>
                <w:szCs w:val="18"/>
                <w:color w:val="auto"/>
                <w:w w:val="90"/>
              </w:rPr>
              <w:t>March 5, 2020</w:t>
            </w:r>
          </w:p>
        </w:tc>
      </w:tr>
      <w:tr>
        <w:trPr>
          <w:trHeight w:val="176"/>
        </w:trPr>
        <w:tc>
          <w:tcPr>
            <w:tcW w:w="4460" w:type="dxa"/>
            <w:vAlign w:val="bottom"/>
          </w:tcPr>
          <w:p>
            <w:pPr>
              <w:jc w:val="center"/>
              <w:spacing w:after="0"/>
              <w:rPr>
                <w:sz w:val="20"/>
                <w:szCs w:val="20"/>
                <w:color w:val="auto"/>
              </w:rPr>
            </w:pPr>
            <w:r>
              <w:rPr>
                <w:rFonts w:ascii="Arial" w:cs="Arial" w:eastAsia="Arial" w:hAnsi="Arial"/>
                <w:sz w:val="14"/>
                <w:szCs w:val="14"/>
                <w:color w:val="auto"/>
                <w:w w:val="92"/>
              </w:rPr>
              <w:t>James J. Collins Ph.D.</w:t>
            </w:r>
          </w:p>
        </w:tc>
        <w:tc>
          <w:tcPr>
            <w:tcW w:w="46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4"/>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Katina Dorton</w:t>
            </w:r>
          </w:p>
        </w:tc>
        <w:tc>
          <w:tcPr>
            <w:tcW w:w="46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660"/>
              <w:spacing w:after="0"/>
              <w:rPr>
                <w:sz w:val="20"/>
                <w:szCs w:val="20"/>
                <w:color w:val="auto"/>
              </w:rPr>
            </w:pPr>
            <w:r>
              <w:rPr>
                <w:rFonts w:ascii="Arial" w:cs="Arial" w:eastAsia="Arial" w:hAnsi="Arial"/>
                <w:sz w:val="18"/>
                <w:szCs w:val="18"/>
                <w:color w:val="auto"/>
                <w:w w:val="90"/>
              </w:rPr>
              <w:t>March 5, 2020</w:t>
            </w:r>
          </w:p>
        </w:tc>
      </w:tr>
      <w:tr>
        <w:trPr>
          <w:trHeight w:val="176"/>
        </w:trPr>
        <w:tc>
          <w:tcPr>
            <w:tcW w:w="4460" w:type="dxa"/>
            <w:vAlign w:val="bottom"/>
          </w:tcPr>
          <w:p>
            <w:pPr>
              <w:jc w:val="center"/>
              <w:spacing w:after="0"/>
              <w:rPr>
                <w:sz w:val="20"/>
                <w:szCs w:val="20"/>
                <w:color w:val="auto"/>
              </w:rPr>
            </w:pPr>
            <w:r>
              <w:rPr>
                <w:rFonts w:ascii="Arial" w:cs="Arial" w:eastAsia="Arial" w:hAnsi="Arial"/>
                <w:sz w:val="14"/>
                <w:szCs w:val="14"/>
                <w:color w:val="auto"/>
                <w:w w:val="95"/>
              </w:rPr>
              <w:t>Katina Dorton</w:t>
            </w:r>
          </w:p>
        </w:tc>
        <w:tc>
          <w:tcPr>
            <w:tcW w:w="46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4"/>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Alan Ezekowitz</w:t>
            </w:r>
          </w:p>
        </w:tc>
        <w:tc>
          <w:tcPr>
            <w:tcW w:w="46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660"/>
              <w:spacing w:after="0"/>
              <w:rPr>
                <w:sz w:val="20"/>
                <w:szCs w:val="20"/>
                <w:color w:val="auto"/>
              </w:rPr>
            </w:pPr>
            <w:r>
              <w:rPr>
                <w:rFonts w:ascii="Arial" w:cs="Arial" w:eastAsia="Arial" w:hAnsi="Arial"/>
                <w:sz w:val="18"/>
                <w:szCs w:val="18"/>
                <w:color w:val="auto"/>
                <w:w w:val="90"/>
              </w:rPr>
              <w:t>March 5, 2020</w:t>
            </w:r>
          </w:p>
        </w:tc>
      </w:tr>
      <w:tr>
        <w:trPr>
          <w:trHeight w:val="176"/>
        </w:trPr>
        <w:tc>
          <w:tcPr>
            <w:tcW w:w="4460" w:type="dxa"/>
            <w:vAlign w:val="bottom"/>
          </w:tcPr>
          <w:p>
            <w:pPr>
              <w:jc w:val="center"/>
              <w:spacing w:after="0"/>
              <w:rPr>
                <w:sz w:val="20"/>
                <w:szCs w:val="20"/>
                <w:color w:val="auto"/>
              </w:rPr>
            </w:pPr>
            <w:r>
              <w:rPr>
                <w:rFonts w:ascii="Arial" w:cs="Arial" w:eastAsia="Arial" w:hAnsi="Arial"/>
                <w:sz w:val="14"/>
                <w:szCs w:val="14"/>
                <w:color w:val="auto"/>
                <w:w w:val="99"/>
              </w:rPr>
              <w:t>Alan Ezekowitz, MBChB, D. Phil</w:t>
            </w:r>
          </w:p>
        </w:tc>
        <w:tc>
          <w:tcPr>
            <w:tcW w:w="46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4"/>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Geraghty</w:t>
            </w:r>
          </w:p>
        </w:tc>
        <w:tc>
          <w:tcPr>
            <w:tcW w:w="46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660"/>
              <w:spacing w:after="0"/>
              <w:rPr>
                <w:sz w:val="20"/>
                <w:szCs w:val="20"/>
                <w:color w:val="auto"/>
              </w:rPr>
            </w:pPr>
            <w:r>
              <w:rPr>
                <w:rFonts w:ascii="Arial" w:cs="Arial" w:eastAsia="Arial" w:hAnsi="Arial"/>
                <w:sz w:val="18"/>
                <w:szCs w:val="18"/>
                <w:color w:val="auto"/>
                <w:w w:val="90"/>
              </w:rPr>
              <w:t>March 5, 2020</w:t>
            </w:r>
          </w:p>
        </w:tc>
      </w:tr>
      <w:tr>
        <w:trPr>
          <w:trHeight w:val="176"/>
        </w:trPr>
        <w:tc>
          <w:tcPr>
            <w:tcW w:w="4460" w:type="dxa"/>
            <w:vAlign w:val="bottom"/>
          </w:tcPr>
          <w:p>
            <w:pPr>
              <w:jc w:val="center"/>
              <w:spacing w:after="0"/>
              <w:rPr>
                <w:sz w:val="20"/>
                <w:szCs w:val="20"/>
                <w:color w:val="auto"/>
              </w:rPr>
            </w:pPr>
            <w:r>
              <w:rPr>
                <w:rFonts w:ascii="Arial" w:cs="Arial" w:eastAsia="Arial" w:hAnsi="Arial"/>
                <w:sz w:val="14"/>
                <w:szCs w:val="14"/>
                <w:color w:val="auto"/>
                <w:w w:val="91"/>
              </w:rPr>
              <w:t>James Geraghty</w:t>
            </w:r>
          </w:p>
        </w:tc>
        <w:tc>
          <w:tcPr>
            <w:tcW w:w="46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4"/>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Kate Haviland</w:t>
            </w:r>
          </w:p>
        </w:tc>
        <w:tc>
          <w:tcPr>
            <w:tcW w:w="46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660"/>
              <w:spacing w:after="0"/>
              <w:rPr>
                <w:sz w:val="20"/>
                <w:szCs w:val="20"/>
                <w:color w:val="auto"/>
              </w:rPr>
            </w:pPr>
            <w:r>
              <w:rPr>
                <w:rFonts w:ascii="Arial" w:cs="Arial" w:eastAsia="Arial" w:hAnsi="Arial"/>
                <w:sz w:val="18"/>
                <w:szCs w:val="18"/>
                <w:color w:val="auto"/>
                <w:w w:val="90"/>
              </w:rPr>
              <w:t>March 5, 2020</w:t>
            </w:r>
          </w:p>
        </w:tc>
      </w:tr>
      <w:tr>
        <w:trPr>
          <w:trHeight w:val="176"/>
        </w:trPr>
        <w:tc>
          <w:tcPr>
            <w:tcW w:w="4460" w:type="dxa"/>
            <w:vAlign w:val="bottom"/>
          </w:tcPr>
          <w:p>
            <w:pPr>
              <w:jc w:val="center"/>
              <w:spacing w:after="0"/>
              <w:rPr>
                <w:sz w:val="20"/>
                <w:szCs w:val="20"/>
                <w:color w:val="auto"/>
              </w:rPr>
            </w:pPr>
            <w:r>
              <w:rPr>
                <w:rFonts w:ascii="Arial" w:cs="Arial" w:eastAsia="Arial" w:hAnsi="Arial"/>
                <w:sz w:val="14"/>
                <w:szCs w:val="14"/>
                <w:color w:val="auto"/>
                <w:w w:val="94"/>
              </w:rPr>
              <w:t>Kate Haviland</w:t>
            </w:r>
          </w:p>
        </w:tc>
        <w:tc>
          <w:tcPr>
            <w:tcW w:w="4600" w:type="dxa"/>
            <w:vAlign w:val="bottom"/>
          </w:tcPr>
          <w:p>
            <w:pPr>
              <w:spacing w:after="0"/>
              <w:rPr>
                <w:sz w:val="15"/>
                <w:szCs w:val="15"/>
                <w:color w:val="auto"/>
              </w:rPr>
            </w:pPr>
          </w:p>
        </w:tc>
        <w:tc>
          <w:tcPr>
            <w:tcW w:w="1720" w:type="dxa"/>
            <w:vAlign w:val="bottom"/>
          </w:tcPr>
          <w:p>
            <w:pPr>
              <w:spacing w:after="0"/>
              <w:rPr>
                <w:sz w:val="15"/>
                <w:szCs w:val="15"/>
                <w:color w:val="auto"/>
              </w:rPr>
            </w:pPr>
          </w:p>
        </w:tc>
      </w:tr>
    </w:tbl>
    <w:p>
      <w:pPr>
        <w:sectPr>
          <w:pgSz w:w="11900" w:h="16838" w:orient="portrait"/>
          <w:cols w:equalWidth="0" w:num="1">
            <w:col w:w="11320"/>
          </w:cols>
          <w:pgMar w:left="240" w:top="337" w:right="339" w:bottom="1440" w:gutter="0" w:footer="0" w:header="0"/>
          <w:type w:val="continuous"/>
        </w:sectPr>
      </w:pPr>
    </w:p>
    <w:bookmarkStart w:id="152" w:name="page153"/>
    <w:bookmarkEnd w:id="152"/>
    <w:p>
      <w:pPr>
        <w:ind w:left="10580"/>
        <w:spacing w:after="0"/>
        <w:rPr>
          <w:sz w:val="20"/>
          <w:szCs w:val="20"/>
          <w:color w:val="auto"/>
        </w:rPr>
      </w:pPr>
      <w:r>
        <w:rPr>
          <w:rFonts w:ascii="Arial" w:cs="Arial" w:eastAsia="Arial" w:hAnsi="Arial"/>
          <w:sz w:val="16"/>
          <w:szCs w:val="16"/>
          <w:b w:val="1"/>
          <w:bCs w:val="1"/>
          <w:color w:val="auto"/>
        </w:rPr>
        <w:t>Exhibit 4.2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UNDER SECTION 12 OF THE SECURITIES EXCHANGE ACT OF 1934, AS AMENDED</w:t>
      </w:r>
    </w:p>
    <w:p>
      <w:pPr>
        <w:spacing w:after="0" w:line="175"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The following description of the securities of Fulcrum Therapeutics, Inc. (“us,” “our,” “we” or the “Company”) registered under Section 12 of the Securities Exchange Act of 1934, as amended (the “Exchange Act”), is intended as a summary only and therefore is not a complete description. This description is based upon, and is qualified by reference to, our certificate of incorporation, our bylaws and applicable provisions of the Delaware General Corporation Law (the “DGCL”). You should read our certificate of incorporation and bylaws, which are incorporated by reference as Exhibit 3.1 and Exhibit 3.2, respectively, to the Annual Report on Form 10-K of which this Exhibit 4.2 is a part, for the provisions that are important to you.</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7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Our authorized capital stock consists of 200,000,000 shares of common stock, par value $0.001 per share, and 5,000,000 shares of preferred stock, par value $0.001 per share, all of which preferred stock is undesignated. Our common stock is registered under Section 12(b) of the Exchange Act.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Holders of our common stock are entitled to one vote for each share held on all matters submitted to a vote of stockholders and do not</w:t>
      </w:r>
      <w:r>
        <w:rPr>
          <w:rFonts w:ascii="Arial" w:cs="Arial" w:eastAsia="Arial" w:hAnsi="Arial"/>
          <w:sz w:val="16"/>
          <w:szCs w:val="16"/>
          <w:i w:val="1"/>
          <w:iCs w:val="1"/>
          <w:color w:val="auto"/>
        </w:rPr>
        <w:t xml:space="preserve"> </w:t>
      </w:r>
      <w:r>
        <w:rPr>
          <w:rFonts w:ascii="Arial" w:cs="Arial" w:eastAsia="Arial" w:hAnsi="Arial"/>
          <w:sz w:val="16"/>
          <w:szCs w:val="16"/>
          <w:color w:val="auto"/>
        </w:rPr>
        <w:t>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w:t>
      </w:r>
    </w:p>
    <w:p>
      <w:pPr>
        <w:spacing w:after="0" w:line="104"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common stock are entitled to receive proportionately any dividends as may be declared by our board of directors,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preferential dividend or other rights of any outstanding preferred stock.</w:t>
      </w:r>
    </w:p>
    <w:p>
      <w:pPr>
        <w:spacing w:after="0" w:line="116"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i w:val="1"/>
          <w:iCs w:val="1"/>
          <w:color w:val="auto"/>
        </w:rPr>
        <w:t>Liquidation, Dissolution and Winding Up</w:t>
      </w:r>
      <w:r>
        <w:rPr>
          <w:rFonts w:ascii="Arial" w:cs="Arial" w:eastAsia="Arial" w:hAnsi="Arial"/>
          <w:sz w:val="18"/>
          <w:szCs w:val="18"/>
          <w:color w:val="auto"/>
        </w:rPr>
        <w:t>. In the event of our liquidation, dissolution or winding up, the holders of our common stock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proportionately all assets available for distribution to stockholders after the payment of all debts and other liabilities and subject to any preferential or other rights of any outstanding preferred stock.</w:t>
      </w:r>
    </w:p>
    <w:p>
      <w:pPr>
        <w:spacing w:after="0" w:line="12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Holders of our common stock have no preemptive, subscription, redemption or conversion rights. The rights, preferences and privileges</w:t>
      </w:r>
      <w:r>
        <w:rPr>
          <w:rFonts w:ascii="Arial" w:cs="Arial" w:eastAsia="Arial" w:hAnsi="Arial"/>
          <w:sz w:val="18"/>
          <w:szCs w:val="18"/>
          <w:i w:val="1"/>
          <w:iCs w:val="1"/>
          <w:color w:val="auto"/>
        </w:rPr>
        <w:t xml:space="preserve"> </w:t>
      </w:r>
      <w:r>
        <w:rPr>
          <w:rFonts w:ascii="Arial" w:cs="Arial" w:eastAsia="Arial" w:hAnsi="Arial"/>
          <w:sz w:val="18"/>
          <w:szCs w:val="18"/>
          <w:color w:val="auto"/>
        </w:rPr>
        <w:t>of holders of our common stock are subject to, and may be adversely affected by, the rights of the holders of shares of any series of our preferred stock that we may designate and issue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260" w:firstLine="563"/>
        <w:spacing w:after="0" w:line="279" w:lineRule="auto"/>
        <w:rPr>
          <w:sz w:val="20"/>
          <w:szCs w:val="20"/>
          <w:color w:val="auto"/>
        </w:rPr>
      </w:pPr>
      <w:r>
        <w:rPr>
          <w:rFonts w:ascii="Arial" w:cs="Arial" w:eastAsia="Arial" w:hAnsi="Arial"/>
          <w:sz w:val="17"/>
          <w:szCs w:val="17"/>
          <w:color w:val="auto"/>
        </w:rPr>
        <w:t>Under the terms of our certificate of incorporation, our board of directors is authorized to issue up to 5,000,000 shares of “blank check”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 issuance of preferred stock could impede the completion of a merger, tender offer or other takeover attempt.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Bylaws and the DGCL That May Have Anti-Takeover Effects</w:t>
      </w:r>
    </w:p>
    <w:p>
      <w:pPr>
        <w:spacing w:after="0" w:line="175"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i w:val="1"/>
          <w:iCs w:val="1"/>
          <w:color w:val="auto"/>
        </w:rPr>
        <w:t xml:space="preserve">Board of Directors; Removal of Directors. </w:t>
      </w:r>
      <w:r>
        <w:rPr>
          <w:rFonts w:ascii="Arial" w:cs="Arial" w:eastAsia="Arial" w:hAnsi="Arial"/>
          <w:sz w:val="16"/>
          <w:szCs w:val="16"/>
          <w:color w:val="auto"/>
        </w:rPr>
        <w:t>Our certificate of incorporation and our bylaws divide our board of directors into three classes with</w:t>
      </w:r>
      <w:r>
        <w:rPr>
          <w:rFonts w:ascii="Arial" w:cs="Arial" w:eastAsia="Arial" w:hAnsi="Arial"/>
          <w:sz w:val="16"/>
          <w:szCs w:val="16"/>
          <w:i w:val="1"/>
          <w:iCs w:val="1"/>
          <w:color w:val="auto"/>
        </w:rPr>
        <w:t xml:space="preserve"> </w:t>
      </w:r>
      <w:r>
        <w:rPr>
          <w:rFonts w:ascii="Arial" w:cs="Arial" w:eastAsia="Arial" w:hAnsi="Arial"/>
          <w:sz w:val="16"/>
          <w:szCs w:val="16"/>
          <w:color w:val="auto"/>
        </w:rPr>
        <w:t>staggered three-year terms. In addition, our certificate of incorporation and our bylaws provide that directors may be removed only for cause and only by the affirmative vote of the holders of at least 75% of our shares of capital 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12"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i w:val="1"/>
          <w:iCs w:val="1"/>
          <w:color w:val="auto"/>
        </w:rPr>
        <w:t xml:space="preserve">Stockholder Action; Special Meeting of Stockholders; Advance Notice Requirements for Stockholder Proposals and Director Nominations. </w:t>
      </w:r>
      <w:r>
        <w:rPr>
          <w:rFonts w:ascii="Arial" w:cs="Arial" w:eastAsia="Arial" w:hAnsi="Arial"/>
          <w:sz w:val="18"/>
          <w:szCs w:val="18"/>
          <w:color w:val="auto"/>
        </w:rPr>
        <w:t>Our</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3" w:name="page154"/>
    <w:bookmarkEnd w:id="153"/>
    <w:p>
      <w:pPr>
        <w:spacing w:after="0" w:line="291" w:lineRule="auto"/>
        <w:rPr>
          <w:sz w:val="20"/>
          <w:szCs w:val="20"/>
          <w:color w:val="auto"/>
        </w:rPr>
      </w:pPr>
      <w:r>
        <w:rPr>
          <w:rFonts w:ascii="Arial" w:cs="Arial" w:eastAsia="Arial" w:hAnsi="Arial"/>
          <w:sz w:val="16"/>
          <w:szCs w:val="16"/>
          <w:color w:val="auto"/>
        </w:rPr>
        <w:t>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1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 xml:space="preserve">Super-Majority Voting. </w:t>
      </w:r>
      <w:r>
        <w:rPr>
          <w:rFonts w:ascii="Arial" w:cs="Arial" w:eastAsia="Arial" w:hAnsi="Arial"/>
          <w:sz w:val="17"/>
          <w:szCs w:val="17"/>
          <w:color w:val="auto"/>
        </w:rPr>
        <w:t>The DGCL provides generally that the affirmative vote of a majority of the shares entitled to vote on any matter is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124"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i w:val="1"/>
          <w:iCs w:val="1"/>
          <w:color w:val="auto"/>
        </w:rPr>
        <w:t xml:space="preserve">Delaware Business Combination Statute. </w:t>
      </w:r>
      <w:r>
        <w:rPr>
          <w:rFonts w:ascii="Arial" w:cs="Arial" w:eastAsia="Arial" w:hAnsi="Arial"/>
          <w:sz w:val="18"/>
          <w:szCs w:val="18"/>
          <w:color w:val="auto"/>
        </w:rPr>
        <w:t>We are subject to Section 203 of the DGCL. Subject to certain exceptions, Section 203 prevents a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38"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i w:val="1"/>
          <w:iCs w:val="1"/>
          <w:color w:val="auto"/>
        </w:rPr>
        <w:t xml:space="preserve">Exclusive Forum Selection. </w:t>
      </w:r>
      <w:r>
        <w:rPr>
          <w:rFonts w:ascii="Arial" w:cs="Arial" w:eastAsia="Arial" w:hAnsi="Arial"/>
          <w:sz w:val="16"/>
          <w:szCs w:val="16"/>
          <w:color w:val="auto"/>
        </w:rPr>
        <w:t>Our certificate of incorporation provides that, unless we consent in writing to the selection of an alternative forum, the</w:t>
      </w:r>
      <w:r>
        <w:rPr>
          <w:rFonts w:ascii="Arial" w:cs="Arial" w:eastAsia="Arial" w:hAnsi="Arial"/>
          <w:sz w:val="16"/>
          <w:szCs w:val="16"/>
          <w:i w:val="1"/>
          <w:iCs w:val="1"/>
          <w:color w:val="auto"/>
        </w:rPr>
        <w:t xml:space="preserve"> </w:t>
      </w:r>
      <w:r>
        <w:rPr>
          <w:rFonts w:ascii="Arial" w:cs="Arial" w:eastAsia="Arial" w:hAnsi="Arial"/>
          <w:sz w:val="16"/>
          <w:szCs w:val="16"/>
          <w:color w:val="auto"/>
        </w:rPr>
        <w:t>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of 1933, as amended, or the Exchange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ActiveUS 178053218v.2</w:t>
      </w:r>
    </w:p>
    <w:p>
      <w:pPr>
        <w:sectPr>
          <w:pgSz w:w="11900" w:h="16838" w:orient="portrait"/>
          <w:cols w:equalWidth="0" w:num="1">
            <w:col w:w="11340"/>
          </w:cols>
          <w:pgMar w:left="240" w:top="504" w:right="31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b w:val="1"/>
          <w:bCs w:val="1"/>
          <w:color w:val="auto"/>
        </w:rPr>
        <w:t>Exhibit 10.17</w:t>
      </w:r>
    </w:p>
    <w:p>
      <w:pPr>
        <w:spacing w:after="0" w:line="240" w:lineRule="exact"/>
        <w:rPr>
          <w:sz w:val="20"/>
          <w:szCs w:val="20"/>
          <w:color w:val="auto"/>
        </w:rPr>
      </w:pPr>
    </w:p>
    <w:p>
      <w:pPr>
        <w:ind w:left="934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79" w:lineRule="exact"/>
        <w:rPr>
          <w:sz w:val="20"/>
          <w:szCs w:val="20"/>
          <w:color w:val="auto"/>
        </w:rPr>
      </w:pPr>
    </w:p>
    <w:p>
      <w:pPr>
        <w:jc w:val="center"/>
        <w:ind w:right="420"/>
        <w:spacing w:after="0" w:line="251" w:lineRule="auto"/>
        <w:rPr>
          <w:sz w:val="20"/>
          <w:szCs w:val="20"/>
          <w:color w:val="auto"/>
        </w:rPr>
      </w:pPr>
      <w:r>
        <w:rPr>
          <w:rFonts w:ascii="Arial" w:cs="Arial" w:eastAsia="Arial" w:hAnsi="Arial"/>
          <w:sz w:val="22"/>
          <w:szCs w:val="22"/>
          <w:color w:val="auto"/>
        </w:rPr>
        <w:t>Certain identified information has been marked in the exhibit because it is both (i) not material and (ii) would likely cause competitive harm to the Company, if publicly disclosed.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auto"/>
        </w:rPr>
        <w:t>COLLABORATION AND LICENSE AGREEMENT</w:t>
      </w: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auto"/>
        </w:rPr>
        <w:t>BETWEEN</w:t>
      </w: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auto"/>
        </w:rPr>
        <w:t>FULCRUM THERAPEUTICS INC.</w:t>
      </w: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auto"/>
        </w:rPr>
        <w:t>ACCELERON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1673860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12" w:right="239" w:bottom="1440" w:gutter="0" w:footer="0" w:header="0"/>
        </w:sectPr>
      </w:pPr>
    </w:p>
    <w:bookmarkStart w:id="155" w:name="page156"/>
    <w:bookmarkEnd w:id="155"/>
    <w:p>
      <w:pPr>
        <w:ind w:firstLine="877"/>
        <w:spacing w:after="0" w:line="264" w:lineRule="auto"/>
        <w:framePr w:w="1260" w:h="406" w:wrap="auto" w:vAnchor="page" w:hAnchor="page" w:x="200" w:y="8026"/>
        <w:rPr>
          <w:rFonts w:ascii="Arial" w:cs="Arial" w:eastAsia="Arial" w:hAnsi="Arial"/>
          <w:sz w:val="16"/>
          <w:szCs w:val="16"/>
          <w:color w:val="auto"/>
        </w:rPr>
      </w:pPr>
      <w:r>
        <w:rPr>
          <w:rFonts w:ascii="Arial" w:cs="Arial" w:eastAsia="Arial" w:hAnsi="Arial"/>
          <w:sz w:val="16"/>
          <w:szCs w:val="16"/>
          <w:color w:val="auto"/>
        </w:rPr>
        <w:t>1.3. Research Plan.</w:t>
      </w:r>
    </w:p>
    <w:p>
      <w:pPr>
        <w:jc w:val="center"/>
        <w:spacing w:after="0"/>
        <w:rPr>
          <w:sz w:val="20"/>
          <w:szCs w:val="20"/>
          <w:color w:val="auto"/>
        </w:rPr>
      </w:pPr>
      <w:r>
        <w:rPr>
          <w:rFonts w:ascii="Arial" w:cs="Arial" w:eastAsia="Arial" w:hAnsi="Arial"/>
          <w:sz w:val="20"/>
          <w:szCs w:val="20"/>
          <w:b w:val="1"/>
          <w:bCs w:val="1"/>
          <w:color w:val="auto"/>
        </w:rPr>
        <w:t>COLLABORATION AND LICENSE AGREEMENT</w:t>
      </w:r>
    </w:p>
    <w:p>
      <w:pPr>
        <w:spacing w:after="0" w:line="216" w:lineRule="exact"/>
        <w:rPr>
          <w:rFonts w:ascii="Arial" w:cs="Arial" w:eastAsia="Arial" w:hAnsi="Arial"/>
          <w:sz w:val="16"/>
          <w:szCs w:val="16"/>
          <w:color w:val="auto"/>
        </w:rPr>
      </w:pPr>
    </w:p>
    <w:p>
      <w:pPr>
        <w:jc w:val="both"/>
        <w:ind w:firstLine="877"/>
        <w:spacing w:after="0" w:line="248" w:lineRule="auto"/>
        <w:rPr>
          <w:sz w:val="20"/>
          <w:szCs w:val="20"/>
          <w:color w:val="auto"/>
        </w:rPr>
      </w:pPr>
      <w:r>
        <w:rPr>
          <w:rFonts w:ascii="Arial" w:cs="Arial" w:eastAsia="Arial" w:hAnsi="Arial"/>
          <w:sz w:val="20"/>
          <w:szCs w:val="20"/>
          <w:color w:val="auto"/>
        </w:rPr>
        <w:t>This Collaboration and License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as of December 20, 2019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Fulcrum Therapeutics, Inc., a corporation organized under the laws of the State of Delaware (“</w:t>
      </w:r>
      <w:r>
        <w:rPr>
          <w:rFonts w:ascii="Arial" w:cs="Arial" w:eastAsia="Arial" w:hAnsi="Arial"/>
          <w:sz w:val="20"/>
          <w:szCs w:val="20"/>
          <w:b w:val="1"/>
          <w:bCs w:val="1"/>
          <w:color w:val="auto"/>
        </w:rPr>
        <w:t>Fulcrum</w:t>
      </w:r>
      <w:r>
        <w:rPr>
          <w:rFonts w:ascii="Arial" w:cs="Arial" w:eastAsia="Arial" w:hAnsi="Arial"/>
          <w:sz w:val="20"/>
          <w:szCs w:val="20"/>
          <w:color w:val="auto"/>
        </w:rPr>
        <w:t>”), and Acceleron Pharma Inc., a corporation organized under the laws of the State of Delaware (“</w:t>
      </w:r>
      <w:r>
        <w:rPr>
          <w:rFonts w:ascii="Arial" w:cs="Arial" w:eastAsia="Arial" w:hAnsi="Arial"/>
          <w:sz w:val="20"/>
          <w:szCs w:val="20"/>
          <w:b w:val="1"/>
          <w:bCs w:val="1"/>
          <w:color w:val="auto"/>
        </w:rPr>
        <w:t>Acceleron</w:t>
      </w:r>
      <w:r>
        <w:rPr>
          <w:rFonts w:ascii="Arial" w:cs="Arial" w:eastAsia="Arial" w:hAnsi="Arial"/>
          <w:sz w:val="20"/>
          <w:szCs w:val="20"/>
          <w:color w:val="auto"/>
        </w:rPr>
        <w:t>”). Acceleron and Fulcrum each may be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or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84"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rFonts w:ascii="Arial" w:cs="Arial" w:eastAsia="Arial" w:hAnsi="Arial"/>
          <w:sz w:val="16"/>
          <w:szCs w:val="16"/>
          <w:color w:val="auto"/>
        </w:rPr>
      </w:pPr>
    </w:p>
    <w:p>
      <w:pPr>
        <w:jc w:val="both"/>
        <w:ind w:firstLine="877"/>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Fulcrum owns or controls certain intellectual property relating to the interrogation, analysis and mapping of novel</w:t>
      </w:r>
      <w:r>
        <w:rPr>
          <w:rFonts w:ascii="Arial" w:cs="Arial" w:eastAsia="Arial" w:hAnsi="Arial"/>
          <w:sz w:val="20"/>
          <w:szCs w:val="20"/>
          <w:b w:val="1"/>
          <w:bCs w:val="1"/>
          <w:color w:val="auto"/>
        </w:rPr>
        <w:t xml:space="preserve"> </w:t>
      </w:r>
      <w:r>
        <w:rPr>
          <w:rFonts w:ascii="Arial" w:cs="Arial" w:eastAsia="Arial" w:hAnsi="Arial"/>
          <w:sz w:val="20"/>
          <w:szCs w:val="20"/>
          <w:color w:val="auto"/>
        </w:rPr>
        <w:t>signaling pathways regulating gene expression within biological systems in support of the identification of gene or protein targets amenable to therapeutic (whether prophylactic, palliative, diagnostic or curative) interventions;</w:t>
      </w:r>
    </w:p>
    <w:p>
      <w:pPr>
        <w:spacing w:after="0" w:line="178" w:lineRule="exact"/>
        <w:rPr>
          <w:rFonts w:ascii="Arial" w:cs="Arial" w:eastAsia="Arial" w:hAnsi="Arial"/>
          <w:sz w:val="16"/>
          <w:szCs w:val="16"/>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Acceleron is a biopharmaceutical company dedicated to the discovery, development, and commercialization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therapeutics to treat serious and rare diseases, including [**];</w:t>
      </w:r>
    </w:p>
    <w:p>
      <w:pPr>
        <w:spacing w:after="0" w:line="164" w:lineRule="exact"/>
        <w:rPr>
          <w:rFonts w:ascii="Arial" w:cs="Arial" w:eastAsia="Arial" w:hAnsi="Arial"/>
          <w:sz w:val="16"/>
          <w:szCs w:val="16"/>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Acceleron and Fulcrum desire to enter into this Agreement, pursuant to which Acceleron and Fulcrum will work to</w:t>
      </w:r>
      <w:r>
        <w:rPr>
          <w:rFonts w:ascii="Arial" w:cs="Arial" w:eastAsia="Arial" w:hAnsi="Arial"/>
          <w:sz w:val="20"/>
          <w:szCs w:val="20"/>
          <w:b w:val="1"/>
          <w:bCs w:val="1"/>
          <w:color w:val="auto"/>
        </w:rPr>
        <w:t xml:space="preserve"> </w:t>
      </w:r>
      <w:r>
        <w:rPr>
          <w:rFonts w:ascii="Arial" w:cs="Arial" w:eastAsia="Arial" w:hAnsi="Arial"/>
          <w:sz w:val="20"/>
          <w:szCs w:val="20"/>
          <w:color w:val="auto"/>
        </w:rPr>
        <w:t>identify one or more targets on certain regulatory pathways to modify [**]; and</w:t>
      </w:r>
    </w:p>
    <w:p>
      <w:pPr>
        <w:spacing w:after="0" w:line="164" w:lineRule="exact"/>
        <w:rPr>
          <w:rFonts w:ascii="Arial" w:cs="Arial" w:eastAsia="Arial" w:hAnsi="Arial"/>
          <w:sz w:val="16"/>
          <w:szCs w:val="16"/>
          <w:color w:val="auto"/>
        </w:rPr>
      </w:pPr>
    </w:p>
    <w:p>
      <w:pPr>
        <w:jc w:val="both"/>
        <w:ind w:right="20" w:firstLine="877"/>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Acceleron and Fulcrum may subsequently collaborate to identify or discover small molecules with composition of</w:t>
      </w:r>
      <w:r>
        <w:rPr>
          <w:rFonts w:ascii="Arial" w:cs="Arial" w:eastAsia="Arial" w:hAnsi="Arial"/>
          <w:sz w:val="19"/>
          <w:szCs w:val="19"/>
          <w:b w:val="1"/>
          <w:bCs w:val="1"/>
          <w:color w:val="auto"/>
        </w:rPr>
        <w:t xml:space="preserve"> </w:t>
      </w:r>
      <w:r>
        <w:rPr>
          <w:rFonts w:ascii="Arial" w:cs="Arial" w:eastAsia="Arial" w:hAnsi="Arial"/>
          <w:sz w:val="19"/>
          <w:szCs w:val="19"/>
          <w:color w:val="auto"/>
        </w:rPr>
        <w:t>matter intellectual property and pharmacologic activity against targets that result in modulation of [**] phenotypes in cells.</w:t>
      </w:r>
    </w:p>
    <w:p>
      <w:pPr>
        <w:spacing w:after="0" w:line="142" w:lineRule="exact"/>
        <w:rPr>
          <w:rFonts w:ascii="Arial" w:cs="Arial" w:eastAsia="Arial" w:hAnsi="Arial"/>
          <w:sz w:val="16"/>
          <w:szCs w:val="16"/>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promises and covenants set forth below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is hereby acknowledged, the Parties hereto agree as follows:</w:t>
      </w:r>
    </w:p>
    <w:p>
      <w:pPr>
        <w:spacing w:after="0" w:line="164"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00" w:lineRule="exact"/>
        <w:rPr>
          <w:rFonts w:ascii="Arial" w:cs="Arial" w:eastAsia="Arial" w:hAnsi="Arial"/>
          <w:sz w:val="16"/>
          <w:szCs w:val="16"/>
          <w:color w:val="auto"/>
        </w:rPr>
      </w:pPr>
    </w:p>
    <w:p>
      <w:pPr>
        <w:ind w:left="880"/>
        <w:spacing w:after="0"/>
        <w:rPr>
          <w:sz w:val="20"/>
          <w:szCs w:val="20"/>
          <w:color w:val="auto"/>
        </w:rPr>
      </w:pPr>
      <w:r>
        <w:rPr>
          <w:rFonts w:ascii="Arial" w:cs="Arial" w:eastAsia="Arial" w:hAnsi="Arial"/>
          <w:sz w:val="20"/>
          <w:szCs w:val="20"/>
          <w:color w:val="auto"/>
        </w:rPr>
        <w:t>For purposes of this Agreement, the following capitalized terms will have the following meanings:</w:t>
      </w:r>
    </w:p>
    <w:p>
      <w:pPr>
        <w:spacing w:after="0" w:line="210" w:lineRule="exact"/>
        <w:rPr>
          <w:rFonts w:ascii="Arial" w:cs="Arial" w:eastAsia="Arial" w:hAnsi="Arial"/>
          <w:sz w:val="16"/>
          <w:szCs w:val="16"/>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Acceleron</w:t>
      </w:r>
      <w:r>
        <w:rPr>
          <w:rFonts w:ascii="Arial" w:cs="Arial" w:eastAsia="Arial" w:hAnsi="Arial"/>
          <w:sz w:val="16"/>
          <w:szCs w:val="16"/>
          <w:color w:val="auto"/>
        </w:rPr>
        <w:t>” has the meaning set forth in the preamble to this Agreement.</w:t>
      </w:r>
    </w:p>
    <w:p>
      <w:pPr>
        <w:spacing w:after="0" w:line="216" w:lineRule="exact"/>
        <w:rPr>
          <w:rFonts w:ascii="Arial" w:cs="Arial" w:eastAsia="Arial" w:hAnsi="Arial"/>
          <w:sz w:val="16"/>
          <w:szCs w:val="16"/>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Acceleron Abandoned Patent Right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7.4.3</w:t>
      </w:r>
      <w:r>
        <w:rPr>
          <w:rFonts w:ascii="Arial" w:cs="Arial" w:eastAsia="Arial" w:hAnsi="Arial"/>
          <w:sz w:val="16"/>
          <w:szCs w:val="16"/>
          <w:color w:val="auto"/>
        </w:rPr>
        <w:t xml:space="preserve"> (Fulcrum’s Second Right).</w:t>
      </w:r>
    </w:p>
    <w:p>
      <w:pPr>
        <w:spacing w:after="0" w:line="216" w:lineRule="exact"/>
        <w:rPr>
          <w:rFonts w:ascii="Arial" w:cs="Arial" w:eastAsia="Arial" w:hAnsi="Arial"/>
          <w:sz w:val="16"/>
          <w:szCs w:val="16"/>
          <w:color w:val="auto"/>
        </w:rPr>
      </w:pPr>
    </w:p>
    <w:p>
      <w:pPr>
        <w:ind w:left="1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Acceleron Assay</w:t>
      </w:r>
      <w:r>
        <w:rPr>
          <w:rFonts w:ascii="Arial" w:cs="Arial" w:eastAsia="Arial" w:hAnsi="Arial"/>
          <w:sz w:val="18"/>
          <w:szCs w:val="18"/>
          <w:color w:val="auto"/>
        </w:rPr>
        <w:t>” means any assay provided by Acceleron to Fulcrum under this Agreement, including under the</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Acceleron 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9.1.2</w:t>
      </w:r>
      <w:r>
        <w:rPr>
          <w:rFonts w:ascii="Arial" w:cs="Arial" w:eastAsia="Arial" w:hAnsi="Arial"/>
          <w:sz w:val="18"/>
          <w:szCs w:val="18"/>
          <w:color w:val="auto"/>
        </w:rPr>
        <w:t xml:space="preserve"> (Indemnification by Fulcrum).</w:t>
      </w:r>
    </w:p>
    <w:p>
      <w:pPr>
        <w:spacing w:after="0" w:line="216" w:lineRule="exact"/>
        <w:rPr>
          <w:rFonts w:ascii="Arial" w:cs="Arial" w:eastAsia="Arial" w:hAnsi="Arial"/>
          <w:sz w:val="16"/>
          <w:szCs w:val="16"/>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Acceleron Patent Rights</w:t>
      </w:r>
      <w:r>
        <w:rPr>
          <w:rFonts w:ascii="Arial" w:cs="Arial" w:eastAsia="Arial" w:hAnsi="Arial"/>
          <w:sz w:val="16"/>
          <w:szCs w:val="16"/>
          <w:color w:val="auto"/>
        </w:rPr>
        <w:t>” means the Patent Rights within the Acceleron Technology.</w:t>
      </w:r>
    </w:p>
    <w:p>
      <w:pPr>
        <w:spacing w:after="0" w:line="216" w:lineRule="exact"/>
        <w:rPr>
          <w:rFonts w:ascii="Arial" w:cs="Arial" w:eastAsia="Arial" w:hAnsi="Arial"/>
          <w:sz w:val="16"/>
          <w:szCs w:val="16"/>
          <w:color w:val="auto"/>
        </w:rPr>
      </w:pPr>
    </w:p>
    <w:p>
      <w:pPr>
        <w:jc w:val="both"/>
        <w:ind w:firstLine="877"/>
        <w:spacing w:after="0" w:line="267" w:lineRule="auto"/>
        <w:rPr>
          <w:sz w:val="20"/>
          <w:szCs w:val="20"/>
          <w:color w:val="auto"/>
        </w:rPr>
      </w:pPr>
      <w:r>
        <w:rPr>
          <w:rFonts w:ascii="Arial" w:cs="Arial" w:eastAsia="Arial" w:hAnsi="Arial"/>
          <w:sz w:val="20"/>
          <w:szCs w:val="20"/>
          <w:color w:val="auto"/>
        </w:rPr>
        <w:t>1.6. “</w:t>
      </w:r>
      <w:r>
        <w:rPr>
          <w:rFonts w:ascii="Arial" w:cs="Arial" w:eastAsia="Arial" w:hAnsi="Arial"/>
          <w:sz w:val="20"/>
          <w:szCs w:val="20"/>
          <w:b w:val="1"/>
          <w:bCs w:val="1"/>
          <w:color w:val="auto"/>
        </w:rPr>
        <w:t>Acceleron Research Activities</w:t>
      </w:r>
      <w:r>
        <w:rPr>
          <w:rFonts w:ascii="Arial" w:cs="Arial" w:eastAsia="Arial" w:hAnsi="Arial"/>
          <w:sz w:val="20"/>
          <w:szCs w:val="20"/>
          <w:color w:val="auto"/>
        </w:rPr>
        <w:t>” means any research conducted or to be conducted by or on behalf of Acceleron (including by an Affiliate or subcontractor of Acceleron) under the Research Plan.</w:t>
      </w:r>
    </w:p>
    <w:p>
      <w:pPr>
        <w:spacing w:after="0" w:line="170"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56" w:name="page157"/>
    <w:bookmarkEnd w:id="156"/>
    <w:p>
      <w:pPr>
        <w:jc w:val="both"/>
        <w:ind w:firstLine="877"/>
        <w:spacing w:after="0" w:line="253" w:lineRule="auto"/>
        <w:rPr>
          <w:sz w:val="20"/>
          <w:szCs w:val="20"/>
          <w:color w:val="auto"/>
        </w:rPr>
      </w:pPr>
      <w:r>
        <w:rPr>
          <w:rFonts w:ascii="Arial" w:cs="Arial" w:eastAsia="Arial" w:hAnsi="Arial"/>
          <w:sz w:val="20"/>
          <w:szCs w:val="20"/>
          <w:color w:val="auto"/>
        </w:rPr>
        <w:t>1.7. “</w:t>
      </w:r>
      <w:r>
        <w:rPr>
          <w:rFonts w:ascii="Arial" w:cs="Arial" w:eastAsia="Arial" w:hAnsi="Arial"/>
          <w:sz w:val="20"/>
          <w:szCs w:val="20"/>
          <w:b w:val="1"/>
          <w:bCs w:val="1"/>
          <w:color w:val="auto"/>
        </w:rPr>
        <w:t>Acceleron Technology</w:t>
      </w:r>
      <w:r>
        <w:rPr>
          <w:rFonts w:ascii="Arial" w:cs="Arial" w:eastAsia="Arial" w:hAnsi="Arial"/>
          <w:sz w:val="20"/>
          <w:szCs w:val="20"/>
          <w:color w:val="auto"/>
        </w:rPr>
        <w:t>” means all Know-How and Patent Rights (a) Controlled by Acceleron or its Affiliates as of the Effective Date or during the Term, including Acceleron’s interest in the Joint Technology, and (b) that are necessary or useful for Fulcrum to perform the Fulcrum Research Activities or Medicinal Chemistry Services.</w:t>
      </w:r>
    </w:p>
    <w:p>
      <w:pPr>
        <w:spacing w:after="0" w:line="17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1.8. “</w:t>
      </w:r>
      <w:r>
        <w:rPr>
          <w:rFonts w:ascii="Arial" w:cs="Arial" w:eastAsia="Arial" w:hAnsi="Arial"/>
          <w:sz w:val="20"/>
          <w:szCs w:val="20"/>
          <w:b w:val="1"/>
          <w:bCs w:val="1"/>
          <w:color w:val="auto"/>
        </w:rPr>
        <w:t>Acquired Party</w:t>
      </w:r>
      <w:r>
        <w:rPr>
          <w:rFonts w:ascii="Arial" w:cs="Arial" w:eastAsia="Arial" w:hAnsi="Arial"/>
          <w:sz w:val="20"/>
          <w:szCs w:val="20"/>
          <w:color w:val="auto"/>
        </w:rPr>
        <w:t>” means (a) any Third Party that Fulcrum acquires through an Affiliate Acquisition following the Effective Date, and (b) such Third Party’s Affiliates (other than Fulcrum or any Affiliate of Fulcrum that existed prior to such Affiliate Acquisition, in each case, following such Affiliate Acquisition).</w:t>
      </w:r>
    </w:p>
    <w:p>
      <w:pPr>
        <w:spacing w:after="0" w:line="17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1.9. “</w:t>
      </w:r>
      <w:r>
        <w:rPr>
          <w:rFonts w:ascii="Arial" w:cs="Arial" w:eastAsia="Arial" w:hAnsi="Arial"/>
          <w:sz w:val="20"/>
          <w:szCs w:val="20"/>
          <w:b w:val="1"/>
          <w:bCs w:val="1"/>
          <w:color w:val="auto"/>
        </w:rPr>
        <w:t>Acquiring Party</w:t>
      </w:r>
      <w:r>
        <w:rPr>
          <w:rFonts w:ascii="Arial" w:cs="Arial" w:eastAsia="Arial" w:hAnsi="Arial"/>
          <w:sz w:val="20"/>
          <w:szCs w:val="20"/>
          <w:color w:val="auto"/>
        </w:rPr>
        <w:t>” means (a) any Third Party that acquires Fulcrum through a Change of Control of Fulcrum following the Effective Date, and (b) such Third Party’s Affiliates (other than Fulcrum or any Affiliate of Fulcrum that existed prior to such Change of Control, in each case, following such Change of Control).</w:t>
      </w:r>
    </w:p>
    <w:p>
      <w:pPr>
        <w:spacing w:after="0" w:line="178"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7.4.6</w:t>
      </w:r>
      <w:r>
        <w:rPr>
          <w:rFonts w:ascii="Arial" w:cs="Arial" w:eastAsia="Arial" w:hAnsi="Arial"/>
          <w:sz w:val="18"/>
          <w:szCs w:val="18"/>
          <w:color w:val="auto"/>
        </w:rPr>
        <w:t xml:space="preserve"> (Cooperation).</w:t>
      </w:r>
    </w:p>
    <w:p>
      <w:pPr>
        <w:spacing w:after="0" w:line="216"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Affiliate</w:t>
      </w:r>
      <w:r>
        <w:rPr>
          <w:rFonts w:ascii="Arial" w:cs="Arial" w:eastAsia="Arial" w:hAnsi="Arial"/>
          <w:sz w:val="18"/>
          <w:szCs w:val="18"/>
          <w:color w:val="auto"/>
        </w:rPr>
        <w:t>” means, as of any point in time and for so long as such relationship continues to exist, with respect to a Party, any other Person that controls, is controlled by or is under common control with such Party. For purposes of this definition, “control” means that a Person (a) owns or controls, directly or indirectly, more than 50% of the equity securities of the subject Person entitled to vote in the election of directors (or, in the case of a Person that is not a corporation, for the election of the corresponding managing authority), or</w:t>
      </w:r>
    </w:p>
    <w:p>
      <w:pPr>
        <w:spacing w:after="0" w:line="2" w:lineRule="exact"/>
        <w:rPr>
          <w:sz w:val="20"/>
          <w:szCs w:val="20"/>
          <w:color w:val="auto"/>
        </w:rPr>
      </w:pPr>
    </w:p>
    <w:p>
      <w:pPr>
        <w:ind w:firstLine="8"/>
        <w:spacing w:after="0" w:line="244" w:lineRule="auto"/>
        <w:tabs>
          <w:tab w:leader="none" w:pos="291" w:val="left"/>
        </w:tabs>
        <w:numPr>
          <w:ilvl w:val="0"/>
          <w:numId w:val="57"/>
        </w:numPr>
        <w:rPr>
          <w:rFonts w:ascii="Arial" w:cs="Arial" w:eastAsia="Arial" w:hAnsi="Arial"/>
          <w:sz w:val="20"/>
          <w:szCs w:val="20"/>
          <w:color w:val="auto"/>
        </w:rPr>
      </w:pPr>
      <w:r>
        <w:rPr>
          <w:rFonts w:ascii="Arial" w:cs="Arial" w:eastAsia="Arial" w:hAnsi="Arial"/>
          <w:sz w:val="20"/>
          <w:szCs w:val="20"/>
          <w:color w:val="auto"/>
        </w:rPr>
        <w:t>possesses, directly or indirectly, the power to direct or cause the direction of the management or policies of such Person (whether through ownership of securities or other ownership interests, by contract or otherwise).</w:t>
      </w:r>
    </w:p>
    <w:p>
      <w:pPr>
        <w:spacing w:after="0" w:line="18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Affiliate Acquisition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5.5.4</w:t>
      </w:r>
      <w:r>
        <w:rPr>
          <w:rFonts w:ascii="Arial" w:cs="Arial" w:eastAsia="Arial" w:hAnsi="Arial"/>
          <w:sz w:val="18"/>
          <w:szCs w:val="18"/>
          <w:color w:val="auto"/>
        </w:rPr>
        <w:t xml:space="preserve"> (Exception for Affiliate Acquisition).</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to this Agreement.</w:t>
      </w:r>
    </w:p>
    <w:p>
      <w:pPr>
        <w:spacing w:after="0" w:line="216" w:lineRule="exact"/>
        <w:rPr>
          <w:sz w:val="20"/>
          <w:szCs w:val="20"/>
          <w:color w:val="auto"/>
        </w:rPr>
      </w:pPr>
    </w:p>
    <w:p>
      <w:pPr>
        <w:ind w:firstLine="877"/>
        <w:spacing w:after="0" w:line="267" w:lineRule="auto"/>
        <w:rPr>
          <w:sz w:val="20"/>
          <w:szCs w:val="20"/>
          <w:color w:val="auto"/>
        </w:rPr>
      </w:pPr>
      <w:r>
        <w:rPr>
          <w:rFonts w:ascii="Arial" w:cs="Arial" w:eastAsia="Arial" w:hAnsi="Arial"/>
          <w:sz w:val="20"/>
          <w:szCs w:val="20"/>
          <w:color w:val="auto"/>
        </w:rPr>
        <w:t>1.14. “</w:t>
      </w:r>
      <w:r>
        <w:rPr>
          <w:rFonts w:ascii="Arial" w:cs="Arial" w:eastAsia="Arial" w:hAnsi="Arial"/>
          <w:sz w:val="20"/>
          <w:szCs w:val="20"/>
          <w:b w:val="1"/>
          <w:bCs w:val="1"/>
          <w:color w:val="auto"/>
        </w:rPr>
        <w:t>Applicable Law</w:t>
      </w:r>
      <w:r>
        <w:rPr>
          <w:rFonts w:ascii="Arial" w:cs="Arial" w:eastAsia="Arial" w:hAnsi="Arial"/>
          <w:sz w:val="20"/>
          <w:szCs w:val="20"/>
          <w:color w:val="auto"/>
        </w:rPr>
        <w:t>” means all applicable laws, statutes, rules, regulations (including any applicable rules, regulations, guidelines, or other requirements of Regulatory Authorities) that may be in effect from time to time.</w:t>
      </w:r>
    </w:p>
    <w:p>
      <w:pPr>
        <w:spacing w:after="0" w:line="164"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Approval Milestone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6.2.2(a)</w:t>
      </w:r>
      <w:r>
        <w:rPr>
          <w:rFonts w:ascii="Arial" w:cs="Arial" w:eastAsia="Arial" w:hAnsi="Arial"/>
          <w:sz w:val="18"/>
          <w:szCs w:val="18"/>
          <w:color w:val="auto"/>
        </w:rPr>
        <w:t>.</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10.2.3(b)</w:t>
      </w:r>
      <w:r>
        <w:rPr>
          <w:rFonts w:ascii="Arial" w:cs="Arial" w:eastAsia="Arial" w:hAnsi="Arial"/>
          <w:sz w:val="18"/>
          <w:szCs w:val="18"/>
          <w:color w:val="auto"/>
        </w:rPr>
        <w:t xml:space="preserve"> (Termination for Insolvency).</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 day other than a Saturday, Sunday or bank or other public holiday in Boston, Massachusetts.</w:t>
      </w:r>
    </w:p>
    <w:p>
      <w:pPr>
        <w:spacing w:after="0" w:line="216" w:lineRule="exact"/>
        <w:rPr>
          <w:sz w:val="20"/>
          <w:szCs w:val="20"/>
          <w:color w:val="auto"/>
        </w:rPr>
      </w:pPr>
    </w:p>
    <w:p>
      <w:pPr>
        <w:ind w:firstLine="877"/>
        <w:spacing w:after="0" w:line="293" w:lineRule="auto"/>
        <w:rPr>
          <w:sz w:val="20"/>
          <w:szCs w:val="20"/>
          <w:color w:val="auto"/>
        </w:rPr>
      </w:pPr>
      <w:r>
        <w:rPr>
          <w:rFonts w:ascii="Arial" w:cs="Arial" w:eastAsia="Arial" w:hAnsi="Arial"/>
          <w:sz w:val="19"/>
          <w:szCs w:val="19"/>
          <w:color w:val="auto"/>
        </w:rPr>
        <w:t>1.18. “</w:t>
      </w:r>
      <w:r>
        <w:rPr>
          <w:rFonts w:ascii="Arial" w:cs="Arial" w:eastAsia="Arial" w:hAnsi="Arial"/>
          <w:sz w:val="19"/>
          <w:szCs w:val="19"/>
          <w:b w:val="1"/>
          <w:bCs w:val="1"/>
          <w:color w:val="auto"/>
        </w:rPr>
        <w:t>Calendar Quarter</w:t>
      </w:r>
      <w:r>
        <w:rPr>
          <w:rFonts w:ascii="Arial" w:cs="Arial" w:eastAsia="Arial" w:hAnsi="Arial"/>
          <w:sz w:val="19"/>
          <w:szCs w:val="19"/>
          <w:color w:val="auto"/>
        </w:rPr>
        <w:t>” means the respective periods of three consecutive calendar months ending on March 31, June 30, September 30 or December 31, during the Term, or the applicable part thereof during the first or last calendar quarter of the Term.</w:t>
      </w:r>
    </w:p>
    <w:p>
      <w:pPr>
        <w:spacing w:after="0" w:line="142" w:lineRule="exact"/>
        <w:rPr>
          <w:sz w:val="20"/>
          <w:szCs w:val="20"/>
          <w:color w:val="auto"/>
        </w:rPr>
      </w:pPr>
    </w:p>
    <w:p>
      <w:pPr>
        <w:ind w:firstLine="877"/>
        <w:spacing w:after="0" w:line="267" w:lineRule="auto"/>
        <w:rPr>
          <w:sz w:val="20"/>
          <w:szCs w:val="20"/>
          <w:color w:val="auto"/>
        </w:rPr>
      </w:pPr>
      <w:r>
        <w:rPr>
          <w:rFonts w:ascii="Arial" w:cs="Arial" w:eastAsia="Arial" w:hAnsi="Arial"/>
          <w:sz w:val="20"/>
          <w:szCs w:val="20"/>
          <w:color w:val="auto"/>
        </w:rPr>
        <w:t>1.19. “</w:t>
      </w:r>
      <w:r>
        <w:rPr>
          <w:rFonts w:ascii="Arial" w:cs="Arial" w:eastAsia="Arial" w:hAnsi="Arial"/>
          <w:sz w:val="20"/>
          <w:szCs w:val="20"/>
          <w:b w:val="1"/>
          <w:bCs w:val="1"/>
          <w:color w:val="auto"/>
        </w:rPr>
        <w:t>Calendar Year</w:t>
      </w:r>
      <w:r>
        <w:rPr>
          <w:rFonts w:ascii="Arial" w:cs="Arial" w:eastAsia="Arial" w:hAnsi="Arial"/>
          <w:sz w:val="20"/>
          <w:szCs w:val="20"/>
          <w:color w:val="auto"/>
        </w:rPr>
        <w:t>” means any calendar year ending on December 31, or the applicable part thereof during the first or last calendar year of the Term.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57" w:name="page158"/>
    <w:bookmarkEnd w:id="157"/>
    <w:p>
      <w:pPr>
        <w:ind w:left="880"/>
        <w:spacing w:after="0"/>
        <w:tabs>
          <w:tab w:leader="none" w:pos="190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CDA</w:t>
      </w:r>
      <w:r>
        <w:rPr>
          <w:rFonts w:ascii="Arial" w:cs="Arial" w:eastAsia="Arial" w:hAnsi="Arial"/>
          <w:sz w:val="18"/>
          <w:szCs w:val="18"/>
          <w:color w:val="auto"/>
        </w:rPr>
        <w:t>” means the Confidential Disclosure Agreement by and between Acceleron and Fulcrum dated as of August 2,</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2018, as amended August 1, 2019, and September 18, 2019.</w:t>
      </w:r>
    </w:p>
    <w:p>
      <w:pPr>
        <w:spacing w:after="0" w:line="194"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Cell Toxicity Screen</w:t>
      </w:r>
      <w:r>
        <w:rPr>
          <w:rFonts w:ascii="Arial" w:cs="Arial" w:eastAsia="Arial" w:hAnsi="Arial"/>
          <w:sz w:val="16"/>
          <w:szCs w:val="16"/>
          <w:color w:val="auto"/>
        </w:rPr>
        <w:t>” means the screen identified as the Cell Toxicity Screen in Figure 2 of the Research Plan.</w:t>
      </w:r>
    </w:p>
    <w:p>
      <w:pPr>
        <w:spacing w:after="0" w:line="216"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Change of Control</w:t>
      </w:r>
      <w:r>
        <w:rPr>
          <w:rFonts w:ascii="Arial" w:cs="Arial" w:eastAsia="Arial" w:hAnsi="Arial"/>
          <w:sz w:val="18"/>
          <w:szCs w:val="18"/>
          <w:color w:val="auto"/>
        </w:rPr>
        <w:t>” means, with respect to a Party, that: (a) any Third Party acquires directly or indirectly the beneficial ownership of greater than 50% of the outstanding voting securities of such Party; (b) a merger, consolidation, recapitalization, or reorganization of such Party is consummated that results in shareholders or equity holders of such Party immediately prior to such transaction, ceasing to own at least 50% of the combined outstanding voting securities of the surviving entity (or its parent entity) immediately following such transaction; (c) the shareholders or equity holders of such Party approve a plan of complete liquidation of such Party; or (d) the sale or transfer to a Third Party of all or substantially all of such Party’s consolidated assets taken as a whole, through one or more related transactions.</w:t>
      </w:r>
    </w:p>
    <w:p>
      <w:pPr>
        <w:spacing w:after="0" w:line="160"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Clinical Trial</w:t>
      </w:r>
      <w:r>
        <w:rPr>
          <w:rFonts w:ascii="Arial" w:cs="Arial" w:eastAsia="Arial" w:hAnsi="Arial"/>
          <w:sz w:val="19"/>
          <w:szCs w:val="19"/>
          <w:color w:val="auto"/>
        </w:rPr>
        <w:t>” means a Phase 1 Clinical Trial, Phase 2 Clinical Trial, Phase 3 Clinical Trial, or any combination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194" w:lineRule="exact"/>
        <w:rPr>
          <w:sz w:val="20"/>
          <w:szCs w:val="20"/>
          <w:color w:val="auto"/>
        </w:rPr>
      </w:pPr>
    </w:p>
    <w:p>
      <w:pPr>
        <w:jc w:val="both"/>
        <w:ind w:firstLine="877"/>
        <w:spacing w:after="0" w:line="262" w:lineRule="auto"/>
        <w:rPr>
          <w:sz w:val="20"/>
          <w:szCs w:val="20"/>
          <w:color w:val="auto"/>
        </w:rPr>
      </w:pPr>
      <w:r>
        <w:rPr>
          <w:rFonts w:ascii="Arial" w:cs="Arial" w:eastAsia="Arial" w:hAnsi="Arial"/>
          <w:sz w:val="19"/>
          <w:szCs w:val="19"/>
          <w:color w:val="auto"/>
        </w:rPr>
        <w:t>1.24. “</w:t>
      </w:r>
      <w:r>
        <w:rPr>
          <w:rFonts w:ascii="Arial" w:cs="Arial" w:eastAsia="Arial" w:hAnsi="Arial"/>
          <w:sz w:val="19"/>
          <w:szCs w:val="19"/>
          <w:b w:val="1"/>
          <w:bCs w:val="1"/>
          <w:color w:val="auto"/>
        </w:rPr>
        <w:t>Collaboration Molecule</w:t>
      </w:r>
      <w:r>
        <w:rPr>
          <w:rFonts w:ascii="Arial" w:cs="Arial" w:eastAsia="Arial" w:hAnsi="Arial"/>
          <w:sz w:val="19"/>
          <w:szCs w:val="19"/>
          <w:color w:val="auto"/>
        </w:rPr>
        <w:t xml:space="preserve">” means any therapeutic agent that is directed against or expresses, in whole or in part, a [**] Target;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therapeutic agent created solely or jointly by Fulcrum, its Affiliates or Third Parties acting on its or their behalf outside the scope of the activities under this Agreement and without the use of any (i) Acceleron Technology, (ii) Confidential Information of Acceleron, (iii) Fulcrum Technology, (iv) Confidential Information of Fulcrum or (v) any other results or data, in the case of (iii), (iv) and (v), generated in the performance of or arising out of the Research Activities, will not be deemed a Collaboration Molecule.</w:t>
      </w:r>
    </w:p>
    <w:p>
      <w:pPr>
        <w:spacing w:after="0" w:line="171"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Molecule Know-How</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Molecule Patent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216"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each Party and its Affiliates, the reasonable and good faith efforts and resources typically used by similarly situated biopharmaceutical or pharmaceutical companies (including in size and resources) to such Party to perform the obligation at issue, which efforts will not be less than those efforts made by such Party with respect to other products with comparable market potential and at a similar stage in its lifecycle. For purposes of determining whether a Party has used Commercially Reasonable Efforts, all relevant factors, as measured by facts and circumstances at the time such efforts are due, will be taken into account, including, as applicable and without limitation, the profile of the relevant product, its stage of development, and other relevant factors, including without limitation, comparative technical, legal, scientific and/or medical factors. Commercially Reasonable Efforts will be determined on a market-by-market and indication-by-indication basis for a particular product, and it is anticipated that the level of effort will be different for different markets, and will change over time, reflecting changes in the status of the product and the market(s) involved.</w:t>
      </w:r>
    </w:p>
    <w:p>
      <w:pPr>
        <w:spacing w:after="0" w:line="163"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Competing Product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5.5.2</w:t>
      </w:r>
      <w:r>
        <w:rPr>
          <w:rFonts w:ascii="Arial" w:cs="Arial" w:eastAsia="Arial" w:hAnsi="Arial"/>
          <w:sz w:val="18"/>
          <w:szCs w:val="18"/>
          <w:color w:val="auto"/>
        </w:rPr>
        <w:t>.</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Competitive Infringement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7.6.1</w:t>
      </w:r>
      <w:r>
        <w:rPr>
          <w:rFonts w:ascii="Arial" w:cs="Arial" w:eastAsia="Arial" w:hAnsi="Arial"/>
          <w:sz w:val="18"/>
          <w:szCs w:val="18"/>
          <w:color w:val="auto"/>
        </w:rPr>
        <w:t xml:space="preserve"> (Notice of Competitive Infringement).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58" w:name="page159"/>
    <w:bookmarkEnd w:id="158"/>
    <w:p>
      <w:pPr>
        <w:jc w:val="both"/>
        <w:ind w:firstLine="877"/>
        <w:spacing w:after="0" w:line="243" w:lineRule="auto"/>
        <w:rPr>
          <w:sz w:val="20"/>
          <w:szCs w:val="20"/>
          <w:color w:val="auto"/>
        </w:rPr>
      </w:pPr>
      <w:r>
        <w:rPr>
          <w:rFonts w:ascii="Arial" w:cs="Arial" w:eastAsia="Arial" w:hAnsi="Arial"/>
          <w:sz w:val="20"/>
          <w:szCs w:val="20"/>
          <w:color w:val="auto"/>
        </w:rPr>
        <w:t>1.30.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means, with respect to each Party, all Know-How or other non-public information, including proprietary information and materials (whether or not patentable) regarding or embodying such Party’s or its Representatives’ technology, products, business information or objectives, that is communicated by or on behalf of the Disclosing Party to the Receiving Party or its permitted recipients, on or after the Effective Date. The terms and conditions of this Agreement will be considered Confidential Information of both Parties. Notwithstanding anything to the contrary in the foregoing, all “Confidential Information,” as that term is defined in the CDA, is Confidential Information under this Agreement, all “Acceleron Information,” as that term is defined in the CDA, is the Confidential Information of Acceleron under this Agreement, and all “Company Information,” as that term is defined in the CDA, is the Confidential Information of Fulcrum under this Agreement.</w:t>
      </w:r>
    </w:p>
    <w:p>
      <w:pPr>
        <w:spacing w:after="0" w:line="190"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Confirmation Screens</w:t>
      </w:r>
      <w:r>
        <w:rPr>
          <w:rFonts w:ascii="Arial" w:cs="Arial" w:eastAsia="Arial" w:hAnsi="Arial"/>
          <w:sz w:val="16"/>
          <w:szCs w:val="16"/>
          <w:color w:val="auto"/>
        </w:rPr>
        <w:t>” means the screens identified as Confirmation Screens in Figure 2 of the Research Plan.</w:t>
      </w:r>
    </w:p>
    <w:p>
      <w:pPr>
        <w:spacing w:after="0" w:line="216"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1.32. “</w:t>
      </w:r>
      <w:r>
        <w:rPr>
          <w:rFonts w:ascii="Arial" w:cs="Arial" w:eastAsia="Arial" w:hAnsi="Arial"/>
          <w:sz w:val="20"/>
          <w:szCs w:val="20"/>
          <w:b w:val="1"/>
          <w:bCs w:val="1"/>
          <w:color w:val="auto"/>
        </w:rPr>
        <w:t>Control</w:t>
      </w:r>
      <w:r>
        <w:rPr>
          <w:rFonts w:ascii="Arial" w:cs="Arial" w:eastAsia="Arial" w:hAnsi="Arial"/>
          <w:sz w:val="20"/>
          <w:szCs w:val="20"/>
          <w:color w:val="auto"/>
        </w:rPr>
        <w:t>” or “</w:t>
      </w:r>
      <w:r>
        <w:rPr>
          <w:rFonts w:ascii="Arial" w:cs="Arial" w:eastAsia="Arial" w:hAnsi="Arial"/>
          <w:sz w:val="20"/>
          <w:szCs w:val="20"/>
          <w:b w:val="1"/>
          <w:bCs w:val="1"/>
          <w:color w:val="auto"/>
        </w:rPr>
        <w:t>Controlled</w:t>
      </w:r>
      <w:r>
        <w:rPr>
          <w:rFonts w:ascii="Arial" w:cs="Arial" w:eastAsia="Arial" w:hAnsi="Arial"/>
          <w:sz w:val="20"/>
          <w:szCs w:val="20"/>
          <w:color w:val="auto"/>
        </w:rPr>
        <w:t>” means, as to any Know-How, Patent Right or other intellectual property right, the possession (whether by ownership or license, other than by a license granted pursuant to this Agreement) by a Person of the ability to grant to another Person access, ownership, a license or a sublicense as required herein to such Know-How or Patent Right, without violating the terms of any agreement or other arrangement with any Third Party.</w:t>
      </w:r>
    </w:p>
    <w:p>
      <w:pPr>
        <w:spacing w:after="0" w:line="184"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1.33. “</w:t>
      </w:r>
      <w:r>
        <w:rPr>
          <w:rFonts w:ascii="Arial" w:cs="Arial" w:eastAsia="Arial" w:hAnsi="Arial"/>
          <w:sz w:val="20"/>
          <w:szCs w:val="20"/>
          <w:b w:val="1"/>
          <w:bCs w:val="1"/>
          <w:color w:val="auto"/>
        </w:rPr>
        <w:t>Cover</w:t>
      </w:r>
      <w:r>
        <w:rPr>
          <w:rFonts w:ascii="Arial" w:cs="Arial" w:eastAsia="Arial" w:hAnsi="Arial"/>
          <w:sz w:val="20"/>
          <w:szCs w:val="20"/>
          <w:color w:val="auto"/>
        </w:rPr>
        <w:t>,” “</w:t>
      </w:r>
      <w:r>
        <w:rPr>
          <w:rFonts w:ascii="Arial" w:cs="Arial" w:eastAsia="Arial" w:hAnsi="Arial"/>
          <w:sz w:val="20"/>
          <w:szCs w:val="20"/>
          <w:b w:val="1"/>
          <w:bCs w:val="1"/>
          <w:color w:val="auto"/>
        </w:rPr>
        <w:t>Covering</w:t>
      </w:r>
      <w:r>
        <w:rPr>
          <w:rFonts w:ascii="Arial" w:cs="Arial" w:eastAsia="Arial" w:hAnsi="Arial"/>
          <w:sz w:val="20"/>
          <w:szCs w:val="20"/>
          <w:color w:val="auto"/>
        </w:rPr>
        <w:t>” or “</w:t>
      </w:r>
      <w:r>
        <w:rPr>
          <w:rFonts w:ascii="Arial" w:cs="Arial" w:eastAsia="Arial" w:hAnsi="Arial"/>
          <w:sz w:val="20"/>
          <w:szCs w:val="20"/>
          <w:b w:val="1"/>
          <w:bCs w:val="1"/>
          <w:color w:val="auto"/>
        </w:rPr>
        <w:t>Covers</w:t>
      </w:r>
      <w:r>
        <w:rPr>
          <w:rFonts w:ascii="Arial" w:cs="Arial" w:eastAsia="Arial" w:hAnsi="Arial"/>
          <w:sz w:val="20"/>
          <w:szCs w:val="20"/>
          <w:color w:val="auto"/>
        </w:rPr>
        <w:t>” means, as to a Product and Patent Right, that, in the absence of a license granted under, or ownership of, such Patent Right, the making, using, keeping, selling, offering for sale or importation of such Product would infringe a Valid Claim in such Patent Right or, with respect to a Valid Claim that is a claim of a pending patent application, the making, using, keeping, selling, offering for sale or importation of such Product would infringe such Valid Claim in such Patent Right if such pending claim were to issue in an issued patent without modification.</w:t>
      </w:r>
    </w:p>
    <w:p>
      <w:pPr>
        <w:spacing w:after="0" w:line="185"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CPI</w:t>
      </w:r>
      <w:r>
        <w:rPr>
          <w:rFonts w:ascii="Arial" w:cs="Arial" w:eastAsia="Arial" w:hAnsi="Arial"/>
          <w:sz w:val="18"/>
          <w:szCs w:val="18"/>
          <w:color w:val="auto"/>
        </w:rPr>
        <w:t>” means the Consumer Price Index – Urban Wage Earners and Clerical Workers, U.S. City Average (All Items,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1982-84 = 100) published by the United States Department of Labor, Bureau of Labor Statistics, or any successor index thereto.</w:t>
      </w:r>
    </w:p>
    <w:p>
      <w:pPr>
        <w:spacing w:after="0" w:line="194"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CRC Screens</w:t>
      </w:r>
      <w:r>
        <w:rPr>
          <w:rFonts w:ascii="Arial" w:cs="Arial" w:eastAsia="Arial" w:hAnsi="Arial"/>
          <w:sz w:val="16"/>
          <w:szCs w:val="16"/>
          <w:color w:val="auto"/>
        </w:rPr>
        <w:t>” means the screens identified as CRC Screens in Figure 2 of the Research Plan.</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Data Package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(Research Targets; Excluded Targets; [**] Target Selection).</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Designation Period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(Research Targets; Excluded Targets; [**] Target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Selection).</w:t>
      </w:r>
    </w:p>
    <w:p>
      <w:pPr>
        <w:spacing w:after="0" w:line="194"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 Milestone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6.2.2</w:t>
      </w:r>
      <w:r>
        <w:rPr>
          <w:rFonts w:ascii="Arial" w:cs="Arial" w:eastAsia="Arial" w:hAnsi="Arial"/>
          <w:sz w:val="18"/>
          <w:szCs w:val="18"/>
          <w:color w:val="auto"/>
        </w:rPr>
        <w:t xml:space="preserve"> (Development Milestones).</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 Milestone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6.2.2</w:t>
      </w:r>
      <w:r>
        <w:rPr>
          <w:rFonts w:ascii="Arial" w:cs="Arial" w:eastAsia="Arial" w:hAnsi="Arial"/>
          <w:sz w:val="18"/>
          <w:szCs w:val="18"/>
          <w:color w:val="auto"/>
        </w:rPr>
        <w:t xml:space="preserve"> (Development Milestones).</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(Confidentiality).</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Dollar</w:t>
      </w:r>
      <w:r>
        <w:rPr>
          <w:rFonts w:ascii="Arial" w:cs="Arial" w:eastAsia="Arial" w:hAnsi="Arial"/>
          <w:sz w:val="18"/>
          <w:szCs w:val="18"/>
          <w:color w:val="auto"/>
        </w:rPr>
        <w:t>,” “</w:t>
      </w:r>
      <w:r>
        <w:rPr>
          <w:rFonts w:ascii="Arial" w:cs="Arial" w:eastAsia="Arial" w:hAnsi="Arial"/>
          <w:sz w:val="18"/>
          <w:szCs w:val="18"/>
          <w:b w:val="1"/>
          <w:bCs w:val="1"/>
          <w:color w:val="auto"/>
        </w:rPr>
        <w:t>USD</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legal tender in the U.S.</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preamble of this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59" w:name="page160"/>
    <w:bookmarkEnd w:id="159"/>
    <w:p>
      <w:pPr>
        <w:ind w:left="880"/>
        <w:spacing w:after="0"/>
        <w:tabs>
          <w:tab w:leader="none" w:pos="190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and any successor entity thereto.</w:t>
      </w:r>
    </w:p>
    <w:p>
      <w:pPr>
        <w:spacing w:after="0" w:line="216" w:lineRule="exact"/>
        <w:rPr>
          <w:sz w:val="20"/>
          <w:szCs w:val="20"/>
          <w:color w:val="auto"/>
        </w:rPr>
      </w:pPr>
    </w:p>
    <w:p>
      <w:pPr>
        <w:ind w:firstLine="877"/>
        <w:spacing w:after="0" w:line="267" w:lineRule="auto"/>
        <w:rPr>
          <w:sz w:val="20"/>
          <w:szCs w:val="20"/>
          <w:color w:val="auto"/>
        </w:rPr>
      </w:pPr>
      <w:r>
        <w:rPr>
          <w:rFonts w:ascii="Arial" w:cs="Arial" w:eastAsia="Arial" w:hAnsi="Arial"/>
          <w:sz w:val="20"/>
          <w:szCs w:val="20"/>
          <w:color w:val="auto"/>
        </w:rPr>
        <w:t>1.44. “</w:t>
      </w:r>
      <w:r>
        <w:rPr>
          <w:rFonts w:ascii="Arial" w:cs="Arial" w:eastAsia="Arial" w:hAnsi="Arial"/>
          <w:sz w:val="20"/>
          <w:szCs w:val="20"/>
          <w:b w:val="1"/>
          <w:bCs w:val="1"/>
          <w:color w:val="auto"/>
        </w:rPr>
        <w:t>European Commission</w:t>
      </w:r>
      <w:r>
        <w:rPr>
          <w:rFonts w:ascii="Arial" w:cs="Arial" w:eastAsia="Arial" w:hAnsi="Arial"/>
          <w:sz w:val="20"/>
          <w:szCs w:val="20"/>
          <w:color w:val="auto"/>
        </w:rPr>
        <w:t>” means the European Commission or any successor entity that is responsible for granting marketing approvals authorizing the sale of pharmaceuticals in the European Union.</w:t>
      </w:r>
    </w:p>
    <w:p>
      <w:pPr>
        <w:spacing w:after="0" w:line="164" w:lineRule="exact"/>
        <w:rPr>
          <w:sz w:val="20"/>
          <w:szCs w:val="20"/>
          <w:color w:val="auto"/>
        </w:rPr>
      </w:pPr>
    </w:p>
    <w:p>
      <w:pPr>
        <w:ind w:firstLine="877"/>
        <w:spacing w:after="0" w:line="267" w:lineRule="auto"/>
        <w:rPr>
          <w:sz w:val="20"/>
          <w:szCs w:val="20"/>
          <w:color w:val="auto"/>
        </w:rPr>
      </w:pPr>
      <w:r>
        <w:rPr>
          <w:rFonts w:ascii="Arial" w:cs="Arial" w:eastAsia="Arial" w:hAnsi="Arial"/>
          <w:sz w:val="20"/>
          <w:szCs w:val="20"/>
          <w:color w:val="auto"/>
        </w:rPr>
        <w:t>1.45. “</w:t>
      </w:r>
      <w:r>
        <w:rPr>
          <w:rFonts w:ascii="Arial" w:cs="Arial" w:eastAsia="Arial" w:hAnsi="Arial"/>
          <w:sz w:val="20"/>
          <w:szCs w:val="20"/>
          <w:b w:val="1"/>
          <w:bCs w:val="1"/>
          <w:color w:val="auto"/>
        </w:rPr>
        <w:t>European Union</w:t>
      </w:r>
      <w:r>
        <w:rPr>
          <w:rFonts w:ascii="Arial" w:cs="Arial" w:eastAsia="Arial" w:hAnsi="Arial"/>
          <w:sz w:val="20"/>
          <w:szCs w:val="20"/>
          <w:color w:val="auto"/>
        </w:rPr>
        <w:t>” or “</w:t>
      </w:r>
      <w:r>
        <w:rPr>
          <w:rFonts w:ascii="Arial" w:cs="Arial" w:eastAsia="Arial" w:hAnsi="Arial"/>
          <w:sz w:val="20"/>
          <w:szCs w:val="20"/>
          <w:b w:val="1"/>
          <w:bCs w:val="1"/>
          <w:color w:val="auto"/>
        </w:rPr>
        <w:t>EU</w:t>
      </w:r>
      <w:r>
        <w:rPr>
          <w:rFonts w:ascii="Arial" w:cs="Arial" w:eastAsia="Arial" w:hAnsi="Arial"/>
          <w:sz w:val="20"/>
          <w:szCs w:val="20"/>
          <w:color w:val="auto"/>
        </w:rPr>
        <w:t>” means all countries or territories that are officially part of the European Union, as constituted from time to time, including at all times the United Kingdom.</w:t>
      </w:r>
    </w:p>
    <w:p>
      <w:pPr>
        <w:spacing w:after="0" w:line="164"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Excluded Know-How</w:t>
      </w:r>
      <w:r>
        <w:rPr>
          <w:rFonts w:ascii="Arial" w:cs="Arial" w:eastAsia="Arial" w:hAnsi="Arial"/>
          <w:sz w:val="18"/>
          <w:szCs w:val="18"/>
          <w:color w:val="auto"/>
        </w:rPr>
        <w:t>” means any Know-How to the extent Controlled by any Acquiring Party, which Know-How is</w:t>
      </w:r>
    </w:p>
    <w:p>
      <w:pPr>
        <w:spacing w:after="0" w:line="22" w:lineRule="exact"/>
        <w:rPr>
          <w:sz w:val="20"/>
          <w:szCs w:val="20"/>
          <w:color w:val="auto"/>
        </w:rPr>
      </w:pPr>
    </w:p>
    <w:p>
      <w:pPr>
        <w:jc w:val="both"/>
        <w:ind w:firstLine="8"/>
        <w:spacing w:after="0"/>
        <w:tabs>
          <w:tab w:leader="none" w:pos="350"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Controlled by such Acquiring Party immediately prior to the effective date of the applicable Change of Control or (y) Controlled by such Acquiring Party on or after the effective date of such Change of Control but, in each case ((x) and (y)), is not Controlled by Fulcrum or an Affiliate of Fulcrum (excluding for purposes of this provision, such Acquiring Party and Affiliates of Fulcrum that are Affiliates by virtue of controlling, being controlled by or under common control with such Acquiring Party) and was developed, invented, or obtained without the direct or indirect use of any Fulcrum Technology.</w:t>
      </w:r>
    </w:p>
    <w:p>
      <w:pPr>
        <w:spacing w:after="0" w:line="19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1.47. “</w:t>
      </w:r>
      <w:r>
        <w:rPr>
          <w:rFonts w:ascii="Arial" w:cs="Arial" w:eastAsia="Arial" w:hAnsi="Arial"/>
          <w:sz w:val="20"/>
          <w:szCs w:val="20"/>
          <w:b w:val="1"/>
          <w:bCs w:val="1"/>
          <w:color w:val="auto"/>
        </w:rPr>
        <w:t>Excluded Patent Rights</w:t>
      </w:r>
      <w:r>
        <w:rPr>
          <w:rFonts w:ascii="Arial" w:cs="Arial" w:eastAsia="Arial" w:hAnsi="Arial"/>
          <w:sz w:val="20"/>
          <w:szCs w:val="20"/>
          <w:color w:val="auto"/>
        </w:rPr>
        <w:t>” means any Patent Right to the extent Controlled by any Acquiring Party, which Patent Right is (x) Controlled by such Acquiring Party immediately prior to the effective date of the applicable Change of Control or (y) Controlled by such Acquiring Party on or after the effective date of such Change of Control but in each case ((x) and (y)), is not Controlled by Fulcrum or an Affiliate of Fulcrum (excluding for purposes of this provision, such Acquiring Party and Affiliates of Fulcrum that are Affiliates by virtue of controlling, being controlled by or under common control with such Acquiring Party) and was developed, invented, or obtained without the direct or indirect use of any Fulcrum Technology.</w:t>
      </w:r>
    </w:p>
    <w:p>
      <w:pPr>
        <w:spacing w:after="0" w:line="185"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Target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(Research Targets; Excluded Targets; [**] Target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Selection).</w:t>
      </w:r>
    </w:p>
    <w:p>
      <w:pPr>
        <w:spacing w:after="0" w:line="194"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Technology</w:t>
      </w:r>
      <w:r>
        <w:rPr>
          <w:rFonts w:ascii="Arial" w:cs="Arial" w:eastAsia="Arial" w:hAnsi="Arial"/>
          <w:sz w:val="16"/>
          <w:szCs w:val="16"/>
          <w:color w:val="auto"/>
        </w:rPr>
        <w:t>” means the Excluded Patent Rights and the Excluded Know-How.</w:t>
      </w:r>
    </w:p>
    <w:p>
      <w:pPr>
        <w:spacing w:after="0" w:line="216" w:lineRule="exact"/>
        <w:rPr>
          <w:sz w:val="20"/>
          <w:szCs w:val="20"/>
          <w:color w:val="auto"/>
        </w:rPr>
      </w:pPr>
    </w:p>
    <w:p>
      <w:pPr>
        <w:jc w:val="both"/>
        <w:ind w:firstLine="877"/>
        <w:spacing w:after="0" w:line="323" w:lineRule="auto"/>
        <w:rPr>
          <w:sz w:val="20"/>
          <w:szCs w:val="20"/>
          <w:color w:val="auto"/>
        </w:rPr>
      </w:pPr>
      <w:r>
        <w:rPr>
          <w:rFonts w:ascii="Arial" w:cs="Arial" w:eastAsia="Arial" w:hAnsi="Arial"/>
          <w:sz w:val="18"/>
          <w:szCs w:val="18"/>
          <w:color w:val="auto"/>
        </w:rPr>
        <w:t>1.50. “</w:t>
      </w:r>
      <w:r>
        <w:rPr>
          <w:rFonts w:ascii="Arial" w:cs="Arial" w:eastAsia="Arial" w:hAnsi="Arial"/>
          <w:sz w:val="18"/>
          <w:szCs w:val="18"/>
          <w:b w:val="1"/>
          <w:bCs w:val="1"/>
          <w:color w:val="auto"/>
        </w:rPr>
        <w:t>Executive Officers</w:t>
      </w:r>
      <w:r>
        <w:rPr>
          <w:rFonts w:ascii="Arial" w:cs="Arial" w:eastAsia="Arial" w:hAnsi="Arial"/>
          <w:sz w:val="18"/>
          <w:szCs w:val="18"/>
          <w:color w:val="auto"/>
        </w:rPr>
        <w:t>” means the Chief Executive Officer of Fulcrum, initially Robert Gould, and the Chief Executive Officer of Acceleron, initially Habib Dable, or either of their respective designees having sufficient authority to resolve the applicable matter.</w:t>
      </w:r>
    </w:p>
    <w:p>
      <w:pPr>
        <w:spacing w:after="0" w:line="118"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color w:val="auto"/>
        </w:rPr>
        <w:t>1.51. “</w:t>
      </w:r>
      <w:r>
        <w:rPr>
          <w:rFonts w:ascii="Arial" w:cs="Arial" w:eastAsia="Arial" w:hAnsi="Arial"/>
          <w:sz w:val="20"/>
          <w:szCs w:val="20"/>
          <w:b w:val="1"/>
          <w:bCs w:val="1"/>
          <w:color w:val="auto"/>
        </w:rPr>
        <w:t>FD&amp;C Act</w:t>
      </w:r>
      <w:r>
        <w:rPr>
          <w:rFonts w:ascii="Arial" w:cs="Arial" w:eastAsia="Arial" w:hAnsi="Arial"/>
          <w:sz w:val="20"/>
          <w:szCs w:val="20"/>
          <w:color w:val="auto"/>
        </w:rPr>
        <w:t>” means the United States Federal Food, Drug, and Cosmetic Act, as amended, and the rules and regulations promulgated thereunder.</w:t>
      </w:r>
    </w:p>
    <w:p>
      <w:pPr>
        <w:spacing w:after="0" w:line="164"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and any successor entity thereto.</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all fields of use.</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Final Data Package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(Research Targets; Excluded Targets; [**] Target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Selection).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0" w:name="page161"/>
    <w:bookmarkEnd w:id="160"/>
    <w:p>
      <w:pPr>
        <w:jc w:val="both"/>
        <w:ind w:firstLine="877"/>
        <w:spacing w:after="0" w:line="246" w:lineRule="auto"/>
        <w:rPr>
          <w:sz w:val="20"/>
          <w:szCs w:val="20"/>
          <w:color w:val="auto"/>
        </w:rPr>
      </w:pPr>
      <w:r>
        <w:rPr>
          <w:rFonts w:ascii="Arial" w:cs="Arial" w:eastAsia="Arial" w:hAnsi="Arial"/>
          <w:sz w:val="20"/>
          <w:szCs w:val="20"/>
          <w:color w:val="auto"/>
        </w:rPr>
        <w:t>1.55. “</w:t>
      </w:r>
      <w:r>
        <w:rPr>
          <w:rFonts w:ascii="Arial" w:cs="Arial" w:eastAsia="Arial" w:hAnsi="Arial"/>
          <w:sz w:val="20"/>
          <w:szCs w:val="20"/>
          <w:b w:val="1"/>
          <w:bCs w:val="1"/>
          <w:color w:val="auto"/>
        </w:rPr>
        <w:t>First Commercial Sale</w:t>
      </w:r>
      <w:r>
        <w:rPr>
          <w:rFonts w:ascii="Arial" w:cs="Arial" w:eastAsia="Arial" w:hAnsi="Arial"/>
          <w:sz w:val="20"/>
          <w:szCs w:val="20"/>
          <w:color w:val="auto"/>
        </w:rPr>
        <w:t xml:space="preserve">” means with respect to a Product in a country, the first commercial sale in a country by Acceleron, its Affiliates, or Sublicensees of such Product to a Third Party following receipt of Regulatory Approval for such Product; </w:t>
      </w:r>
      <w:r>
        <w:rPr>
          <w:rFonts w:ascii="Arial" w:cs="Arial" w:eastAsia="Arial" w:hAnsi="Arial"/>
          <w:sz w:val="20"/>
          <w:szCs w:val="20"/>
          <w:i w:val="1"/>
          <w:iCs w:val="1"/>
          <w:color w:val="auto"/>
        </w:rPr>
        <w:t>provided</w:t>
      </w:r>
      <w:r>
        <w:rPr>
          <w:rFonts w:ascii="Arial" w:cs="Arial" w:eastAsia="Arial" w:hAnsi="Arial"/>
          <w:sz w:val="20"/>
          <w:szCs w:val="20"/>
          <w:color w:val="auto"/>
        </w:rPr>
        <w:t>, that First Commercial Sale does not include (a) any sale to or between Acceleron, its Affiliates, or Sublicensees, (b) any use of such Product in Clinical Trials, pre-clinical studies or other development activities, or (c) the disposal or transfer of such Product for a bona fide charitable purpose, including expanded access or compassionate use.</w:t>
      </w:r>
    </w:p>
    <w:p>
      <w:pPr>
        <w:spacing w:after="0" w:line="185"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1.56. “</w:t>
      </w:r>
      <w:r>
        <w:rPr>
          <w:rFonts w:ascii="Arial" w:cs="Arial" w:eastAsia="Arial" w:hAnsi="Arial"/>
          <w:sz w:val="20"/>
          <w:szCs w:val="20"/>
          <w:b w:val="1"/>
          <w:bCs w:val="1"/>
          <w:color w:val="auto"/>
        </w:rPr>
        <w:t>FTE</w:t>
      </w:r>
      <w:r>
        <w:rPr>
          <w:rFonts w:ascii="Arial" w:cs="Arial" w:eastAsia="Arial" w:hAnsi="Arial"/>
          <w:sz w:val="20"/>
          <w:szCs w:val="20"/>
          <w:color w:val="auto"/>
        </w:rPr>
        <w:t>” means a full-time equivalent employee (i.e., one fully-committed or multiple partially-committed employees aggregating to one full-time employee) employed or contracted by a Party and assigned to perform specified work, with such commitment of time and effort to constitute one employee performing such work on a full-time basis, which for purposes of activities performed under this Agreement will be [**] hours per year.</w:t>
      </w:r>
    </w:p>
    <w:p>
      <w:pPr>
        <w:spacing w:after="0" w:line="184"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1.57. “</w:t>
      </w:r>
      <w:r>
        <w:rPr>
          <w:rFonts w:ascii="Arial" w:cs="Arial" w:eastAsia="Arial" w:hAnsi="Arial"/>
          <w:sz w:val="19"/>
          <w:szCs w:val="19"/>
          <w:b w:val="1"/>
          <w:bCs w:val="1"/>
          <w:color w:val="auto"/>
        </w:rPr>
        <w:t>FTE Rate</w:t>
      </w:r>
      <w:r>
        <w:rPr>
          <w:rFonts w:ascii="Arial" w:cs="Arial" w:eastAsia="Arial" w:hAnsi="Arial"/>
          <w:sz w:val="19"/>
          <w:szCs w:val="19"/>
          <w:color w:val="auto"/>
        </w:rPr>
        <w:t>” means, with respect to any Fulcrum FTE performing Fulcrum Research Activities, a rate of $[**] annually, subject to annual increases beginning on January 1, 2021 to reflect, as of December 31 of the then-most recently completed calendar year, the increase in the level of the CPI as compared to December 31 of the immediately preceding calendar year.</w:t>
      </w:r>
    </w:p>
    <w:p>
      <w:pPr>
        <w:spacing w:after="0" w:line="159"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Fulcrum</w:t>
      </w:r>
      <w:r>
        <w:rPr>
          <w:rFonts w:ascii="Arial" w:cs="Arial" w:eastAsia="Arial" w:hAnsi="Arial"/>
          <w:sz w:val="18"/>
          <w:szCs w:val="18"/>
          <w:color w:val="auto"/>
        </w:rPr>
        <w:t>” has the meaning set forth in the preamble of this Agreement.</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Fulcrum 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(Indemnification by Acceleron).</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1.60.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Fulcrum Patent Rights</w:t>
      </w:r>
      <w:r>
        <w:rPr>
          <w:rFonts w:ascii="Arial" w:cs="Arial" w:eastAsia="Arial" w:hAnsi="Arial"/>
          <w:sz w:val="18"/>
          <w:szCs w:val="18"/>
          <w:color w:val="auto"/>
        </w:rPr>
        <w:t>” means the Patent Rights within the Fulcrum Technology.</w:t>
      </w:r>
    </w:p>
    <w:p>
      <w:pPr>
        <w:spacing w:after="0" w:line="216" w:lineRule="exact"/>
        <w:rPr>
          <w:sz w:val="20"/>
          <w:szCs w:val="20"/>
          <w:color w:val="auto"/>
        </w:rPr>
      </w:pPr>
    </w:p>
    <w:p>
      <w:pPr>
        <w:jc w:val="both"/>
        <w:ind w:firstLine="877"/>
        <w:spacing w:after="0" w:line="293" w:lineRule="auto"/>
        <w:rPr>
          <w:sz w:val="20"/>
          <w:szCs w:val="20"/>
          <w:color w:val="auto"/>
        </w:rPr>
      </w:pPr>
      <w:r>
        <w:rPr>
          <w:rFonts w:ascii="Arial" w:cs="Arial" w:eastAsia="Arial" w:hAnsi="Arial"/>
          <w:sz w:val="19"/>
          <w:szCs w:val="19"/>
          <w:color w:val="auto"/>
        </w:rPr>
        <w:t>1.61. “</w:t>
      </w:r>
      <w:r>
        <w:rPr>
          <w:rFonts w:ascii="Arial" w:cs="Arial" w:eastAsia="Arial" w:hAnsi="Arial"/>
          <w:sz w:val="19"/>
          <w:szCs w:val="19"/>
          <w:b w:val="1"/>
          <w:bCs w:val="1"/>
          <w:color w:val="auto"/>
        </w:rPr>
        <w:t>Fulcrum Research Activities</w:t>
      </w:r>
      <w:r>
        <w:rPr>
          <w:rFonts w:ascii="Arial" w:cs="Arial" w:eastAsia="Arial" w:hAnsi="Arial"/>
          <w:sz w:val="19"/>
          <w:szCs w:val="19"/>
          <w:color w:val="auto"/>
        </w:rPr>
        <w:t>” means any research conducted or to be conducted by or on behalf of Fulcrum (including by an Affiliate or subcontractor of Fulcrum) under the Research Plan, including the Target Identification Research Activities.</w:t>
      </w:r>
    </w:p>
    <w:p>
      <w:pPr>
        <w:spacing w:after="0" w:line="142"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1.62. “</w:t>
      </w:r>
      <w:r>
        <w:rPr>
          <w:rFonts w:ascii="Arial" w:cs="Arial" w:eastAsia="Arial" w:hAnsi="Arial"/>
          <w:sz w:val="20"/>
          <w:szCs w:val="20"/>
          <w:b w:val="1"/>
          <w:bCs w:val="1"/>
          <w:color w:val="auto"/>
        </w:rPr>
        <w:t>Fulcrum Platform</w:t>
      </w:r>
      <w:r>
        <w:rPr>
          <w:rFonts w:ascii="Arial" w:cs="Arial" w:eastAsia="Arial" w:hAnsi="Arial"/>
          <w:sz w:val="20"/>
          <w:szCs w:val="20"/>
          <w:color w:val="auto"/>
        </w:rPr>
        <w:t>” means Fulcrum’s proprietary high-throughput discovery platform designed to identify and validate biological drug targets that balance the expression of the genes known to drive or ameliorate disease and Fulcrum’s proprietary library of compounds.</w:t>
      </w:r>
    </w:p>
    <w:p>
      <w:pPr>
        <w:spacing w:after="0" w:line="178"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1.63. “</w:t>
      </w:r>
      <w:r>
        <w:rPr>
          <w:rFonts w:ascii="Arial" w:cs="Arial" w:eastAsia="Arial" w:hAnsi="Arial"/>
          <w:sz w:val="20"/>
          <w:szCs w:val="20"/>
          <w:b w:val="1"/>
          <w:bCs w:val="1"/>
          <w:color w:val="auto"/>
        </w:rPr>
        <w:t>Fulcrum Technology</w:t>
      </w:r>
      <w:r>
        <w:rPr>
          <w:rFonts w:ascii="Arial" w:cs="Arial" w:eastAsia="Arial" w:hAnsi="Arial"/>
          <w:sz w:val="20"/>
          <w:szCs w:val="20"/>
          <w:color w:val="auto"/>
        </w:rPr>
        <w:t>” means all Know-How and Patent Rights (a) Controlled by Fulcrum or its Affiliates as of the Effective Date or during the Term, including the Platform Patent Rights and Fulcrum’s interest in the Joint Technology, and (b) that are necessary or useful to research, develop, manufacture, commercialize, or otherwise exploit Collaboration Molecules and Products in the Territory in the Field, in each case ((a) and (b)), other than any Excluded Technology.</w:t>
      </w:r>
    </w:p>
    <w:p>
      <w:pPr>
        <w:spacing w:after="0" w:line="184"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as practiced in the United States, consistently applied.</w:t>
      </w:r>
    </w:p>
    <w:p>
      <w:pPr>
        <w:spacing w:after="0" w:line="216" w:lineRule="exact"/>
        <w:rPr>
          <w:sz w:val="20"/>
          <w:szCs w:val="20"/>
          <w:color w:val="auto"/>
        </w:rPr>
      </w:pPr>
    </w:p>
    <w:p>
      <w:pPr>
        <w:ind w:right="200" w:firstLine="877"/>
        <w:spacing w:after="0" w:line="267" w:lineRule="auto"/>
        <w:rPr>
          <w:sz w:val="20"/>
          <w:szCs w:val="20"/>
          <w:color w:val="auto"/>
        </w:rPr>
      </w:pPr>
      <w:r>
        <w:rPr>
          <w:rFonts w:ascii="Arial" w:cs="Arial" w:eastAsia="Arial" w:hAnsi="Arial"/>
          <w:sz w:val="20"/>
          <w:szCs w:val="20"/>
          <w:color w:val="auto"/>
        </w:rPr>
        <w:t>1.65. “</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any court, agency, department, authority or other instrumentality of any national, state, county, city or other political subdivision.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1" w:name="page162"/>
    <w:bookmarkEnd w:id="161"/>
    <w:p>
      <w:pPr>
        <w:jc w:val="both"/>
        <w:ind w:firstLine="877"/>
        <w:spacing w:after="0" w:line="245" w:lineRule="auto"/>
        <w:rPr>
          <w:sz w:val="20"/>
          <w:szCs w:val="20"/>
          <w:color w:val="auto"/>
        </w:rPr>
      </w:pPr>
      <w:r>
        <w:rPr>
          <w:rFonts w:ascii="Arial" w:cs="Arial" w:eastAsia="Arial" w:hAnsi="Arial"/>
          <w:sz w:val="20"/>
          <w:szCs w:val="20"/>
          <w:color w:val="auto"/>
        </w:rPr>
        <w:t>1.66. “</w:t>
      </w:r>
      <w:r>
        <w:rPr>
          <w:rFonts w:ascii="Arial" w:cs="Arial" w:eastAsia="Arial" w:hAnsi="Arial"/>
          <w:sz w:val="20"/>
          <w:szCs w:val="20"/>
          <w:b w:val="1"/>
          <w:bCs w:val="1"/>
          <w:color w:val="auto"/>
        </w:rPr>
        <w:t>Hit-to-Lead</w:t>
      </w:r>
      <w:r>
        <w:rPr>
          <w:rFonts w:ascii="Arial" w:cs="Arial" w:eastAsia="Arial" w:hAnsi="Arial"/>
          <w:sz w:val="20"/>
          <w:szCs w:val="20"/>
          <w:color w:val="auto"/>
        </w:rPr>
        <w:t>” means the formal initiation of (a) screening of a library of compounds or other potential therapeutic agents, in either case, against a target, or (b) chemical synthesis activities directed toward (i) the preparation of compounds or (ii) other potential therapeutic agents, in either case ((i) or (ii)), that are related to a compound or other potential therapeutic agent known to interact with the target of interest and designed to screen against the target for the purpose of identifying a lead candidate. In each case ((a) and (b)), the first compound from any library or set of compounds from chemical synthesis activities to be tested against the target will be considered the point of initiation of the Hit-to-Lead stage.</w:t>
      </w:r>
    </w:p>
    <w:p>
      <w:pPr>
        <w:spacing w:after="0" w:line="185"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(Procedure).</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(Procedure).</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Initiation</w:t>
      </w:r>
      <w:r>
        <w:rPr>
          <w:rFonts w:ascii="Arial" w:cs="Arial" w:eastAsia="Arial" w:hAnsi="Arial"/>
          <w:sz w:val="19"/>
          <w:szCs w:val="19"/>
          <w:color w:val="auto"/>
        </w:rPr>
        <w:t>” or “</w:t>
      </w:r>
      <w:r>
        <w:rPr>
          <w:rFonts w:ascii="Arial" w:cs="Arial" w:eastAsia="Arial" w:hAnsi="Arial"/>
          <w:sz w:val="19"/>
          <w:szCs w:val="19"/>
          <w:b w:val="1"/>
          <w:bCs w:val="1"/>
          <w:color w:val="auto"/>
        </w:rPr>
        <w:t>Initiate</w:t>
      </w:r>
      <w:r>
        <w:rPr>
          <w:rFonts w:ascii="Arial" w:cs="Arial" w:eastAsia="Arial" w:hAnsi="Arial"/>
          <w:sz w:val="19"/>
          <w:szCs w:val="19"/>
          <w:color w:val="auto"/>
        </w:rPr>
        <w:t>” means, with respect to any Clinical Trial, dosing of the first human subject in such Clinical</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Trial.</w:t>
      </w:r>
    </w:p>
    <w:p>
      <w:pPr>
        <w:spacing w:after="0" w:line="194"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1.70.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10.2.3(a)</w:t>
      </w:r>
      <w:r>
        <w:rPr>
          <w:rFonts w:ascii="Arial" w:cs="Arial" w:eastAsia="Arial" w:hAnsi="Arial"/>
          <w:sz w:val="18"/>
          <w:szCs w:val="18"/>
          <w:color w:val="auto"/>
        </w:rPr>
        <w:t xml:space="preserve"> (Termination for Insolvency).</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Insolvent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10.2.3(a)</w:t>
      </w:r>
      <w:r>
        <w:rPr>
          <w:rFonts w:ascii="Arial" w:cs="Arial" w:eastAsia="Arial" w:hAnsi="Arial"/>
          <w:sz w:val="18"/>
          <w:szCs w:val="18"/>
          <w:color w:val="auto"/>
        </w:rPr>
        <w:t xml:space="preserve"> (Termination for Insolvency).</w:t>
      </w:r>
    </w:p>
    <w:p>
      <w:pPr>
        <w:spacing w:after="0" w:line="216"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color w:val="auto"/>
        </w:rPr>
        <w:t>1.72. “</w:t>
      </w:r>
      <w:r>
        <w:rPr>
          <w:rFonts w:ascii="Arial" w:cs="Arial" w:eastAsia="Arial" w:hAnsi="Arial"/>
          <w:sz w:val="20"/>
          <w:szCs w:val="20"/>
          <w:b w:val="1"/>
          <w:bCs w:val="1"/>
          <w:color w:val="auto"/>
        </w:rPr>
        <w:t>Joint Know-How</w:t>
      </w:r>
      <w:r>
        <w:rPr>
          <w:rFonts w:ascii="Arial" w:cs="Arial" w:eastAsia="Arial" w:hAnsi="Arial"/>
          <w:sz w:val="20"/>
          <w:szCs w:val="20"/>
          <w:color w:val="auto"/>
        </w:rPr>
        <w:t xml:space="preserve">” means the Collaboration Molecule Know-How, the Target Know-How and any Know-How that is jointly owned by the Parties pursuant to </w:t>
      </w:r>
      <w:r>
        <w:rPr>
          <w:rFonts w:ascii="Arial" w:cs="Arial" w:eastAsia="Arial" w:hAnsi="Arial"/>
          <w:sz w:val="20"/>
          <w:szCs w:val="20"/>
          <w:u w:val="single" w:color="auto"/>
          <w:color w:val="auto"/>
        </w:rPr>
        <w:t>Section 7.1.4(b)(i)</w:t>
      </w:r>
      <w:r>
        <w:rPr>
          <w:rFonts w:ascii="Arial" w:cs="Arial" w:eastAsia="Arial" w:hAnsi="Arial"/>
          <w:sz w:val="20"/>
          <w:szCs w:val="20"/>
          <w:color w:val="auto"/>
        </w:rPr>
        <w:t>.</w:t>
      </w:r>
    </w:p>
    <w:p>
      <w:pPr>
        <w:spacing w:after="0" w:line="164"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Steering Committee”</w:t>
      </w:r>
      <w:r>
        <w:rPr>
          <w:rFonts w:ascii="Arial" w:cs="Arial" w:eastAsia="Arial" w:hAnsi="Arial"/>
          <w:sz w:val="18"/>
          <w:szCs w:val="18"/>
          <w:color w:val="auto"/>
        </w:rPr>
        <w:t xml:space="preserve"> or “</w:t>
      </w:r>
      <w:r>
        <w:rPr>
          <w:rFonts w:ascii="Arial" w:cs="Arial" w:eastAsia="Arial" w:hAnsi="Arial"/>
          <w:sz w:val="18"/>
          <w:szCs w:val="18"/>
          <w:b w:val="1"/>
          <w:bCs w:val="1"/>
          <w:color w:val="auto"/>
        </w:rPr>
        <w:t>JSC</w:t>
      </w:r>
      <w:r>
        <w:rPr>
          <w:rFonts w:ascii="Arial" w:cs="Arial" w:eastAsia="Arial" w:hAnsi="Arial"/>
          <w:sz w:val="18"/>
          <w:szCs w:val="18"/>
          <w:color w:val="auto"/>
        </w:rPr>
        <w:t xml:space="preserve">” means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(Joint Steering Committee).</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Patent Rights</w:t>
      </w:r>
      <w:r>
        <w:rPr>
          <w:rFonts w:ascii="Arial" w:cs="Arial" w:eastAsia="Arial" w:hAnsi="Arial"/>
          <w:sz w:val="16"/>
          <w:szCs w:val="16"/>
          <w:color w:val="auto"/>
        </w:rPr>
        <w:t>” means the Collaboration Molecule Patent Rights and the Target Patent Rights.</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Technology</w:t>
      </w:r>
      <w:r>
        <w:rPr>
          <w:rFonts w:ascii="Arial" w:cs="Arial" w:eastAsia="Arial" w:hAnsi="Arial"/>
          <w:sz w:val="18"/>
          <w:szCs w:val="18"/>
          <w:color w:val="auto"/>
        </w:rPr>
        <w:t>” means the Joint Know-How and the Joint Patent Rights.</w:t>
      </w:r>
    </w:p>
    <w:p>
      <w:pPr>
        <w:spacing w:after="0" w:line="216"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1.76. “</w:t>
      </w:r>
      <w:r>
        <w:rPr>
          <w:rFonts w:ascii="Arial" w:cs="Arial" w:eastAsia="Arial" w:hAnsi="Arial"/>
          <w:sz w:val="20"/>
          <w:szCs w:val="20"/>
          <w:b w:val="1"/>
          <w:bCs w:val="1"/>
          <w:color w:val="auto"/>
        </w:rPr>
        <w:t>Know-How</w:t>
      </w:r>
      <w:r>
        <w:rPr>
          <w:rFonts w:ascii="Arial" w:cs="Arial" w:eastAsia="Arial" w:hAnsi="Arial"/>
          <w:sz w:val="20"/>
          <w:szCs w:val="20"/>
          <w:color w:val="auto"/>
        </w:rPr>
        <w:t xml:space="preserve">” means intellectual property, data, results, pre-clinical and clinical protocols and data from studies and Clinical Trials, chemical structures, chemical sequences, information, inventions, know-how, formulas, trade secrets, techniques, methods, processes, procedures and developments, whether or not confidential, proprietary or patentable;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Know-How does not include Patent Rights.</w:t>
      </w:r>
    </w:p>
    <w:p>
      <w:pPr>
        <w:spacing w:after="0" w:line="184"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1.77.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Liability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(Indemnification).</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Major Market Countries</w:t>
      </w:r>
      <w:r>
        <w:rPr>
          <w:rFonts w:ascii="Arial" w:cs="Arial" w:eastAsia="Arial" w:hAnsi="Arial"/>
          <w:sz w:val="19"/>
          <w:szCs w:val="19"/>
          <w:color w:val="auto"/>
        </w:rPr>
        <w:t>” means [**].</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1.79.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Medicinal Chemistry Services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(Medicinal Chemistry Services).</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1.80.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Medicinal Chemistry Services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(Medicinal Chemistry Services).</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Milestone</w:t>
      </w:r>
      <w:r>
        <w:rPr>
          <w:rFonts w:ascii="Arial" w:cs="Arial" w:eastAsia="Arial" w:hAnsi="Arial"/>
          <w:sz w:val="18"/>
          <w:szCs w:val="18"/>
          <w:color w:val="auto"/>
        </w:rPr>
        <w:t>” means a Development Milestone, Research Milestone or Sales Milestone.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2" w:name="page163"/>
    <w:bookmarkEnd w:id="162"/>
    <w:p>
      <w:pPr>
        <w:jc w:val="both"/>
        <w:ind w:firstLine="877"/>
        <w:spacing w:after="0" w:line="245" w:lineRule="auto"/>
        <w:rPr>
          <w:sz w:val="20"/>
          <w:szCs w:val="20"/>
          <w:color w:val="auto"/>
        </w:rPr>
      </w:pPr>
      <w:r>
        <w:rPr>
          <w:rFonts w:ascii="Arial" w:cs="Arial" w:eastAsia="Arial" w:hAnsi="Arial"/>
          <w:sz w:val="20"/>
          <w:szCs w:val="20"/>
          <w:color w:val="auto"/>
        </w:rPr>
        <w:t>1.82. “</w:t>
      </w:r>
      <w:r>
        <w:rPr>
          <w:rFonts w:ascii="Arial" w:cs="Arial" w:eastAsia="Arial" w:hAnsi="Arial"/>
          <w:sz w:val="20"/>
          <w:szCs w:val="20"/>
          <w:b w:val="1"/>
          <w:bCs w:val="1"/>
          <w:color w:val="auto"/>
        </w:rPr>
        <w:t>Net Sales</w:t>
      </w:r>
      <w:r>
        <w:rPr>
          <w:rFonts w:ascii="Arial" w:cs="Arial" w:eastAsia="Arial" w:hAnsi="Arial"/>
          <w:sz w:val="20"/>
          <w:szCs w:val="20"/>
          <w:color w:val="auto"/>
        </w:rPr>
        <w:t>” means, for any Calendar Quarter during the Royalty Term and for any country, the total aggregate amount invoiced during such Calendar Quarter in such country by Acceleron, its Affiliates, or Sublicensees in such country for all sales of the Products to Third Parties (other than to Acceleron, its Affiliates, or Sublicensees), less deductions from such amounts calculated in accordance with GAAP so as to arrive at “net product sales” under GAAP, and further reduced by write-offs of accounts receivable or increase for collection of accounts that were previously written off, provided that sales under early access programs shall be included in Net Sales, notwithstanding GAAP to the contrary.</w:t>
      </w:r>
    </w:p>
    <w:p>
      <w:pPr>
        <w:spacing w:after="0" w:line="191" w:lineRule="exact"/>
        <w:rPr>
          <w:sz w:val="20"/>
          <w:szCs w:val="20"/>
          <w:color w:val="auto"/>
        </w:rPr>
      </w:pPr>
    </w:p>
    <w:p>
      <w:pPr>
        <w:jc w:val="both"/>
        <w:ind w:firstLine="877"/>
        <w:spacing w:after="0" w:line="305" w:lineRule="auto"/>
        <w:rPr>
          <w:sz w:val="20"/>
          <w:szCs w:val="20"/>
          <w:color w:val="auto"/>
        </w:rPr>
      </w:pPr>
      <w:r>
        <w:rPr>
          <w:rFonts w:ascii="Arial" w:cs="Arial" w:eastAsia="Arial" w:hAnsi="Arial"/>
          <w:sz w:val="16"/>
          <w:szCs w:val="16"/>
          <w:color w:val="auto"/>
        </w:rPr>
        <w:t xml:space="preserve">1.82.1. If any Product is sold as a Combination Product (as defined below), the Net Sales from the Combination Product, for the purposes of determining milestones and royalties, will be determined by multiplying the Net Sales of the Combination Product during the applicable Calendar Quarter, by the fraction, A/(A+B), where A is the average sale price of a Mono Product (as defined below) when sold separately in finished form and B is the average sale price of the other active compounds or active ingredients included in the Combination Product when sold separately in finished form, in each case, during the applicable Calendar Quarter in the applicable country or, if sales in such country of both the Mono Product and the other active compounds or active ingredients did not occur in such Calendar Quarter, then in the most recent Calendar Quarter in which sales of both occurred. If such average sale price cannot be determined for both the Mono Product and all other active compounds or active ingredients included in the Combination Product, Net Sales for the purposes of determining milestones and royalties will be calculated by multiplying the Net Sales of the Combination Product by the fraction of C/(C+D) where C is the fair market value of the Mono Product and D is the fair market value of all other active compounds or active ingredients included in the Combination Product. In such event, Acceleron will in good faith make a determination of the respective fair market values of the Mono Product and all other active compounds or active ingredients included in the Combination Product, and will notify Fulcrum of such determination and provide Fulcrum with Acceleron’s basis for such determination. If Fulcrum in good faith does not agree with such determination, Fulcrum may provide Acceleron with written notice of its disagreement within [**] after receiving the relevant report pursuant to </w:t>
      </w:r>
      <w:r>
        <w:rPr>
          <w:rFonts w:ascii="Arial" w:cs="Arial" w:eastAsia="Arial" w:hAnsi="Arial"/>
          <w:sz w:val="16"/>
          <w:szCs w:val="16"/>
          <w:u w:val="single" w:color="auto"/>
          <w:color w:val="auto"/>
        </w:rPr>
        <w:t>Section 6.3.4</w:t>
      </w:r>
      <w:r>
        <w:rPr>
          <w:rFonts w:ascii="Arial" w:cs="Arial" w:eastAsia="Arial" w:hAnsi="Arial"/>
          <w:sz w:val="16"/>
          <w:szCs w:val="16"/>
          <w:color w:val="auto"/>
        </w:rPr>
        <w:t xml:space="preserve"> (Royalty Reports), and, in such event, the Parties will resolve such dispute pursuant to </w:t>
      </w:r>
      <w:r>
        <w:rPr>
          <w:rFonts w:ascii="Arial" w:cs="Arial" w:eastAsia="Arial" w:hAnsi="Arial"/>
          <w:sz w:val="16"/>
          <w:szCs w:val="16"/>
          <w:u w:val="single" w:color="auto"/>
          <w:color w:val="auto"/>
        </w:rPr>
        <w:t>Section 12.1.4</w:t>
      </w:r>
      <w:r>
        <w:rPr>
          <w:rFonts w:ascii="Arial" w:cs="Arial" w:eastAsia="Arial" w:hAnsi="Arial"/>
          <w:sz w:val="16"/>
          <w:szCs w:val="16"/>
          <w:color w:val="auto"/>
        </w:rPr>
        <w:t>. “</w:t>
      </w:r>
      <w:r>
        <w:rPr>
          <w:rFonts w:ascii="Arial" w:cs="Arial" w:eastAsia="Arial" w:hAnsi="Arial"/>
          <w:sz w:val="16"/>
          <w:szCs w:val="16"/>
          <w:b w:val="1"/>
          <w:bCs w:val="1"/>
          <w:color w:val="auto"/>
        </w:rPr>
        <w:t>Combination Product</w:t>
      </w:r>
      <w:r>
        <w:rPr>
          <w:rFonts w:ascii="Arial" w:cs="Arial" w:eastAsia="Arial" w:hAnsi="Arial"/>
          <w:sz w:val="16"/>
          <w:szCs w:val="16"/>
          <w:color w:val="auto"/>
        </w:rPr>
        <w:t xml:space="preserve">” means a product that contains one or more Collaboration Molecules and one or more therapeutically active compounds or active ingredients that are </w:t>
      </w:r>
      <w:r>
        <w:rPr>
          <w:rFonts w:ascii="Arial" w:cs="Arial" w:eastAsia="Arial" w:hAnsi="Arial"/>
          <w:sz w:val="16"/>
          <w:szCs w:val="16"/>
          <w:i w:val="1"/>
          <w:iCs w:val="1"/>
          <w:color w:val="auto"/>
        </w:rPr>
        <w:t>not</w:t>
      </w:r>
      <w:r>
        <w:rPr>
          <w:rFonts w:ascii="Arial" w:cs="Arial" w:eastAsia="Arial" w:hAnsi="Arial"/>
          <w:sz w:val="16"/>
          <w:szCs w:val="16"/>
          <w:color w:val="auto"/>
        </w:rPr>
        <w:t xml:space="preserve"> Collaboration Molecules. “</w:t>
      </w:r>
      <w:r>
        <w:rPr>
          <w:rFonts w:ascii="Arial" w:cs="Arial" w:eastAsia="Arial" w:hAnsi="Arial"/>
          <w:sz w:val="16"/>
          <w:szCs w:val="16"/>
          <w:b w:val="1"/>
          <w:bCs w:val="1"/>
          <w:color w:val="auto"/>
        </w:rPr>
        <w:t>Mono Product</w:t>
      </w:r>
      <w:r>
        <w:rPr>
          <w:rFonts w:ascii="Arial" w:cs="Arial" w:eastAsia="Arial" w:hAnsi="Arial"/>
          <w:sz w:val="16"/>
          <w:szCs w:val="16"/>
          <w:color w:val="auto"/>
        </w:rPr>
        <w:t>” means a product containing no active compounds or active ingredients other than a Collaboration Molecule.</w:t>
      </w:r>
    </w:p>
    <w:p>
      <w:pPr>
        <w:spacing w:after="0" w:line="378"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1.82.2. Net Sales does not include (a) any sale to or between Acceleron, its Affiliates, or Sublicensees, (b) any use of such Product in Clinical Trials, pre-clinical studies or other development activities, or (c) the disposal or transfer of such Product for a bona fide charitable purpose, including expanded access, compassionate use or named patient use.</w:t>
      </w:r>
    </w:p>
    <w:p>
      <w:pPr>
        <w:spacing w:after="0" w:line="180"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Other Enforcement 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7.6.4</w:t>
      </w:r>
      <w:r>
        <w:rPr>
          <w:rFonts w:ascii="Arial" w:cs="Arial" w:eastAsia="Arial" w:hAnsi="Arial"/>
          <w:sz w:val="18"/>
          <w:szCs w:val="18"/>
          <w:color w:val="auto"/>
        </w:rPr>
        <w:t>.</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Preamble.</w:t>
      </w:r>
    </w:p>
    <w:p>
      <w:pPr>
        <w:spacing w:after="0" w:line="216"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1.85. “</w:t>
      </w:r>
      <w:r>
        <w:rPr>
          <w:rFonts w:ascii="Arial" w:cs="Arial" w:eastAsia="Arial" w:hAnsi="Arial"/>
          <w:sz w:val="20"/>
          <w:szCs w:val="20"/>
          <w:b w:val="1"/>
          <w:bCs w:val="1"/>
          <w:color w:val="auto"/>
        </w:rPr>
        <w:t>Patent Rights</w:t>
      </w:r>
      <w:r>
        <w:rPr>
          <w:rFonts w:ascii="Arial" w:cs="Arial" w:eastAsia="Arial" w:hAnsi="Arial"/>
          <w:sz w:val="20"/>
          <w:szCs w:val="20"/>
          <w:color w:val="auto"/>
        </w:rPr>
        <w:t>” means any and all (a) patents, (b) pending patent applications, including, all provisional, non-provisional, continuations, continuations-in-part and divisional applications and all patents granted thereon, (c) all reissues, reexaminations and extensions, and (d) all U.S. and foreign counterparts of any of the foregoing.</w:t>
      </w:r>
    </w:p>
    <w:p>
      <w:pPr>
        <w:spacing w:after="0" w:line="17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1.86. “</w:t>
      </w:r>
      <w:r>
        <w:rPr>
          <w:rFonts w:ascii="Arial" w:cs="Arial" w:eastAsia="Arial" w:hAnsi="Arial"/>
          <w:sz w:val="20"/>
          <w:szCs w:val="20"/>
          <w:b w:val="1"/>
          <w:bCs w:val="1"/>
          <w:color w:val="auto"/>
        </w:rPr>
        <w:t>Person</w:t>
      </w:r>
      <w:r>
        <w:rPr>
          <w:rFonts w:ascii="Arial" w:cs="Arial" w:eastAsia="Arial" w:hAnsi="Arial"/>
          <w:sz w:val="20"/>
          <w:szCs w:val="20"/>
          <w:color w:val="auto"/>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or department or agency of a government.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3" w:name="page164"/>
    <w:bookmarkEnd w:id="163"/>
    <w:p>
      <w:pPr>
        <w:ind w:left="880"/>
        <w:spacing w:after="0"/>
        <w:tabs>
          <w:tab w:leader="none" w:pos="1900" w:val="left"/>
        </w:tabs>
        <w:rPr>
          <w:sz w:val="20"/>
          <w:szCs w:val="20"/>
          <w:color w:val="auto"/>
        </w:rPr>
      </w:pPr>
      <w:r>
        <w:rPr>
          <w:rFonts w:ascii="Arial" w:cs="Arial" w:eastAsia="Arial" w:hAnsi="Arial"/>
          <w:sz w:val="20"/>
          <w:szCs w:val="20"/>
          <w:color w:val="auto"/>
        </w:rPr>
        <w:t>1.87.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means [**].</w:t>
      </w:r>
    </w:p>
    <w:p>
      <w:pPr>
        <w:spacing w:after="0" w:line="216" w:lineRule="exact"/>
        <w:rPr>
          <w:sz w:val="20"/>
          <w:szCs w:val="20"/>
          <w:color w:val="auto"/>
        </w:rPr>
      </w:pPr>
    </w:p>
    <w:p>
      <w:pPr>
        <w:jc w:val="both"/>
        <w:ind w:firstLine="877"/>
        <w:spacing w:after="0" w:line="262" w:lineRule="auto"/>
        <w:rPr>
          <w:sz w:val="20"/>
          <w:szCs w:val="20"/>
          <w:color w:val="auto"/>
        </w:rPr>
      </w:pPr>
      <w:r>
        <w:rPr>
          <w:rFonts w:ascii="Arial" w:cs="Arial" w:eastAsia="Arial" w:hAnsi="Arial"/>
          <w:sz w:val="19"/>
          <w:szCs w:val="19"/>
          <w:color w:val="auto"/>
        </w:rPr>
        <w:t>1.88. “</w:t>
      </w:r>
      <w:r>
        <w:rPr>
          <w:rFonts w:ascii="Arial" w:cs="Arial" w:eastAsia="Arial" w:hAnsi="Arial"/>
          <w:sz w:val="19"/>
          <w:szCs w:val="19"/>
          <w:b w:val="1"/>
          <w:bCs w:val="1"/>
          <w:color w:val="auto"/>
        </w:rPr>
        <w:t>[**] Target</w:t>
      </w:r>
      <w:r>
        <w:rPr>
          <w:rFonts w:ascii="Arial" w:cs="Arial" w:eastAsia="Arial" w:hAnsi="Arial"/>
          <w:sz w:val="19"/>
          <w:szCs w:val="19"/>
          <w:color w:val="auto"/>
        </w:rPr>
        <w:t xml:space="preserve">” means a Research Target that is designated as a [**] Target by Acceleron in writing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(Research Targets; Excluded Targets; [**] Target Selection). A [**] Target will also include any nucleic acids (e.g., genomic, mRNA, cDNA) encoding such Research Target and any nucleic acids enabling the transcription or translation of such Research Target, in each case, to the extent covered or claimed by any Patent Right that (a) claims or discloses Know-How developed, invented, or created in the performance of activities under this Agreement, and (b) covers or claims such Research Target.</w:t>
      </w:r>
    </w:p>
    <w:p>
      <w:pPr>
        <w:spacing w:after="0" w:line="171"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1.89. “</w:t>
      </w:r>
      <w:r>
        <w:rPr>
          <w:rFonts w:ascii="Arial" w:cs="Arial" w:eastAsia="Arial" w:hAnsi="Arial"/>
          <w:sz w:val="20"/>
          <w:szCs w:val="20"/>
          <w:b w:val="1"/>
          <w:bCs w:val="1"/>
          <w:color w:val="auto"/>
        </w:rPr>
        <w:t>Phase 1 Clinical Trial</w:t>
      </w:r>
      <w:r>
        <w:rPr>
          <w:rFonts w:ascii="Arial" w:cs="Arial" w:eastAsia="Arial" w:hAnsi="Arial"/>
          <w:sz w:val="20"/>
          <w:szCs w:val="20"/>
          <w:color w:val="auto"/>
        </w:rPr>
        <w:t>” means, as to a specific Product, study in humans of such Product, designed to satisfy the requirements of 21 C.F.R. § 312.21(a), as amended from time to time, or the corresponding regulation in jurisdictions other than the United States.</w:t>
      </w:r>
    </w:p>
    <w:p>
      <w:pPr>
        <w:spacing w:after="0" w:line="17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1.90. “</w:t>
      </w:r>
      <w:r>
        <w:rPr>
          <w:rFonts w:ascii="Arial" w:cs="Arial" w:eastAsia="Arial" w:hAnsi="Arial"/>
          <w:sz w:val="20"/>
          <w:szCs w:val="20"/>
          <w:b w:val="1"/>
          <w:bCs w:val="1"/>
          <w:color w:val="auto"/>
        </w:rPr>
        <w:t>Phase 2 Clinical Trial</w:t>
      </w:r>
      <w:r>
        <w:rPr>
          <w:rFonts w:ascii="Arial" w:cs="Arial" w:eastAsia="Arial" w:hAnsi="Arial"/>
          <w:sz w:val="20"/>
          <w:szCs w:val="20"/>
          <w:color w:val="auto"/>
        </w:rPr>
        <w:t>” means as to a specific Product, a study in humans of such Product, designed to satisfy the requirements of 21 C.F.R. § 312.21(b), as amended from time to time, or the corresponding regulation in jurisdictions other than the United States.</w:t>
      </w:r>
    </w:p>
    <w:p>
      <w:pPr>
        <w:spacing w:after="0" w:line="17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1.91. “</w:t>
      </w:r>
      <w:r>
        <w:rPr>
          <w:rFonts w:ascii="Arial" w:cs="Arial" w:eastAsia="Arial" w:hAnsi="Arial"/>
          <w:sz w:val="20"/>
          <w:szCs w:val="20"/>
          <w:b w:val="1"/>
          <w:bCs w:val="1"/>
          <w:color w:val="auto"/>
        </w:rPr>
        <w:t>Phase 3 Clinical Trial</w:t>
      </w:r>
      <w:r>
        <w:rPr>
          <w:rFonts w:ascii="Arial" w:cs="Arial" w:eastAsia="Arial" w:hAnsi="Arial"/>
          <w:sz w:val="20"/>
          <w:szCs w:val="20"/>
          <w:color w:val="auto"/>
        </w:rPr>
        <w:t>” means as to a specific Product, a study in humans of such Product, designed to satisfy the requirements of 21 C.F.R. § 312.21(c), as amended from time to time, or the corresponding regulation in jurisdictions other than the United States.</w:t>
      </w:r>
    </w:p>
    <w:p>
      <w:pPr>
        <w:spacing w:after="0" w:line="178"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Platform Patent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7.1.3</w:t>
      </w:r>
      <w:r>
        <w:rPr>
          <w:rFonts w:ascii="Arial" w:cs="Arial" w:eastAsia="Arial" w:hAnsi="Arial"/>
          <w:sz w:val="18"/>
          <w:szCs w:val="18"/>
          <w:color w:val="auto"/>
        </w:rPr>
        <w:t>.</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Primary Screens</w:t>
      </w:r>
      <w:r>
        <w:rPr>
          <w:rFonts w:ascii="Arial" w:cs="Arial" w:eastAsia="Arial" w:hAnsi="Arial"/>
          <w:sz w:val="16"/>
          <w:szCs w:val="16"/>
          <w:color w:val="auto"/>
        </w:rPr>
        <w:t>” means the screens identified as Primary Screens in Figure 2 of the Research Plan.</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1.94.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a pharmaceutical product containing a Collaboration Molecule.</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1.95.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 Patent Right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7.4.4</w:t>
      </w:r>
      <w:r>
        <w:rPr>
          <w:rFonts w:ascii="Arial" w:cs="Arial" w:eastAsia="Arial" w:hAnsi="Arial"/>
          <w:sz w:val="18"/>
          <w:szCs w:val="18"/>
          <w:color w:val="auto"/>
        </w:rPr>
        <w:t xml:space="preserve"> (Acceleron’s Second Right).</w:t>
      </w:r>
    </w:p>
    <w:p>
      <w:pPr>
        <w:spacing w:after="0" w:line="21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1.96.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(Confidentiality).</w:t>
      </w:r>
    </w:p>
    <w:p>
      <w:pPr>
        <w:spacing w:after="0" w:line="216"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1.97. “</w:t>
      </w:r>
      <w:r>
        <w:rPr>
          <w:rFonts w:ascii="Arial" w:cs="Arial" w:eastAsia="Arial" w:hAnsi="Arial"/>
          <w:sz w:val="20"/>
          <w:szCs w:val="20"/>
          <w:b w:val="1"/>
          <w:bCs w:val="1"/>
          <w:color w:val="auto"/>
        </w:rPr>
        <w:t>Regulatory Approval</w:t>
      </w:r>
      <w:r>
        <w:rPr>
          <w:rFonts w:ascii="Arial" w:cs="Arial" w:eastAsia="Arial" w:hAnsi="Arial"/>
          <w:sz w:val="20"/>
          <w:szCs w:val="20"/>
          <w:color w:val="auto"/>
        </w:rPr>
        <w:t>” means any and all approvals (including the approval by an applicable Governmental Authority in certain countries or territories, including [**], with respect to the price at which a pharmaceutical product is sold and can be reimbursed by healthcare insurers), licenses, registrations or authorizations (or waivers) of any national, supra-national, regional, state or local regulatory agency, department, bureau, commission, council or other governmental entity, necessary for the marketing and sale of a pharmaceutical product in a given regulatory jurisdiction.</w:t>
      </w:r>
    </w:p>
    <w:p>
      <w:pPr>
        <w:spacing w:after="0" w:line="185"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1.98. “</w:t>
      </w:r>
      <w:r>
        <w:rPr>
          <w:rFonts w:ascii="Arial" w:cs="Arial" w:eastAsia="Arial" w:hAnsi="Arial"/>
          <w:sz w:val="20"/>
          <w:szCs w:val="20"/>
          <w:b w:val="1"/>
          <w:bCs w:val="1"/>
          <w:color w:val="auto"/>
        </w:rPr>
        <w:t>Regulatory Authority</w:t>
      </w:r>
      <w:r>
        <w:rPr>
          <w:rFonts w:ascii="Arial" w:cs="Arial" w:eastAsia="Arial" w:hAnsi="Arial"/>
          <w:sz w:val="20"/>
          <w:szCs w:val="20"/>
          <w:color w:val="auto"/>
        </w:rPr>
        <w:t>” means, with respect to a country in the Territory, any national (e.g., the FDA), supra-national (e.g., the [**]), regional, state or local regulatory agency, department, bureau, commission, council or other Governmental Authority involved in the regulation of the research, development or other exploitation of any Collaboration Molecule or Product or granting of Regulatory Approvals for pharmaceutical products in such country or countries.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4" w:name="page165"/>
    <w:bookmarkEnd w:id="164"/>
    <w:p>
      <w:pPr>
        <w:jc w:val="both"/>
        <w:ind w:firstLine="877"/>
        <w:spacing w:after="0" w:line="248" w:lineRule="auto"/>
        <w:rPr>
          <w:sz w:val="20"/>
          <w:szCs w:val="20"/>
          <w:color w:val="auto"/>
        </w:rPr>
      </w:pPr>
      <w:r>
        <w:rPr>
          <w:rFonts w:ascii="Arial" w:cs="Arial" w:eastAsia="Arial" w:hAnsi="Arial"/>
          <w:sz w:val="20"/>
          <w:szCs w:val="20"/>
          <w:color w:val="auto"/>
        </w:rPr>
        <w:t>1.99. “</w:t>
      </w:r>
      <w:r>
        <w:rPr>
          <w:rFonts w:ascii="Arial" w:cs="Arial" w:eastAsia="Arial" w:hAnsi="Arial"/>
          <w:sz w:val="20"/>
          <w:szCs w:val="20"/>
          <w:b w:val="1"/>
          <w:bCs w:val="1"/>
          <w:color w:val="auto"/>
        </w:rPr>
        <w:t>Regulatory Exclusivity</w:t>
      </w:r>
      <w:r>
        <w:rPr>
          <w:rFonts w:ascii="Arial" w:cs="Arial" w:eastAsia="Arial" w:hAnsi="Arial"/>
          <w:sz w:val="20"/>
          <w:szCs w:val="20"/>
          <w:color w:val="auto"/>
        </w:rPr>
        <w:t>” means any exclusive marketing rights or data exclusivity rights conferred by any Regulatory Authority with respect to a Product in a country or jurisdiction in the Territory, other than a Patent Right, including exclusivity for Regulatory Approval in the Territory, new chemical entity exclusivity, new clinical data exclusivity, orphan drug exclusivity, pediatric exclusivity, or rights similar thereto in other countries or regulatory jurisdictions.</w:t>
      </w:r>
    </w:p>
    <w:p>
      <w:pPr>
        <w:spacing w:after="0" w:line="184"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color w:val="auto"/>
        </w:rPr>
        <w:t>1.100. “</w:t>
      </w:r>
      <w:r>
        <w:rPr>
          <w:rFonts w:ascii="Arial" w:cs="Arial" w:eastAsia="Arial" w:hAnsi="Arial"/>
          <w:sz w:val="20"/>
          <w:szCs w:val="20"/>
          <w:b w:val="1"/>
          <w:bCs w:val="1"/>
          <w:color w:val="auto"/>
        </w:rPr>
        <w:t>Representatives</w:t>
      </w:r>
      <w:r>
        <w:rPr>
          <w:rFonts w:ascii="Arial" w:cs="Arial" w:eastAsia="Arial" w:hAnsi="Arial"/>
          <w:sz w:val="20"/>
          <w:szCs w:val="20"/>
          <w:color w:val="auto"/>
        </w:rPr>
        <w:t>” means with respect to each Party, its Affiliates and each of their respective officers, directors, employees, consultants, contractors, subcontractors, agents, and sublicensees.</w:t>
      </w:r>
    </w:p>
    <w:p>
      <w:pPr>
        <w:spacing w:after="0" w:line="164"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1.101.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Research Activities</w:t>
      </w:r>
      <w:r>
        <w:rPr>
          <w:rFonts w:ascii="Arial" w:cs="Arial" w:eastAsia="Arial" w:hAnsi="Arial"/>
          <w:sz w:val="18"/>
          <w:szCs w:val="18"/>
          <w:color w:val="auto"/>
        </w:rPr>
        <w:t>” means the Acceleron Research Activities and the Fulcrum Research Activities, collectively.</w:t>
      </w:r>
    </w:p>
    <w:p>
      <w:pPr>
        <w:spacing w:after="0" w:line="216"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1.102.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Milestone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6.2.1</w:t>
      </w:r>
      <w:r>
        <w:rPr>
          <w:rFonts w:ascii="Arial" w:cs="Arial" w:eastAsia="Arial" w:hAnsi="Arial"/>
          <w:sz w:val="16"/>
          <w:szCs w:val="16"/>
          <w:color w:val="auto"/>
        </w:rPr>
        <w:t xml:space="preserve"> (Research Milestones).</w:t>
      </w:r>
    </w:p>
    <w:p>
      <w:pPr>
        <w:spacing w:after="0" w:line="216"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1.103.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Milestone Payment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6.2.1</w:t>
      </w:r>
      <w:r>
        <w:rPr>
          <w:rFonts w:ascii="Arial" w:cs="Arial" w:eastAsia="Arial" w:hAnsi="Arial"/>
          <w:sz w:val="16"/>
          <w:szCs w:val="16"/>
          <w:color w:val="auto"/>
        </w:rPr>
        <w:t xml:space="preserve"> (Research Milestones).</w:t>
      </w:r>
    </w:p>
    <w:p>
      <w:pPr>
        <w:spacing w:after="0" w:line="216"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1.104.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(Research Plan).</w:t>
      </w:r>
    </w:p>
    <w:p>
      <w:pPr>
        <w:spacing w:after="0" w:line="216"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1.105. “</w:t>
      </w:r>
      <w:r>
        <w:rPr>
          <w:rFonts w:ascii="Arial" w:cs="Arial" w:eastAsia="Arial" w:hAnsi="Arial"/>
          <w:sz w:val="20"/>
          <w:szCs w:val="20"/>
          <w:b w:val="1"/>
          <w:bCs w:val="1"/>
          <w:color w:val="auto"/>
        </w:rPr>
        <w:t>Research Target</w:t>
      </w:r>
      <w:r>
        <w:rPr>
          <w:rFonts w:ascii="Arial" w:cs="Arial" w:eastAsia="Arial" w:hAnsi="Arial"/>
          <w:sz w:val="20"/>
          <w:szCs w:val="20"/>
          <w:color w:val="auto"/>
        </w:rPr>
        <w:t>” means up to [**] biological targets selected by Acceleron in its sole discretion by notice to Fulcrum at any time following Acceleron’s receipt of the complete Data Package for the CRC Screens but no later than [**] following Acceleron’s receipt of the complete Data Package for the Confirmation Screens.</w:t>
      </w:r>
    </w:p>
    <w:p>
      <w:pPr>
        <w:spacing w:after="0" w:line="17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1.106. “</w:t>
      </w:r>
      <w:r>
        <w:rPr>
          <w:rFonts w:ascii="Arial" w:cs="Arial" w:eastAsia="Arial" w:hAnsi="Arial"/>
          <w:sz w:val="20"/>
          <w:szCs w:val="20"/>
          <w:b w:val="1"/>
          <w:bCs w:val="1"/>
          <w:color w:val="auto"/>
        </w:rPr>
        <w:t>Research Term</w:t>
      </w:r>
      <w:r>
        <w:rPr>
          <w:rFonts w:ascii="Arial" w:cs="Arial" w:eastAsia="Arial" w:hAnsi="Arial"/>
          <w:sz w:val="20"/>
          <w:szCs w:val="20"/>
          <w:color w:val="auto"/>
        </w:rPr>
        <w:t xml:space="preserve">” means the period commencing on the Effective Date and continuing until the earlier of (i) the expiration of the Designation Period, or (ii) Acceleron’s designation of [**] Targets pursuant to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(Research Targets; Excluded Targets; [**] Target Selection).</w:t>
      </w:r>
    </w:p>
    <w:p>
      <w:pPr>
        <w:spacing w:after="0" w:line="178"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1.107.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6.3.1</w:t>
      </w:r>
      <w:r>
        <w:rPr>
          <w:rFonts w:ascii="Arial" w:cs="Arial" w:eastAsia="Arial" w:hAnsi="Arial"/>
          <w:sz w:val="18"/>
          <w:szCs w:val="18"/>
          <w:color w:val="auto"/>
        </w:rPr>
        <w:t xml:space="preserve"> (Royalty Rate).</w:t>
      </w:r>
    </w:p>
    <w:p>
      <w:pPr>
        <w:spacing w:after="0" w:line="216" w:lineRule="exact"/>
        <w:rPr>
          <w:sz w:val="20"/>
          <w:szCs w:val="20"/>
          <w:color w:val="auto"/>
        </w:rPr>
      </w:pPr>
    </w:p>
    <w:p>
      <w:pPr>
        <w:jc w:val="both"/>
        <w:ind w:firstLine="877"/>
        <w:spacing w:after="0" w:line="285" w:lineRule="auto"/>
        <w:rPr>
          <w:sz w:val="20"/>
          <w:szCs w:val="20"/>
          <w:color w:val="auto"/>
        </w:rPr>
      </w:pPr>
      <w:r>
        <w:rPr>
          <w:rFonts w:ascii="Arial" w:cs="Arial" w:eastAsia="Arial" w:hAnsi="Arial"/>
          <w:sz w:val="18"/>
          <w:szCs w:val="18"/>
          <w:color w:val="auto"/>
        </w:rPr>
        <w:t>1.108. “</w:t>
      </w:r>
      <w:r>
        <w:rPr>
          <w:rFonts w:ascii="Arial" w:cs="Arial" w:eastAsia="Arial" w:hAnsi="Arial"/>
          <w:sz w:val="18"/>
          <w:szCs w:val="18"/>
          <w:b w:val="1"/>
          <w:bCs w:val="1"/>
          <w:color w:val="auto"/>
        </w:rPr>
        <w:t>Royalty Term</w:t>
      </w:r>
      <w:r>
        <w:rPr>
          <w:rFonts w:ascii="Arial" w:cs="Arial" w:eastAsia="Arial" w:hAnsi="Arial"/>
          <w:sz w:val="18"/>
          <w:szCs w:val="18"/>
          <w:color w:val="auto"/>
        </w:rPr>
        <w:t>” means, with respect to a Product in a country, the period commencing on the first sale for use or consumption by an end user of such Product in such country and ending upon the latest of: (a) the expiration of the last Valid Claim of the last Fulcrum Patent Right that Covers such Product in such country, (b) the expiration of any applicable Regulatory Exclusivity in such country with respect to such Product, and (c) [**] from the date of the first sale for use or consumption by an end user of such Product in such country.</w:t>
      </w:r>
    </w:p>
    <w:p>
      <w:pPr>
        <w:spacing w:after="0" w:line="151"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1.109.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Tier 1</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6.3.1</w:t>
      </w:r>
      <w:r>
        <w:rPr>
          <w:rFonts w:ascii="Arial" w:cs="Arial" w:eastAsia="Arial" w:hAnsi="Arial"/>
          <w:sz w:val="18"/>
          <w:szCs w:val="18"/>
          <w:color w:val="auto"/>
        </w:rPr>
        <w:t xml:space="preserve"> (Royalty Rate).</w:t>
      </w:r>
    </w:p>
    <w:p>
      <w:pPr>
        <w:spacing w:after="0" w:line="216"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Tier 2</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6.3.1</w:t>
      </w:r>
      <w:r>
        <w:rPr>
          <w:rFonts w:ascii="Arial" w:cs="Arial" w:eastAsia="Arial" w:hAnsi="Arial"/>
          <w:sz w:val="18"/>
          <w:szCs w:val="18"/>
          <w:color w:val="auto"/>
        </w:rPr>
        <w:t xml:space="preserve"> (Royalty Rate).</w:t>
      </w:r>
    </w:p>
    <w:p>
      <w:pPr>
        <w:spacing w:after="0" w:line="216"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Tier 3</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6.3.1</w:t>
      </w:r>
      <w:r>
        <w:rPr>
          <w:rFonts w:ascii="Arial" w:cs="Arial" w:eastAsia="Arial" w:hAnsi="Arial"/>
          <w:sz w:val="18"/>
          <w:szCs w:val="18"/>
          <w:color w:val="auto"/>
        </w:rPr>
        <w:t xml:space="preserve"> (Royalty Rate).</w:t>
      </w:r>
    </w:p>
    <w:p>
      <w:pPr>
        <w:spacing w:after="0" w:line="216"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Sales Milestone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6.2.3</w:t>
      </w:r>
      <w:r>
        <w:rPr>
          <w:rFonts w:ascii="Arial" w:cs="Arial" w:eastAsia="Arial" w:hAnsi="Arial"/>
          <w:sz w:val="16"/>
          <w:szCs w:val="16"/>
          <w:color w:val="auto"/>
        </w:rPr>
        <w:t xml:space="preserve"> (Sales Milestones).</w:t>
      </w:r>
    </w:p>
    <w:p>
      <w:pPr>
        <w:spacing w:after="0" w:line="216"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Sales Milestone Payment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6.2.3</w:t>
      </w:r>
      <w:r>
        <w:rPr>
          <w:rFonts w:ascii="Arial" w:cs="Arial" w:eastAsia="Arial" w:hAnsi="Arial"/>
          <w:sz w:val="16"/>
          <w:szCs w:val="16"/>
          <w:color w:val="auto"/>
        </w:rPr>
        <w:t xml:space="preserve"> (Sales Milestones).</w:t>
      </w:r>
    </w:p>
    <w:p>
      <w:pPr>
        <w:spacing w:after="0" w:line="216"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color w:val="auto"/>
        </w:rPr>
        <w:t>1.114. “</w:t>
      </w:r>
      <w:r>
        <w:rPr>
          <w:rFonts w:ascii="Arial" w:cs="Arial" w:eastAsia="Arial" w:hAnsi="Arial"/>
          <w:sz w:val="20"/>
          <w:szCs w:val="20"/>
          <w:b w:val="1"/>
          <w:bCs w:val="1"/>
          <w:color w:val="auto"/>
        </w:rPr>
        <w:t>Screening Assay</w:t>
      </w:r>
      <w:r>
        <w:rPr>
          <w:rFonts w:ascii="Arial" w:cs="Arial" w:eastAsia="Arial" w:hAnsi="Arial"/>
          <w:sz w:val="20"/>
          <w:szCs w:val="20"/>
          <w:color w:val="auto"/>
        </w:rPr>
        <w:t>” means the Primary Screens and CRC Screens for each of (a) [**], (b) [**] and (c) “[**],” each as described in the Research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5" w:name="page166"/>
    <w:bookmarkEnd w:id="165"/>
    <w:p>
      <w:pPr>
        <w:jc w:val="both"/>
        <w:ind w:firstLine="877"/>
        <w:spacing w:after="0" w:line="266" w:lineRule="auto"/>
        <w:rPr>
          <w:sz w:val="20"/>
          <w:szCs w:val="20"/>
          <w:color w:val="auto"/>
        </w:rPr>
      </w:pPr>
      <w:r>
        <w:rPr>
          <w:rFonts w:ascii="Arial" w:cs="Arial" w:eastAsia="Arial" w:hAnsi="Arial"/>
          <w:sz w:val="19"/>
          <w:szCs w:val="19"/>
          <w:color w:val="auto"/>
        </w:rPr>
        <w:t>1.115. “</w:t>
      </w:r>
      <w:r>
        <w:rPr>
          <w:rFonts w:ascii="Arial" w:cs="Arial" w:eastAsia="Arial" w:hAnsi="Arial"/>
          <w:sz w:val="19"/>
          <w:szCs w:val="19"/>
          <w:b w:val="1"/>
          <w:bCs w:val="1"/>
          <w:color w:val="auto"/>
        </w:rPr>
        <w:t>Sublicensee</w:t>
      </w:r>
      <w:r>
        <w:rPr>
          <w:rFonts w:ascii="Arial" w:cs="Arial" w:eastAsia="Arial" w:hAnsi="Arial"/>
          <w:sz w:val="19"/>
          <w:szCs w:val="19"/>
          <w:color w:val="auto"/>
        </w:rPr>
        <w:t xml:space="preserve">” means an entity to which Acceleron grants a sublicense under Acceleron’s rights under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(License Grant to Acceleron);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“Sublicensee” does not include any of Acceleron’s Affiliates or distributors of Acceleron or its Affiliates who purchase Products from Acceleron or its Affiliates in an arm’s length transaction and who have no other obligation, including a reporting obligation, to Acceleron or its Affiliates, with respect to any subsequent use or disposition of such Products.</w:t>
      </w:r>
    </w:p>
    <w:p>
      <w:pPr>
        <w:spacing w:after="0" w:line="166" w:lineRule="exact"/>
        <w:rPr>
          <w:sz w:val="20"/>
          <w:szCs w:val="20"/>
          <w:color w:val="auto"/>
        </w:rPr>
      </w:pPr>
    </w:p>
    <w:p>
      <w:pPr>
        <w:jc w:val="both"/>
        <w:ind w:right="20" w:firstLine="877"/>
        <w:spacing w:after="0" w:line="267" w:lineRule="auto"/>
        <w:rPr>
          <w:sz w:val="20"/>
          <w:szCs w:val="20"/>
          <w:color w:val="auto"/>
        </w:rPr>
      </w:pPr>
      <w:r>
        <w:rPr>
          <w:rFonts w:ascii="Arial" w:cs="Arial" w:eastAsia="Arial" w:hAnsi="Arial"/>
          <w:sz w:val="20"/>
          <w:szCs w:val="20"/>
          <w:color w:val="auto"/>
        </w:rPr>
        <w:t>1.116. “</w:t>
      </w:r>
      <w:r>
        <w:rPr>
          <w:rFonts w:ascii="Arial" w:cs="Arial" w:eastAsia="Arial" w:hAnsi="Arial"/>
          <w:sz w:val="20"/>
          <w:szCs w:val="20"/>
          <w:b w:val="1"/>
          <w:bCs w:val="1"/>
          <w:color w:val="auto"/>
        </w:rPr>
        <w:t>Target Identification Research Activities</w:t>
      </w:r>
      <w:r>
        <w:rPr>
          <w:rFonts w:ascii="Arial" w:cs="Arial" w:eastAsia="Arial" w:hAnsi="Arial"/>
          <w:sz w:val="20"/>
          <w:szCs w:val="20"/>
          <w:color w:val="auto"/>
        </w:rPr>
        <w:t>” means Fulcrum’s use of the Fulcrum Platform to identify and validate biological targets pursuant to the Research Plan.</w:t>
      </w:r>
    </w:p>
    <w:p>
      <w:pPr>
        <w:spacing w:after="0" w:line="164"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Target Know-How</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216"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Target Patent Rights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w:t>
      </w:r>
    </w:p>
    <w:p>
      <w:pPr>
        <w:spacing w:after="0" w:line="216"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(Term).</w:t>
      </w:r>
    </w:p>
    <w:p>
      <w:pPr>
        <w:spacing w:after="0" w:line="216"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1.120.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worldwide.</w:t>
      </w:r>
    </w:p>
    <w:p>
      <w:pPr>
        <w:spacing w:after="0" w:line="216"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Acceleron, Fulcrum or their respective Affiliates.</w:t>
      </w:r>
    </w:p>
    <w:p>
      <w:pPr>
        <w:spacing w:after="0" w:line="216"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Total Royalty Burden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6.3.3(b)</w:t>
      </w:r>
      <w:r>
        <w:rPr>
          <w:rFonts w:ascii="Arial" w:cs="Arial" w:eastAsia="Arial" w:hAnsi="Arial"/>
          <w:sz w:val="18"/>
          <w:szCs w:val="18"/>
          <w:color w:val="auto"/>
        </w:rPr>
        <w:t>.</w:t>
      </w:r>
    </w:p>
    <w:p>
      <w:pPr>
        <w:spacing w:after="0" w:line="216"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0"/>
          <w:szCs w:val="20"/>
          <w:color w:val="auto"/>
        </w:rPr>
        <w:t>1.123.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b w:val="1"/>
          <w:bCs w:val="1"/>
          <w:i w:val="1"/>
          <w:iCs w:val="1"/>
          <w:color w:val="auto"/>
        </w:rPr>
        <w:t>.</w:t>
      </w:r>
      <w:r>
        <w:rPr>
          <w:rFonts w:ascii="Arial" w:cs="Arial" w:eastAsia="Arial" w:hAnsi="Arial"/>
          <w:sz w:val="18"/>
          <w:szCs w:val="18"/>
          <w:color w:val="auto"/>
        </w:rPr>
        <w:t>” means the United States of America and all of its districts, territories and possessions.</w:t>
      </w:r>
    </w:p>
    <w:p>
      <w:pPr>
        <w:spacing w:after="0" w:line="216"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9"/>
          <w:szCs w:val="19"/>
          <w:color w:val="auto"/>
        </w:rPr>
        <w:t>1.124. “</w:t>
      </w:r>
      <w:r>
        <w:rPr>
          <w:rFonts w:ascii="Arial" w:cs="Arial" w:eastAsia="Arial" w:hAnsi="Arial"/>
          <w:sz w:val="19"/>
          <w:szCs w:val="19"/>
          <w:b w:val="1"/>
          <w:bCs w:val="1"/>
          <w:color w:val="auto"/>
        </w:rPr>
        <w:t>Valid Claim</w:t>
      </w:r>
      <w:r>
        <w:rPr>
          <w:rFonts w:ascii="Arial" w:cs="Arial" w:eastAsia="Arial" w:hAnsi="Arial"/>
          <w:sz w:val="19"/>
          <w:szCs w:val="19"/>
          <w:color w:val="auto"/>
        </w:rPr>
        <w:t>” means (a) an issued claim of any Patent Right that has not been permanently revoked, nor held unenforceable or invalid by a decision of a court or other governmental agency of competent jurisdiction that is unappealable or unappealed in the time allowed for appeal, and which has not been cancelled, withdrawn or abandoned or admitted to be invalid or unenforceable through reissue, disclaimer or otherwise or (b) a pending claim of a patent application or series of related patent applications that has been pending, in the same or substantially the same claims, less than [**] from the date of filing of the earliest patent application from which such patent application claims priority, which claim has not been cancelled, withdrawn or abandoned, or finally rejected by an administrative agency action from which no appeal can be taken. For clarity, a claim in a patent application that fails to issue within [**] from its earliest priority date, and subsequently issues, becomes a Valid Claim upon issuance.</w:t>
      </w:r>
    </w:p>
    <w:p>
      <w:pPr>
        <w:spacing w:after="0" w:line="174" w:lineRule="exact"/>
        <w:rPr>
          <w:sz w:val="20"/>
          <w:szCs w:val="20"/>
          <w:color w:val="auto"/>
        </w:rPr>
      </w:pPr>
    </w:p>
    <w:p>
      <w:pPr>
        <w:jc w:val="both"/>
        <w:ind w:right="20" w:firstLine="877"/>
        <w:spacing w:after="0" w:line="267" w:lineRule="auto"/>
        <w:rPr>
          <w:sz w:val="20"/>
          <w:szCs w:val="20"/>
          <w:color w:val="auto"/>
        </w:rPr>
      </w:pPr>
      <w:r>
        <w:rPr>
          <w:rFonts w:ascii="Arial" w:cs="Arial" w:eastAsia="Arial" w:hAnsi="Arial"/>
          <w:sz w:val="20"/>
          <w:szCs w:val="20"/>
          <w:color w:val="auto"/>
        </w:rPr>
        <w:t>1.125. “</w:t>
      </w:r>
      <w:r>
        <w:rPr>
          <w:rFonts w:ascii="Arial" w:cs="Arial" w:eastAsia="Arial" w:hAnsi="Arial"/>
          <w:sz w:val="20"/>
          <w:szCs w:val="20"/>
          <w:b w:val="1"/>
          <w:bCs w:val="1"/>
          <w:color w:val="auto"/>
        </w:rPr>
        <w:t>Withholding Taxes</w:t>
      </w:r>
      <w:r>
        <w:rPr>
          <w:rFonts w:ascii="Arial" w:cs="Arial" w:eastAsia="Arial" w:hAnsi="Arial"/>
          <w:sz w:val="20"/>
          <w:szCs w:val="20"/>
          <w:color w:val="auto"/>
        </w:rPr>
        <w:t>” means any and all income or other taxes, withholdings or other deductions required by Applicable Law to be withheld or deducted from any of the payments made under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COLLABORATION MANAGEMENT</w:t>
      </w:r>
    </w:p>
    <w:p>
      <w:pPr>
        <w:spacing w:after="0" w:line="194" w:lineRule="exact"/>
        <w:rPr>
          <w:sz w:val="20"/>
          <w:szCs w:val="20"/>
          <w:color w:val="auto"/>
        </w:rPr>
      </w:pPr>
    </w:p>
    <w:p>
      <w:pPr>
        <w:jc w:val="both"/>
        <w:ind w:right="20" w:firstLine="877"/>
        <w:spacing w:after="0" w:line="293"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b w:val="1"/>
          <w:bCs w:val="1"/>
          <w:u w:val="single" w:color="auto"/>
          <w:color w:val="auto"/>
        </w:rPr>
        <w:t>Joint Steering Committee</w:t>
      </w:r>
      <w:r>
        <w:rPr>
          <w:rFonts w:ascii="Arial" w:cs="Arial" w:eastAsia="Arial" w:hAnsi="Arial"/>
          <w:sz w:val="19"/>
          <w:szCs w:val="19"/>
          <w:color w:val="auto"/>
        </w:rPr>
        <w:t>. Within [**] after the Effective Date, the Parties will establish a Joint Steering Committee (the “</w:t>
      </w:r>
      <w:r>
        <w:rPr>
          <w:rFonts w:ascii="Arial" w:cs="Arial" w:eastAsia="Arial" w:hAnsi="Arial"/>
          <w:sz w:val="19"/>
          <w:szCs w:val="19"/>
          <w:b w:val="1"/>
          <w:bCs w:val="1"/>
          <w:color w:val="auto"/>
        </w:rPr>
        <w:t>JSC</w:t>
      </w:r>
      <w:r>
        <w:rPr>
          <w:rFonts w:ascii="Arial" w:cs="Arial" w:eastAsia="Arial" w:hAnsi="Arial"/>
          <w:sz w:val="19"/>
          <w:szCs w:val="19"/>
          <w:color w:val="auto"/>
        </w:rPr>
        <w:t xml:space="preserve">”) to coordinate the Parties’ activities under the Research Plan, as further set forth in this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(Collaboration Management).</w:t>
      </w:r>
    </w:p>
    <w:p>
      <w:pPr>
        <w:spacing w:after="0" w:line="142"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Composition of the JSC</w:t>
      </w:r>
      <w:r>
        <w:rPr>
          <w:rFonts w:ascii="Arial" w:cs="Arial" w:eastAsia="Arial" w:hAnsi="Arial"/>
          <w:sz w:val="18"/>
          <w:szCs w:val="18"/>
          <w:color w:val="auto"/>
        </w:rPr>
        <w:t xml:space="preserve">. The Research Plan will be conducted under the direction of the JSC, which will consist of up to [**] representatives of Fulcrum and up to [**] representatives of Acceleron. Each Party will appoint its respective representatives to the JSC from time to time, and may substitute one or more of its representatives, in its sole discretion, effective upon notice to the other Party of such change. Each Party will have at least one (1) JSC representative who is a senior employee, and all JSC representatives will be employees of the relevant Party and have appropriate expertise and ongoing familiarity with the Research Plan. Additional non-voting representatives or consultants may from time to time, by mutual consent of the Parties, be invited to attend JSC meetings, subject to all representatives (including the designated voting representatives) and consultants entering into binding, written confidentiality obligations (which may have been executed prior to the Effective Date) that require such representatives and consultants to comply with the requirements of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(Confidentiality). Each Party will bear its own expenses relating to attendance at JSC meetings by its representatives.</w:t>
      </w:r>
    </w:p>
    <w:p>
      <w:pPr>
        <w:spacing w:after="0" w:line="163"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b w:val="1"/>
          <w:bCs w:val="1"/>
          <w:u w:val="single" w:color="auto"/>
          <w:color w:val="auto"/>
        </w:rPr>
        <w:t>JSC Chairperson</w:t>
      </w:r>
      <w:r>
        <w:rPr>
          <w:rFonts w:ascii="Arial" w:cs="Arial" w:eastAsia="Arial" w:hAnsi="Arial"/>
          <w:sz w:val="16"/>
          <w:szCs w:val="16"/>
          <w:color w:val="auto"/>
        </w:rPr>
        <w:t>. The JSC chairperson will be an employee of Acceleron.</w:t>
      </w:r>
    </w:p>
    <w:p>
      <w:pPr>
        <w:spacing w:after="0" w:line="216"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b w:val="1"/>
          <w:bCs w:val="1"/>
          <w:u w:val="single" w:color="auto"/>
          <w:color w:val="auto"/>
        </w:rPr>
        <w:t>JSC Responsibilities</w:t>
      </w:r>
      <w:r>
        <w:rPr>
          <w:rFonts w:ascii="Arial" w:cs="Arial" w:eastAsia="Arial" w:hAnsi="Arial"/>
          <w:sz w:val="16"/>
          <w:szCs w:val="16"/>
          <w:color w:val="auto"/>
        </w:rPr>
        <w:t>. The JSC will have the following responsibilities with respect to the Research Plan:</w:t>
      </w:r>
    </w:p>
    <w:p>
      <w:pPr>
        <w:spacing w:after="0" w:line="222"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auto"/>
        </w:rPr>
        <w:t>2.4.1.</w:t>
      </w:r>
      <w:r>
        <w:rPr>
          <w:sz w:val="20"/>
          <w:szCs w:val="20"/>
          <w:color w:val="auto"/>
        </w:rPr>
        <w:tab/>
      </w:r>
      <w:r>
        <w:rPr>
          <w:rFonts w:ascii="Arial" w:cs="Arial" w:eastAsia="Arial" w:hAnsi="Arial"/>
          <w:sz w:val="16"/>
          <w:szCs w:val="16"/>
          <w:color w:val="auto"/>
        </w:rPr>
        <w:t>coordinating activities under the Research Plan;</w:t>
      </w:r>
    </w:p>
    <w:p>
      <w:pPr>
        <w:spacing w:after="0" w:line="216"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16"/>
          <w:szCs w:val="16"/>
          <w:color w:val="auto"/>
        </w:rPr>
        <w:t>approving any amendments to the Research Plan;</w:t>
      </w:r>
    </w:p>
    <w:p>
      <w:pPr>
        <w:spacing w:after="0" w:line="216"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auto"/>
        </w:rPr>
        <w:t>2.4.3.</w:t>
      </w:r>
      <w:r>
        <w:rPr>
          <w:sz w:val="20"/>
          <w:szCs w:val="20"/>
          <w:color w:val="auto"/>
        </w:rPr>
        <w:tab/>
      </w:r>
      <w:r>
        <w:rPr>
          <w:rFonts w:ascii="Arial" w:cs="Arial" w:eastAsia="Arial" w:hAnsi="Arial"/>
          <w:sz w:val="16"/>
          <w:szCs w:val="16"/>
          <w:color w:val="auto"/>
        </w:rPr>
        <w:t>reviewing reports and updates provided by Parties regarding the progress of the Research Plan;</w:t>
      </w:r>
    </w:p>
    <w:p>
      <w:pPr>
        <w:spacing w:after="0" w:line="2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2.4.4. determining which compounds or biological targets should advance for additional activities under the Research Plan following the completion of each of the Primary Screens of Fulcrum’s complete compound library, the CRC Screens and the Confirmation Screens;</w:t>
      </w:r>
    </w:p>
    <w:p>
      <w:pPr>
        <w:spacing w:after="0" w:line="186" w:lineRule="exact"/>
        <w:rPr>
          <w:sz w:val="20"/>
          <w:szCs w:val="20"/>
          <w:color w:val="auto"/>
        </w:rPr>
      </w:pPr>
    </w:p>
    <w:p>
      <w:pPr>
        <w:jc w:val="both"/>
        <w:ind w:right="20" w:firstLine="877"/>
        <w:spacing w:after="0" w:line="287" w:lineRule="auto"/>
        <w:rPr>
          <w:sz w:val="20"/>
          <w:szCs w:val="20"/>
          <w:color w:val="auto"/>
        </w:rPr>
      </w:pPr>
      <w:r>
        <w:rPr>
          <w:rFonts w:ascii="Arial" w:cs="Arial" w:eastAsia="Arial" w:hAnsi="Arial"/>
          <w:sz w:val="19"/>
          <w:szCs w:val="19"/>
          <w:color w:val="auto"/>
        </w:rPr>
        <w:t>2.4.5. reviewing and determining whether any Research Milestone 1 has been achieved, including determining whether the Data Packages delivered by Fulcrum following completion of each Screening Assay and the Final Data Package are complete; and</w:t>
      </w:r>
    </w:p>
    <w:p>
      <w:pPr>
        <w:spacing w:after="0" w:line="153"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auto"/>
        </w:rPr>
        <w:t>2.4.6.</w:t>
      </w:r>
      <w:r>
        <w:rPr>
          <w:sz w:val="20"/>
          <w:szCs w:val="20"/>
          <w:color w:val="auto"/>
        </w:rPr>
        <w:tab/>
      </w:r>
      <w:r>
        <w:rPr>
          <w:rFonts w:ascii="Arial" w:cs="Arial" w:eastAsia="Arial" w:hAnsi="Arial"/>
          <w:sz w:val="18"/>
          <w:szCs w:val="18"/>
          <w:color w:val="auto"/>
        </w:rPr>
        <w:t>performing such other activities as the Parties agree in writing will be the responsibility of the JSC.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For avoidance of doubt, the JSC will not have the authority to modify or waive the terms of this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7" w:name="page168"/>
    <w:bookmarkEnd w:id="167"/>
    <w:p>
      <w:pPr>
        <w:jc w:val="both"/>
        <w:ind w:firstLine="877"/>
        <w:spacing w:after="0" w:line="243"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b w:val="1"/>
          <w:bCs w:val="1"/>
          <w:u w:val="single" w:color="auto"/>
          <w:color w:val="auto"/>
        </w:rPr>
        <w:t>Meetings</w:t>
      </w:r>
      <w:r>
        <w:rPr>
          <w:rFonts w:ascii="Arial" w:cs="Arial" w:eastAsia="Arial" w:hAnsi="Arial"/>
          <w:sz w:val="20"/>
          <w:szCs w:val="20"/>
          <w:color w:val="auto"/>
        </w:rPr>
        <w:t>. The first JSC meeting will be held within [**] after the Effective Date, and the JSC will thereafter meet in accordance with a schedule established by mutual written agreement of the Parties, but no less frequently than [**]. The JSC may meet by teleconference, videoconference, or in person, as determined from time to time by the JSC. The JSC chairperson will (a) set agendas for meetings with solicited input from other JSC representatives; (b) coordinate the delivery of draft minutes to the JSC for review and final approval; and (c) conduct meetings, including ensuring that objectives for each meeting are set and achieved. The JSC chairperson will have no greater authority on the JSC than any other representative of the JSC. The JSC will appoint a secretary for each meeting. The JSC secretary will prepare minutes of the meeting, which will provide a description in reasonable detail of the discussions held at the meeting and a list of any actions, decisions or determinations approved by the JSC. The JSC secretary will have no greater authority on the JSC than any other representative of the JSC.</w:t>
      </w:r>
    </w:p>
    <w:p>
      <w:pPr>
        <w:spacing w:after="0" w:line="187"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2.6. </w:t>
      </w:r>
      <w:r>
        <w:rPr>
          <w:rFonts w:ascii="Arial" w:cs="Arial" w:eastAsia="Arial" w:hAnsi="Arial"/>
          <w:sz w:val="20"/>
          <w:szCs w:val="20"/>
          <w:b w:val="1"/>
          <w:bCs w:val="1"/>
          <w:u w:val="single" w:color="auto"/>
          <w:color w:val="auto"/>
        </w:rPr>
        <w:t>Appointment of Subcommittees, Project Teams and Collaboration Managers</w:t>
      </w:r>
      <w:r>
        <w:rPr>
          <w:rFonts w:ascii="Arial" w:cs="Arial" w:eastAsia="Arial" w:hAnsi="Arial"/>
          <w:sz w:val="20"/>
          <w:szCs w:val="20"/>
          <w:color w:val="auto"/>
        </w:rPr>
        <w:t xml:space="preserve">. The JSC will be empowered to create such subcommittees and project teams as it may deem appropriate or necessary. Each such subcommittee and project team will report to the JSC, which will have authority to approve or reject recommendations or actions proposed thereby subject to the terms of this Agreement. The provisions of </w:t>
      </w:r>
      <w:r>
        <w:rPr>
          <w:rFonts w:ascii="Arial" w:cs="Arial" w:eastAsia="Arial" w:hAnsi="Arial"/>
          <w:sz w:val="20"/>
          <w:szCs w:val="20"/>
          <w:u w:val="single" w:color="auto"/>
          <w:color w:val="auto"/>
        </w:rPr>
        <w:t>Sections 2.2</w:t>
      </w:r>
      <w:r>
        <w:rPr>
          <w:rFonts w:ascii="Arial" w:cs="Arial" w:eastAsia="Arial" w:hAnsi="Arial"/>
          <w:sz w:val="20"/>
          <w:szCs w:val="20"/>
          <w:color w:val="auto"/>
        </w:rPr>
        <w:t xml:space="preserve"> (Composition of the JSC) and </w:t>
      </w:r>
      <w:r>
        <w:rPr>
          <w:rFonts w:ascii="Arial" w:cs="Arial" w:eastAsia="Arial" w:hAnsi="Arial"/>
          <w:sz w:val="20"/>
          <w:szCs w:val="20"/>
          <w:u w:val="single" w:color="auto"/>
          <w:color w:val="auto"/>
        </w:rPr>
        <w:t>2.5</w:t>
      </w:r>
      <w:r>
        <w:rPr>
          <w:rFonts w:ascii="Arial" w:cs="Arial" w:eastAsia="Arial" w:hAnsi="Arial"/>
          <w:sz w:val="20"/>
          <w:szCs w:val="20"/>
          <w:color w:val="auto"/>
        </w:rPr>
        <w:t xml:space="preserve"> (Meetings) will apply to each subcommittee, </w:t>
      </w:r>
      <w:r>
        <w:rPr>
          <w:rFonts w:ascii="Arial" w:cs="Arial" w:eastAsia="Arial" w:hAnsi="Arial"/>
          <w:sz w:val="20"/>
          <w:szCs w:val="20"/>
          <w:i w:val="1"/>
          <w:iCs w:val="1"/>
          <w:color w:val="auto"/>
        </w:rPr>
        <w:t>mutatis mutandis</w:t>
      </w:r>
      <w:r>
        <w:rPr>
          <w:rFonts w:ascii="Arial" w:cs="Arial" w:eastAsia="Arial" w:hAnsi="Arial"/>
          <w:sz w:val="20"/>
          <w:szCs w:val="20"/>
          <w:color w:val="auto"/>
        </w:rPr>
        <w:t>, unless otherwise determined by the JSC.</w:t>
      </w:r>
    </w:p>
    <w:p>
      <w:pPr>
        <w:spacing w:after="0" w:line="185"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6"/>
          <w:szCs w:val="16"/>
          <w:b w:val="1"/>
          <w:bCs w:val="1"/>
          <w:u w:val="single" w:color="auto"/>
          <w:color w:val="auto"/>
        </w:rPr>
        <w:t>JSC Decision-Making</w:t>
      </w:r>
      <w:r>
        <w:rPr>
          <w:rFonts w:ascii="Arial" w:cs="Arial" w:eastAsia="Arial" w:hAnsi="Arial"/>
          <w:sz w:val="16"/>
          <w:szCs w:val="16"/>
          <w:color w:val="auto"/>
        </w:rPr>
        <w:t>.</w:t>
      </w:r>
    </w:p>
    <w:p>
      <w:pPr>
        <w:spacing w:after="0" w:line="222"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2.7.1. For each meeting of the JSC, attendance by at least one (1) representative of each Party will constitute a quorum. All decisions of the JSC must be made by unanimous consensus of the JSC, with the representatives of each Party collectively having one (1) vote on behalf of such Party.</w:t>
      </w:r>
    </w:p>
    <w:p>
      <w:pPr>
        <w:spacing w:after="0" w:line="186"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2.7.2. If the JSC is unable to reach a consensus with respect to a dispute for a period in excess of [**], then the dispute will be submitted to the Executive Officers of Acceleron and Fulcrum for resolution.</w:t>
      </w:r>
    </w:p>
    <w:p>
      <w:pPr>
        <w:spacing w:after="0" w:line="17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2.7.3. If such escalated dispute is not resolved in [**] after escalation to the Executive Officers, then the Executive Officer of Acceleron will have the deciding vote over the resolution of such dispute.</w:t>
      </w:r>
    </w:p>
    <w:p>
      <w:pPr>
        <w:spacing w:after="0" w:line="177"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9"/>
          <w:szCs w:val="19"/>
          <w:color w:val="auto"/>
        </w:rPr>
        <w:t xml:space="preserve">2.7.4. Notwithstanding the foregoing, Acceleron may not exercise its final decision-making authority under </w:t>
      </w:r>
      <w:r>
        <w:rPr>
          <w:rFonts w:ascii="Arial" w:cs="Arial" w:eastAsia="Arial" w:hAnsi="Arial"/>
          <w:sz w:val="19"/>
          <w:szCs w:val="19"/>
          <w:u w:val="single" w:color="auto"/>
          <w:color w:val="auto"/>
        </w:rPr>
        <w:t>Section 2.7.3</w:t>
      </w:r>
      <w:r>
        <w:rPr>
          <w:rFonts w:ascii="Arial" w:cs="Arial" w:eastAsia="Arial" w:hAnsi="Arial"/>
          <w:sz w:val="19"/>
          <w:szCs w:val="19"/>
          <w:color w:val="auto"/>
        </w:rPr>
        <w:t xml:space="preserve"> (a) to amend the Research Plan in a manner that would materially increase the cost of the Fulcrum Research Activities or would require Fulcrum to reallocate Fulcrum FTEs in order to perform the Fulcrum Research Activities, (b) to require Fulcrum to take or decline to take any action that could reasonably be expected to result in a violation of any Applicable Law, any agreement with any Third Party or the infringement of intellectual property rights of Third Parties, (c) in a manner that excuses Acceleron from any of its obligations specifically enumerated under this Agreement or as otherwise agreed in writing by the Parties, (d) to expand or narrow the responsibilities of the JSC, (e) to amend, modify or waive any term of this Agreement, (f) to determine whether a Milestone has been achieved (including determining whether the Data Packages delivered by Fulcrum following completion of each Screening Assay and the Final Data Package are complete), or (g) to determine whether a Party has breached or is in breach of this Agreement.</w:t>
      </w:r>
    </w:p>
    <w:p>
      <w:pPr>
        <w:spacing w:after="0" w:line="179"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color w:val="auto"/>
        </w:rPr>
        <w:t xml:space="preserve">2.8. </w:t>
      </w:r>
      <w:r>
        <w:rPr>
          <w:rFonts w:ascii="Arial" w:cs="Arial" w:eastAsia="Arial" w:hAnsi="Arial"/>
          <w:sz w:val="20"/>
          <w:szCs w:val="20"/>
          <w:b w:val="1"/>
          <w:bCs w:val="1"/>
          <w:u w:val="single" w:color="auto"/>
          <w:color w:val="auto"/>
        </w:rPr>
        <w:t>Dissolution of JSC</w:t>
      </w:r>
      <w:r>
        <w:rPr>
          <w:rFonts w:ascii="Arial" w:cs="Arial" w:eastAsia="Arial" w:hAnsi="Arial"/>
          <w:sz w:val="20"/>
          <w:szCs w:val="20"/>
          <w:b w:val="1"/>
          <w:bCs w:val="1"/>
          <w:color w:val="auto"/>
        </w:rPr>
        <w:t>.</w:t>
      </w:r>
      <w:r>
        <w:rPr>
          <w:rFonts w:ascii="Arial" w:cs="Arial" w:eastAsia="Arial" w:hAnsi="Arial"/>
          <w:sz w:val="20"/>
          <w:szCs w:val="20"/>
          <w:color w:val="auto"/>
        </w:rPr>
        <w:t xml:space="preserve"> The JSC will be dissolved upon the expiration of the Research Term or the earlier termination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RESEARCH ACTIVITIES</w:t>
      </w:r>
    </w:p>
    <w:p>
      <w:pPr>
        <w:spacing w:after="0" w:line="194"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Research Plan</w:t>
      </w:r>
      <w:r>
        <w:rPr>
          <w:rFonts w:ascii="Arial" w:cs="Arial" w:eastAsia="Arial" w:hAnsi="Arial"/>
          <w:sz w:val="18"/>
          <w:szCs w:val="18"/>
          <w:color w:val="auto"/>
        </w:rPr>
        <w:t xml:space="preserve">. The research plan is set forth in </w:t>
      </w:r>
      <w:r>
        <w:rPr>
          <w:rFonts w:ascii="Arial" w:cs="Arial" w:eastAsia="Arial" w:hAnsi="Arial"/>
          <w:sz w:val="18"/>
          <w:szCs w:val="18"/>
          <w:u w:val="single" w:color="auto"/>
          <w:color w:val="auto"/>
        </w:rPr>
        <w:t>Schedule 3.1</w:t>
      </w:r>
      <w:r>
        <w:rPr>
          <w:rFonts w:ascii="Arial" w:cs="Arial" w:eastAsia="Arial" w:hAnsi="Arial"/>
          <w:sz w:val="18"/>
          <w:szCs w:val="18"/>
          <w:color w:val="auto"/>
        </w:rPr>
        <w:t xml:space="preserve"> (the “</w:t>
      </w:r>
      <w:r>
        <w:rPr>
          <w:rFonts w:ascii="Arial" w:cs="Arial" w:eastAsia="Arial" w:hAnsi="Arial"/>
          <w:sz w:val="18"/>
          <w:szCs w:val="18"/>
          <w:b w:val="1"/>
          <w:bCs w:val="1"/>
          <w:color w:val="auto"/>
        </w:rPr>
        <w:t>Research Plan</w:t>
      </w:r>
      <w:r>
        <w:rPr>
          <w:rFonts w:ascii="Arial" w:cs="Arial" w:eastAsia="Arial" w:hAnsi="Arial"/>
          <w:sz w:val="18"/>
          <w:szCs w:val="18"/>
          <w:color w:val="auto"/>
        </w:rPr>
        <w:t xml:space="preserve">”). All of the Research Activities to be conducted by or on behalf of the Parties under this Agreement during the Research Term are set forth at a high level in the Research Plan. Subject to </w:t>
      </w:r>
      <w:r>
        <w:rPr>
          <w:rFonts w:ascii="Arial" w:cs="Arial" w:eastAsia="Arial" w:hAnsi="Arial"/>
          <w:sz w:val="18"/>
          <w:szCs w:val="18"/>
          <w:u w:val="single" w:color="auto"/>
          <w:color w:val="auto"/>
        </w:rPr>
        <w:t>Section 2.7.4</w:t>
      </w:r>
      <w:r>
        <w:rPr>
          <w:rFonts w:ascii="Arial" w:cs="Arial" w:eastAsia="Arial" w:hAnsi="Arial"/>
          <w:sz w:val="18"/>
          <w:szCs w:val="18"/>
          <w:color w:val="auto"/>
        </w:rPr>
        <w:t xml:space="preserve">, the Research Plan may be amended at any time during the Research Term by the JSC. Except for amendments for which Acceleron may exercise its final decision-making authority pursuant to </w:t>
      </w:r>
      <w:r>
        <w:rPr>
          <w:rFonts w:ascii="Arial" w:cs="Arial" w:eastAsia="Arial" w:hAnsi="Arial"/>
          <w:sz w:val="18"/>
          <w:szCs w:val="18"/>
          <w:u w:val="single" w:color="auto"/>
          <w:color w:val="auto"/>
        </w:rPr>
        <w:t>Section 2.7.3</w:t>
      </w:r>
      <w:r>
        <w:rPr>
          <w:rFonts w:ascii="Arial" w:cs="Arial" w:eastAsia="Arial" w:hAnsi="Arial"/>
          <w:sz w:val="18"/>
          <w:szCs w:val="18"/>
          <w:color w:val="auto"/>
        </w:rPr>
        <w:t>, any amendment to the Research Plan shall be subject to the Parties’ agreement on a budget (including Fulcrum FTEs and out-of-pocket expenses) for the Research Activities contemplated by such amendment. Each Party will conduct the Research Activities allocated to it in the Research Plan in a professional and timely manner, and will perform its obligations under the Research Plan in compliance with all Applicable Laws.</w:t>
      </w:r>
    </w:p>
    <w:p>
      <w:pPr>
        <w:spacing w:after="0" w:line="163"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b w:val="1"/>
          <w:bCs w:val="1"/>
          <w:u w:val="single" w:color="auto"/>
          <w:color w:val="auto"/>
        </w:rPr>
        <w:t>Progress Reports</w:t>
      </w:r>
      <w:r>
        <w:rPr>
          <w:rFonts w:ascii="Arial" w:cs="Arial" w:eastAsia="Arial" w:hAnsi="Arial"/>
          <w:sz w:val="20"/>
          <w:szCs w:val="20"/>
          <w:b w:val="1"/>
          <w:bCs w:val="1"/>
          <w:color w:val="auto"/>
        </w:rPr>
        <w:t>.</w:t>
      </w:r>
      <w:r>
        <w:rPr>
          <w:rFonts w:ascii="Arial" w:cs="Arial" w:eastAsia="Arial" w:hAnsi="Arial"/>
          <w:sz w:val="20"/>
          <w:szCs w:val="20"/>
          <w:color w:val="auto"/>
        </w:rPr>
        <w:t xml:space="preserve"> During the Research Term, each Party will furnish to the JSC, no later than [**] before each scheduled meeting of the JSC, an update on such Party’s progress under the Research Plan with respect to the performance of the such Party’s Research Activities, including a high level summary of any results, data and other Know-How generated by such Party under the Research Plan. Upon Acceleron’s reasonable request, Fulcrum will provide Acceleron access to all data generated up to the date of such request in performance of Fulcrum’s Research Activities.</w:t>
      </w:r>
    </w:p>
    <w:p>
      <w:pPr>
        <w:spacing w:after="0" w:line="185"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Research Targets; Excluded Targets; [**] Target Selection</w:t>
      </w:r>
      <w:r>
        <w:rPr>
          <w:rFonts w:ascii="Arial" w:cs="Arial" w:eastAsia="Arial" w:hAnsi="Arial"/>
          <w:sz w:val="18"/>
          <w:szCs w:val="18"/>
          <w:color w:val="auto"/>
        </w:rPr>
        <w:t xml:space="preserve">. Without limiting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(Progress Reports), promptly following Fulcrum’s first completion of a Screening Assay, Fulcrum will determine whether, as of the date that Fulcrum completes such Screening Assay, (a) Fulcrum is bound by an agreement pursuant to which Fulcrum has licensed, optioned or otherwise granted to any Third Party rights to a specific biological target in a manner that would preclude the grant of rights with respect to such target to Acceleron under this Agreement, or (b)(1) a biological target is the subject of a bona fide Fulcrum development program for which Fulcrum is then currently conducting research for the purpose of determining whether to initiate Hit-to-Lead for such biological target, or (2) Hit-to-Lead for such biological target has been initiated or later activities are ongoing, and, in either case ((1) or (2)), which program Fulcrum intends in good faith to continue to diligently pursue (each such target ((a) or (b)), an “</w:t>
      </w:r>
      <w:r>
        <w:rPr>
          <w:rFonts w:ascii="Arial" w:cs="Arial" w:eastAsia="Arial" w:hAnsi="Arial"/>
          <w:sz w:val="18"/>
          <w:szCs w:val="18"/>
          <w:b w:val="1"/>
          <w:bCs w:val="1"/>
          <w:color w:val="auto"/>
        </w:rPr>
        <w:t>Excluded Target</w:t>
      </w:r>
      <w:r>
        <w:rPr>
          <w:rFonts w:ascii="Arial" w:cs="Arial" w:eastAsia="Arial" w:hAnsi="Arial"/>
          <w:sz w:val="18"/>
          <w:szCs w:val="18"/>
          <w:color w:val="auto"/>
        </w:rPr>
        <w:t>”). For clarity, (w) if such target qualifies as an Excluded Target solely pursuant to the foregoing clause (b), Fulcrum may notify Acceleron in writing of Fulcrum’s election, in its sole discretion, not to exclude such target from this Agreement, (x) the determination of which targets are Excluded Targets will only be made following Fulcrum’s first completion of a Screening Assay and no additional targets will be considered Excluded Targets after such time, (y) if such target qualifies as an Excluded Target solely pursuant to the foregoing (a) and the applicable license, option or other grant of rights is non-exclusive, Fulcrum shall provide written notice of the nature of such license, option or grant of rights (subject to obligations of confidentiality to any Third Party) and, upon Acceleron’s written notice to Fulcrum, such target will no longer constitute an Excluded Target, and if Acceleron designates such target as a [**] Target, the scope of the grant of rights with respect to such target to Acceleron under this Agreement will be reduced solely to the extent necessary to comply with the applicable license, option or other grant of rights, and (z) in no event will more than</w:t>
      </w:r>
    </w:p>
    <w:p>
      <w:pPr>
        <w:spacing w:after="0" w:line="11" w:lineRule="exact"/>
        <w:rPr>
          <w:sz w:val="20"/>
          <w:szCs w:val="20"/>
          <w:color w:val="auto"/>
        </w:rPr>
      </w:pPr>
    </w:p>
    <w:p>
      <w:pPr>
        <w:jc w:val="both"/>
        <w:ind w:firstLine="8"/>
        <w:spacing w:after="0" w:line="266" w:lineRule="auto"/>
        <w:tabs>
          <w:tab w:leader="none" w:pos="4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biological targets constitute Excluded Targets. For any Excluded Target, Fulcrum will (i) in any Data Package provided to Acceleron, notify Acceleron of the existence of such Excluded Target, and (ii) subject to </w:t>
      </w:r>
      <w:r>
        <w:rPr>
          <w:rFonts w:ascii="Arial" w:cs="Arial" w:eastAsia="Arial" w:hAnsi="Arial"/>
          <w:sz w:val="18"/>
          <w:szCs w:val="18"/>
          <w:u w:val="single" w:color="auto"/>
          <w:color w:val="auto"/>
        </w:rPr>
        <w:t>Section 3.3.1</w:t>
      </w:r>
      <w:r>
        <w:rPr>
          <w:rFonts w:ascii="Arial" w:cs="Arial" w:eastAsia="Arial" w:hAnsi="Arial"/>
          <w:sz w:val="18"/>
          <w:szCs w:val="18"/>
          <w:color w:val="auto"/>
        </w:rPr>
        <w:t xml:space="preserve"> (Available Excluded Targets), the JSC may not designate such target as a Research Target. For any biological target that is not an Excluded Target, Fulcrum will notify Acceleron of the existence and identity of each such target in any Data Package provided to Acceleron. Fulcrum will promptly but, in any event, not more than</w:t>
      </w:r>
    </w:p>
    <w:p>
      <w:pPr>
        <w:jc w:val="both"/>
        <w:ind w:firstLine="8"/>
        <w:spacing w:after="0" w:line="276" w:lineRule="auto"/>
        <w:tabs>
          <w:tab w:leader="none" w:pos="4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following (1) completion of each of the Primary Screens, CRC Screens and Confirmation Screens, (2) completion of each Screening Assay, and (3) completion of all remaining Research Activities, including validation activities, furnish to the JSC or Acceleron, as applicable, a data package that will contain all data arising under the Research Activities conducted prior to the date of delivery of such data package (to the extent not included in a prior data package delivered pursuant to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(Research Targets; Excluded Targets; [**] Target Selection))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9" w:name="page170"/>
    <w:bookmarkEnd w:id="169"/>
    <w:p>
      <w:pPr>
        <w:jc w:val="both"/>
        <w:spacing w:after="0" w:line="269" w:lineRule="auto"/>
        <w:rPr>
          <w:sz w:val="20"/>
          <w:szCs w:val="20"/>
          <w:color w:val="auto"/>
        </w:rPr>
      </w:pPr>
      <w:r>
        <w:rPr>
          <w:rFonts w:ascii="Arial" w:cs="Arial" w:eastAsia="Arial" w:hAnsi="Arial"/>
          <w:sz w:val="18"/>
          <w:szCs w:val="18"/>
          <w:color w:val="auto"/>
        </w:rPr>
        <w:t>and such other information described in the Research Plan to allow (A) the JSC to fully consider, as applicable, which biological targets should advance for additional activities under the Research Plan following the completion of each of the Primary Screens, CRC Screens and Confirmation Screens, and (B) Acceleron to fully consider whether a Research Target should be designated a [**] Target (each, a “</w:t>
      </w:r>
      <w:r>
        <w:rPr>
          <w:rFonts w:ascii="Arial" w:cs="Arial" w:eastAsia="Arial" w:hAnsi="Arial"/>
          <w:sz w:val="18"/>
          <w:szCs w:val="18"/>
          <w:b w:val="1"/>
          <w:bCs w:val="1"/>
          <w:color w:val="auto"/>
        </w:rPr>
        <w:t>Data</w:t>
      </w:r>
      <w:r>
        <w:rPr>
          <w:rFonts w:ascii="Arial" w:cs="Arial" w:eastAsia="Arial" w:hAnsi="Arial"/>
          <w:sz w:val="18"/>
          <w:szCs w:val="18"/>
          <w:color w:val="auto"/>
        </w:rPr>
        <w:t xml:space="preserve"> </w:t>
      </w:r>
      <w:r>
        <w:rPr>
          <w:rFonts w:ascii="Arial" w:cs="Arial" w:eastAsia="Arial" w:hAnsi="Arial"/>
          <w:sz w:val="18"/>
          <w:szCs w:val="18"/>
          <w:b w:val="1"/>
          <w:bCs w:val="1"/>
          <w:color w:val="auto"/>
        </w:rPr>
        <w:t>Package</w:t>
      </w:r>
      <w:r>
        <w:rPr>
          <w:rFonts w:ascii="Arial" w:cs="Arial" w:eastAsia="Arial" w:hAnsi="Arial"/>
          <w:sz w:val="18"/>
          <w:szCs w:val="18"/>
          <w:color w:val="auto"/>
        </w:rPr>
        <w:t>,” and such Data Package described in the foregoing clause (3), the “</w:t>
      </w:r>
      <w:r>
        <w:rPr>
          <w:rFonts w:ascii="Arial" w:cs="Arial" w:eastAsia="Arial" w:hAnsi="Arial"/>
          <w:sz w:val="18"/>
          <w:szCs w:val="18"/>
          <w:b w:val="1"/>
          <w:bCs w:val="1"/>
          <w:color w:val="auto"/>
        </w:rPr>
        <w:t>Final Data Package</w:t>
      </w:r>
      <w:r>
        <w:rPr>
          <w:rFonts w:ascii="Arial" w:cs="Arial" w:eastAsia="Arial" w:hAnsi="Arial"/>
          <w:sz w:val="18"/>
          <w:szCs w:val="18"/>
          <w:color w:val="auto"/>
        </w:rPr>
        <w:t>”). Subject to Fulcrum’s obligations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confidentiality to any Third Party to which Fulcrum is bound pursuant to the foregoing clause (a) of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(Research Targets; Excluded Targets; [**] Target Selection), any Data Package will also contain all data required to be included in a Data Package (or such portion of such data that Fulcrum is permitted to disclose) relating to each Excluded Target (if any), provided that such data shall be anonymized such that the identity of the applicable Excluded Target is not revealed or identifiable. Acceleron will have the sole discretion to designate up to [**] Research Targets as [**] Targets (subject to </w:t>
      </w:r>
      <w:r>
        <w:rPr>
          <w:rFonts w:ascii="Arial" w:cs="Arial" w:eastAsia="Arial" w:hAnsi="Arial"/>
          <w:sz w:val="18"/>
          <w:szCs w:val="18"/>
          <w:u w:val="single" w:color="auto"/>
          <w:color w:val="auto"/>
        </w:rPr>
        <w:t>Section 3.3.1</w:t>
      </w:r>
      <w:r>
        <w:rPr>
          <w:rFonts w:ascii="Arial" w:cs="Arial" w:eastAsia="Arial" w:hAnsi="Arial"/>
          <w:sz w:val="18"/>
          <w:szCs w:val="18"/>
          <w:color w:val="auto"/>
        </w:rPr>
        <w:t xml:space="preserve"> (Available Excluded Targets)) by written notice delivered to Fulcrum no later than the date that is [**] following the delivery of the Final Data Package pursuant to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(Research Targets; Excluded Targets; [**] Target Selection) (such period, the “</w:t>
      </w:r>
      <w:r>
        <w:rPr>
          <w:rFonts w:ascii="Arial" w:cs="Arial" w:eastAsia="Arial" w:hAnsi="Arial"/>
          <w:sz w:val="18"/>
          <w:szCs w:val="18"/>
          <w:b w:val="1"/>
          <w:bCs w:val="1"/>
          <w:color w:val="auto"/>
        </w:rPr>
        <w:t>Designation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the Final Data Package delivered to Acceleron pursuant to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(Research Targets; Excluded Targets; [**] Target Selection) does not contain the information described in the Research Plan, Acceleron will notify Fulcrum of such deficiency, Fulcrum will promptly deliver an updated Final Data Package, and the Designation Period will commence upon the date of delivery of a Final Data Package that contains the information described in the Research Plan, as determined by the JSC. Acceleron has no obligation under this Agreement to designate any [**] Target.</w:t>
      </w:r>
    </w:p>
    <w:p>
      <w:pPr>
        <w:spacing w:after="0" w:line="174"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9"/>
          <w:szCs w:val="19"/>
          <w:color w:val="auto"/>
        </w:rPr>
        <w:t xml:space="preserve">3.3.1. </w:t>
      </w:r>
      <w:r>
        <w:rPr>
          <w:rFonts w:ascii="Arial" w:cs="Arial" w:eastAsia="Arial" w:hAnsi="Arial"/>
          <w:sz w:val="19"/>
          <w:szCs w:val="19"/>
          <w:b w:val="1"/>
          <w:bCs w:val="1"/>
          <w:color w:val="auto"/>
        </w:rPr>
        <w:t>Available Excluded Targets</w:t>
      </w:r>
      <w:r>
        <w:rPr>
          <w:rFonts w:ascii="Arial" w:cs="Arial" w:eastAsia="Arial" w:hAnsi="Arial"/>
          <w:sz w:val="19"/>
          <w:szCs w:val="19"/>
          <w:color w:val="auto"/>
        </w:rPr>
        <w:t xml:space="preserve">. If at any time within [**] after the end of the Research Term, an Excluded Target no longer meets the criteria to qualify as an Excluded Target (which, with respect to an Excluded Target that had met the criterion solely pursuant to clause (b) of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(Research Targets; Excluded Targets; [**] Target Selection), shall mean that Fulcrum has determined to permanently cease development activities with respect to such Excluded Target and is not actively engaged in licensing activities (or the pursuit thereof) with respect to such Excluded Target), then (a) such Excluded Target will automatically cease to be an Excluded Target effective as of the date that such Excluded Target no longer meets the criteria to qualify as an Excluded Target, and (b) Fulcrum will (i) promptly notify Acceleron of the identity of such target, and (ii) to the extent that Acceleron has a bona fide interest in such target and requests in writing additional information with respect to such target, provide Acceleron an updated Data Package containing de-anonymized data for such target within [**] of the date that such Excluded Target no longer meets the criteria to qualify as an Excluded Target. Following Acceleron’s receipt of the updated Data Package provided pursuant to the foregoing (b)(ii), notwithstanding the fact that Acceleron has already designated [**] or more [**] Targets, Acceleron will have [**] to evaluate the updated Data Package and determine whether to designate any such target as an additional [**] Target, in Acceleron’s sole discretion.</w:t>
      </w:r>
    </w:p>
    <w:p>
      <w:pPr>
        <w:spacing w:after="0" w:line="185"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u w:val="single" w:color="auto"/>
          <w:color w:val="auto"/>
        </w:rPr>
        <w:t>Subcontracting</w:t>
      </w:r>
      <w:r>
        <w:rPr>
          <w:rFonts w:ascii="Arial" w:cs="Arial" w:eastAsia="Arial" w:hAnsi="Arial"/>
          <w:sz w:val="18"/>
          <w:szCs w:val="18"/>
          <w:b w:val="1"/>
          <w:bCs w:val="1"/>
          <w:color w:val="auto"/>
        </w:rPr>
        <w:t>.</w:t>
      </w:r>
      <w:r>
        <w:rPr>
          <w:rFonts w:ascii="Arial" w:cs="Arial" w:eastAsia="Arial" w:hAnsi="Arial"/>
          <w:sz w:val="18"/>
          <w:szCs w:val="18"/>
          <w:color w:val="auto"/>
        </w:rPr>
        <w:t xml:space="preserve"> Either Party may subcontract any of its responsibilities under the Research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subcontractor of a Party will have the requisite expertise to conduct the relevant subcontracted responsibilities, (ii) in the case of subcontracting by Fulcrum to a Third Party, such Third Party is approved by the JSC prior to the engagement of such Third Party subcontractor, and (iii) any agreement between a Party or its Affiliate and a permitted subcontractor pertaining to the Research Activities will be consistent with the provisions of this Agreement, including (A) an obligation to assign or irrevocably exclusively license, worldwide, in all fields, all intellectual property developed in the conduct of the relevant Research Activities to the subcontracting Party, including assignments by any employee, contractor or agent of such subcontractor (other than intellectual property solely related to improvements to any such subcontractor’s background technology, which intellectual property may be irrevocably licensed to the contracting Party), and (B) terms and conditions under which such subcontractor of a Party is obligated to preserve the confidentiality of any Confidential Information of the other Party received by such subcontractor that are at least as restrictive as those described in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(Confidentiality). The engagement by a Party of any subcontractor under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(Subcontracting) will not relieve such Party of its obligations under this Agreement, including the Research Plan, and such Party will remain responsible for all acts or omissions by such subcontractor.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70" w:name="page171"/>
    <w:bookmarkEnd w:id="170"/>
    <w:p>
      <w:pPr>
        <w:jc w:val="both"/>
        <w:ind w:firstLine="877"/>
        <w:spacing w:after="0" w:line="255"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b w:val="1"/>
          <w:bCs w:val="1"/>
          <w:u w:val="single" w:color="auto"/>
          <w:color w:val="auto"/>
        </w:rPr>
        <w:t>Research Funding</w:t>
      </w:r>
      <w:r>
        <w:rPr>
          <w:rFonts w:ascii="Arial" w:cs="Arial" w:eastAsia="Arial" w:hAnsi="Arial"/>
          <w:sz w:val="19"/>
          <w:szCs w:val="19"/>
          <w:color w:val="auto"/>
        </w:rPr>
        <w:t>. The Research Plan specifies, and any amendment thereto shall specify, the number of Fulcrum FTEs that Fulcrum will devote to the Fulcrum Research Activities during the Research Term. Acceleron will reimburse Fulcrum at the FTE Rate for Fulcrum FTEs performing the Fulcrum Research Activities in accordance with the Research Plan, up to a maximum of [**] percent ([**]%) of the budgeted amounts set forth for such FTE costs in the Research Plan, and Fulcrum will bear all costs for its FTEs in excess of such limit. Acceleron will reimburse Fulcrum for all out-of-pocket expenses incurred performing the Fulcrum Research Activities in accordance with the Research Plan, up to a maximum of [**] percent ([**]%) of the budgeted amounts set forth for such out-of-pocket expenses in the Research Plan, and Fulcrum will bear all costs for its out-of-pocket expenses in excess of such limit. Fulcrum will provide Acceleron with a preliminary, non-binding, good faith estimate of the costs of Fulcrum FTEs at the FTE Rate and out-of-pocket expenses incurred by Fulcrum in performing the Research Activities within [**] after the end of each Calendar Quarter and will provide an invoice for the actual amount of such costs of Fulcrum FTEs and out-of-pocket expenses (which invoice will contain (a) sufficient detail to enable Acceleron to verify the amounts payable for such Fulcrum FTEs and out-of-pocket expenses, and (b) a detailed explanation of any costs for Fulcrum FTEs or out-of-pocket expenses in excess of the budgeted amounts set forth in the Research Plan, including a description of why such overage occurred), within [**] after the end of each Calendar Quarter, and Acceleron will pay all undisputed amounts set forth in such invoices within [**] after Acceleron’s receipt thereof. Acceleron will be responsible for any costs it incurs in the performance of the Acceleron Research Activities.</w:t>
      </w:r>
    </w:p>
    <w:p>
      <w:pPr>
        <w:spacing w:after="0" w:line="178"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b w:val="1"/>
          <w:bCs w:val="1"/>
          <w:u w:val="single" w:color="auto"/>
          <w:color w:val="auto"/>
        </w:rPr>
        <w:t>Medicinal Chemistry Services</w:t>
      </w:r>
      <w:r>
        <w:rPr>
          <w:rFonts w:ascii="Arial" w:cs="Arial" w:eastAsia="Arial" w:hAnsi="Arial"/>
          <w:sz w:val="20"/>
          <w:szCs w:val="20"/>
          <w:color w:val="auto"/>
        </w:rPr>
        <w:t>. Acceleron may request that Fulcrum perform services beyond the scope of the Research Plan, related to the generation and optimization of Collaboration Molecules (the “</w:t>
      </w:r>
      <w:r>
        <w:rPr>
          <w:rFonts w:ascii="Arial" w:cs="Arial" w:eastAsia="Arial" w:hAnsi="Arial"/>
          <w:sz w:val="20"/>
          <w:szCs w:val="20"/>
          <w:b w:val="1"/>
          <w:bCs w:val="1"/>
          <w:color w:val="auto"/>
        </w:rPr>
        <w:t>Medicinal Chemistry Services</w:t>
      </w:r>
      <w:r>
        <w:rPr>
          <w:rFonts w:ascii="Arial" w:cs="Arial" w:eastAsia="Arial" w:hAnsi="Arial"/>
          <w:sz w:val="20"/>
          <w:szCs w:val="20"/>
          <w:color w:val="auto"/>
        </w:rPr>
        <w:t>”). If agreed by Fulcrum, the Parties will thereafter negotiate in good faith to determine the activities, timelines, budgets, deliverables (including technology transfer, as appropriate) and other specifications of such Medicinal Chemistry Services, and such matters would be set forth in a separate research plan (the “</w:t>
      </w:r>
      <w:r>
        <w:rPr>
          <w:rFonts w:ascii="Arial" w:cs="Arial" w:eastAsia="Arial" w:hAnsi="Arial"/>
          <w:sz w:val="20"/>
          <w:szCs w:val="20"/>
          <w:b w:val="1"/>
          <w:bCs w:val="1"/>
          <w:color w:val="auto"/>
        </w:rPr>
        <w:t>Medicinal Chemistry Services Plan</w:t>
      </w:r>
      <w:r>
        <w:rPr>
          <w:rFonts w:ascii="Arial" w:cs="Arial" w:eastAsia="Arial" w:hAnsi="Arial"/>
          <w:sz w:val="20"/>
          <w:szCs w:val="20"/>
          <w:color w:val="auto"/>
        </w:rPr>
        <w:t xml:space="preserve">”). If the Parties agree on a Medicinal Chemistry Services Plan, notwithstanding anything to the contrary therein, </w:t>
      </w:r>
      <w:r>
        <w:rPr>
          <w:rFonts w:ascii="Arial" w:cs="Arial" w:eastAsia="Arial" w:hAnsi="Arial"/>
          <w:sz w:val="20"/>
          <w:szCs w:val="20"/>
          <w:u w:val="single" w:color="auto"/>
          <w:color w:val="auto"/>
        </w:rPr>
        <w:t>Sections 3.1</w:t>
      </w:r>
      <w:r>
        <w:rPr>
          <w:rFonts w:ascii="Arial" w:cs="Arial" w:eastAsia="Arial" w:hAnsi="Arial"/>
          <w:sz w:val="20"/>
          <w:szCs w:val="20"/>
          <w:color w:val="auto"/>
        </w:rPr>
        <w:t xml:space="preserve"> (Research Plan), </w:t>
      </w:r>
      <w:r>
        <w:rPr>
          <w:rFonts w:ascii="Arial" w:cs="Arial" w:eastAsia="Arial" w:hAnsi="Arial"/>
          <w:sz w:val="20"/>
          <w:szCs w:val="20"/>
          <w:u w:val="single" w:color="auto"/>
          <w:color w:val="auto"/>
        </w:rPr>
        <w:t>3.4</w:t>
      </w:r>
      <w:r>
        <w:rPr>
          <w:rFonts w:ascii="Arial" w:cs="Arial" w:eastAsia="Arial" w:hAnsi="Arial"/>
          <w:sz w:val="20"/>
          <w:szCs w:val="20"/>
          <w:color w:val="auto"/>
        </w:rPr>
        <w:t xml:space="preserve"> (Subcontracting), and </w:t>
      </w:r>
      <w:r>
        <w:rPr>
          <w:rFonts w:ascii="Arial" w:cs="Arial" w:eastAsia="Arial" w:hAnsi="Arial"/>
          <w:sz w:val="20"/>
          <w:szCs w:val="20"/>
          <w:u w:val="single" w:color="auto"/>
          <w:color w:val="auto"/>
        </w:rPr>
        <w:t>3.5</w:t>
      </w:r>
      <w:r>
        <w:rPr>
          <w:rFonts w:ascii="Arial" w:cs="Arial" w:eastAsia="Arial" w:hAnsi="Arial"/>
          <w:sz w:val="20"/>
          <w:szCs w:val="20"/>
          <w:color w:val="auto"/>
        </w:rPr>
        <w:t xml:space="preserve"> (Research Funding) will apply to such Medicinal Chemistry Services. The Medicinal Chemistry Services Plan (if any) may be amended at any time upon mutual written agreement of the Parties.</w:t>
      </w:r>
    </w:p>
    <w:p>
      <w:pPr>
        <w:spacing w:after="0" w:line="190"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b w:val="1"/>
          <w:bCs w:val="1"/>
          <w:u w:val="single" w:color="auto"/>
          <w:color w:val="auto"/>
        </w:rPr>
        <w:t>Records</w:t>
      </w:r>
      <w:r>
        <w:rPr>
          <w:rFonts w:ascii="Arial" w:cs="Arial" w:eastAsia="Arial" w:hAnsi="Arial"/>
          <w:sz w:val="19"/>
          <w:szCs w:val="19"/>
          <w:b w:val="1"/>
          <w:bCs w:val="1"/>
          <w:color w:val="auto"/>
        </w:rPr>
        <w:t>.</w:t>
      </w:r>
      <w:r>
        <w:rPr>
          <w:rFonts w:ascii="Arial" w:cs="Arial" w:eastAsia="Arial" w:hAnsi="Arial"/>
          <w:sz w:val="19"/>
          <w:szCs w:val="19"/>
          <w:color w:val="auto"/>
        </w:rPr>
        <w:t xml:space="preserve"> Each Party will maintain, or cause to be maintained, records of its activities under the Research Plan in sufficient detail and in good scientific manner appropriate for scientific, patent and regulatory purposes, which will properly reflect all work included in the Research Activities conducted under the Research Plan consistent with its internal procedures and policies.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RESEARCH, DEVELOPMENT, MANUFACTURING, AND COMMERCIALIZATION OF PRODUCTS</w:t>
      </w:r>
    </w:p>
    <w:p>
      <w:pPr>
        <w:spacing w:after="0" w:line="194" w:lineRule="exact"/>
        <w:rPr>
          <w:sz w:val="20"/>
          <w:szCs w:val="20"/>
          <w:color w:val="auto"/>
        </w:rPr>
      </w:pPr>
    </w:p>
    <w:p>
      <w:pPr>
        <w:jc w:val="both"/>
        <w:ind w:right="20" w:firstLine="877"/>
        <w:spacing w:after="0" w:line="253"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b w:val="1"/>
          <w:bCs w:val="1"/>
          <w:u w:val="single" w:color="auto"/>
          <w:color w:val="auto"/>
        </w:rPr>
        <w:t>General</w:t>
      </w:r>
      <w:r>
        <w:rPr>
          <w:rFonts w:ascii="Arial" w:cs="Arial" w:eastAsia="Arial" w:hAnsi="Arial"/>
          <w:sz w:val="20"/>
          <w:szCs w:val="20"/>
          <w:color w:val="auto"/>
        </w:rPr>
        <w:t xml:space="preserve">. Subject to the terms of this Agreement (including </w:t>
      </w:r>
      <w:r>
        <w:rPr>
          <w:rFonts w:ascii="Arial" w:cs="Arial" w:eastAsia="Arial" w:hAnsi="Arial"/>
          <w:sz w:val="20"/>
          <w:szCs w:val="20"/>
          <w:u w:val="single" w:color="auto"/>
          <w:color w:val="auto"/>
        </w:rPr>
        <w:t>Section 4.6</w:t>
      </w:r>
      <w:r>
        <w:rPr>
          <w:rFonts w:ascii="Arial" w:cs="Arial" w:eastAsia="Arial" w:hAnsi="Arial"/>
          <w:sz w:val="20"/>
          <w:szCs w:val="20"/>
          <w:color w:val="auto"/>
        </w:rPr>
        <w:t xml:space="preserve"> (Diligence Requirements)), Acceleron will have sole and exclusive control over whether to pursue the research, development, Regulatory Approval, manufacturing, commercialization, or other exploitation of any Collaboration Molecule or Product.</w:t>
      </w:r>
    </w:p>
    <w:p>
      <w:pPr>
        <w:spacing w:after="0" w:line="17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b w:val="1"/>
          <w:bCs w:val="1"/>
          <w:u w:val="single" w:color="auto"/>
          <w:color w:val="auto"/>
        </w:rPr>
        <w:t>Research &amp; Development</w:t>
      </w:r>
      <w:r>
        <w:rPr>
          <w:rFonts w:ascii="Arial" w:cs="Arial" w:eastAsia="Arial" w:hAnsi="Arial"/>
          <w:sz w:val="20"/>
          <w:szCs w:val="20"/>
          <w:color w:val="auto"/>
        </w:rPr>
        <w:t>. Subject to the terms of this Agreement, Acceleron will have sole and exclusive control over all matters relating to the research and development of Collaboration Molecules and Products, itself or through one or more Affiliates or Third Parties selected by Acceleron in its sole discretion.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1" w:name="page172"/>
    <w:bookmarkEnd w:id="171"/>
    <w:p>
      <w:pPr>
        <w:jc w:val="both"/>
        <w:ind w:firstLine="877"/>
        <w:spacing w:after="0" w:line="260"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u w:val="single" w:color="auto"/>
          <w:color w:val="auto"/>
        </w:rPr>
        <w:t>Regulatory Matters</w:t>
      </w:r>
      <w:r>
        <w:rPr>
          <w:rFonts w:ascii="Arial" w:cs="Arial" w:eastAsia="Arial" w:hAnsi="Arial"/>
          <w:sz w:val="19"/>
          <w:szCs w:val="19"/>
          <w:color w:val="auto"/>
        </w:rPr>
        <w:t>. Subject to the terms of this Agreement, following designation of the first [**] Target, Acceleron will have sole and exclusive control over all regulatory matters relating to the Collaboration Molecules and Products, including the sole authority to (a) prepare and file regulatory filings, each in its own name, and applications for Regulatory Approval for all Products, and</w:t>
      </w:r>
    </w:p>
    <w:p>
      <w:pPr>
        <w:spacing w:after="0" w:line="1" w:lineRule="exact"/>
        <w:rPr>
          <w:sz w:val="20"/>
          <w:szCs w:val="20"/>
          <w:color w:val="auto"/>
        </w:rPr>
      </w:pPr>
    </w:p>
    <w:p>
      <w:pPr>
        <w:ind w:firstLine="8"/>
        <w:spacing w:after="0" w:line="244" w:lineRule="auto"/>
        <w:tabs>
          <w:tab w:leader="none" w:pos="281" w:val="left"/>
        </w:tabs>
        <w:numPr>
          <w:ilvl w:val="0"/>
          <w:numId w:val="60"/>
        </w:numPr>
        <w:rPr>
          <w:rFonts w:ascii="Arial" w:cs="Arial" w:eastAsia="Arial" w:hAnsi="Arial"/>
          <w:sz w:val="20"/>
          <w:szCs w:val="20"/>
          <w:color w:val="auto"/>
        </w:rPr>
      </w:pPr>
      <w:r>
        <w:rPr>
          <w:rFonts w:ascii="Arial" w:cs="Arial" w:eastAsia="Arial" w:hAnsi="Arial"/>
          <w:sz w:val="20"/>
          <w:szCs w:val="20"/>
          <w:color w:val="auto"/>
        </w:rPr>
        <w:t>communicate with Regulatory Authorities with respect to the Products, both prior to and following Regulatory Approval, in each case, itself or through one or more Affiliates or Third Parties selected by Acceleron in its sole discretion.</w:t>
      </w:r>
    </w:p>
    <w:p>
      <w:pPr>
        <w:spacing w:after="0" w:line="186"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b w:val="1"/>
          <w:bCs w:val="1"/>
          <w:u w:val="single" w:color="auto"/>
          <w:color w:val="auto"/>
        </w:rPr>
        <w:t>Manufacturing</w:t>
      </w:r>
      <w:r>
        <w:rPr>
          <w:rFonts w:ascii="Arial" w:cs="Arial" w:eastAsia="Arial" w:hAnsi="Arial"/>
          <w:sz w:val="20"/>
          <w:szCs w:val="20"/>
          <w:color w:val="auto"/>
        </w:rPr>
        <w:t>. Subject to the terms of this Agreement, Acceleron will have sole and exclusive control over all matters relating to manufacture and supply of Collaboration Molecules and Products, itself or through one or more Affiliates or Third Parties selected by Acceleron in its sole discretion.</w:t>
      </w:r>
    </w:p>
    <w:p>
      <w:pPr>
        <w:spacing w:after="0" w:line="17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b w:val="1"/>
          <w:bCs w:val="1"/>
          <w:u w:val="single" w:color="auto"/>
          <w:color w:val="auto"/>
        </w:rPr>
        <w:t>Commercialization</w:t>
      </w:r>
      <w:r>
        <w:rPr>
          <w:rFonts w:ascii="Arial" w:cs="Arial" w:eastAsia="Arial" w:hAnsi="Arial"/>
          <w:sz w:val="20"/>
          <w:szCs w:val="20"/>
          <w:color w:val="auto"/>
        </w:rPr>
        <w:t>. Subject to the terms of this Agreement, Acceleron will have sole and exclusive control over all matters relating to the commercialization of Products, itself or through one or more Affiliates or Third Parties selected by Acceleron in its sole discretion.</w:t>
      </w:r>
    </w:p>
    <w:p>
      <w:pPr>
        <w:spacing w:after="0" w:line="178"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b w:val="1"/>
          <w:bCs w:val="1"/>
          <w:u w:val="single" w:color="auto"/>
          <w:color w:val="auto"/>
        </w:rPr>
        <w:t>Diligence Requirements</w:t>
      </w:r>
      <w:r>
        <w:rPr>
          <w:rFonts w:ascii="Arial" w:cs="Arial" w:eastAsia="Arial" w:hAnsi="Arial"/>
          <w:sz w:val="19"/>
          <w:szCs w:val="19"/>
          <w:b w:val="1"/>
          <w:bCs w:val="1"/>
          <w:color w:val="auto"/>
        </w:rPr>
        <w:t>.</w:t>
      </w:r>
      <w:r>
        <w:rPr>
          <w:rFonts w:ascii="Arial" w:cs="Arial" w:eastAsia="Arial" w:hAnsi="Arial"/>
          <w:sz w:val="19"/>
          <w:szCs w:val="19"/>
          <w:color w:val="auto"/>
        </w:rPr>
        <w:t xml:space="preserve"> During the Term and following Acceleron’s designation of the first [**] Target, Acceleron will use Commercially Reasonable Efforts to research, develop and seek Regulatory Approval for and, solely to the extent necessary to seek such Regulatory Approval, manufacture or have manufactured one (1) Product in the Major Market Countries. After receiving Regulatory Approval for a Product in any Major Market Country, Acceleron will use Commercially Reasonable Efforts to commercialize such Product in each such Major Market Country. Subject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(Subcontracting), Acceleron may satisfy its obligations under this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(Diligence Requirements) itself or through one or more Affiliates or Third Parties selected by Acceleron in its sole discretion. Following designation by Acceleron of the first [**] Target, Acceleron shall provide a written report to Fulcrum within [**] after [**] of each year during the Term that summarizes Acceleron’s exercise of efforts with respect to the research, development and commercialization of Products under this Agreement, including matters relating to seeking Regulatory Approval therefor. Notwithstanding anything to the contrary in this Agreement (including this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(Diligence Requirements)), Acceleron will have no obligation to negotiate agreements to obtain additional rights to satisfy its obligations in this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(Diligence Requirements).</w:t>
      </w:r>
    </w:p>
    <w:p>
      <w:pPr>
        <w:spacing w:after="0" w:line="178"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b w:val="1"/>
          <w:bCs w:val="1"/>
          <w:u w:val="single" w:color="auto"/>
          <w:color w:val="auto"/>
        </w:rPr>
        <w:t>Applicable Laws</w:t>
      </w:r>
      <w:r>
        <w:rPr>
          <w:rFonts w:ascii="Arial" w:cs="Arial" w:eastAsia="Arial" w:hAnsi="Arial"/>
          <w:sz w:val="20"/>
          <w:szCs w:val="20"/>
          <w:color w:val="auto"/>
        </w:rPr>
        <w:t>. Acceleron will, and will require its Affiliates and Sublicensees to, comply with all Applicable Laws in its and their research, development, manufacture and commercialization of Products.</w:t>
      </w:r>
    </w:p>
    <w:p>
      <w:pPr>
        <w:spacing w:after="0" w:line="164"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b w:val="1"/>
          <w:bCs w:val="1"/>
          <w:u w:val="single" w:color="auto"/>
          <w:color w:val="auto"/>
        </w:rPr>
        <w:t>Further Assurances</w:t>
      </w:r>
      <w:r>
        <w:rPr>
          <w:rFonts w:ascii="Arial" w:cs="Arial" w:eastAsia="Arial" w:hAnsi="Arial"/>
          <w:sz w:val="20"/>
          <w:szCs w:val="20"/>
          <w:color w:val="auto"/>
        </w:rPr>
        <w:t xml:space="preserve">. Upon request by Acceleron, Fulcrum will provide Acceleron with reasonable assistance in carrying out Acceleron’s activities under </w:t>
      </w:r>
      <w:r>
        <w:rPr>
          <w:rFonts w:ascii="Arial" w:cs="Arial" w:eastAsia="Arial" w:hAnsi="Arial"/>
          <w:sz w:val="20"/>
          <w:szCs w:val="20"/>
          <w:u w:val="single" w:color="auto"/>
          <w:color w:val="auto"/>
        </w:rPr>
        <w:t>Sections 4.2</w:t>
      </w:r>
      <w:r>
        <w:rPr>
          <w:rFonts w:ascii="Arial" w:cs="Arial" w:eastAsia="Arial" w:hAnsi="Arial"/>
          <w:sz w:val="20"/>
          <w:szCs w:val="20"/>
          <w:color w:val="auto"/>
        </w:rPr>
        <w:t xml:space="preserve"> (Research &amp; Development) through </w:t>
      </w:r>
      <w:r>
        <w:rPr>
          <w:rFonts w:ascii="Arial" w:cs="Arial" w:eastAsia="Arial" w:hAnsi="Arial"/>
          <w:sz w:val="20"/>
          <w:szCs w:val="20"/>
          <w:u w:val="single" w:color="auto"/>
          <w:color w:val="auto"/>
        </w:rPr>
        <w:t>4.4</w:t>
      </w:r>
      <w:r>
        <w:rPr>
          <w:rFonts w:ascii="Arial" w:cs="Arial" w:eastAsia="Arial" w:hAnsi="Arial"/>
          <w:sz w:val="20"/>
          <w:szCs w:val="20"/>
          <w:color w:val="auto"/>
        </w:rPr>
        <w:t xml:space="preserve"> (Manufacturing), by providing data, information or other documentation reasonably necessary to support any regulatory filings for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LICENSE GRANTS AND EXCLUSIVITY</w:t>
      </w:r>
    </w:p>
    <w:p>
      <w:pPr>
        <w:spacing w:after="0" w:line="194"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b w:val="1"/>
          <w:bCs w:val="1"/>
          <w:u w:val="single" w:color="auto"/>
          <w:color w:val="auto"/>
        </w:rPr>
        <w:t>License Grant to Acceleron</w:t>
      </w:r>
      <w:r>
        <w:rPr>
          <w:rFonts w:ascii="Arial" w:cs="Arial" w:eastAsia="Arial" w:hAnsi="Arial"/>
          <w:sz w:val="19"/>
          <w:szCs w:val="19"/>
          <w:color w:val="auto"/>
        </w:rPr>
        <w:t xml:space="preserve">. Subject to the terms of this Agreement, during the Term, Fulcrum hereby grants, on behalf of itself and its Affiliates, to Acceleron and its Affiliates an exclusive (even as to Fulcrum, except to the extent necessary for Fulcrum to perform the Fulcrum Research Activities, any activities pursuant to </w:t>
      </w:r>
      <w:r>
        <w:rPr>
          <w:rFonts w:ascii="Arial" w:cs="Arial" w:eastAsia="Arial" w:hAnsi="Arial"/>
          <w:sz w:val="19"/>
          <w:szCs w:val="19"/>
          <w:u w:val="single" w:color="auto"/>
          <w:color w:val="auto"/>
        </w:rPr>
        <w:t>Section 4.8</w:t>
      </w:r>
      <w:r>
        <w:rPr>
          <w:rFonts w:ascii="Arial" w:cs="Arial" w:eastAsia="Arial" w:hAnsi="Arial"/>
          <w:sz w:val="19"/>
          <w:szCs w:val="19"/>
          <w:color w:val="auto"/>
        </w:rPr>
        <w:t xml:space="preserve"> (Further Assurances), or the Medicinal Chemistry Services, if any), worldwide, royalty-bearing, sublicensable (through multiple tiers, in accordance with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(Sublicenses)) license under the Fulcrum Technology to make, have made, use, sell, have sold, import, export, distribute and have distributed, market, have marketed, promote, have promoted, or otherwise exploit Collaboration Molecules and Products in the Field in the Territory.</w:t>
      </w:r>
    </w:p>
    <w:p>
      <w:pPr>
        <w:spacing w:after="0" w:line="173"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Sublicenses</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the terms of this Agreement, Acceleron may grant sublicenses of any rights granted to Acceleron under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(License Grant to Acceleron) through multiple tiers of sublicenses to one or more Sublicensees. Each such sublicense will be consistent with the terms of this Agreement. Acceleron will provide a copy of each sublicense agreement to Fulcrum (which agreement may be redacted to remove confidential information not necessary for Fulcrum to ensure compliance with this Agreement) within</w:t>
      </w:r>
    </w:p>
    <w:p>
      <w:pPr>
        <w:spacing w:after="0" w:line="2" w:lineRule="exact"/>
        <w:rPr>
          <w:sz w:val="20"/>
          <w:szCs w:val="20"/>
          <w:color w:val="auto"/>
        </w:rPr>
      </w:pPr>
    </w:p>
    <w:p>
      <w:pPr>
        <w:jc w:val="both"/>
        <w:ind w:firstLine="8"/>
        <w:spacing w:after="0" w:line="241" w:lineRule="auto"/>
        <w:tabs>
          <w:tab w:leader="none" w:pos="379" w:val="left"/>
        </w:tabs>
        <w:numPr>
          <w:ilvl w:val="0"/>
          <w:numId w:val="61"/>
        </w:numPr>
        <w:rPr>
          <w:rFonts w:ascii="Arial" w:cs="Arial" w:eastAsia="Arial" w:hAnsi="Arial"/>
          <w:sz w:val="20"/>
          <w:szCs w:val="20"/>
          <w:color w:val="auto"/>
        </w:rPr>
      </w:pPr>
      <w:r>
        <w:rPr>
          <w:rFonts w:ascii="Arial" w:cs="Arial" w:eastAsia="Arial" w:hAnsi="Arial"/>
          <w:sz w:val="20"/>
          <w:szCs w:val="20"/>
          <w:color w:val="auto"/>
        </w:rPr>
        <w:t>after the execution of each such sublicense. Acceleron will remain responsible for each Sublicensee’s compliance with the applicable terms of this Agreement and, notwithstanding any sublicense, Acceleron will remain primarily liable for all of Acceleron’s duties and obligations contained in this Agreement.</w:t>
      </w:r>
    </w:p>
    <w:p>
      <w:pPr>
        <w:spacing w:after="0" w:line="190"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License Grant to Fulcrum</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the terms of this Agreement, Acceleron hereby grants, on behalf of itself and its Affiliates, to Fulcrum and its Affiliates a non-exclusive, non-sublicensable (except to permitted subcontractors, in accordance with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(Subcontracting)) license under the Acceleron Technology solely to perform (a) the Fulcrum Research Activities during the Research Term, and</w:t>
      </w:r>
    </w:p>
    <w:p>
      <w:pPr>
        <w:spacing w:after="0" w:line="2" w:lineRule="exact"/>
        <w:rPr>
          <w:sz w:val="20"/>
          <w:szCs w:val="20"/>
          <w:color w:val="auto"/>
        </w:rPr>
      </w:pPr>
    </w:p>
    <w:p>
      <w:pPr>
        <w:ind w:firstLine="8"/>
        <w:spacing w:after="0" w:line="244" w:lineRule="auto"/>
        <w:tabs>
          <w:tab w:leader="none" w:pos="291"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Medicinal Chemistry Services (if any) during the period that Fulcrum is performing activities under the Medicinal Chemistry Services Plan (if any).</w:t>
      </w:r>
    </w:p>
    <w:p>
      <w:pPr>
        <w:spacing w:after="0" w:line="186"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b w:val="1"/>
          <w:bCs w:val="1"/>
          <w:u w:val="single" w:color="auto"/>
          <w:color w:val="auto"/>
        </w:rPr>
        <w:t>No Implied Licenses; Retained Rights</w:t>
      </w:r>
      <w:r>
        <w:rPr>
          <w:rFonts w:ascii="Arial" w:cs="Arial" w:eastAsia="Arial" w:hAnsi="Arial"/>
          <w:sz w:val="20"/>
          <w:szCs w:val="20"/>
          <w:color w:val="auto"/>
        </w:rPr>
        <w:t>. Except as expressly provided in this Agreement, no Party will be deemed by estoppel or implication to have granted the other Party any licenses or other right with respect to any intellectual property.</w:t>
      </w:r>
    </w:p>
    <w:p>
      <w:pPr>
        <w:spacing w:after="0" w:line="164"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6"/>
          <w:szCs w:val="16"/>
          <w:b w:val="1"/>
          <w:bCs w:val="1"/>
          <w:u w:val="single" w:color="auto"/>
          <w:color w:val="auto"/>
        </w:rPr>
        <w:t>Exclusivity</w:t>
      </w:r>
      <w:r>
        <w:rPr>
          <w:rFonts w:ascii="Arial" w:cs="Arial" w:eastAsia="Arial" w:hAnsi="Arial"/>
          <w:sz w:val="16"/>
          <w:szCs w:val="16"/>
          <w:color w:val="auto"/>
        </w:rPr>
        <w:t>.</w:t>
      </w:r>
    </w:p>
    <w:p>
      <w:pPr>
        <w:spacing w:after="0" w:line="222" w:lineRule="exact"/>
        <w:rPr>
          <w:sz w:val="20"/>
          <w:szCs w:val="20"/>
          <w:color w:val="auto"/>
        </w:rPr>
      </w:pPr>
    </w:p>
    <w:p>
      <w:pPr>
        <w:jc w:val="both"/>
        <w:ind w:right="20" w:firstLine="877"/>
        <w:spacing w:after="0" w:line="263" w:lineRule="auto"/>
        <w:rPr>
          <w:sz w:val="20"/>
          <w:szCs w:val="20"/>
          <w:color w:val="auto"/>
        </w:rPr>
      </w:pPr>
      <w:r>
        <w:rPr>
          <w:rFonts w:ascii="Arial" w:cs="Arial" w:eastAsia="Arial" w:hAnsi="Arial"/>
          <w:sz w:val="19"/>
          <w:szCs w:val="19"/>
          <w:color w:val="auto"/>
        </w:rPr>
        <w:t xml:space="preserve">5.5.1. During the Research Term, and for [**] thereafter, Fulcrum will not (and, subject to </w:t>
      </w:r>
      <w:r>
        <w:rPr>
          <w:rFonts w:ascii="Arial" w:cs="Arial" w:eastAsia="Arial" w:hAnsi="Arial"/>
          <w:sz w:val="19"/>
          <w:szCs w:val="19"/>
          <w:u w:val="single" w:color="auto"/>
          <w:color w:val="auto"/>
        </w:rPr>
        <w:t>Section 5.5.3</w:t>
      </w:r>
      <w:r>
        <w:rPr>
          <w:rFonts w:ascii="Arial" w:cs="Arial" w:eastAsia="Arial" w:hAnsi="Arial"/>
          <w:sz w:val="19"/>
          <w:szCs w:val="19"/>
          <w:color w:val="auto"/>
        </w:rPr>
        <w:t xml:space="preserve"> (Exception for Change of Control) and </w:t>
      </w:r>
      <w:r>
        <w:rPr>
          <w:rFonts w:ascii="Arial" w:cs="Arial" w:eastAsia="Arial" w:hAnsi="Arial"/>
          <w:sz w:val="19"/>
          <w:szCs w:val="19"/>
          <w:u w:val="single" w:color="auto"/>
          <w:color w:val="auto"/>
        </w:rPr>
        <w:t>Section 5.5.4</w:t>
      </w:r>
      <w:r>
        <w:rPr>
          <w:rFonts w:ascii="Arial" w:cs="Arial" w:eastAsia="Arial" w:hAnsi="Arial"/>
          <w:sz w:val="19"/>
          <w:szCs w:val="19"/>
          <w:color w:val="auto"/>
        </w:rPr>
        <w:t xml:space="preserve"> (Exception for Affiliate Acquisition)), will cause its Affiliates not to) work, independently or for or with any Third Party (including via a license, assignment, transfer or other grant of rights to such Third Party), to research, develop, manufacture, commercialize, use, or otherwise exploit any compound or product for the treatment, prophylaxis, or diagnosis of [**].</w:t>
      </w:r>
    </w:p>
    <w:p>
      <w:pPr>
        <w:spacing w:after="0" w:line="177"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 xml:space="preserve">5.5.2. During the Research Term, and for [**] thereafter, Fulcrum will not (and, subject to </w:t>
      </w:r>
      <w:r>
        <w:rPr>
          <w:rFonts w:ascii="Arial" w:cs="Arial" w:eastAsia="Arial" w:hAnsi="Arial"/>
          <w:sz w:val="20"/>
          <w:szCs w:val="20"/>
          <w:u w:val="single" w:color="auto"/>
          <w:color w:val="auto"/>
        </w:rPr>
        <w:t>Section 5.5.3</w:t>
      </w:r>
      <w:r>
        <w:rPr>
          <w:rFonts w:ascii="Arial" w:cs="Arial" w:eastAsia="Arial" w:hAnsi="Arial"/>
          <w:sz w:val="20"/>
          <w:szCs w:val="20"/>
          <w:color w:val="auto"/>
        </w:rPr>
        <w:t xml:space="preserve"> (Exception for Change of Control) and </w:t>
      </w:r>
      <w:r>
        <w:rPr>
          <w:rFonts w:ascii="Arial" w:cs="Arial" w:eastAsia="Arial" w:hAnsi="Arial"/>
          <w:sz w:val="20"/>
          <w:szCs w:val="20"/>
          <w:u w:val="single" w:color="auto"/>
          <w:color w:val="auto"/>
        </w:rPr>
        <w:t>Section 5.5.4</w:t>
      </w:r>
      <w:r>
        <w:rPr>
          <w:rFonts w:ascii="Arial" w:cs="Arial" w:eastAsia="Arial" w:hAnsi="Arial"/>
          <w:sz w:val="20"/>
          <w:szCs w:val="20"/>
          <w:color w:val="auto"/>
        </w:rPr>
        <w:t xml:space="preserve"> (Exception for Affiliate Acquisition)), will cause its Affiliates not to) work, independently or for or with any Third Party (including via a license, assignment, transfer or other grant of rights to such Third Party), to research, develop, manufacture, commercialize, use, or otherwise exploit any compound or product directed against a Research Target or Excluded Target for the treatment, prophylaxis, or diagnosis of [**] (each such compound or product, together with any compound or product described in </w:t>
      </w:r>
      <w:r>
        <w:rPr>
          <w:rFonts w:ascii="Arial" w:cs="Arial" w:eastAsia="Arial" w:hAnsi="Arial"/>
          <w:sz w:val="20"/>
          <w:szCs w:val="20"/>
          <w:u w:val="single" w:color="auto"/>
          <w:color w:val="auto"/>
        </w:rPr>
        <w:t>Section 5.5.1</w:t>
      </w:r>
      <w:r>
        <w:rPr>
          <w:rFonts w:ascii="Arial" w:cs="Arial" w:eastAsia="Arial" w:hAnsi="Arial"/>
          <w:sz w:val="20"/>
          <w:szCs w:val="20"/>
          <w:color w:val="auto"/>
        </w:rPr>
        <w:t>, a “</w:t>
      </w:r>
      <w:r>
        <w:rPr>
          <w:rFonts w:ascii="Arial" w:cs="Arial" w:eastAsia="Arial" w:hAnsi="Arial"/>
          <w:sz w:val="20"/>
          <w:szCs w:val="20"/>
          <w:b w:val="1"/>
          <w:bCs w:val="1"/>
          <w:color w:val="auto"/>
        </w:rPr>
        <w:t>Competing Product</w:t>
      </w:r>
      <w:r>
        <w:rPr>
          <w:rFonts w:ascii="Arial" w:cs="Arial" w:eastAsia="Arial" w:hAnsi="Arial"/>
          <w:sz w:val="20"/>
          <w:szCs w:val="20"/>
          <w:color w:val="auto"/>
        </w:rPr>
        <w: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3" w:name="page174"/>
    <w:bookmarkEnd w:id="173"/>
    <w:p>
      <w:pPr>
        <w:jc w:val="both"/>
        <w:ind w:firstLine="877"/>
        <w:spacing w:after="0" w:line="269" w:lineRule="auto"/>
        <w:rPr>
          <w:sz w:val="20"/>
          <w:szCs w:val="20"/>
          <w:color w:val="auto"/>
        </w:rPr>
      </w:pPr>
      <w:r>
        <w:rPr>
          <w:rFonts w:ascii="Arial" w:cs="Arial" w:eastAsia="Arial" w:hAnsi="Arial"/>
          <w:sz w:val="18"/>
          <w:szCs w:val="18"/>
          <w:color w:val="auto"/>
        </w:rPr>
        <w:t xml:space="preserve">5.5.3. </w:t>
      </w:r>
      <w:r>
        <w:rPr>
          <w:rFonts w:ascii="Arial" w:cs="Arial" w:eastAsia="Arial" w:hAnsi="Arial"/>
          <w:sz w:val="18"/>
          <w:szCs w:val="18"/>
          <w:b w:val="1"/>
          <w:bCs w:val="1"/>
          <w:color w:val="auto"/>
        </w:rPr>
        <w:t>Exception for Change of Control</w:t>
      </w:r>
      <w:r>
        <w:rPr>
          <w:rFonts w:ascii="Arial" w:cs="Arial" w:eastAsia="Arial" w:hAnsi="Arial"/>
          <w:sz w:val="18"/>
          <w:szCs w:val="18"/>
          <w:color w:val="auto"/>
        </w:rPr>
        <w:t xml:space="preserve">. Fulcrum will not be in breach of the restrictions set forth in </w:t>
      </w:r>
      <w:r>
        <w:rPr>
          <w:rFonts w:ascii="Arial" w:cs="Arial" w:eastAsia="Arial" w:hAnsi="Arial"/>
          <w:sz w:val="18"/>
          <w:szCs w:val="18"/>
          <w:u w:val="single" w:color="auto"/>
          <w:color w:val="auto"/>
        </w:rPr>
        <w:t>Sections 5.5.1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5.5.2</w:t>
      </w:r>
      <w:r>
        <w:rPr>
          <w:rFonts w:ascii="Arial" w:cs="Arial" w:eastAsia="Arial" w:hAnsi="Arial"/>
          <w:sz w:val="18"/>
          <w:szCs w:val="18"/>
          <w:color w:val="auto"/>
        </w:rPr>
        <w:t xml:space="preserve"> if Fulcrum undergoes a Change of Control with an Acquiring Party that is, independently on its own behalf, on the behalf of any Third Party or with any Third Party (including via a license, assignment, transfer or other grant of rights to such Third Party), researching, developing, manufacturing, commercializing, using, or otherwise exploiting any Competing Product immediately prior to the consummation of such Change of Control and continues such exploitation of any Competing Product following the consummation of such Change of Control,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Fulcrum promptly notifies Acceleron of such Change of Control and all Competing Products, (b) no Fulcrum Technology or Fulcrum Confidential Information is used by or on behalf of such Acquiring Party in connection with any subsequent performance of any such activities with respect to any such Competing Products following the consummation of such Change of Control, and</w:t>
      </w:r>
    </w:p>
    <w:p>
      <w:pPr>
        <w:spacing w:after="0" w:line="3" w:lineRule="exact"/>
        <w:rPr>
          <w:sz w:val="20"/>
          <w:szCs w:val="20"/>
          <w:color w:val="auto"/>
        </w:rPr>
      </w:pPr>
    </w:p>
    <w:p>
      <w:pPr>
        <w:jc w:val="both"/>
        <w:ind w:firstLine="8"/>
        <w:spacing w:after="0" w:line="255" w:lineRule="auto"/>
        <w:tabs>
          <w:tab w:leader="none" w:pos="276"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such Acquiring Party institutes commercially reasonable technical and administrative safeguards to ensure the requirements set forth in the foregoing clause (b) are met, including by creating “firewalls” between the personnel working on such Competing Products and the personnel teams charged with working on any Collaboration Molecule or Product (or component thereof) or having access to data from activities performed under this Agreement or Confidential Information of the Parties;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personnel of such Acquiring Party that are responsible for financial functions and alliance management may, solely for such purposes, have access to information concerning Collaboration Molecules and Products solely as necessary to perform such functions.</w:t>
      </w:r>
    </w:p>
    <w:p>
      <w:pPr>
        <w:spacing w:after="0" w:line="179"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18"/>
          <w:szCs w:val="18"/>
          <w:color w:val="auto"/>
        </w:rPr>
        <w:t xml:space="preserve">5.5.4. </w:t>
      </w:r>
      <w:r>
        <w:rPr>
          <w:rFonts w:ascii="Arial" w:cs="Arial" w:eastAsia="Arial" w:hAnsi="Arial"/>
          <w:sz w:val="18"/>
          <w:szCs w:val="18"/>
          <w:b w:val="1"/>
          <w:bCs w:val="1"/>
          <w:color w:val="auto"/>
        </w:rPr>
        <w:t>Exception for Affiliate Acquisition.</w:t>
      </w:r>
      <w:r>
        <w:rPr>
          <w:rFonts w:ascii="Arial" w:cs="Arial" w:eastAsia="Arial" w:hAnsi="Arial"/>
          <w:sz w:val="18"/>
          <w:szCs w:val="18"/>
          <w:color w:val="auto"/>
        </w:rPr>
        <w:t xml:space="preserve"> Fulcrum will not be in breach of the restrictions set forth in </w:t>
      </w:r>
      <w:r>
        <w:rPr>
          <w:rFonts w:ascii="Arial" w:cs="Arial" w:eastAsia="Arial" w:hAnsi="Arial"/>
          <w:sz w:val="18"/>
          <w:szCs w:val="18"/>
          <w:u w:val="single" w:color="auto"/>
          <w:color w:val="auto"/>
        </w:rPr>
        <w:t>Sections 5.5.1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5.5.2</w:t>
      </w:r>
      <w:r>
        <w:rPr>
          <w:rFonts w:ascii="Arial" w:cs="Arial" w:eastAsia="Arial" w:hAnsi="Arial"/>
          <w:sz w:val="18"/>
          <w:szCs w:val="18"/>
          <w:color w:val="auto"/>
        </w:rPr>
        <w:t xml:space="preserve"> if Fulcrum acquires a Third Party (whether such acquisition occurs by way of a purchase of assets, merger, consolidation, change of control or otherwise) (an “</w:t>
      </w:r>
      <w:r>
        <w:rPr>
          <w:rFonts w:ascii="Arial" w:cs="Arial" w:eastAsia="Arial" w:hAnsi="Arial"/>
          <w:sz w:val="18"/>
          <w:szCs w:val="18"/>
          <w:b w:val="1"/>
          <w:bCs w:val="1"/>
          <w:color w:val="auto"/>
        </w:rPr>
        <w:t>Affiliate Acquisition</w:t>
      </w:r>
      <w:r>
        <w:rPr>
          <w:rFonts w:ascii="Arial" w:cs="Arial" w:eastAsia="Arial" w:hAnsi="Arial"/>
          <w:sz w:val="18"/>
          <w:szCs w:val="18"/>
          <w:color w:val="auto"/>
        </w:rPr>
        <w:t xml:space="preserve">”) that is, independently on its own behalf, on the behalf of any Third Party or with any Third Party (including via a license, assignment, transfer or other grant of rights to such Third Party), researching, developing, manufacturing, commercializing, using, or otherwise exploiting any Competing Product, immediately prior to the consummation of such Affiliate Acquisition, as applicable, and continues such exploitation of any Competing Product following the consummation of such Affiliate Acquisition,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Fulcrum promptly notifies Acceleron of such Affiliate Acquisition and all Competing Products, (b) within [**] after the effective date of such Affiliate Acquisition, Fulcrum will either (i) request that any Competing Product be included in this Agreement as a Collaboration Molecule or Product, as applicable, on terms to be negotiated by the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Parties are unable to agree on the terms on which to include any Competing Product in this Agreement within [**] after the effective date of such Affiliate Acquisition, Fulcrum and its Affiliates will take the action specified in either the following clause (ii) or (iii), (ii) notify Acceleron that the Acquired Party will fully divest its rights in and to such Competing Product, in which case, Fulcrum and the Acquired Party will fully divest their rights in and to any Competing Product within [**] after the effective date of such Affiliate Acquisition, or (iii) notify Acceleron that Fulcrum and the Acquired Party are ceasing all research, development, manufacture and commercialization activities with respect to any Competing Product, in which case, within [**], after Acceleron’s receipt of such notice, Fulcrum and its Affiliates will cease all such activities, (c) no Fulcrum Technology or Fulcrum Confidential Information is used by or on behalf of such Acquired Party in connection with any subsequent performance of any such activities with respect to any such Competing Products following the consummation of such Affiliate Acquisition, and</w:t>
      </w:r>
    </w:p>
    <w:p>
      <w:pPr>
        <w:spacing w:after="0" w:line="10" w:lineRule="exact"/>
        <w:rPr>
          <w:sz w:val="20"/>
          <w:szCs w:val="20"/>
          <w:color w:val="auto"/>
        </w:rPr>
      </w:pPr>
    </w:p>
    <w:p>
      <w:pPr>
        <w:jc w:val="both"/>
        <w:ind w:firstLine="8"/>
        <w:spacing w:after="0" w:line="241" w:lineRule="auto"/>
        <w:tabs>
          <w:tab w:leader="none" w:pos="299" w:val="left"/>
        </w:tabs>
        <w:numPr>
          <w:ilvl w:val="0"/>
          <w:numId w:val="64"/>
        </w:numPr>
        <w:rPr>
          <w:rFonts w:ascii="Arial" w:cs="Arial" w:eastAsia="Arial" w:hAnsi="Arial"/>
          <w:sz w:val="20"/>
          <w:szCs w:val="20"/>
          <w:color w:val="auto"/>
        </w:rPr>
      </w:pPr>
      <w:r>
        <w:rPr>
          <w:rFonts w:ascii="Arial" w:cs="Arial" w:eastAsia="Arial" w:hAnsi="Arial"/>
          <w:sz w:val="20"/>
          <w:szCs w:val="20"/>
          <w:color w:val="auto"/>
        </w:rPr>
        <w:t>Fulcrum institutes commercially reasonable technical and administrative safeguards to ensure the requirements set forth in the foregoing clause (c) are met, including by creating “firewalls” between the personnel working on such Competing Products and the personnel teams charged with working on any Collaboration Molecule or Product (or component thereof) or having access to data from activities performed under this Agreement or Confidential Information of the Parties.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4" w:name="page175"/>
    <w:bookmarkEnd w:id="174"/>
    <w:p>
      <w:pPr>
        <w:jc w:val="center"/>
        <w:ind w:right="20"/>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FINANCIAL PROVISIONS</w:t>
      </w:r>
    </w:p>
    <w:p>
      <w:pPr>
        <w:spacing w:after="0" w:line="194" w:lineRule="exact"/>
        <w:rPr>
          <w:sz w:val="20"/>
          <w:szCs w:val="20"/>
          <w:color w:val="auto"/>
        </w:rPr>
      </w:pPr>
    </w:p>
    <w:p>
      <w:pPr>
        <w:jc w:val="both"/>
        <w:ind w:right="20" w:firstLine="877"/>
        <w:spacing w:after="0" w:line="267"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b w:val="1"/>
          <w:bCs w:val="1"/>
          <w:u w:val="single" w:color="auto"/>
          <w:color w:val="auto"/>
        </w:rPr>
        <w:t>Upfront Payment</w:t>
      </w:r>
      <w:r>
        <w:rPr>
          <w:rFonts w:ascii="Arial" w:cs="Arial" w:eastAsia="Arial" w:hAnsi="Arial"/>
          <w:sz w:val="20"/>
          <w:szCs w:val="20"/>
          <w:color w:val="auto"/>
        </w:rPr>
        <w:t>. Acceleron will pay Fulcrum a non-refundable, non-creditable upfront payment of Ten Million Dollars ($10,000,000) within fifteen (15) days after the Effective Date.</w:t>
      </w:r>
    </w:p>
    <w:p>
      <w:pPr>
        <w:spacing w:after="0" w:line="164"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6"/>
          <w:szCs w:val="16"/>
          <w:b w:val="1"/>
          <w:bCs w:val="1"/>
          <w:u w:val="single" w:color="auto"/>
          <w:color w:val="auto"/>
        </w:rPr>
        <w:t>Milestone Payments</w:t>
      </w:r>
      <w:r>
        <w:rPr>
          <w:rFonts w:ascii="Arial" w:cs="Arial" w:eastAsia="Arial" w:hAnsi="Arial"/>
          <w:sz w:val="16"/>
          <w:szCs w:val="16"/>
          <w:color w:val="auto"/>
        </w:rPr>
        <w:t>.</w:t>
      </w:r>
    </w:p>
    <w:p>
      <w:pPr>
        <w:spacing w:after="0" w:line="216" w:lineRule="exact"/>
        <w:rPr>
          <w:sz w:val="20"/>
          <w:szCs w:val="20"/>
          <w:color w:val="auto"/>
        </w:rPr>
      </w:pPr>
    </w:p>
    <w:p>
      <w:pPr>
        <w:jc w:val="both"/>
        <w:ind w:right="20" w:firstLine="877"/>
        <w:spacing w:after="0" w:line="272"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b w:val="1"/>
          <w:bCs w:val="1"/>
          <w:color w:val="auto"/>
        </w:rPr>
        <w:t>Research Milestones</w:t>
      </w:r>
      <w:r>
        <w:rPr>
          <w:rFonts w:ascii="Arial" w:cs="Arial" w:eastAsia="Arial" w:hAnsi="Arial"/>
          <w:sz w:val="18"/>
          <w:szCs w:val="18"/>
          <w:color w:val="auto"/>
        </w:rPr>
        <w:t>. Promptly following the first achievement by a Party, its Affiliates or Sublicensees of each event described below (each, a “</w:t>
      </w:r>
      <w:r>
        <w:rPr>
          <w:rFonts w:ascii="Arial" w:cs="Arial" w:eastAsia="Arial" w:hAnsi="Arial"/>
          <w:sz w:val="18"/>
          <w:szCs w:val="18"/>
          <w:b w:val="1"/>
          <w:bCs w:val="1"/>
          <w:color w:val="auto"/>
        </w:rPr>
        <w:t>Research Milestone</w:t>
      </w:r>
      <w:r>
        <w:rPr>
          <w:rFonts w:ascii="Arial" w:cs="Arial" w:eastAsia="Arial" w:hAnsi="Arial"/>
          <w:sz w:val="18"/>
          <w:szCs w:val="18"/>
          <w:color w:val="auto"/>
        </w:rPr>
        <w:t>”), the Party achieving such Research Milestone will notify the other Party of such achievement. Acceleron will pay Fulcrum the amounts set forth in the table below (each, a “</w:t>
      </w:r>
      <w:r>
        <w:rPr>
          <w:rFonts w:ascii="Arial" w:cs="Arial" w:eastAsia="Arial" w:hAnsi="Arial"/>
          <w:sz w:val="18"/>
          <w:szCs w:val="18"/>
          <w:b w:val="1"/>
          <w:bCs w:val="1"/>
          <w:color w:val="auto"/>
        </w:rPr>
        <w:t>Research Milestone Payment</w:t>
      </w:r>
      <w:r>
        <w:rPr>
          <w:rFonts w:ascii="Arial" w:cs="Arial" w:eastAsia="Arial" w:hAnsi="Arial"/>
          <w:sz w:val="18"/>
          <w:szCs w:val="18"/>
          <w:color w:val="auto"/>
        </w:rPr>
        <w:t>”) within [**] following the date each Research Milestone is first achieved. Notwithstanding the foregoing, no Research Milestone [**] will be payable by Acceleron until the</w:t>
      </w:r>
    </w:p>
    <w:p>
      <w:pPr>
        <w:spacing w:after="0" w:line="2" w:lineRule="exact"/>
        <w:rPr>
          <w:sz w:val="20"/>
          <w:szCs w:val="20"/>
          <w:color w:val="auto"/>
        </w:rPr>
      </w:pPr>
    </w:p>
    <w:p>
      <w:pPr>
        <w:jc w:val="both"/>
        <w:ind w:right="20" w:firstLine="8"/>
        <w:spacing w:after="0" w:line="260" w:lineRule="auto"/>
        <w:tabs>
          <w:tab w:leader="none" w:pos="429" w:val="left"/>
        </w:tabs>
        <w:numPr>
          <w:ilvl w:val="0"/>
          <w:numId w:val="65"/>
        </w:numPr>
        <w:rPr>
          <w:rFonts w:ascii="Arial" w:cs="Arial" w:eastAsia="Arial" w:hAnsi="Arial"/>
          <w:sz w:val="19"/>
          <w:szCs w:val="19"/>
          <w:color w:val="auto"/>
        </w:rPr>
      </w:pPr>
      <w:r>
        <w:rPr>
          <w:rFonts w:ascii="Arial" w:cs="Arial" w:eastAsia="Arial" w:hAnsi="Arial"/>
          <w:sz w:val="19"/>
          <w:szCs w:val="19"/>
          <w:color w:val="auto"/>
        </w:rPr>
        <w:t>For the avoidance of doubt, except as otherwise indicated in the table below, each Research Milestone Payment will be payable only once in aggregate, upon the first achievement of the applicable Research Milestone (if at all), and in no event will the aggregate Research Milestone Payments payable by Acceleron exceed Eighteen Million Five Hundred Thousand Dollars ($18,500,000).</w:t>
      </w:r>
    </w:p>
    <w:p>
      <w:pPr>
        <w:spacing w:after="0" w:line="176" w:lineRule="exact"/>
        <w:rPr>
          <w:sz w:val="20"/>
          <w:szCs w:val="20"/>
          <w:color w:val="auto"/>
        </w:rPr>
      </w:pPr>
    </w:p>
    <w:tbl>
      <w:tblPr>
        <w:tblLayout w:type="fixed"/>
        <w:tblInd w:w="30" w:type="dxa"/>
        <w:tblCellMar>
          <w:top w:w="0" w:type="dxa"/>
          <w:left w:w="0" w:type="dxa"/>
          <w:bottom w:w="0" w:type="dxa"/>
          <w:right w:w="0" w:type="dxa"/>
        </w:tblCellMar>
      </w:tblPr>
      <w:tr>
        <w:trPr>
          <w:trHeight w:val="220"/>
        </w:trPr>
        <w:tc>
          <w:tcPr>
            <w:tcW w:w="878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20"/>
                <w:szCs w:val="20"/>
                <w:b w:val="1"/>
                <w:bCs w:val="1"/>
                <w:color w:val="auto"/>
              </w:rPr>
              <w:t>Research Milestone</w:t>
            </w:r>
          </w:p>
        </w:tc>
        <w:tc>
          <w:tcPr>
            <w:tcW w:w="264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6"/>
              </w:rPr>
              <w:t>Research</w:t>
            </w:r>
          </w:p>
        </w:tc>
        <w:tc>
          <w:tcPr>
            <w:tcW w:w="0" w:type="dxa"/>
            <w:vAlign w:val="bottom"/>
          </w:tcPr>
          <w:p>
            <w:pPr>
              <w:spacing w:after="0"/>
              <w:rPr>
                <w:sz w:val="1"/>
                <w:szCs w:val="1"/>
                <w:color w:val="auto"/>
              </w:rPr>
            </w:pPr>
          </w:p>
        </w:tc>
      </w:tr>
      <w:tr>
        <w:trPr>
          <w:trHeight w:val="135"/>
        </w:trPr>
        <w:tc>
          <w:tcPr>
            <w:tcW w:w="8780" w:type="dxa"/>
            <w:vAlign w:val="bottom"/>
            <w:tcBorders>
              <w:left w:val="single" w:sz="8" w:color="auto"/>
              <w:right w:val="single" w:sz="8" w:color="auto"/>
            </w:tcBorders>
            <w:vMerge w:val="continue"/>
          </w:tcPr>
          <w:p>
            <w:pPr>
              <w:spacing w:after="0"/>
              <w:rPr>
                <w:sz w:val="11"/>
                <w:szCs w:val="11"/>
                <w:color w:val="auto"/>
              </w:rPr>
            </w:pP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Milestone Payment</w:t>
            </w:r>
          </w:p>
        </w:tc>
        <w:tc>
          <w:tcPr>
            <w:tcW w:w="0" w:type="dxa"/>
            <w:vAlign w:val="bottom"/>
          </w:tcPr>
          <w:p>
            <w:pPr>
              <w:spacing w:after="0"/>
              <w:rPr>
                <w:sz w:val="1"/>
                <w:szCs w:val="1"/>
                <w:color w:val="auto"/>
              </w:rPr>
            </w:pPr>
          </w:p>
        </w:tc>
      </w:tr>
      <w:tr>
        <w:trPr>
          <w:trHeight w:val="118"/>
        </w:trPr>
        <w:tc>
          <w:tcPr>
            <w:tcW w:w="8780" w:type="dxa"/>
            <w:vAlign w:val="bottom"/>
            <w:tcBorders>
              <w:left w:val="single" w:sz="8" w:color="auto"/>
              <w:bottom w:val="single" w:sz="8" w:color="auto"/>
              <w:right w:val="single" w:sz="8" w:color="auto"/>
            </w:tcBorders>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8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8780" w:type="dxa"/>
            <w:vAlign w:val="bottom"/>
            <w:tcBorders>
              <w:left w:val="single" w:sz="8" w:color="auto"/>
              <w:bottom w:val="single" w:sz="8" w:color="auto"/>
              <w:right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8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8780" w:type="dxa"/>
            <w:vAlign w:val="bottom"/>
            <w:tcBorders>
              <w:left w:val="single" w:sz="8" w:color="auto"/>
              <w:bottom w:val="single" w:sz="8" w:color="auto"/>
              <w:right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8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8780" w:type="dxa"/>
            <w:vAlign w:val="bottom"/>
            <w:tcBorders>
              <w:left w:val="single" w:sz="8" w:color="auto"/>
              <w:bottom w:val="single" w:sz="8" w:color="auto"/>
              <w:right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8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91"/>
        </w:trPr>
        <w:tc>
          <w:tcPr>
            <w:tcW w:w="8780" w:type="dxa"/>
            <w:vAlign w:val="bottom"/>
            <w:tcBorders>
              <w:left w:val="single" w:sz="8" w:color="auto"/>
              <w:bottom w:val="single" w:sz="8" w:color="auto"/>
              <w:right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20" w:firstLine="877"/>
        <w:spacing w:after="0" w:line="271"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b w:val="1"/>
          <w:bCs w:val="1"/>
          <w:color w:val="auto"/>
        </w:rPr>
        <w:t>Development Milestones</w:t>
      </w:r>
      <w:r>
        <w:rPr>
          <w:rFonts w:ascii="Arial" w:cs="Arial" w:eastAsia="Arial" w:hAnsi="Arial"/>
          <w:sz w:val="18"/>
          <w:szCs w:val="18"/>
          <w:color w:val="auto"/>
        </w:rPr>
        <w:t>. From and after the Effective Date and until expiration of the Royalty Term, Acceleron will pay Fulcrum the amounts set forth in the table below (each, a “</w:t>
      </w:r>
      <w:r>
        <w:rPr>
          <w:rFonts w:ascii="Arial" w:cs="Arial" w:eastAsia="Arial" w:hAnsi="Arial"/>
          <w:sz w:val="18"/>
          <w:szCs w:val="18"/>
          <w:b w:val="1"/>
          <w:bCs w:val="1"/>
          <w:color w:val="auto"/>
        </w:rPr>
        <w:t>Development Milestone Payment</w:t>
      </w:r>
      <w:r>
        <w:rPr>
          <w:rFonts w:ascii="Arial" w:cs="Arial" w:eastAsia="Arial" w:hAnsi="Arial"/>
          <w:sz w:val="18"/>
          <w:szCs w:val="18"/>
          <w:color w:val="auto"/>
        </w:rPr>
        <w:t>”) within [**] following the first occurrence of each event described below (each, a “</w:t>
      </w:r>
      <w:r>
        <w:rPr>
          <w:rFonts w:ascii="Arial" w:cs="Arial" w:eastAsia="Arial" w:hAnsi="Arial"/>
          <w:sz w:val="18"/>
          <w:szCs w:val="18"/>
          <w:b w:val="1"/>
          <w:bCs w:val="1"/>
          <w:color w:val="auto"/>
        </w:rPr>
        <w:t>Development Milestone</w:t>
      </w:r>
      <w:r>
        <w:rPr>
          <w:rFonts w:ascii="Arial" w:cs="Arial" w:eastAsia="Arial" w:hAnsi="Arial"/>
          <w:sz w:val="18"/>
          <w:szCs w:val="18"/>
          <w:color w:val="auto"/>
        </w:rPr>
        <w:t>”) with regard to (x) the first Product to achieve such Development Milestone, and (y) the second Product to achieve such Development Milestone. For the avoidance of doubt, each Development Milestone Payment will be paid no more than once (if at all), and in no event will the aggregate Development Milestone Payments payable by Acceleron exceed Two Hundred Two Million Five Hundred Thousand Dollars ($202,500,000). For the avoidance of doubt, each Development Milestone Payment in each column in the table below will be payable by Acceleron once for the first Product to achieve such Development Milestone, regardless of the number of Products previously developed, or in development, by Acceleron as of the date of achievement of such Development Milestone. By way of example, in the event that a given Product first achieves Development Milestone [**] and the development of such Product is thereafter stalled or discontinued, the First Product Development Milestone Payment with respect to Development Milestone [**] shall be payable by Acceleron upon first achievement of Development Milestone [**] by any subsequent Product.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175" w:name="page176"/>
    <w:bookmarkEnd w:id="175"/>
    <w:p>
      <w:pPr>
        <w:jc w:val="both"/>
        <w:ind w:left="1760" w:firstLine="746"/>
        <w:spacing w:after="0" w:line="255" w:lineRule="auto"/>
        <w:tabs>
          <w:tab w:leader="none" w:pos="3371"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The Development Milestones set forth in each column below, together with Research Milestone [**], are intended to be successive within such column, and if a Product is not required to undergo the event associated with any such Development Milestone or Research Milestone [**] or if Acceleron acquires rights to such Product from a Third Party, including by license or acquisition, which rights are acquired with respect to a Product that is at any stage of development after Research Milestone [**], such skipped milestone will be deemed to have been achieved upon the achievement by such Product of the next successive Development Milestone;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Development Milestones [**] (the “</w:t>
      </w:r>
      <w:r>
        <w:rPr>
          <w:rFonts w:ascii="Arial" w:cs="Arial" w:eastAsia="Arial" w:hAnsi="Arial"/>
          <w:sz w:val="19"/>
          <w:szCs w:val="19"/>
          <w:b w:val="1"/>
          <w:bCs w:val="1"/>
          <w:color w:val="auto"/>
        </w:rPr>
        <w:t>Approval Milestones</w:t>
      </w:r>
      <w:r>
        <w:rPr>
          <w:rFonts w:ascii="Arial" w:cs="Arial" w:eastAsia="Arial" w:hAnsi="Arial"/>
          <w:sz w:val="19"/>
          <w:szCs w:val="19"/>
          <w:color w:val="auto"/>
        </w:rPr>
        <w:t xml:space="preserve">”), (i) none of the Approval Milestones will be deemed to have been achieved upon the achievement of any other Approval Milestone, and (ii) the achievement of any of the Approval Milestones will result in the deemed achievement of Development Milestone [**] (if not previously achieved). Payment for any such skipped Development Milestones or Research Milestone [**] that is owed in accordance with the provisions of this </w:t>
      </w:r>
      <w:r>
        <w:rPr>
          <w:rFonts w:ascii="Arial" w:cs="Arial" w:eastAsia="Arial" w:hAnsi="Arial"/>
          <w:sz w:val="19"/>
          <w:szCs w:val="19"/>
          <w:u w:val="single" w:color="auto"/>
          <w:color w:val="auto"/>
        </w:rPr>
        <w:t>Section 6.2.2(a)</w:t>
      </w:r>
      <w:r>
        <w:rPr>
          <w:rFonts w:ascii="Arial" w:cs="Arial" w:eastAsia="Arial" w:hAnsi="Arial"/>
          <w:sz w:val="19"/>
          <w:szCs w:val="19"/>
          <w:color w:val="auto"/>
        </w:rPr>
        <w:t xml:space="preserve"> with respect to a given Product will be due concurrently with the payment for the next successive Development Milestone by such Product.</w:t>
      </w:r>
    </w:p>
    <w:p>
      <w:pPr>
        <w:spacing w:after="0" w:line="209" w:lineRule="exact"/>
        <w:rPr>
          <w:sz w:val="20"/>
          <w:szCs w:val="20"/>
          <w:color w:val="auto"/>
        </w:rPr>
      </w:pPr>
    </w:p>
    <w:tbl>
      <w:tblPr>
        <w:tblLayout w:type="fixed"/>
        <w:tblInd w:w="590" w:type="dxa"/>
        <w:tblCellMar>
          <w:top w:w="0" w:type="dxa"/>
          <w:left w:w="0" w:type="dxa"/>
          <w:bottom w:w="0" w:type="dxa"/>
          <w:right w:w="0" w:type="dxa"/>
        </w:tblCellMar>
      </w:tblPr>
      <w:tr>
        <w:trPr>
          <w:trHeight w:val="220"/>
        </w:trPr>
        <w:tc>
          <w:tcPr>
            <w:tcW w:w="1080" w:type="dxa"/>
            <w:vAlign w:val="bottom"/>
            <w:tcBorders>
              <w:top w:val="single" w:sz="8" w:color="auto"/>
              <w:left w:val="single" w:sz="8" w:color="auto"/>
            </w:tcBorders>
          </w:tcPr>
          <w:p>
            <w:pPr>
              <w:spacing w:after="0"/>
              <w:rPr>
                <w:sz w:val="19"/>
                <w:szCs w:val="19"/>
                <w:color w:val="auto"/>
              </w:rPr>
            </w:pPr>
          </w:p>
        </w:tc>
        <w:tc>
          <w:tcPr>
            <w:tcW w:w="4360" w:type="dxa"/>
            <w:vAlign w:val="bottom"/>
            <w:tcBorders>
              <w:top w:val="single" w:sz="8" w:color="auto"/>
              <w:right w:val="single" w:sz="8" w:color="auto"/>
            </w:tcBorders>
          </w:tcPr>
          <w:p>
            <w:pPr>
              <w:spacing w:after="0"/>
              <w:rPr>
                <w:sz w:val="19"/>
                <w:szCs w:val="19"/>
                <w:color w:val="auto"/>
              </w:rPr>
            </w:pPr>
          </w:p>
        </w:tc>
        <w:tc>
          <w:tcPr>
            <w:tcW w:w="236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92"/>
              </w:rPr>
              <w:t>“First Product</w:t>
            </w:r>
          </w:p>
        </w:tc>
        <w:tc>
          <w:tcPr>
            <w:tcW w:w="24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tcBorders>
          </w:tcPr>
          <w:p>
            <w:pPr>
              <w:spacing w:after="0"/>
              <w:rPr>
                <w:sz w:val="19"/>
                <w:szCs w:val="19"/>
                <w:color w:val="auto"/>
              </w:rPr>
            </w:pPr>
          </w:p>
        </w:tc>
        <w:tc>
          <w:tcPr>
            <w:tcW w:w="436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Development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“Second Product</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tcBorders>
          </w:tcPr>
          <w:p>
            <w:pPr>
              <w:spacing w:after="0"/>
              <w:rPr>
                <w:sz w:val="19"/>
                <w:szCs w:val="19"/>
                <w:color w:val="auto"/>
              </w:rPr>
            </w:pPr>
          </w:p>
        </w:tc>
        <w:tc>
          <w:tcPr>
            <w:tcW w:w="436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Milestone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Development</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tcBorders>
          </w:tcPr>
          <w:p>
            <w:pPr>
              <w:spacing w:after="0"/>
              <w:rPr>
                <w:sz w:val="19"/>
                <w:szCs w:val="19"/>
                <w:color w:val="auto"/>
              </w:rPr>
            </w:pPr>
          </w:p>
        </w:tc>
        <w:tc>
          <w:tcPr>
            <w:tcW w:w="4360" w:type="dxa"/>
            <w:vAlign w:val="bottom"/>
            <w:tcBorders>
              <w:right w:val="single" w:sz="8" w:color="auto"/>
            </w:tcBorders>
            <w:vMerge w:val="restart"/>
          </w:tcPr>
          <w:p>
            <w:pPr>
              <w:ind w:left="640"/>
              <w:spacing w:after="0"/>
              <w:rPr>
                <w:sz w:val="20"/>
                <w:szCs w:val="20"/>
                <w:color w:val="auto"/>
              </w:rPr>
            </w:pPr>
            <w:r>
              <w:rPr>
                <w:rFonts w:ascii="Arial" w:cs="Arial" w:eastAsia="Arial" w:hAnsi="Arial"/>
                <w:sz w:val="20"/>
                <w:szCs w:val="20"/>
                <w:b w:val="1"/>
                <w:bCs w:val="1"/>
                <w:color w:val="auto"/>
              </w:rPr>
              <w:t>Development Milestone</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Payments”</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Milestone</w:t>
            </w:r>
          </w:p>
        </w:tc>
        <w:tc>
          <w:tcPr>
            <w:tcW w:w="0" w:type="dxa"/>
            <w:vAlign w:val="bottom"/>
          </w:tcPr>
          <w:p>
            <w:pPr>
              <w:spacing w:after="0"/>
              <w:rPr>
                <w:sz w:val="1"/>
                <w:szCs w:val="1"/>
                <w:color w:val="auto"/>
              </w:rPr>
            </w:pPr>
          </w:p>
        </w:tc>
      </w:tr>
      <w:tr>
        <w:trPr>
          <w:trHeight w:val="256"/>
        </w:trPr>
        <w:tc>
          <w:tcPr>
            <w:tcW w:w="1080" w:type="dxa"/>
            <w:vAlign w:val="bottom"/>
            <w:tcBorders>
              <w:left w:val="single" w:sz="8" w:color="auto"/>
            </w:tcBorders>
          </w:tcPr>
          <w:p>
            <w:pPr>
              <w:spacing w:after="0"/>
              <w:rPr>
                <w:sz w:val="22"/>
                <w:szCs w:val="22"/>
                <w:color w:val="auto"/>
              </w:rPr>
            </w:pPr>
          </w:p>
        </w:tc>
        <w:tc>
          <w:tcPr>
            <w:tcW w:w="4360" w:type="dxa"/>
            <w:vAlign w:val="bottom"/>
            <w:tcBorders>
              <w:right w:val="single" w:sz="8" w:color="auto"/>
            </w:tcBorders>
            <w:vMerge w:val="continue"/>
          </w:tcPr>
          <w:p>
            <w:pPr>
              <w:spacing w:after="0"/>
              <w:rPr>
                <w:sz w:val="22"/>
                <w:szCs w:val="22"/>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Development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Payments”</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436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vMerge w:val="continue"/>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tcBorders>
          </w:tcPr>
          <w:p>
            <w:pPr>
              <w:spacing w:after="0"/>
              <w:rPr>
                <w:sz w:val="19"/>
                <w:szCs w:val="19"/>
                <w:color w:val="auto"/>
              </w:rPr>
            </w:pPr>
          </w:p>
        </w:tc>
        <w:tc>
          <w:tcPr>
            <w:tcW w:w="436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Milestone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Development</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tcBorders>
          </w:tcPr>
          <w:p>
            <w:pPr>
              <w:spacing w:after="0"/>
              <w:rPr>
                <w:sz w:val="19"/>
                <w:szCs w:val="19"/>
                <w:color w:val="auto"/>
              </w:rPr>
            </w:pPr>
          </w:p>
        </w:tc>
        <w:tc>
          <w:tcPr>
            <w:tcW w:w="436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Payment for first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Milestone Payment</w:t>
            </w:r>
          </w:p>
        </w:tc>
        <w:tc>
          <w:tcPr>
            <w:tcW w:w="0" w:type="dxa"/>
            <w:vAlign w:val="bottom"/>
          </w:tcPr>
          <w:p>
            <w:pPr>
              <w:spacing w:after="0"/>
              <w:rPr>
                <w:sz w:val="1"/>
                <w:szCs w:val="1"/>
                <w:color w:val="auto"/>
              </w:rPr>
            </w:pPr>
          </w:p>
        </w:tc>
      </w:tr>
      <w:tr>
        <w:trPr>
          <w:trHeight w:val="252"/>
        </w:trPr>
        <w:tc>
          <w:tcPr>
            <w:tcW w:w="1080" w:type="dxa"/>
            <w:vAlign w:val="bottom"/>
            <w:tcBorders>
              <w:left w:val="single" w:sz="8" w:color="auto"/>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Product</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for second Product</w:t>
            </w:r>
          </w:p>
        </w:tc>
        <w:tc>
          <w:tcPr>
            <w:tcW w:w="0" w:type="dxa"/>
            <w:vAlign w:val="bottom"/>
          </w:tcPr>
          <w:p>
            <w:pPr>
              <w:spacing w:after="0"/>
              <w:rPr>
                <w:sz w:val="1"/>
                <w:szCs w:val="1"/>
                <w:color w:val="auto"/>
              </w:rPr>
            </w:pPr>
          </w:p>
        </w:tc>
      </w:tr>
      <w:tr>
        <w:trPr>
          <w:trHeight w:val="244"/>
        </w:trPr>
        <w:tc>
          <w:tcPr>
            <w:tcW w:w="1080" w:type="dxa"/>
            <w:vAlign w:val="bottom"/>
            <w:tcBorders>
              <w:left w:val="single" w:sz="8" w:color="auto"/>
            </w:tcBorders>
          </w:tcPr>
          <w:p>
            <w:pPr>
              <w:jc w:val="right"/>
              <w:ind w:right="521"/>
              <w:spacing w:after="0"/>
              <w:rPr>
                <w:sz w:val="20"/>
                <w:szCs w:val="20"/>
                <w:color w:val="auto"/>
              </w:rPr>
            </w:pPr>
            <w:r>
              <w:rPr>
                <w:rFonts w:ascii="Arial" w:cs="Arial" w:eastAsia="Arial" w:hAnsi="Arial"/>
                <w:sz w:val="20"/>
                <w:szCs w:val="20"/>
                <w:color w:val="auto"/>
              </w:rPr>
              <w:t>[**]</w:t>
            </w:r>
          </w:p>
        </w:tc>
        <w:tc>
          <w:tcPr>
            <w:tcW w:w="43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8"/>
        </w:trPr>
        <w:tc>
          <w:tcPr>
            <w:tcW w:w="1080" w:type="dxa"/>
            <w:vAlign w:val="bottom"/>
            <w:tcBorders>
              <w:left w:val="single" w:sz="8" w:color="auto"/>
            </w:tcBorders>
          </w:tcPr>
          <w:p>
            <w:pPr>
              <w:spacing w:after="0"/>
              <w:rPr>
                <w:sz w:val="6"/>
                <w:szCs w:val="6"/>
                <w:color w:val="auto"/>
              </w:rPr>
            </w:pPr>
          </w:p>
        </w:tc>
        <w:tc>
          <w:tcPr>
            <w:tcW w:w="4360" w:type="dxa"/>
            <w:vAlign w:val="bottom"/>
            <w:tcBorders>
              <w:right w:val="single" w:sz="8" w:color="auto"/>
            </w:tcBorders>
          </w:tcPr>
          <w:p>
            <w:pPr>
              <w:spacing w:after="0"/>
              <w:rPr>
                <w:sz w:val="6"/>
                <w:szCs w:val="6"/>
                <w:color w:val="auto"/>
              </w:rPr>
            </w:pPr>
          </w:p>
        </w:tc>
        <w:tc>
          <w:tcPr>
            <w:tcW w:w="2360" w:type="dxa"/>
            <w:vAlign w:val="bottom"/>
            <w:tcBorders>
              <w:right w:val="single" w:sz="8" w:color="auto"/>
            </w:tcBorders>
            <w:vMerge w:val="continue"/>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080" w:type="dxa"/>
            <w:vAlign w:val="bottom"/>
            <w:tcBorders>
              <w:left w:val="single" w:sz="8" w:color="auto"/>
              <w:bottom w:val="single" w:sz="8" w:color="auto"/>
            </w:tcBorders>
          </w:tcPr>
          <w:p>
            <w:pPr>
              <w:spacing w:after="0"/>
              <w:rPr>
                <w:sz w:val="7"/>
                <w:szCs w:val="7"/>
                <w:color w:val="auto"/>
              </w:rPr>
            </w:pPr>
          </w:p>
        </w:tc>
        <w:tc>
          <w:tcPr>
            <w:tcW w:w="4360" w:type="dxa"/>
            <w:vAlign w:val="bottom"/>
            <w:tcBorders>
              <w:bottom w:val="single" w:sz="8" w:color="auto"/>
              <w:righ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080" w:type="dxa"/>
            <w:vAlign w:val="bottom"/>
            <w:tcBorders>
              <w:left w:val="single" w:sz="8" w:color="auto"/>
            </w:tcBorders>
          </w:tcPr>
          <w:p>
            <w:pPr>
              <w:jc w:val="right"/>
              <w:ind w:right="521"/>
              <w:spacing w:after="0"/>
              <w:rPr>
                <w:sz w:val="20"/>
                <w:szCs w:val="20"/>
                <w:color w:val="auto"/>
              </w:rPr>
            </w:pPr>
            <w:r>
              <w:rPr>
                <w:rFonts w:ascii="Arial" w:cs="Arial" w:eastAsia="Arial" w:hAnsi="Arial"/>
                <w:sz w:val="20"/>
                <w:szCs w:val="20"/>
                <w:color w:val="auto"/>
              </w:rPr>
              <w:t>[**]</w:t>
            </w:r>
          </w:p>
        </w:tc>
        <w:tc>
          <w:tcPr>
            <w:tcW w:w="43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8"/>
        </w:trPr>
        <w:tc>
          <w:tcPr>
            <w:tcW w:w="1080" w:type="dxa"/>
            <w:vAlign w:val="bottom"/>
            <w:tcBorders>
              <w:left w:val="single" w:sz="8" w:color="auto"/>
            </w:tcBorders>
          </w:tcPr>
          <w:p>
            <w:pPr>
              <w:spacing w:after="0"/>
              <w:rPr>
                <w:sz w:val="6"/>
                <w:szCs w:val="6"/>
                <w:color w:val="auto"/>
              </w:rPr>
            </w:pPr>
          </w:p>
        </w:tc>
        <w:tc>
          <w:tcPr>
            <w:tcW w:w="4360" w:type="dxa"/>
            <w:vAlign w:val="bottom"/>
            <w:tcBorders>
              <w:right w:val="single" w:sz="8" w:color="auto"/>
            </w:tcBorders>
          </w:tcPr>
          <w:p>
            <w:pPr>
              <w:spacing w:after="0"/>
              <w:rPr>
                <w:sz w:val="6"/>
                <w:szCs w:val="6"/>
                <w:color w:val="auto"/>
              </w:rPr>
            </w:pPr>
          </w:p>
        </w:tc>
        <w:tc>
          <w:tcPr>
            <w:tcW w:w="2360" w:type="dxa"/>
            <w:vAlign w:val="bottom"/>
            <w:tcBorders>
              <w:right w:val="single" w:sz="8" w:color="auto"/>
            </w:tcBorders>
            <w:vMerge w:val="continue"/>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080" w:type="dxa"/>
            <w:vAlign w:val="bottom"/>
            <w:tcBorders>
              <w:left w:val="single" w:sz="8" w:color="auto"/>
              <w:bottom w:val="single" w:sz="8" w:color="auto"/>
            </w:tcBorders>
          </w:tcPr>
          <w:p>
            <w:pPr>
              <w:spacing w:after="0"/>
              <w:rPr>
                <w:sz w:val="7"/>
                <w:szCs w:val="7"/>
                <w:color w:val="auto"/>
              </w:rPr>
            </w:pPr>
          </w:p>
        </w:tc>
        <w:tc>
          <w:tcPr>
            <w:tcW w:w="4360" w:type="dxa"/>
            <w:vAlign w:val="bottom"/>
            <w:tcBorders>
              <w:bottom w:val="single" w:sz="8" w:color="auto"/>
              <w:righ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080" w:type="dxa"/>
            <w:vAlign w:val="bottom"/>
            <w:tcBorders>
              <w:left w:val="single" w:sz="8" w:color="auto"/>
            </w:tcBorders>
          </w:tcPr>
          <w:p>
            <w:pPr>
              <w:jc w:val="right"/>
              <w:ind w:right="521"/>
              <w:spacing w:after="0"/>
              <w:rPr>
                <w:sz w:val="20"/>
                <w:szCs w:val="20"/>
                <w:color w:val="auto"/>
              </w:rPr>
            </w:pPr>
            <w:r>
              <w:rPr>
                <w:rFonts w:ascii="Arial" w:cs="Arial" w:eastAsia="Arial" w:hAnsi="Arial"/>
                <w:sz w:val="20"/>
                <w:szCs w:val="20"/>
                <w:color w:val="auto"/>
              </w:rPr>
              <w:t>[**]</w:t>
            </w:r>
          </w:p>
        </w:tc>
        <w:tc>
          <w:tcPr>
            <w:tcW w:w="43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8"/>
        </w:trPr>
        <w:tc>
          <w:tcPr>
            <w:tcW w:w="1080" w:type="dxa"/>
            <w:vAlign w:val="bottom"/>
            <w:tcBorders>
              <w:left w:val="single" w:sz="8" w:color="auto"/>
            </w:tcBorders>
          </w:tcPr>
          <w:p>
            <w:pPr>
              <w:spacing w:after="0"/>
              <w:rPr>
                <w:sz w:val="6"/>
                <w:szCs w:val="6"/>
                <w:color w:val="auto"/>
              </w:rPr>
            </w:pPr>
          </w:p>
        </w:tc>
        <w:tc>
          <w:tcPr>
            <w:tcW w:w="4360" w:type="dxa"/>
            <w:vAlign w:val="bottom"/>
            <w:tcBorders>
              <w:right w:val="single" w:sz="8" w:color="auto"/>
            </w:tcBorders>
          </w:tcPr>
          <w:p>
            <w:pPr>
              <w:spacing w:after="0"/>
              <w:rPr>
                <w:sz w:val="6"/>
                <w:szCs w:val="6"/>
                <w:color w:val="auto"/>
              </w:rPr>
            </w:pPr>
          </w:p>
        </w:tc>
        <w:tc>
          <w:tcPr>
            <w:tcW w:w="2360" w:type="dxa"/>
            <w:vAlign w:val="bottom"/>
            <w:tcBorders>
              <w:right w:val="single" w:sz="8" w:color="auto"/>
            </w:tcBorders>
            <w:vMerge w:val="continue"/>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080" w:type="dxa"/>
            <w:vAlign w:val="bottom"/>
            <w:tcBorders>
              <w:left w:val="single" w:sz="8" w:color="auto"/>
              <w:bottom w:val="single" w:sz="8" w:color="auto"/>
            </w:tcBorders>
          </w:tcPr>
          <w:p>
            <w:pPr>
              <w:spacing w:after="0"/>
              <w:rPr>
                <w:sz w:val="7"/>
                <w:szCs w:val="7"/>
                <w:color w:val="auto"/>
              </w:rPr>
            </w:pPr>
          </w:p>
        </w:tc>
        <w:tc>
          <w:tcPr>
            <w:tcW w:w="4360" w:type="dxa"/>
            <w:vAlign w:val="bottom"/>
            <w:tcBorders>
              <w:bottom w:val="single" w:sz="8" w:color="auto"/>
              <w:righ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080" w:type="dxa"/>
            <w:vAlign w:val="bottom"/>
            <w:tcBorders>
              <w:left w:val="single" w:sz="8" w:color="auto"/>
            </w:tcBorders>
          </w:tcPr>
          <w:p>
            <w:pPr>
              <w:jc w:val="right"/>
              <w:ind w:right="521"/>
              <w:spacing w:after="0"/>
              <w:rPr>
                <w:sz w:val="20"/>
                <w:szCs w:val="20"/>
                <w:color w:val="auto"/>
              </w:rPr>
            </w:pPr>
            <w:r>
              <w:rPr>
                <w:rFonts w:ascii="Arial" w:cs="Arial" w:eastAsia="Arial" w:hAnsi="Arial"/>
                <w:sz w:val="20"/>
                <w:szCs w:val="20"/>
                <w:color w:val="auto"/>
              </w:rPr>
              <w:t>[**]</w:t>
            </w:r>
          </w:p>
        </w:tc>
        <w:tc>
          <w:tcPr>
            <w:tcW w:w="43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8"/>
        </w:trPr>
        <w:tc>
          <w:tcPr>
            <w:tcW w:w="1080" w:type="dxa"/>
            <w:vAlign w:val="bottom"/>
            <w:tcBorders>
              <w:left w:val="single" w:sz="8" w:color="auto"/>
            </w:tcBorders>
          </w:tcPr>
          <w:p>
            <w:pPr>
              <w:spacing w:after="0"/>
              <w:rPr>
                <w:sz w:val="6"/>
                <w:szCs w:val="6"/>
                <w:color w:val="auto"/>
              </w:rPr>
            </w:pPr>
          </w:p>
        </w:tc>
        <w:tc>
          <w:tcPr>
            <w:tcW w:w="4360" w:type="dxa"/>
            <w:vAlign w:val="bottom"/>
            <w:tcBorders>
              <w:right w:val="single" w:sz="8" w:color="auto"/>
            </w:tcBorders>
          </w:tcPr>
          <w:p>
            <w:pPr>
              <w:spacing w:after="0"/>
              <w:rPr>
                <w:sz w:val="6"/>
                <w:szCs w:val="6"/>
                <w:color w:val="auto"/>
              </w:rPr>
            </w:pPr>
          </w:p>
        </w:tc>
        <w:tc>
          <w:tcPr>
            <w:tcW w:w="2360" w:type="dxa"/>
            <w:vAlign w:val="bottom"/>
            <w:tcBorders>
              <w:right w:val="single" w:sz="8" w:color="auto"/>
            </w:tcBorders>
            <w:vMerge w:val="continue"/>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080" w:type="dxa"/>
            <w:vAlign w:val="bottom"/>
            <w:tcBorders>
              <w:left w:val="single" w:sz="8" w:color="auto"/>
              <w:bottom w:val="single" w:sz="8" w:color="auto"/>
            </w:tcBorders>
          </w:tcPr>
          <w:p>
            <w:pPr>
              <w:spacing w:after="0"/>
              <w:rPr>
                <w:sz w:val="7"/>
                <w:szCs w:val="7"/>
                <w:color w:val="auto"/>
              </w:rPr>
            </w:pPr>
          </w:p>
        </w:tc>
        <w:tc>
          <w:tcPr>
            <w:tcW w:w="4360" w:type="dxa"/>
            <w:vAlign w:val="bottom"/>
            <w:tcBorders>
              <w:bottom w:val="single" w:sz="8" w:color="auto"/>
              <w:righ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080" w:type="dxa"/>
            <w:vAlign w:val="bottom"/>
            <w:tcBorders>
              <w:left w:val="single" w:sz="8" w:color="auto"/>
            </w:tcBorders>
          </w:tcPr>
          <w:p>
            <w:pPr>
              <w:jc w:val="right"/>
              <w:ind w:right="521"/>
              <w:spacing w:after="0"/>
              <w:rPr>
                <w:sz w:val="20"/>
                <w:szCs w:val="20"/>
                <w:color w:val="auto"/>
              </w:rPr>
            </w:pPr>
            <w:r>
              <w:rPr>
                <w:rFonts w:ascii="Arial" w:cs="Arial" w:eastAsia="Arial" w:hAnsi="Arial"/>
                <w:sz w:val="20"/>
                <w:szCs w:val="20"/>
                <w:color w:val="auto"/>
              </w:rPr>
              <w:t>[**]</w:t>
            </w:r>
          </w:p>
        </w:tc>
        <w:tc>
          <w:tcPr>
            <w:tcW w:w="43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8"/>
        </w:trPr>
        <w:tc>
          <w:tcPr>
            <w:tcW w:w="1080" w:type="dxa"/>
            <w:vAlign w:val="bottom"/>
            <w:tcBorders>
              <w:left w:val="single" w:sz="8" w:color="auto"/>
            </w:tcBorders>
          </w:tcPr>
          <w:p>
            <w:pPr>
              <w:spacing w:after="0"/>
              <w:rPr>
                <w:sz w:val="6"/>
                <w:szCs w:val="6"/>
                <w:color w:val="auto"/>
              </w:rPr>
            </w:pPr>
          </w:p>
        </w:tc>
        <w:tc>
          <w:tcPr>
            <w:tcW w:w="4360" w:type="dxa"/>
            <w:vAlign w:val="bottom"/>
            <w:tcBorders>
              <w:right w:val="single" w:sz="8" w:color="auto"/>
            </w:tcBorders>
          </w:tcPr>
          <w:p>
            <w:pPr>
              <w:spacing w:after="0"/>
              <w:rPr>
                <w:sz w:val="6"/>
                <w:szCs w:val="6"/>
                <w:color w:val="auto"/>
              </w:rPr>
            </w:pPr>
          </w:p>
        </w:tc>
        <w:tc>
          <w:tcPr>
            <w:tcW w:w="2360" w:type="dxa"/>
            <w:vAlign w:val="bottom"/>
            <w:tcBorders>
              <w:right w:val="single" w:sz="8" w:color="auto"/>
            </w:tcBorders>
            <w:vMerge w:val="continue"/>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080" w:type="dxa"/>
            <w:vAlign w:val="bottom"/>
            <w:tcBorders>
              <w:left w:val="single" w:sz="8" w:color="auto"/>
              <w:bottom w:val="single" w:sz="8" w:color="auto"/>
            </w:tcBorders>
          </w:tcPr>
          <w:p>
            <w:pPr>
              <w:spacing w:after="0"/>
              <w:rPr>
                <w:sz w:val="7"/>
                <w:szCs w:val="7"/>
                <w:color w:val="auto"/>
              </w:rPr>
            </w:pPr>
          </w:p>
        </w:tc>
        <w:tc>
          <w:tcPr>
            <w:tcW w:w="4360" w:type="dxa"/>
            <w:vAlign w:val="bottom"/>
            <w:tcBorders>
              <w:bottom w:val="single" w:sz="8" w:color="auto"/>
              <w:righ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080" w:type="dxa"/>
            <w:vAlign w:val="bottom"/>
            <w:tcBorders>
              <w:left w:val="single" w:sz="8" w:color="auto"/>
            </w:tcBorders>
          </w:tcPr>
          <w:p>
            <w:pPr>
              <w:jc w:val="right"/>
              <w:ind w:right="521"/>
              <w:spacing w:after="0"/>
              <w:rPr>
                <w:sz w:val="20"/>
                <w:szCs w:val="20"/>
                <w:color w:val="auto"/>
              </w:rPr>
            </w:pPr>
            <w:r>
              <w:rPr>
                <w:rFonts w:ascii="Arial" w:cs="Arial" w:eastAsia="Arial" w:hAnsi="Arial"/>
                <w:sz w:val="20"/>
                <w:szCs w:val="20"/>
                <w:color w:val="auto"/>
              </w:rPr>
              <w:t>[**]</w:t>
            </w:r>
          </w:p>
        </w:tc>
        <w:tc>
          <w:tcPr>
            <w:tcW w:w="43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8"/>
        </w:trPr>
        <w:tc>
          <w:tcPr>
            <w:tcW w:w="1080" w:type="dxa"/>
            <w:vAlign w:val="bottom"/>
            <w:tcBorders>
              <w:left w:val="single" w:sz="8" w:color="auto"/>
            </w:tcBorders>
          </w:tcPr>
          <w:p>
            <w:pPr>
              <w:spacing w:after="0"/>
              <w:rPr>
                <w:sz w:val="6"/>
                <w:szCs w:val="6"/>
                <w:color w:val="auto"/>
              </w:rPr>
            </w:pPr>
          </w:p>
        </w:tc>
        <w:tc>
          <w:tcPr>
            <w:tcW w:w="4360" w:type="dxa"/>
            <w:vAlign w:val="bottom"/>
            <w:tcBorders>
              <w:right w:val="single" w:sz="8" w:color="auto"/>
            </w:tcBorders>
          </w:tcPr>
          <w:p>
            <w:pPr>
              <w:spacing w:after="0"/>
              <w:rPr>
                <w:sz w:val="6"/>
                <w:szCs w:val="6"/>
                <w:color w:val="auto"/>
              </w:rPr>
            </w:pPr>
          </w:p>
        </w:tc>
        <w:tc>
          <w:tcPr>
            <w:tcW w:w="2360" w:type="dxa"/>
            <w:vAlign w:val="bottom"/>
            <w:tcBorders>
              <w:right w:val="single" w:sz="8" w:color="auto"/>
            </w:tcBorders>
            <w:vMerge w:val="continue"/>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080" w:type="dxa"/>
            <w:vAlign w:val="bottom"/>
            <w:tcBorders>
              <w:left w:val="single" w:sz="8" w:color="auto"/>
              <w:bottom w:val="single" w:sz="8" w:color="auto"/>
            </w:tcBorders>
          </w:tcPr>
          <w:p>
            <w:pPr>
              <w:spacing w:after="0"/>
              <w:rPr>
                <w:sz w:val="7"/>
                <w:szCs w:val="7"/>
                <w:color w:val="auto"/>
              </w:rPr>
            </w:pPr>
          </w:p>
        </w:tc>
        <w:tc>
          <w:tcPr>
            <w:tcW w:w="4360" w:type="dxa"/>
            <w:vAlign w:val="bottom"/>
            <w:tcBorders>
              <w:bottom w:val="single" w:sz="8" w:color="auto"/>
              <w:righ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 xml:space="preserve">6.2.3. </w:t>
      </w:r>
      <w:r>
        <w:rPr>
          <w:rFonts w:ascii="Arial" w:cs="Arial" w:eastAsia="Arial" w:hAnsi="Arial"/>
          <w:sz w:val="20"/>
          <w:szCs w:val="20"/>
          <w:b w:val="1"/>
          <w:bCs w:val="1"/>
          <w:color w:val="auto"/>
        </w:rPr>
        <w:t>Sales Milestones</w:t>
      </w:r>
      <w:r>
        <w:rPr>
          <w:rFonts w:ascii="Arial" w:cs="Arial" w:eastAsia="Arial" w:hAnsi="Arial"/>
          <w:sz w:val="20"/>
          <w:szCs w:val="20"/>
          <w:color w:val="auto"/>
        </w:rPr>
        <w:t>. During the Royalty Term, Acceleron will pay Fulcrum the amounts set forth in the table below (each, a “</w:t>
      </w:r>
      <w:r>
        <w:rPr>
          <w:rFonts w:ascii="Arial" w:cs="Arial" w:eastAsia="Arial" w:hAnsi="Arial"/>
          <w:sz w:val="20"/>
          <w:szCs w:val="20"/>
          <w:b w:val="1"/>
          <w:bCs w:val="1"/>
          <w:color w:val="auto"/>
        </w:rPr>
        <w:t>Sales Milestone Payment</w:t>
      </w:r>
      <w:r>
        <w:rPr>
          <w:rFonts w:ascii="Arial" w:cs="Arial" w:eastAsia="Arial" w:hAnsi="Arial"/>
          <w:sz w:val="20"/>
          <w:szCs w:val="20"/>
          <w:color w:val="auto"/>
        </w:rPr>
        <w:t>”) within [**] following the end of the Calendar Year in which first occurrence of each event described below (each, a “</w:t>
      </w:r>
      <w:r>
        <w:rPr>
          <w:rFonts w:ascii="Arial" w:cs="Arial" w:eastAsia="Arial" w:hAnsi="Arial"/>
          <w:sz w:val="20"/>
          <w:szCs w:val="20"/>
          <w:b w:val="1"/>
          <w:bCs w:val="1"/>
          <w:color w:val="auto"/>
        </w:rPr>
        <w:t>Sales Milestone</w:t>
      </w:r>
      <w:r>
        <w:rPr>
          <w:rFonts w:ascii="Arial" w:cs="Arial" w:eastAsia="Arial" w:hAnsi="Arial"/>
          <w:sz w:val="20"/>
          <w:szCs w:val="20"/>
          <w:color w:val="auto"/>
        </w:rPr>
        <w:t>”) is achieved with regard to (x) the first Product to achieve such Sales Milestone, (y) and the second Product to achieve such Sales Milestone. For the avoidance of doubt, each Sales Milestone Payment will be paid no more than once (if at all), and in no event will the aggregate Sales Milestone Payments payable by Acceleron exceed Two Hundred Seventeen Million Five Hundred Thousand Dollars ($217,500,000).</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76" w:name="page177"/>
    <w:bookmarkEnd w:id="176"/>
    <w:tbl>
      <w:tblPr>
        <w:tblLayout w:type="fixed"/>
        <w:tblInd w:w="590" w:type="dxa"/>
        <w:tblCellMar>
          <w:top w:w="0" w:type="dxa"/>
          <w:left w:w="0" w:type="dxa"/>
          <w:bottom w:w="0" w:type="dxa"/>
          <w:right w:w="0" w:type="dxa"/>
        </w:tblCellMar>
      </w:tblPr>
      <w:tr>
        <w:trPr>
          <w:trHeight w:val="220"/>
        </w:trPr>
        <w:tc>
          <w:tcPr>
            <w:tcW w:w="1260" w:type="dxa"/>
            <w:vAlign w:val="bottom"/>
            <w:tcBorders>
              <w:top w:val="single" w:sz="8" w:color="auto"/>
              <w:left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0" w:type="dxa"/>
            <w:vAlign w:val="bottom"/>
            <w:tcBorders>
              <w:top w:val="single" w:sz="8" w:color="auto"/>
              <w:right w:val="single" w:sz="8" w:color="auto"/>
            </w:tcBorders>
          </w:tcPr>
          <w:p>
            <w:pPr>
              <w:spacing w:after="0"/>
              <w:rPr>
                <w:sz w:val="19"/>
                <w:szCs w:val="19"/>
                <w:color w:val="auto"/>
              </w:rPr>
            </w:pPr>
          </w:p>
        </w:tc>
        <w:tc>
          <w:tcPr>
            <w:tcW w:w="232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92"/>
              </w:rPr>
              <w:t>“First Product</w:t>
            </w:r>
          </w:p>
        </w:tc>
        <w:tc>
          <w:tcPr>
            <w:tcW w:w="252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8"/>
              </w:rPr>
              <w:t>“Second Product</w:t>
            </w:r>
          </w:p>
        </w:tc>
        <w:tc>
          <w:tcPr>
            <w:tcW w:w="0" w:type="dxa"/>
            <w:vAlign w:val="bottom"/>
          </w:tcPr>
          <w:p>
            <w:pPr>
              <w:spacing w:after="0"/>
              <w:rPr>
                <w:sz w:val="1"/>
                <w:szCs w:val="1"/>
                <w:color w:val="auto"/>
              </w:rPr>
            </w:pPr>
          </w:p>
        </w:tc>
      </w:tr>
      <w:tr>
        <w:trPr>
          <w:trHeight w:val="230"/>
        </w:trPr>
        <w:tc>
          <w:tcPr>
            <w:tcW w:w="126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3400" w:type="dxa"/>
            <w:vAlign w:val="bottom"/>
            <w:tcBorders>
              <w:right w:val="single" w:sz="8" w:color="auto"/>
            </w:tcBorders>
          </w:tcPr>
          <w:p>
            <w:pPr>
              <w:spacing w:after="0"/>
              <w:rPr>
                <w:sz w:val="19"/>
                <w:szCs w:val="19"/>
                <w:color w:val="auto"/>
              </w:rPr>
            </w:pP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Sales Milestone</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Sales Milestone</w:t>
            </w:r>
          </w:p>
        </w:tc>
        <w:tc>
          <w:tcPr>
            <w:tcW w:w="0" w:type="dxa"/>
            <w:vAlign w:val="bottom"/>
          </w:tcPr>
          <w:p>
            <w:pPr>
              <w:spacing w:after="0"/>
              <w:rPr>
                <w:sz w:val="1"/>
                <w:szCs w:val="1"/>
                <w:color w:val="auto"/>
              </w:rPr>
            </w:pPr>
          </w:p>
        </w:tc>
      </w:tr>
      <w:tr>
        <w:trPr>
          <w:trHeight w:val="256"/>
        </w:trPr>
        <w:tc>
          <w:tcPr>
            <w:tcW w:w="1260" w:type="dxa"/>
            <w:vAlign w:val="bottom"/>
            <w:tcBorders>
              <w:left w:val="single" w:sz="8" w:color="auto"/>
            </w:tcBorders>
          </w:tcPr>
          <w:p>
            <w:pPr>
              <w:spacing w:after="0"/>
              <w:rPr>
                <w:sz w:val="22"/>
                <w:szCs w:val="22"/>
                <w:color w:val="auto"/>
              </w:rPr>
            </w:pPr>
          </w:p>
        </w:tc>
        <w:tc>
          <w:tcPr>
            <w:tcW w:w="780" w:type="dxa"/>
            <w:vAlign w:val="bottom"/>
          </w:tcPr>
          <w:p>
            <w:pPr>
              <w:spacing w:after="0"/>
              <w:rPr>
                <w:sz w:val="22"/>
                <w:szCs w:val="22"/>
                <w:color w:val="auto"/>
              </w:rPr>
            </w:pPr>
          </w:p>
        </w:tc>
        <w:tc>
          <w:tcPr>
            <w:tcW w:w="340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Sales Milestone</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Payments”</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Payments”</w:t>
            </w: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3400" w:type="dxa"/>
            <w:vAlign w:val="bottom"/>
            <w:tcBorders>
              <w:right w:val="single" w:sz="8" w:color="auto"/>
            </w:tcBorders>
            <w:vMerge w:val="continue"/>
          </w:tcPr>
          <w:p>
            <w:pPr>
              <w:spacing w:after="0"/>
              <w:rPr>
                <w:sz w:val="18"/>
                <w:szCs w:val="18"/>
                <w:color w:val="auto"/>
              </w:rPr>
            </w:pP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6"/>
              </w:rPr>
              <w:t>Sales Milestone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6"/>
              </w:rPr>
              <w:t>Sales Milestone</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340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vMerge w:val="continue"/>
          </w:tcPr>
          <w:p>
            <w:pPr>
              <w:spacing w:after="0"/>
              <w:rPr>
                <w:sz w:val="17"/>
                <w:szCs w:val="17"/>
                <w:color w:val="auto"/>
              </w:rPr>
            </w:pPr>
          </w:p>
        </w:tc>
        <w:tc>
          <w:tcPr>
            <w:tcW w:w="25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3400" w:type="dxa"/>
            <w:vAlign w:val="bottom"/>
            <w:tcBorders>
              <w:right w:val="single" w:sz="8" w:color="auto"/>
            </w:tcBorders>
          </w:tcPr>
          <w:p>
            <w:pPr>
              <w:spacing w:after="0"/>
              <w:rPr>
                <w:sz w:val="19"/>
                <w:szCs w:val="19"/>
                <w:color w:val="auto"/>
              </w:rPr>
            </w:pP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Payment for first</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Payment for second</w:t>
            </w:r>
          </w:p>
        </w:tc>
        <w:tc>
          <w:tcPr>
            <w:tcW w:w="0" w:type="dxa"/>
            <w:vAlign w:val="bottom"/>
          </w:tcPr>
          <w:p>
            <w:pPr>
              <w:spacing w:after="0"/>
              <w:rPr>
                <w:sz w:val="1"/>
                <w:szCs w:val="1"/>
                <w:color w:val="auto"/>
              </w:rPr>
            </w:pPr>
          </w:p>
        </w:tc>
      </w:tr>
      <w:tr>
        <w:trPr>
          <w:trHeight w:val="252"/>
        </w:trPr>
        <w:tc>
          <w:tcPr>
            <w:tcW w:w="126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0" w:type="dxa"/>
            <w:vAlign w:val="bottom"/>
            <w:tcBorders>
              <w:bottom w:val="single" w:sz="8" w:color="auto"/>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Product</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Product</w:t>
            </w: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21"/>
                <w:szCs w:val="21"/>
                <w:color w:val="auto"/>
              </w:rPr>
            </w:pPr>
          </w:p>
        </w:tc>
        <w:tc>
          <w:tcPr>
            <w:tcW w:w="3400" w:type="dxa"/>
            <w:vAlign w:val="bottom"/>
            <w:tcBorders>
              <w:right w:val="single" w:sz="8" w:color="auto"/>
            </w:tcBorders>
          </w:tcPr>
          <w:p>
            <w:pPr>
              <w:spacing w:after="0"/>
              <w:rPr>
                <w:sz w:val="21"/>
                <w:szCs w:val="21"/>
                <w:color w:val="auto"/>
              </w:rPr>
            </w:pP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8"/>
        </w:trPr>
        <w:tc>
          <w:tcPr>
            <w:tcW w:w="1260" w:type="dxa"/>
            <w:vAlign w:val="bottom"/>
            <w:tcBorders>
              <w:lef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400" w:type="dxa"/>
            <w:vAlign w:val="bottom"/>
            <w:tcBorders>
              <w:right w:val="single" w:sz="8" w:color="auto"/>
            </w:tcBorders>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5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40" w:type="dxa"/>
            <w:vAlign w:val="bottom"/>
            <w:tcBorders>
              <w:left w:val="single" w:sz="8" w:color="auto"/>
              <w:bottom w:val="single" w:sz="8" w:color="auto"/>
            </w:tcBorders>
            <w:gridSpan w:val="2"/>
          </w:tcPr>
          <w:p>
            <w:pPr>
              <w:spacing w:after="0"/>
              <w:rPr>
                <w:sz w:val="7"/>
                <w:szCs w:val="7"/>
                <w:color w:val="auto"/>
              </w:rPr>
            </w:pPr>
          </w:p>
        </w:tc>
        <w:tc>
          <w:tcPr>
            <w:tcW w:w="3400" w:type="dxa"/>
            <w:vAlign w:val="bottom"/>
            <w:tcBorders>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2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440" w:type="dxa"/>
            <w:vAlign w:val="bottom"/>
            <w:tcBorders>
              <w:left w:val="single" w:sz="8" w:color="auto"/>
              <w:right w:val="single" w:sz="8" w:color="auto"/>
            </w:tcBorders>
            <w:gridSpan w:val="3"/>
          </w:tcPr>
          <w:p>
            <w:pPr>
              <w:ind w:left="120"/>
              <w:spacing w:after="0" w:line="207" w:lineRule="exact"/>
              <w:rPr>
                <w:sz w:val="20"/>
                <w:szCs w:val="20"/>
                <w:color w:val="auto"/>
              </w:rPr>
            </w:pPr>
            <w:r>
              <w:rPr>
                <w:rFonts w:ascii="Arial" w:cs="Arial" w:eastAsia="Arial" w:hAnsi="Arial"/>
                <w:sz w:val="20"/>
                <w:szCs w:val="20"/>
                <w:color w:val="auto"/>
                <w:w w:val="92"/>
              </w:rPr>
              <w:t>Calendar Year Net Sales of such Product are equal to or exceed</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260" w:type="dxa"/>
            <w:vAlign w:val="bottom"/>
            <w:tcBorders>
              <w:lef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vMerge w:val="continue"/>
          </w:tcPr>
          <w:p>
            <w:pPr>
              <w:spacing w:after="0"/>
              <w:rPr>
                <w:sz w:val="11"/>
                <w:szCs w:val="11"/>
                <w:color w:val="auto"/>
              </w:rPr>
            </w:pPr>
          </w:p>
        </w:tc>
        <w:tc>
          <w:tcPr>
            <w:tcW w:w="2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60" w:type="dxa"/>
            <w:vAlign w:val="bottom"/>
            <w:tcBorders>
              <w:left w:val="single" w:sz="8" w:color="auto"/>
              <w:bottom w:val="single" w:sz="8" w:color="auto"/>
            </w:tcBorders>
            <w:vMerge w:val="continue"/>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5440" w:type="dxa"/>
            <w:vAlign w:val="bottom"/>
            <w:tcBorders>
              <w:left w:val="single" w:sz="8" w:color="auto"/>
              <w:right w:val="single" w:sz="8" w:color="auto"/>
            </w:tcBorders>
            <w:gridSpan w:val="3"/>
          </w:tcPr>
          <w:p>
            <w:pPr>
              <w:ind w:left="120"/>
              <w:spacing w:after="0" w:line="207" w:lineRule="exact"/>
              <w:rPr>
                <w:sz w:val="20"/>
                <w:szCs w:val="20"/>
                <w:color w:val="auto"/>
              </w:rPr>
            </w:pPr>
            <w:r>
              <w:rPr>
                <w:rFonts w:ascii="Arial" w:cs="Arial" w:eastAsia="Arial" w:hAnsi="Arial"/>
                <w:sz w:val="20"/>
                <w:szCs w:val="20"/>
                <w:color w:val="auto"/>
                <w:w w:val="92"/>
              </w:rPr>
              <w:t>Calendar Year Net Sales of such Product are equal to or exceed</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260" w:type="dxa"/>
            <w:vAlign w:val="bottom"/>
            <w:tcBorders>
              <w:lef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vMerge w:val="continue"/>
          </w:tcPr>
          <w:p>
            <w:pPr>
              <w:spacing w:after="0"/>
              <w:rPr>
                <w:sz w:val="11"/>
                <w:szCs w:val="11"/>
                <w:color w:val="auto"/>
              </w:rPr>
            </w:pPr>
          </w:p>
        </w:tc>
        <w:tc>
          <w:tcPr>
            <w:tcW w:w="2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60" w:type="dxa"/>
            <w:vAlign w:val="bottom"/>
            <w:tcBorders>
              <w:left w:val="single" w:sz="8" w:color="auto"/>
              <w:bottom w:val="single" w:sz="8" w:color="auto"/>
            </w:tcBorders>
            <w:vMerge w:val="continue"/>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5440" w:type="dxa"/>
            <w:vAlign w:val="bottom"/>
            <w:tcBorders>
              <w:left w:val="single" w:sz="8" w:color="auto"/>
              <w:right w:val="single" w:sz="8" w:color="auto"/>
            </w:tcBorders>
            <w:gridSpan w:val="3"/>
          </w:tcPr>
          <w:p>
            <w:pPr>
              <w:ind w:left="120"/>
              <w:spacing w:after="0" w:line="207" w:lineRule="exact"/>
              <w:rPr>
                <w:sz w:val="20"/>
                <w:szCs w:val="20"/>
                <w:color w:val="auto"/>
              </w:rPr>
            </w:pPr>
            <w:r>
              <w:rPr>
                <w:rFonts w:ascii="Arial" w:cs="Arial" w:eastAsia="Arial" w:hAnsi="Arial"/>
                <w:sz w:val="20"/>
                <w:szCs w:val="20"/>
                <w:color w:val="auto"/>
                <w:w w:val="92"/>
              </w:rPr>
              <w:t>Calendar Year Net Sales of such Product are equal to or exceed</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260" w:type="dxa"/>
            <w:vAlign w:val="bottom"/>
            <w:tcBorders>
              <w:lef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vMerge w:val="continue"/>
          </w:tcPr>
          <w:p>
            <w:pPr>
              <w:spacing w:after="0"/>
              <w:rPr>
                <w:sz w:val="11"/>
                <w:szCs w:val="11"/>
                <w:color w:val="auto"/>
              </w:rPr>
            </w:pPr>
          </w:p>
        </w:tc>
        <w:tc>
          <w:tcPr>
            <w:tcW w:w="2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60" w:type="dxa"/>
            <w:vAlign w:val="bottom"/>
            <w:tcBorders>
              <w:left w:val="single" w:sz="8" w:color="auto"/>
              <w:bottom w:val="single" w:sz="8" w:color="auto"/>
            </w:tcBorders>
            <w:vMerge w:val="continue"/>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5440" w:type="dxa"/>
            <w:vAlign w:val="bottom"/>
            <w:tcBorders>
              <w:left w:val="single" w:sz="8" w:color="auto"/>
              <w:right w:val="single" w:sz="8" w:color="auto"/>
            </w:tcBorders>
            <w:gridSpan w:val="3"/>
          </w:tcPr>
          <w:p>
            <w:pPr>
              <w:ind w:left="120"/>
              <w:spacing w:after="0" w:line="207" w:lineRule="exact"/>
              <w:rPr>
                <w:sz w:val="20"/>
                <w:szCs w:val="20"/>
                <w:color w:val="auto"/>
              </w:rPr>
            </w:pPr>
            <w:r>
              <w:rPr>
                <w:rFonts w:ascii="Arial" w:cs="Arial" w:eastAsia="Arial" w:hAnsi="Arial"/>
                <w:sz w:val="20"/>
                <w:szCs w:val="20"/>
                <w:color w:val="auto"/>
                <w:w w:val="92"/>
              </w:rPr>
              <w:t>Calendar Year Net Sales of such Product are equal to or exceed</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260" w:type="dxa"/>
            <w:vAlign w:val="bottom"/>
            <w:tcBorders>
              <w:lef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vMerge w:val="continue"/>
          </w:tcPr>
          <w:p>
            <w:pPr>
              <w:spacing w:after="0"/>
              <w:rPr>
                <w:sz w:val="11"/>
                <w:szCs w:val="11"/>
                <w:color w:val="auto"/>
              </w:rPr>
            </w:pPr>
          </w:p>
        </w:tc>
        <w:tc>
          <w:tcPr>
            <w:tcW w:w="2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60" w:type="dxa"/>
            <w:vAlign w:val="bottom"/>
            <w:tcBorders>
              <w:left w:val="single" w:sz="8" w:color="auto"/>
              <w:bottom w:val="single" w:sz="8" w:color="auto"/>
            </w:tcBorders>
            <w:vMerge w:val="continue"/>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1260" w:type="dxa"/>
            <w:vAlign w:val="bottom"/>
          </w:tcPr>
          <w:p>
            <w:pPr>
              <w:ind w:left="300"/>
              <w:spacing w:after="0"/>
              <w:rPr>
                <w:sz w:val="20"/>
                <w:szCs w:val="20"/>
                <w:color w:val="auto"/>
              </w:rPr>
            </w:pPr>
            <w:r>
              <w:rPr>
                <w:rFonts w:ascii="Arial" w:cs="Arial" w:eastAsia="Arial" w:hAnsi="Arial"/>
                <w:sz w:val="20"/>
                <w:szCs w:val="20"/>
                <w:color w:val="auto"/>
              </w:rPr>
              <w:t>6.3.</w:t>
            </w:r>
          </w:p>
        </w:tc>
        <w:tc>
          <w:tcPr>
            <w:tcW w:w="4180" w:type="dxa"/>
            <w:vAlign w:val="bottom"/>
            <w:gridSpan w:val="2"/>
          </w:tcPr>
          <w:p>
            <w:pPr>
              <w:spacing w:after="0"/>
              <w:rPr>
                <w:sz w:val="20"/>
                <w:szCs w:val="20"/>
                <w:color w:val="auto"/>
              </w:rPr>
            </w:pPr>
            <w:r>
              <w:rPr>
                <w:rFonts w:ascii="Arial" w:cs="Arial" w:eastAsia="Arial" w:hAnsi="Arial"/>
                <w:sz w:val="20"/>
                <w:szCs w:val="20"/>
                <w:b w:val="1"/>
                <w:bCs w:val="1"/>
                <w:color w:val="auto"/>
              </w:rPr>
              <w:t>Royalties</w:t>
            </w:r>
            <w:r>
              <w:rPr>
                <w:rFonts w:ascii="Arial" w:cs="Arial" w:eastAsia="Arial" w:hAnsi="Arial"/>
                <w:sz w:val="20"/>
                <w:szCs w:val="20"/>
                <w:color w:val="auto"/>
              </w:rPr>
              <w:t>.</w:t>
            </w:r>
          </w:p>
        </w:tc>
        <w:tc>
          <w:tcPr>
            <w:tcW w:w="2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20" w:firstLine="877"/>
        <w:spacing w:after="0" w:line="273" w:lineRule="auto"/>
        <w:rPr>
          <w:sz w:val="20"/>
          <w:szCs w:val="20"/>
          <w:color w:val="auto"/>
        </w:rPr>
      </w:pPr>
      <w:r>
        <w:rPr>
          <w:rFonts w:ascii="Arial" w:cs="Arial" w:eastAsia="Arial" w:hAnsi="Arial"/>
          <w:sz w:val="19"/>
          <w:szCs w:val="19"/>
          <w:color w:val="auto"/>
        </w:rPr>
        <w:t xml:space="preserve">6.3.1. </w:t>
      </w:r>
      <w:r>
        <w:rPr>
          <w:rFonts w:ascii="Arial" w:cs="Arial" w:eastAsia="Arial" w:hAnsi="Arial"/>
          <w:sz w:val="19"/>
          <w:szCs w:val="19"/>
          <w:b w:val="1"/>
          <w:bCs w:val="1"/>
          <w:color w:val="auto"/>
        </w:rPr>
        <w:t>Royalty Rate.</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6.3.3</w:t>
      </w:r>
      <w:r>
        <w:rPr>
          <w:rFonts w:ascii="Arial" w:cs="Arial" w:eastAsia="Arial" w:hAnsi="Arial"/>
          <w:sz w:val="19"/>
          <w:szCs w:val="19"/>
          <w:color w:val="auto"/>
        </w:rPr>
        <w:t xml:space="preserve"> (Royalty Adjustments), on a Product-by-Product basis during the Royalty Term, Acceleron will pay to Fulcrum royalties in the amount of the marginal royalty rates set forth in the table below (the “</w:t>
      </w:r>
      <w:r>
        <w:rPr>
          <w:rFonts w:ascii="Arial" w:cs="Arial" w:eastAsia="Arial" w:hAnsi="Arial"/>
          <w:sz w:val="19"/>
          <w:szCs w:val="19"/>
          <w:b w:val="1"/>
          <w:bCs w:val="1"/>
          <w:color w:val="auto"/>
        </w:rPr>
        <w:t>Royalty</w:t>
      </w:r>
      <w:r>
        <w:rPr>
          <w:rFonts w:ascii="Arial" w:cs="Arial" w:eastAsia="Arial" w:hAnsi="Arial"/>
          <w:sz w:val="19"/>
          <w:szCs w:val="19"/>
          <w:color w:val="auto"/>
        </w:rPr>
        <w:t xml:space="preserve"> </w:t>
      </w:r>
      <w:r>
        <w:rPr>
          <w:rFonts w:ascii="Arial" w:cs="Arial" w:eastAsia="Arial" w:hAnsi="Arial"/>
          <w:sz w:val="19"/>
          <w:szCs w:val="19"/>
          <w:b w:val="1"/>
          <w:bCs w:val="1"/>
          <w:color w:val="auto"/>
        </w:rPr>
        <w:t>Rates</w:t>
      </w:r>
      <w:r>
        <w:rPr>
          <w:rFonts w:ascii="Arial" w:cs="Arial" w:eastAsia="Arial" w:hAnsi="Arial"/>
          <w:sz w:val="19"/>
          <w:szCs w:val="19"/>
          <w:color w:val="auto"/>
        </w:rPr>
        <w:t>”) based on the Net Sales in any Calendar Year resulting from the sale of such Product in the Territory.</w:t>
      </w:r>
    </w:p>
    <w:p>
      <w:pPr>
        <w:spacing w:after="0" w:line="189" w:lineRule="exact"/>
        <w:rPr>
          <w:sz w:val="20"/>
          <w:szCs w:val="20"/>
          <w:color w:val="auto"/>
        </w:rPr>
      </w:pPr>
    </w:p>
    <w:tbl>
      <w:tblPr>
        <w:tblLayout w:type="fixed"/>
        <w:tblInd w:w="610" w:type="dxa"/>
        <w:tblCellMar>
          <w:top w:w="0" w:type="dxa"/>
          <w:left w:w="0" w:type="dxa"/>
          <w:bottom w:w="0" w:type="dxa"/>
          <w:right w:w="0" w:type="dxa"/>
        </w:tblCellMar>
      </w:tblPr>
      <w:tr>
        <w:trPr>
          <w:trHeight w:val="342"/>
        </w:trPr>
        <w:tc>
          <w:tcPr>
            <w:tcW w:w="8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Calendar Year Net Sales of a Product in the Territory</w:t>
            </w:r>
          </w:p>
        </w:tc>
        <w:tc>
          <w:tcPr>
            <w:tcW w:w="2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Royalty Rate</w:t>
            </w:r>
          </w:p>
        </w:tc>
        <w:tc>
          <w:tcPr>
            <w:tcW w:w="0" w:type="dxa"/>
            <w:vAlign w:val="bottom"/>
          </w:tcPr>
          <w:p>
            <w:pPr>
              <w:spacing w:after="0"/>
              <w:rPr>
                <w:sz w:val="1"/>
                <w:szCs w:val="1"/>
                <w:color w:val="auto"/>
              </w:rPr>
            </w:pPr>
          </w:p>
        </w:tc>
      </w:tr>
      <w:tr>
        <w:trPr>
          <w:trHeight w:val="91"/>
        </w:trPr>
        <w:tc>
          <w:tcPr>
            <w:tcW w:w="8420" w:type="dxa"/>
            <w:vAlign w:val="bottom"/>
            <w:tcBorders>
              <w:left w:val="single" w:sz="8" w:color="auto"/>
              <w:bottom w:val="single" w:sz="8" w:color="auto"/>
              <w:right w:val="single" w:sz="8" w:color="auto"/>
            </w:tcBorders>
          </w:tcPr>
          <w:p>
            <w:pPr>
              <w:spacing w:after="0"/>
              <w:rPr>
                <w:sz w:val="7"/>
                <w:szCs w:val="7"/>
                <w:color w:val="auto"/>
              </w:rPr>
            </w:pPr>
          </w:p>
        </w:tc>
        <w:tc>
          <w:tcPr>
            <w:tcW w:w="2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8420" w:type="dxa"/>
            <w:vAlign w:val="bottom"/>
            <w:tcBorders>
              <w:left w:val="single" w:sz="8" w:color="auto"/>
              <w:right w:val="single" w:sz="8" w:color="auto"/>
            </w:tcBorders>
          </w:tcPr>
          <w:p>
            <w:pPr>
              <w:ind w:left="120"/>
              <w:spacing w:after="0" w:line="200" w:lineRule="exact"/>
              <w:rPr>
                <w:sz w:val="20"/>
                <w:szCs w:val="20"/>
                <w:color w:val="auto"/>
              </w:rPr>
            </w:pPr>
            <w:r>
              <w:rPr>
                <w:rFonts w:ascii="Arial" w:cs="Arial" w:eastAsia="Arial" w:hAnsi="Arial"/>
                <w:sz w:val="20"/>
                <w:szCs w:val="20"/>
                <w:color w:val="auto"/>
              </w:rPr>
              <w:t>Portion of annual Net Sales of such Product in the Territory that is less than or equal to $[**]</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35"/>
        </w:trPr>
        <w:tc>
          <w:tcPr>
            <w:tcW w:w="84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Royalty Tier 1</w:t>
            </w:r>
            <w:r>
              <w:rPr>
                <w:rFonts w:ascii="Arial" w:cs="Arial" w:eastAsia="Arial" w:hAnsi="Arial"/>
                <w:sz w:val="20"/>
                <w:szCs w:val="20"/>
                <w:color w:val="auto"/>
              </w:rPr>
              <w:t>”)</w:t>
            </w:r>
          </w:p>
        </w:tc>
        <w:tc>
          <w:tcPr>
            <w:tcW w:w="24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4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8420" w:type="dxa"/>
            <w:vAlign w:val="bottom"/>
            <w:tcBorders>
              <w:left w:val="single" w:sz="8" w:color="auto"/>
              <w:right w:val="single" w:sz="8" w:color="auto"/>
            </w:tcBorders>
          </w:tcPr>
          <w:p>
            <w:pPr>
              <w:ind w:left="120"/>
              <w:spacing w:after="0" w:line="200" w:lineRule="exact"/>
              <w:rPr>
                <w:sz w:val="20"/>
                <w:szCs w:val="20"/>
                <w:color w:val="auto"/>
              </w:rPr>
            </w:pPr>
            <w:r>
              <w:rPr>
                <w:rFonts w:ascii="Arial" w:cs="Arial" w:eastAsia="Arial" w:hAnsi="Arial"/>
                <w:sz w:val="20"/>
                <w:szCs w:val="20"/>
                <w:color w:val="auto"/>
                <w:w w:val="92"/>
              </w:rPr>
              <w:t>Portion of annual Net Sales of such Product in the Territory that is greater than $[**], and less than or</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35"/>
        </w:trPr>
        <w:tc>
          <w:tcPr>
            <w:tcW w:w="84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equal to $[**] (“</w:t>
            </w:r>
            <w:r>
              <w:rPr>
                <w:rFonts w:ascii="Arial" w:cs="Arial" w:eastAsia="Arial" w:hAnsi="Arial"/>
                <w:sz w:val="20"/>
                <w:szCs w:val="20"/>
                <w:b w:val="1"/>
                <w:bCs w:val="1"/>
                <w:color w:val="auto"/>
              </w:rPr>
              <w:t>Royalty Tier 2</w:t>
            </w:r>
            <w:r>
              <w:rPr>
                <w:rFonts w:ascii="Arial" w:cs="Arial" w:eastAsia="Arial" w:hAnsi="Arial"/>
                <w:sz w:val="20"/>
                <w:szCs w:val="20"/>
                <w:color w:val="auto"/>
              </w:rPr>
              <w:t>”)</w:t>
            </w:r>
          </w:p>
        </w:tc>
        <w:tc>
          <w:tcPr>
            <w:tcW w:w="24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4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8420" w:type="dxa"/>
            <w:vAlign w:val="bottom"/>
            <w:tcBorders>
              <w:left w:val="single" w:sz="8" w:color="auto"/>
              <w:right w:val="single" w:sz="8" w:color="auto"/>
            </w:tcBorders>
          </w:tcPr>
          <w:p>
            <w:pPr>
              <w:ind w:left="120"/>
              <w:spacing w:after="0" w:line="200" w:lineRule="exact"/>
              <w:rPr>
                <w:sz w:val="20"/>
                <w:szCs w:val="20"/>
                <w:color w:val="auto"/>
              </w:rPr>
            </w:pPr>
            <w:r>
              <w:rPr>
                <w:rFonts w:ascii="Arial" w:cs="Arial" w:eastAsia="Arial" w:hAnsi="Arial"/>
                <w:sz w:val="20"/>
                <w:szCs w:val="20"/>
                <w:color w:val="auto"/>
                <w:w w:val="94"/>
              </w:rPr>
              <w:t>Portion of annual Net Sales of such Product in the Territory that is greater than $[**] (“</w:t>
            </w:r>
            <w:r>
              <w:rPr>
                <w:rFonts w:ascii="Arial" w:cs="Arial" w:eastAsia="Arial" w:hAnsi="Arial"/>
                <w:sz w:val="20"/>
                <w:szCs w:val="20"/>
                <w:b w:val="1"/>
                <w:bCs w:val="1"/>
                <w:color w:val="auto"/>
                <w:w w:val="94"/>
              </w:rPr>
              <w:t>Royalty Tier</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35"/>
        </w:trPr>
        <w:tc>
          <w:tcPr>
            <w:tcW w:w="84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b w:val="1"/>
                <w:bCs w:val="1"/>
                <w:color w:val="auto"/>
              </w:rPr>
              <w:t>3</w:t>
            </w:r>
            <w:r>
              <w:rPr>
                <w:rFonts w:ascii="Arial" w:cs="Arial" w:eastAsia="Arial" w:hAnsi="Arial"/>
                <w:sz w:val="20"/>
                <w:szCs w:val="20"/>
                <w:color w:val="auto"/>
              </w:rPr>
              <w:t>”)</w:t>
            </w:r>
          </w:p>
        </w:tc>
        <w:tc>
          <w:tcPr>
            <w:tcW w:w="24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4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right="20" w:firstLine="877"/>
        <w:spacing w:after="0" w:line="262" w:lineRule="auto"/>
        <w:rPr>
          <w:sz w:val="20"/>
          <w:szCs w:val="20"/>
          <w:color w:val="auto"/>
        </w:rPr>
      </w:pPr>
      <w:r>
        <w:rPr>
          <w:rFonts w:ascii="Arial" w:cs="Arial" w:eastAsia="Arial" w:hAnsi="Arial"/>
          <w:sz w:val="19"/>
          <w:szCs w:val="19"/>
          <w:color w:val="auto"/>
        </w:rPr>
        <w:t xml:space="preserve">6.3.2. </w:t>
      </w:r>
      <w:r>
        <w:rPr>
          <w:rFonts w:ascii="Arial" w:cs="Arial" w:eastAsia="Arial" w:hAnsi="Arial"/>
          <w:sz w:val="19"/>
          <w:szCs w:val="19"/>
          <w:b w:val="1"/>
          <w:bCs w:val="1"/>
          <w:color w:val="auto"/>
        </w:rPr>
        <w:t>Royalty Term</w:t>
      </w:r>
      <w:r>
        <w:rPr>
          <w:rFonts w:ascii="Arial" w:cs="Arial" w:eastAsia="Arial" w:hAnsi="Arial"/>
          <w:sz w:val="19"/>
          <w:szCs w:val="19"/>
          <w:color w:val="auto"/>
        </w:rPr>
        <w:t xml:space="preserve">. On a Product-by-Product and country-by-country basis, upon expiration of the Royalty Term for a Product in a country, (a) no further royalty payments will be payable by Acceleron in respect of sales of such Product in such country, (b) no further Development Milestone Payments or Sales Milestone Payments will be payable by Acceleron in respect of development or sales of such Product in such country, and (c) the license granted to Acceleron under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(License Grant to Acceleron) with respect to such Product in such country will automatically become fully paid-up, perpetual, irrevocable, and royalty-free.</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606" w:right="219" w:bottom="1440" w:gutter="0" w:footer="0" w:header="0"/>
        </w:sectPr>
      </w:pPr>
    </w:p>
    <w:bookmarkStart w:id="177" w:name="page178"/>
    <w:bookmarkEnd w:id="177"/>
    <w:p>
      <w:pPr>
        <w:ind w:left="880"/>
        <w:spacing w:after="0"/>
        <w:tabs>
          <w:tab w:leader="none" w:pos="1960" w:val="left"/>
        </w:tabs>
        <w:rPr>
          <w:sz w:val="20"/>
          <w:szCs w:val="20"/>
          <w:color w:val="auto"/>
        </w:rPr>
      </w:pPr>
      <w:r>
        <w:rPr>
          <w:rFonts w:ascii="Arial" w:cs="Arial" w:eastAsia="Arial" w:hAnsi="Arial"/>
          <w:sz w:val="20"/>
          <w:szCs w:val="20"/>
          <w:color w:val="auto"/>
        </w:rPr>
        <w:t>6.3.3.</w:t>
      </w:r>
      <w:r>
        <w:rPr>
          <w:sz w:val="20"/>
          <w:szCs w:val="20"/>
          <w:color w:val="auto"/>
        </w:rPr>
        <w:tab/>
      </w:r>
      <w:r>
        <w:rPr>
          <w:rFonts w:ascii="Arial" w:cs="Arial" w:eastAsia="Arial" w:hAnsi="Arial"/>
          <w:sz w:val="16"/>
          <w:szCs w:val="16"/>
          <w:b w:val="1"/>
          <w:bCs w:val="1"/>
          <w:u w:val="single" w:color="auto"/>
          <w:color w:val="auto"/>
        </w:rPr>
        <w:t>Royalty Adjustments</w:t>
      </w:r>
      <w:r>
        <w:rPr>
          <w:rFonts w:ascii="Arial" w:cs="Arial" w:eastAsia="Arial" w:hAnsi="Arial"/>
          <w:sz w:val="16"/>
          <w:szCs w:val="16"/>
          <w:color w:val="auto"/>
        </w:rPr>
        <w:t>.</w:t>
      </w:r>
    </w:p>
    <w:p>
      <w:pPr>
        <w:spacing w:after="0" w:line="216" w:lineRule="exact"/>
        <w:rPr>
          <w:sz w:val="20"/>
          <w:szCs w:val="20"/>
          <w:color w:val="auto"/>
        </w:rPr>
      </w:pPr>
    </w:p>
    <w:p>
      <w:pPr>
        <w:jc w:val="both"/>
        <w:ind w:left="1760" w:firstLine="746"/>
        <w:spacing w:after="0" w:line="248" w:lineRule="auto"/>
        <w:tabs>
          <w:tab w:leader="none" w:pos="3371" w:val="left"/>
        </w:tabs>
        <w:numPr>
          <w:ilvl w:val="0"/>
          <w:numId w:val="67"/>
        </w:numPr>
        <w:rPr>
          <w:rFonts w:ascii="Arial" w:cs="Arial" w:eastAsia="Arial" w:hAnsi="Arial"/>
          <w:sz w:val="20"/>
          <w:szCs w:val="20"/>
          <w:color w:val="auto"/>
        </w:rPr>
      </w:pPr>
      <w:r>
        <w:rPr>
          <w:rFonts w:ascii="Arial" w:cs="Arial" w:eastAsia="Arial" w:hAnsi="Arial"/>
          <w:sz w:val="20"/>
          <w:szCs w:val="20"/>
          <w:b w:val="1"/>
          <w:bCs w:val="1"/>
          <w:color w:val="auto"/>
        </w:rPr>
        <w:t xml:space="preserve">No Valid Claim. </w:t>
      </w:r>
      <w:r>
        <w:rPr>
          <w:rFonts w:ascii="Arial" w:cs="Arial" w:eastAsia="Arial" w:hAnsi="Arial"/>
          <w:sz w:val="20"/>
          <w:szCs w:val="20"/>
          <w:color w:val="auto"/>
        </w:rPr>
        <w:t>On a Product-by-Product and country-by-country basis, in the event that a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is not Covered by a Valid Claim of a Fulcrum Patent Right at any time during the Royalty Term for such Product in such country, then the Net Sales for such Product in such country during the period in which no such Valid Claim Covers such Product will be reduced by [**] percent ([**]%).</w:t>
      </w:r>
    </w:p>
    <w:p>
      <w:pPr>
        <w:spacing w:after="0" w:line="183" w:lineRule="exact"/>
        <w:rPr>
          <w:rFonts w:ascii="Arial" w:cs="Arial" w:eastAsia="Arial" w:hAnsi="Arial"/>
          <w:sz w:val="20"/>
          <w:szCs w:val="20"/>
          <w:color w:val="auto"/>
        </w:rPr>
      </w:pPr>
    </w:p>
    <w:p>
      <w:pPr>
        <w:jc w:val="both"/>
        <w:ind w:left="1760" w:firstLine="746"/>
        <w:spacing w:after="0" w:line="269" w:lineRule="auto"/>
        <w:tabs>
          <w:tab w:leader="none" w:pos="3382"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Royalty Stacking</w:t>
      </w:r>
      <w:r>
        <w:rPr>
          <w:rFonts w:ascii="Arial" w:cs="Arial" w:eastAsia="Arial" w:hAnsi="Arial"/>
          <w:sz w:val="18"/>
          <w:szCs w:val="18"/>
          <w:color w:val="auto"/>
        </w:rPr>
        <w:t>. On a Product-by-Product and country-by-country basis, in the event that (i)</w:t>
      </w:r>
      <w:r>
        <w:rPr>
          <w:rFonts w:ascii="Arial" w:cs="Arial" w:eastAsia="Arial" w:hAnsi="Arial"/>
          <w:sz w:val="18"/>
          <w:szCs w:val="18"/>
          <w:b w:val="1"/>
          <w:bCs w:val="1"/>
          <w:color w:val="auto"/>
        </w:rPr>
        <w:t xml:space="preserve"> </w:t>
      </w:r>
      <w:r>
        <w:rPr>
          <w:rFonts w:ascii="Arial" w:cs="Arial" w:eastAsia="Arial" w:hAnsi="Arial"/>
          <w:sz w:val="18"/>
          <w:szCs w:val="18"/>
          <w:color w:val="auto"/>
        </w:rPr>
        <w:t>Acceleron obtains rights, by license or acquisition, from one or more Third Party(ies) under intellectual property Controlled by such Third Party(ies), which intellectual property is reasonably necessary or useful for Acceleron to make, have made, use, sell, have sold, import, export, distribute and have distributed, market, have marketed, promote, have promoted, or otherwise exploit Collaboration Molecules and Products in the Field in a country in the Territory in accordance with the license set forth in this Agreement, and (ii) the total royalties payable by Acceleron with respect to sales of a Product under any agreement between Acceleron (or an Affiliate) and such Third Party(ies), plus the royalties due to Fulcrum hereunder for such Product (the “</w:t>
      </w:r>
      <w:r>
        <w:rPr>
          <w:rFonts w:ascii="Arial" w:cs="Arial" w:eastAsia="Arial" w:hAnsi="Arial"/>
          <w:sz w:val="18"/>
          <w:szCs w:val="18"/>
          <w:b w:val="1"/>
          <w:bCs w:val="1"/>
          <w:color w:val="auto"/>
        </w:rPr>
        <w:t>Total Royalty Burden</w:t>
      </w:r>
      <w:r>
        <w:rPr>
          <w:rFonts w:ascii="Arial" w:cs="Arial" w:eastAsia="Arial" w:hAnsi="Arial"/>
          <w:sz w:val="18"/>
          <w:szCs w:val="18"/>
          <w:color w:val="auto"/>
        </w:rPr>
        <w:t xml:space="preserve">”) in a country exceeds [**] percent ([**]%) of the Net Sales of such Product in such country, then the Royalty Rate(s) under this Agreement for such Product in such country will be reduced by [**] percent ([**]%) for every [**] percent ([**]%) that the Total Royalty Burden for such Product in such country would otherwise exceed [**] percent ([**]%) of the Net Sales of such Product in such country;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no event will the reduction set forth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6.3.3(b)</w:t>
      </w:r>
      <w:r>
        <w:rPr>
          <w:rFonts w:ascii="Arial" w:cs="Arial" w:eastAsia="Arial" w:hAnsi="Arial"/>
          <w:sz w:val="18"/>
          <w:szCs w:val="18"/>
          <w:i w:val="1"/>
          <w:iCs w:val="1"/>
          <w:color w:val="auto"/>
        </w:rPr>
        <w:t xml:space="preserve"> </w:t>
      </w:r>
      <w:r>
        <w:rPr>
          <w:rFonts w:ascii="Arial" w:cs="Arial" w:eastAsia="Arial" w:hAnsi="Arial"/>
          <w:sz w:val="18"/>
          <w:szCs w:val="18"/>
          <w:color w:val="auto"/>
        </w:rPr>
        <w:t>(Royalty Stacking)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Royalty Rate (x) payable in Royalty Tier 1 below [**] percent ([**]%) of annual Net Sales of such Product in such country, (y) payable in Royalty Tier 2 below [**] percent ([**]%) of annual Net Sales of such Product in such country, and (z) in Royalty Tier 3 below [**] percent ([**]%) of annual Net Sales of such Product in such country;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Acceleron will be entitled to carry forward to subsequent Calendar Quarters any amounts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Acceleron would have been entitled to make a deduction pursuant to this </w:t>
      </w:r>
      <w:r>
        <w:rPr>
          <w:rFonts w:ascii="Arial" w:cs="Arial" w:eastAsia="Arial" w:hAnsi="Arial"/>
          <w:sz w:val="18"/>
          <w:szCs w:val="18"/>
          <w:u w:val="single" w:color="auto"/>
          <w:color w:val="auto"/>
        </w:rPr>
        <w:t>Section 6.3.3(b)</w:t>
      </w:r>
      <w:r>
        <w:rPr>
          <w:rFonts w:ascii="Arial" w:cs="Arial" w:eastAsia="Arial" w:hAnsi="Arial"/>
          <w:sz w:val="18"/>
          <w:szCs w:val="18"/>
          <w:color w:val="auto"/>
        </w:rPr>
        <w:t xml:space="preserve"> (Royalty Stacking) but is unable to take such deduction pursuant to the foregoing proviso.</w:t>
      </w:r>
    </w:p>
    <w:p>
      <w:pPr>
        <w:spacing w:after="0" w:line="172" w:lineRule="exact"/>
        <w:rPr>
          <w:rFonts w:ascii="Arial" w:cs="Arial" w:eastAsia="Arial" w:hAnsi="Arial"/>
          <w:sz w:val="18"/>
          <w:szCs w:val="18"/>
          <w:color w:val="auto"/>
        </w:rPr>
      </w:pPr>
    </w:p>
    <w:p>
      <w:pPr>
        <w:jc w:val="both"/>
        <w:ind w:left="1760" w:firstLine="746"/>
        <w:spacing w:after="0" w:line="253" w:lineRule="auto"/>
        <w:tabs>
          <w:tab w:leader="none" w:pos="3371" w:val="left"/>
        </w:tabs>
        <w:numPr>
          <w:ilvl w:val="0"/>
          <w:numId w:val="67"/>
        </w:numPr>
        <w:rPr>
          <w:rFonts w:ascii="Arial" w:cs="Arial" w:eastAsia="Arial" w:hAnsi="Arial"/>
          <w:sz w:val="20"/>
          <w:szCs w:val="20"/>
          <w:color w:val="auto"/>
        </w:rPr>
      </w:pPr>
      <w:r>
        <w:rPr>
          <w:rFonts w:ascii="Arial" w:cs="Arial" w:eastAsia="Arial" w:hAnsi="Arial"/>
          <w:sz w:val="20"/>
          <w:szCs w:val="20"/>
          <w:b w:val="1"/>
          <w:bCs w:val="1"/>
          <w:color w:val="auto"/>
        </w:rPr>
        <w:t>Cumulative Adjustments</w:t>
      </w:r>
      <w:r>
        <w:rPr>
          <w:rFonts w:ascii="Arial" w:cs="Arial" w:eastAsia="Arial" w:hAnsi="Arial"/>
          <w:sz w:val="20"/>
          <w:szCs w:val="20"/>
          <w:color w:val="auto"/>
        </w:rPr>
        <w:t>.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Sections 6.3.3(a)</w:t>
      </w:r>
      <w:r>
        <w:rPr>
          <w:rFonts w:ascii="Arial" w:cs="Arial" w:eastAsia="Arial" w:hAnsi="Arial"/>
          <w:sz w:val="20"/>
          <w:szCs w:val="20"/>
          <w:b w:val="1"/>
          <w:bCs w:val="1"/>
          <w:color w:val="auto"/>
        </w:rPr>
        <w:t xml:space="preserve"> </w:t>
      </w:r>
      <w:r>
        <w:rPr>
          <w:rFonts w:ascii="Arial" w:cs="Arial" w:eastAsia="Arial" w:hAnsi="Arial"/>
          <w:sz w:val="20"/>
          <w:szCs w:val="20"/>
          <w:color w:val="auto"/>
        </w:rPr>
        <w:t>(No Valid Claim) 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6.3.3(b)</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(Royalty Stacking) are cumulative. Any reduction pursuant to </w:t>
      </w:r>
      <w:r>
        <w:rPr>
          <w:rFonts w:ascii="Arial" w:cs="Arial" w:eastAsia="Arial" w:hAnsi="Arial"/>
          <w:sz w:val="20"/>
          <w:szCs w:val="20"/>
          <w:u w:val="single" w:color="auto"/>
          <w:color w:val="auto"/>
        </w:rPr>
        <w:t>Section 6.3.3(a)</w:t>
      </w:r>
      <w:r>
        <w:rPr>
          <w:rFonts w:ascii="Arial" w:cs="Arial" w:eastAsia="Arial" w:hAnsi="Arial"/>
          <w:sz w:val="20"/>
          <w:szCs w:val="20"/>
          <w:color w:val="auto"/>
        </w:rPr>
        <w:t xml:space="preserve"> (No Valid Claim) will be applied before any other reduction is applied.</w:t>
      </w:r>
    </w:p>
    <w:p>
      <w:pPr>
        <w:spacing w:after="0" w:line="178"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8"/>
          <w:szCs w:val="18"/>
          <w:color w:val="auto"/>
        </w:rPr>
        <w:t xml:space="preserve">6.3.4. </w:t>
      </w:r>
      <w:r>
        <w:rPr>
          <w:rFonts w:ascii="Arial" w:cs="Arial" w:eastAsia="Arial" w:hAnsi="Arial"/>
          <w:sz w:val="18"/>
          <w:szCs w:val="18"/>
          <w:b w:val="1"/>
          <w:bCs w:val="1"/>
          <w:color w:val="auto"/>
        </w:rPr>
        <w:t>Royalty Reports</w:t>
      </w:r>
      <w:r>
        <w:rPr>
          <w:rFonts w:ascii="Arial" w:cs="Arial" w:eastAsia="Arial" w:hAnsi="Arial"/>
          <w:sz w:val="18"/>
          <w:szCs w:val="18"/>
          <w:color w:val="auto"/>
        </w:rPr>
        <w:t xml:space="preserve">. Following the first sale of a Product giving rise to Net Sales and continuing for the remainder of the Royalty Term, (a) within [**] after the end of each Calendar Quarter, Acceleron will deliver a report to Fulcrum specifying on a Product-by-Product and country-by-country basis, Acceleron’s preliminary, non-binding, good faith estimates of the royalties payable to Fulcrum on Net Sales of such Products in such countries, and (b) within [**] after the end of each Calendar Quarter, Acceleron will deliver a report to Fulcrum specifying on a Product-by-Product and country-by-country basis: (i) Net Sales in the relevant Calendar Quarter; (ii) to the extent such Net Sales include sales not denoted in Dollars, a summary of the then-current exchange rate methodology then in use by Acceleron, (iii) a calculation of any adjustments to such royalties under </w:t>
      </w:r>
      <w:r>
        <w:rPr>
          <w:rFonts w:ascii="Arial" w:cs="Arial" w:eastAsia="Arial" w:hAnsi="Arial"/>
          <w:sz w:val="18"/>
          <w:szCs w:val="18"/>
          <w:u w:val="single" w:color="auto"/>
          <w:color w:val="auto"/>
        </w:rPr>
        <w:t>Section 6.3.3</w:t>
      </w:r>
      <w:r>
        <w:rPr>
          <w:rFonts w:ascii="Arial" w:cs="Arial" w:eastAsia="Arial" w:hAnsi="Arial"/>
          <w:sz w:val="18"/>
          <w:szCs w:val="18"/>
          <w:color w:val="auto"/>
        </w:rPr>
        <w:t xml:space="preserve"> (Royalty Adjustments), (iv) the applicable Royalty Rate(s) under this Agreement for such Net Sales, and (v) a calculation of the final royalties payable on such Net Sales. All royalty payments due under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(Royalties) for each Calendar Quarter will be due and payable within [**] after the end of each Calendar Quarter. Acceleron’s reports delivered to Fulcrum under this </w:t>
      </w:r>
      <w:r>
        <w:rPr>
          <w:rFonts w:ascii="Arial" w:cs="Arial" w:eastAsia="Arial" w:hAnsi="Arial"/>
          <w:sz w:val="18"/>
          <w:szCs w:val="18"/>
          <w:u w:val="single" w:color="auto"/>
          <w:color w:val="auto"/>
        </w:rPr>
        <w:t>Section 6.3.4</w:t>
      </w:r>
      <w:r>
        <w:rPr>
          <w:rFonts w:ascii="Arial" w:cs="Arial" w:eastAsia="Arial" w:hAnsi="Arial"/>
          <w:sz w:val="18"/>
          <w:szCs w:val="18"/>
          <w:color w:val="auto"/>
        </w:rPr>
        <w:t xml:space="preserve"> (Royalty Reports) will be Acceleron’s Confidential Information under this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8" w:name="page179"/>
    <w:bookmarkEnd w:id="178"/>
    <w:p>
      <w:pPr>
        <w:jc w:val="both"/>
        <w:ind w:firstLine="877"/>
        <w:spacing w:after="0" w:line="259"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b w:val="1"/>
          <w:bCs w:val="1"/>
          <w:u w:val="single" w:color="auto"/>
          <w:color w:val="auto"/>
        </w:rPr>
        <w:t>Payment Terms; Blocked Payments</w:t>
      </w:r>
      <w:r>
        <w:rPr>
          <w:rFonts w:ascii="Arial" w:cs="Arial" w:eastAsia="Arial" w:hAnsi="Arial"/>
          <w:sz w:val="19"/>
          <w:szCs w:val="19"/>
          <w:color w:val="auto"/>
        </w:rPr>
        <w:t>. All payments under this Agreement will be paid in Dollars, by wire transfer to an account designated by Fulcrum (which account Fulcrum may update from time to time in writing). In the case of Net Sales made by Acceleron and its Affiliates or Sublicensees in currencies other than Dollars, the rate of exchange to be used in computing the amount of Dollars due for royalty payments will be the rate of exchange utilized by Acceleron in its worldwide accounting system and calculated in accordance with GAAP. If, by reason of Applicable Laws or regulations in any country, it becomes impossible or illegal for Acceleron to transfer, or have transferred on its behalf, royalties or other payments to Fulcrum, such payments will be made in any such country in local currency in such country by deposit in a local bank designated by Fulcrum.</w:t>
      </w:r>
    </w:p>
    <w:p>
      <w:pPr>
        <w:spacing w:after="0" w:line="173"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b w:val="1"/>
          <w:bCs w:val="1"/>
          <w:u w:val="single" w:color="auto"/>
          <w:color w:val="auto"/>
        </w:rPr>
        <w:t>Withholding Taxes</w:t>
      </w:r>
      <w:r>
        <w:rPr>
          <w:rFonts w:ascii="Arial" w:cs="Arial" w:eastAsia="Arial" w:hAnsi="Arial"/>
          <w:sz w:val="19"/>
          <w:szCs w:val="19"/>
          <w:color w:val="auto"/>
        </w:rPr>
        <w:t>. If Acceleron concludes Withholding Taxes are required under the laws of any country within the Territory with respect to payments to Fulcrum, Acceleron will withhold the required amount and pay it to the appropriate Governmental Authority. In any such case, Acceleron will promptly provide Fulcrum with original receipts or other evidence reasonably desirable and sufficient to allow Fulcrum to document such Withholding Taxes for purposes of claiming foreign tax credits and similar benefits.</w:t>
      </w:r>
    </w:p>
    <w:p>
      <w:pPr>
        <w:spacing w:after="0" w:line="166" w:lineRule="exact"/>
        <w:rPr>
          <w:sz w:val="20"/>
          <w:szCs w:val="20"/>
          <w:color w:val="auto"/>
        </w:rPr>
      </w:pPr>
    </w:p>
    <w:p>
      <w:pPr>
        <w:jc w:val="both"/>
        <w:ind w:firstLine="877"/>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u w:val="single" w:color="auto"/>
          <w:color w:val="auto"/>
        </w:rPr>
        <w:t>Records; Audits</w:t>
      </w:r>
      <w:r>
        <w:rPr>
          <w:rFonts w:ascii="Arial" w:cs="Arial" w:eastAsia="Arial" w:hAnsi="Arial"/>
          <w:sz w:val="18"/>
          <w:szCs w:val="18"/>
          <w:color w:val="auto"/>
        </w:rPr>
        <w:t xml:space="preserve">. The Parties will (and will cause their respective Affiliates and sublicensees to) at all times keep and maintain accurate and complete records regarding, in the case of Acceleron, Net Sales during the [**], and in the case of Fulcrum, any costs for Fulcrum FTEs or out-of-pocket expenses reimbursed by Acceleron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(Research Funding). Upon [**] prior written notice from the auditing Party, the non-auditing Party will (and will cause its Affiliates and sublicensees to) permit an independent certified public accounting firm of internationally recognized standing, selected by the auditing Party and reasonably acceptable to the non-auditing Party, to examine the relevant books and records of the non-auditing Party, its Affiliates, and sublicensees, as may be reasonably necessary to verify, in the case of Acceleron, the royalty reports submitted by Acceleron in accordance with </w:t>
      </w:r>
      <w:r>
        <w:rPr>
          <w:rFonts w:ascii="Arial" w:cs="Arial" w:eastAsia="Arial" w:hAnsi="Arial"/>
          <w:sz w:val="18"/>
          <w:szCs w:val="18"/>
          <w:u w:val="single" w:color="auto"/>
          <w:color w:val="auto"/>
        </w:rPr>
        <w:t>Section 6.3.4</w:t>
      </w:r>
      <w:r>
        <w:rPr>
          <w:rFonts w:ascii="Arial" w:cs="Arial" w:eastAsia="Arial" w:hAnsi="Arial"/>
          <w:sz w:val="18"/>
          <w:szCs w:val="18"/>
          <w:color w:val="auto"/>
        </w:rPr>
        <w:t xml:space="preserve"> (Royalty Reports), and in the case of Fulcrum, the invoices submitted by Fulcurm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(Research Funding). An examination by either Party under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(Records; Audits) will occur not more than [**] and will be limited to the pertinent books and records for any Calendar Year ending not more than [**] before the date of the request. Further, a Party’s (or its Affiliates’ or sublicensees’) books of records for any Calendar Year may be examined [**]. The accounting firm will be provided access to such books and records at the facility or facilities where such books and records are normally kept and such examination will be conducted during normal business hours. The non-auditing Party (or any Affiliate or sublicensee) may require the accounting firm to sign a customary non-disclosure agreement before providing the accounting firm access to its facilities or records. Upon completion of the audit, the accounting firm will provide both Fulcrum and Acceleron a written report disclosing whether, in the case of Acceleron, the reports submitted by Acceleron, or in the case of Fulcrum, the invoices submitted by Fulcrum, are correct or incorrect and the specific details concerning any discrepancies. If any report submitted by Acceleron or invoice submitted by Fulcrum results in an underpayment or overpayment, the Party owing the underpaid or overpaid amount will promptly pay such amount to the other Party with interest calculated in accordance with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(Late Payment). The costs and fees of any audit conducted by a Party under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(Records; Audits) will be borne by the auditing Party, unless, in the case of an audit conducted by Fulcrum, such audit reveals an underpayment of amounts owed to Fulcrum of more than [**] percent ([**]%) of the amount that was owed by Acceleron, or in the case of an audit conducted by Acceleron, such audit reveals an overpayment of amounts owed to Fulcrum of more than [**] percent ([**]%) of the amount that was properly payable by Acceleron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(Research Funding)</w:t>
      </w:r>
      <w:r>
        <w:rPr>
          <w:rFonts w:ascii="Arial" w:cs="Arial" w:eastAsia="Arial" w:hAnsi="Arial"/>
          <w:sz w:val="18"/>
          <w:szCs w:val="18"/>
          <w:u w:val="single" w:color="auto"/>
          <w:color w:val="auto"/>
        </w:rPr>
        <w:t>, in either case,</w:t>
      </w:r>
      <w:r>
        <w:rPr>
          <w:rFonts w:ascii="Arial" w:cs="Arial" w:eastAsia="Arial" w:hAnsi="Arial"/>
          <w:sz w:val="18"/>
          <w:szCs w:val="18"/>
          <w:color w:val="auto"/>
        </w:rPr>
        <w:t xml:space="preserve"> with respect to the relevant Calendar Year, in which case, the non-auditing Party will reimburse the auditing Party for the reasonable expense incurred by the auditing Party in connection with the audit.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9" w:name="page180"/>
    <w:bookmarkEnd w:id="179"/>
    <w:p>
      <w:pPr>
        <w:jc w:val="both"/>
        <w:ind w:firstLine="877"/>
        <w:spacing w:after="0" w:line="246" w:lineRule="auto"/>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b w:val="1"/>
          <w:bCs w:val="1"/>
          <w:u w:val="single" w:color="auto"/>
          <w:color w:val="auto"/>
        </w:rPr>
        <w:t>Late Payment</w:t>
      </w:r>
      <w:r>
        <w:rPr>
          <w:rFonts w:ascii="Arial" w:cs="Arial" w:eastAsia="Arial" w:hAnsi="Arial"/>
          <w:sz w:val="20"/>
          <w:szCs w:val="20"/>
          <w:color w:val="auto"/>
        </w:rPr>
        <w:t>. Any undisputed payments or portions thereof due hereunder that are not paid when due will accrue interest from the date due until paid at [**] percentage points above the Prime Rate of interest as reported in the Wall Street Journal (or if the Wall Street Journal no longer quotes such rate, as reported in another source mutually agreed by the Parties) on the date payment is due, compounded daily, but not to exceed the maximum permitted by Applicable Law. Any such overdue payment when made will be accompanied by all interest so accrued.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INTELLECTUAL PROPERTY</w:t>
      </w:r>
    </w:p>
    <w:p>
      <w:pPr>
        <w:spacing w:after="0" w:line="194"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b w:val="1"/>
          <w:bCs w:val="1"/>
          <w:u w:val="single" w:color="auto"/>
          <w:color w:val="auto"/>
        </w:rPr>
        <w:t>Ownership of Technology</w:t>
      </w:r>
      <w:r>
        <w:rPr>
          <w:rFonts w:ascii="Arial" w:cs="Arial" w:eastAsia="Arial" w:hAnsi="Arial"/>
          <w:sz w:val="16"/>
          <w:szCs w:val="16"/>
          <w:color w:val="auto"/>
        </w:rPr>
        <w:t>. Notwithstanding any provision of this Agreement to the contrary, as between the Parties:</w:t>
      </w:r>
    </w:p>
    <w:p>
      <w:pPr>
        <w:spacing w:after="0" w:line="222"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8"/>
          <w:szCs w:val="18"/>
          <w:color w:val="auto"/>
        </w:rPr>
        <w:t>7.1.1. the Parties will jointly own (and may, subject to the licenses granted hereunder, exploit without a duty to account to the other Party and without an obligation to seek permission to grant licenses thereunder) all Know-How developed, invented, or created solely or jointly by the Parties, their Affiliates or Third Parties acting on their behalf, (a) in the performance of activities under the Research Plan or through the use of data generated under the Research Plan, in either case, to the extent such Know-How relates to any [**] Target (“</w:t>
      </w:r>
      <w:r>
        <w:rPr>
          <w:rFonts w:ascii="Arial" w:cs="Arial" w:eastAsia="Arial" w:hAnsi="Arial"/>
          <w:sz w:val="18"/>
          <w:szCs w:val="18"/>
          <w:b w:val="1"/>
          <w:bCs w:val="1"/>
          <w:color w:val="auto"/>
        </w:rPr>
        <w:t>Target</w:t>
      </w:r>
      <w:r>
        <w:rPr>
          <w:rFonts w:ascii="Arial" w:cs="Arial" w:eastAsia="Arial" w:hAnsi="Arial"/>
          <w:sz w:val="18"/>
          <w:szCs w:val="18"/>
          <w:color w:val="auto"/>
        </w:rPr>
        <w:t xml:space="preserve"> </w:t>
      </w:r>
      <w:r>
        <w:rPr>
          <w:rFonts w:ascii="Arial" w:cs="Arial" w:eastAsia="Arial" w:hAnsi="Arial"/>
          <w:sz w:val="18"/>
          <w:szCs w:val="18"/>
          <w:b w:val="1"/>
          <w:bCs w:val="1"/>
          <w:color w:val="auto"/>
        </w:rPr>
        <w:t>Know-How</w:t>
      </w:r>
      <w:r>
        <w:rPr>
          <w:rFonts w:ascii="Arial" w:cs="Arial" w:eastAsia="Arial" w:hAnsi="Arial"/>
          <w:sz w:val="18"/>
          <w:szCs w:val="18"/>
          <w:color w:val="auto"/>
        </w:rPr>
        <w:t>”), and any Patent Right that claims or discloses any Target Know-How (“</w:t>
      </w:r>
      <w:r>
        <w:rPr>
          <w:rFonts w:ascii="Arial" w:cs="Arial" w:eastAsia="Arial" w:hAnsi="Arial"/>
          <w:sz w:val="18"/>
          <w:szCs w:val="18"/>
          <w:b w:val="1"/>
          <w:bCs w:val="1"/>
          <w:color w:val="auto"/>
        </w:rPr>
        <w:t>Target Patent Rights</w:t>
      </w:r>
      <w:r>
        <w:rPr>
          <w:rFonts w:ascii="Arial" w:cs="Arial" w:eastAsia="Arial" w:hAnsi="Arial"/>
          <w:sz w:val="18"/>
          <w:szCs w:val="18"/>
          <w:color w:val="auto"/>
        </w:rPr>
        <w:t>”), and (b) in the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Medicinal Chemistry Services or through the use of data generated in the conduct of the Medicinal Chemistry Services, in either case, to the extent such Know-How relates to any Collaboration Molecule (“</w:t>
      </w:r>
      <w:r>
        <w:rPr>
          <w:rFonts w:ascii="Arial" w:cs="Arial" w:eastAsia="Arial" w:hAnsi="Arial"/>
          <w:sz w:val="18"/>
          <w:szCs w:val="18"/>
          <w:b w:val="1"/>
          <w:bCs w:val="1"/>
          <w:color w:val="auto"/>
        </w:rPr>
        <w:t>Collaboration Molecule Know-How</w:t>
      </w:r>
      <w:r>
        <w:rPr>
          <w:rFonts w:ascii="Arial" w:cs="Arial" w:eastAsia="Arial" w:hAnsi="Arial"/>
          <w:sz w:val="18"/>
          <w:szCs w:val="18"/>
          <w:color w:val="auto"/>
        </w:rPr>
        <w:t>”), and any Patent Right that claims or discloses any Collaboration Molecule Know-How (“</w:t>
      </w:r>
      <w:r>
        <w:rPr>
          <w:rFonts w:ascii="Arial" w:cs="Arial" w:eastAsia="Arial" w:hAnsi="Arial"/>
          <w:sz w:val="18"/>
          <w:szCs w:val="18"/>
          <w:b w:val="1"/>
          <w:bCs w:val="1"/>
          <w:color w:val="auto"/>
        </w:rPr>
        <w:t>Collaboration Molecule Patent Rights</w:t>
      </w:r>
      <w:r>
        <w:rPr>
          <w:rFonts w:ascii="Arial" w:cs="Arial" w:eastAsia="Arial" w:hAnsi="Arial"/>
          <w:sz w:val="18"/>
          <w:szCs w:val="18"/>
          <w:color w:val="auto"/>
        </w:rPr>
        <w:t>”);</w:t>
      </w:r>
    </w:p>
    <w:p>
      <w:pPr>
        <w:spacing w:after="0" w:line="169" w:lineRule="exact"/>
        <w:rPr>
          <w:sz w:val="20"/>
          <w:szCs w:val="20"/>
          <w:color w:val="auto"/>
        </w:rPr>
      </w:pPr>
    </w:p>
    <w:p>
      <w:pPr>
        <w:jc w:val="both"/>
        <w:ind w:right="20" w:firstLine="877"/>
        <w:spacing w:after="0" w:line="269" w:lineRule="auto"/>
        <w:rPr>
          <w:sz w:val="20"/>
          <w:szCs w:val="20"/>
          <w:color w:val="auto"/>
        </w:rPr>
      </w:pPr>
      <w:r>
        <w:rPr>
          <w:rFonts w:ascii="Arial" w:cs="Arial" w:eastAsia="Arial" w:hAnsi="Arial"/>
          <w:sz w:val="19"/>
          <w:szCs w:val="19"/>
          <w:color w:val="auto"/>
        </w:rPr>
        <w:t>7.1.2. Acceleron will solely and exclusively own (a) all Know-How developed, invented, or created solely or jointly by the Parties, their Affiliates or Third Parties acting on their behalf, in the performance of activities under this Agreement to the extent such Know-How relates to the Acceleron Assay, and (b) any Patent Right that claims or discloses any Know-How described in clause (a);</w:t>
      </w:r>
    </w:p>
    <w:p>
      <w:pPr>
        <w:spacing w:after="0" w:line="170"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7.1.3. Fulcrum will solely and exclusively own (a) all Know-How developed, invented, or created solely or jointly by the Parties, their Affiliates or Third Parties acting on their behalf, in the performance of activities under this Agreement to the extent such Know-How relates to the Fulcrum Platform and (b) any Patent Right that claims or discloses any Know-How described in clause (a) (the “</w:t>
      </w:r>
      <w:r>
        <w:rPr>
          <w:rFonts w:ascii="Arial" w:cs="Arial" w:eastAsia="Arial" w:hAnsi="Arial"/>
          <w:sz w:val="20"/>
          <w:szCs w:val="20"/>
          <w:b w:val="1"/>
          <w:bCs w:val="1"/>
          <w:color w:val="auto"/>
        </w:rPr>
        <w:t>Platform</w:t>
      </w:r>
      <w:r>
        <w:rPr>
          <w:rFonts w:ascii="Arial" w:cs="Arial" w:eastAsia="Arial" w:hAnsi="Arial"/>
          <w:sz w:val="20"/>
          <w:szCs w:val="20"/>
          <w:color w:val="auto"/>
        </w:rPr>
        <w:t xml:space="preserve"> </w:t>
      </w:r>
      <w:r>
        <w:rPr>
          <w:rFonts w:ascii="Arial" w:cs="Arial" w:eastAsia="Arial" w:hAnsi="Arial"/>
          <w:sz w:val="20"/>
          <w:szCs w:val="20"/>
          <w:b w:val="1"/>
          <w:bCs w:val="1"/>
          <w:color w:val="auto"/>
        </w:rPr>
        <w:t>Patent Rights</w:t>
      </w:r>
      <w:r>
        <w:rPr>
          <w:rFonts w:ascii="Arial" w:cs="Arial" w:eastAsia="Arial" w:hAnsi="Arial"/>
          <w:sz w:val="20"/>
          <w:szCs w:val="20"/>
          <w:color w:val="auto"/>
        </w:rPr>
        <w:t>”); and</w:t>
      </w:r>
    </w:p>
    <w:p>
      <w:pPr>
        <w:spacing w:after="0" w:line="192"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 xml:space="preserve">7.1.4. except as set forth in </w:t>
      </w:r>
      <w:r>
        <w:rPr>
          <w:rFonts w:ascii="Arial" w:cs="Arial" w:eastAsia="Arial" w:hAnsi="Arial"/>
          <w:sz w:val="20"/>
          <w:szCs w:val="20"/>
          <w:u w:val="single" w:color="auto"/>
          <w:color w:val="auto"/>
        </w:rPr>
        <w:t>Sections 7.1.1</w:t>
      </w:r>
      <w:r>
        <w:rPr>
          <w:rFonts w:ascii="Arial" w:cs="Arial" w:eastAsia="Arial" w:hAnsi="Arial"/>
          <w:sz w:val="20"/>
          <w:szCs w:val="20"/>
          <w:color w:val="auto"/>
        </w:rPr>
        <w:t xml:space="preserve">, </w:t>
      </w:r>
      <w:r>
        <w:rPr>
          <w:rFonts w:ascii="Arial" w:cs="Arial" w:eastAsia="Arial" w:hAnsi="Arial"/>
          <w:sz w:val="20"/>
          <w:szCs w:val="20"/>
          <w:u w:val="single" w:color="auto"/>
          <w:color w:val="auto"/>
        </w:rPr>
        <w:t>7.1.2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7.1.3</w:t>
      </w:r>
      <w:r>
        <w:rPr>
          <w:rFonts w:ascii="Arial" w:cs="Arial" w:eastAsia="Arial" w:hAnsi="Arial"/>
          <w:sz w:val="20"/>
          <w:szCs w:val="20"/>
          <w:color w:val="auto"/>
        </w:rPr>
        <w:t>, (a) each Party will solely own (i) all Know-How developed, invented, or created solely by such Party, its Affiliates or Third Parties acting on its or their behalf in the performance of activities under this Agreement and (ii) any Patent Right that claims or discloses any Know-How described in clause (a)(i) and (b) the Parties will jointly own (and may, subject to the licenses granted hereunder, exploit without a duty to account to the other Party and without an obligation to seek permission to grant licenses thereunder) any (i) Know-How jointly developed, invented, or created by the Parties, their Affiliates or Third Parties acting on their behalf, in the performance of activities under this Agreement and (ii) Patent Right that claims or discloses any Know-How described in clause (b)(i).</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0" w:name="page181"/>
    <w:bookmarkEnd w:id="180"/>
    <w:p>
      <w:pPr>
        <w:jc w:val="both"/>
        <w:ind w:firstLine="877"/>
        <w:spacing w:after="0" w:line="248"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b w:val="1"/>
          <w:bCs w:val="1"/>
          <w:u w:val="single" w:color="auto"/>
          <w:color w:val="auto"/>
        </w:rPr>
        <w:t>Cooperation</w:t>
      </w:r>
      <w:r>
        <w:rPr>
          <w:rFonts w:ascii="Arial" w:cs="Arial" w:eastAsia="Arial" w:hAnsi="Arial"/>
          <w:sz w:val="20"/>
          <w:szCs w:val="20"/>
          <w:color w:val="auto"/>
        </w:rPr>
        <w:t xml:space="preserve">. Each Party will, and does hereby, assign, and will cause its Affiliates to, and use good faith efforts to cause its and their Representatives to, so assign, to the other Party, without additional compensation, such rights, title and interests in and to any Know-How or Patent Rights as are necessary to fully effect, as applicable, the allocation of ownership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(Ownership of Technology).</w:t>
      </w:r>
    </w:p>
    <w:p>
      <w:pPr>
        <w:spacing w:after="0" w:line="184"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b w:val="1"/>
          <w:bCs w:val="1"/>
          <w:u w:val="single" w:color="auto"/>
          <w:color w:val="auto"/>
        </w:rPr>
        <w:t>Inventorship</w:t>
      </w:r>
      <w:r>
        <w:rPr>
          <w:rFonts w:ascii="Arial" w:cs="Arial" w:eastAsia="Arial" w:hAnsi="Arial"/>
          <w:sz w:val="20"/>
          <w:szCs w:val="20"/>
          <w:b w:val="1"/>
          <w:bCs w:val="1"/>
          <w:color w:val="auto"/>
        </w:rPr>
        <w:t>.</w:t>
      </w:r>
      <w:r>
        <w:rPr>
          <w:rFonts w:ascii="Arial" w:cs="Arial" w:eastAsia="Arial" w:hAnsi="Arial"/>
          <w:sz w:val="20"/>
          <w:szCs w:val="20"/>
          <w:color w:val="auto"/>
        </w:rPr>
        <w:t xml:space="preserve"> For purposes of Section 7.1.4, inventorship will be determined in accordance with United States patent laws (regardless of where the applicable activities occurred). In the case of unpatentable Know-How, inventorship will be determined under such U.S. patent law principles by treating such Know-How as if it were patentable.</w:t>
      </w:r>
    </w:p>
    <w:p>
      <w:pPr>
        <w:spacing w:after="0" w:line="178"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6"/>
          <w:szCs w:val="16"/>
          <w:b w:val="1"/>
          <w:bCs w:val="1"/>
          <w:u w:val="single" w:color="auto"/>
          <w:color w:val="auto"/>
        </w:rPr>
        <w:t>Prosecution and Maintenance of Patent Rights</w:t>
      </w:r>
      <w:r>
        <w:rPr>
          <w:rFonts w:ascii="Arial" w:cs="Arial" w:eastAsia="Arial" w:hAnsi="Arial"/>
          <w:sz w:val="16"/>
          <w:szCs w:val="16"/>
          <w:color w:val="auto"/>
        </w:rPr>
        <w:t>.</w:t>
      </w:r>
    </w:p>
    <w:p>
      <w:pPr>
        <w:spacing w:after="0" w:line="216"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 xml:space="preserve">7.4.1. </w:t>
      </w:r>
      <w:r>
        <w:rPr>
          <w:rFonts w:ascii="Arial" w:cs="Arial" w:eastAsia="Arial" w:hAnsi="Arial"/>
          <w:sz w:val="20"/>
          <w:szCs w:val="20"/>
          <w:b w:val="1"/>
          <w:bCs w:val="1"/>
          <w:color w:val="auto"/>
        </w:rPr>
        <w:t>Acceleron’s First Right</w:t>
      </w:r>
      <w:r>
        <w:rPr>
          <w:rFonts w:ascii="Arial" w:cs="Arial" w:eastAsia="Arial" w:hAnsi="Arial"/>
          <w:sz w:val="20"/>
          <w:szCs w:val="20"/>
          <w:color w:val="auto"/>
        </w:rPr>
        <w:t>. As between the Parties, Acceleron will have the (a) sole right, but not the obligation, at Acceleron’s expense, to control the preparation, filing, prosecution, maintenance and defense of the Acceleron Patent Rights (other than the Joint Patent Rights), and (b) first right but not the obligation, at Acceleron’s expense, to control the preparation, filing, prosecution, maintenance and defense of the Joint Patent Rights.</w:t>
      </w:r>
    </w:p>
    <w:p>
      <w:pPr>
        <w:spacing w:after="0" w:line="184"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 xml:space="preserve">7.4.2. </w:t>
      </w:r>
      <w:r>
        <w:rPr>
          <w:rFonts w:ascii="Arial" w:cs="Arial" w:eastAsia="Arial" w:hAnsi="Arial"/>
          <w:sz w:val="20"/>
          <w:szCs w:val="20"/>
          <w:b w:val="1"/>
          <w:bCs w:val="1"/>
          <w:color w:val="auto"/>
        </w:rPr>
        <w:t>Fulcrum’s First Right</w:t>
      </w:r>
      <w:r>
        <w:rPr>
          <w:rFonts w:ascii="Arial" w:cs="Arial" w:eastAsia="Arial" w:hAnsi="Arial"/>
          <w:sz w:val="20"/>
          <w:szCs w:val="20"/>
          <w:color w:val="auto"/>
        </w:rPr>
        <w:t>. As between the Parties, Fulcrum will have the first right, but not the obligation, at Fulcrum’s expense, to control the preparation, filing, prosecution, maintenance and defense of the Fulcrum Patent Rights (other than the Joint Patent Rights).</w:t>
      </w:r>
    </w:p>
    <w:p>
      <w:pPr>
        <w:spacing w:after="0" w:line="178"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19"/>
          <w:szCs w:val="19"/>
          <w:color w:val="auto"/>
        </w:rPr>
        <w:t xml:space="preserve">7.4.3. </w:t>
      </w:r>
      <w:r>
        <w:rPr>
          <w:rFonts w:ascii="Arial" w:cs="Arial" w:eastAsia="Arial" w:hAnsi="Arial"/>
          <w:sz w:val="19"/>
          <w:szCs w:val="19"/>
          <w:b w:val="1"/>
          <w:bCs w:val="1"/>
          <w:color w:val="auto"/>
        </w:rPr>
        <w:t>Fulcrum’s Second Right</w:t>
      </w:r>
      <w:r>
        <w:rPr>
          <w:rFonts w:ascii="Arial" w:cs="Arial" w:eastAsia="Arial" w:hAnsi="Arial"/>
          <w:sz w:val="19"/>
          <w:szCs w:val="19"/>
          <w:color w:val="auto"/>
        </w:rPr>
        <w:t>. If Acceleron fails or declines to file or maintain any Joint Patent Right (an “</w:t>
      </w:r>
      <w:r>
        <w:rPr>
          <w:rFonts w:ascii="Arial" w:cs="Arial" w:eastAsia="Arial" w:hAnsi="Arial"/>
          <w:sz w:val="19"/>
          <w:szCs w:val="19"/>
          <w:b w:val="1"/>
          <w:bCs w:val="1"/>
          <w:color w:val="auto"/>
        </w:rPr>
        <w:t>Acceleron</w:t>
      </w:r>
      <w:r>
        <w:rPr>
          <w:rFonts w:ascii="Arial" w:cs="Arial" w:eastAsia="Arial" w:hAnsi="Arial"/>
          <w:sz w:val="19"/>
          <w:szCs w:val="19"/>
          <w:color w:val="auto"/>
        </w:rPr>
        <w:t xml:space="preserve"> </w:t>
      </w:r>
      <w:r>
        <w:rPr>
          <w:rFonts w:ascii="Arial" w:cs="Arial" w:eastAsia="Arial" w:hAnsi="Arial"/>
          <w:sz w:val="19"/>
          <w:szCs w:val="19"/>
          <w:b w:val="1"/>
          <w:bCs w:val="1"/>
          <w:color w:val="auto"/>
        </w:rPr>
        <w:t>Abandoned Patent Right</w:t>
      </w:r>
      <w:r>
        <w:rPr>
          <w:rFonts w:ascii="Arial" w:cs="Arial" w:eastAsia="Arial" w:hAnsi="Arial"/>
          <w:sz w:val="19"/>
          <w:szCs w:val="19"/>
          <w:color w:val="auto"/>
        </w:rPr>
        <w:t>”), then Acceleron shall so notify Fulcrum. Immediately upon such notice to Fulcrum, or within [**] before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response is due to the applicable Governmental Authority with respect to such Acceleron Abandoned Patent Right, Fulcrum will have the second right, but not the obligation, at Fulcrum’s expense, to assume the preparation, filing, prosecution, maintenance and defense of such Acceleron Abandoned Patent Right upon written notice to Acceleron and, upon such written notice to Acceleron, (a) Acceleron will, and does hereby, assign, on behalf of itself and its Affiliates, and their Representatives, to Fulcrum, without additional compensation, all Acceleron’s rights, title and interests in and to such Acceleron Abandoned Patent Right, (b) Acceleron’s license to such Acceleron Abandoned Patent Right under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(License Grant) shall terminate, and (c) such Acceleron Abandoned Patent Right shall not be considered a Joint Patent Right or Fulcrum Patent Right under this Agreement. If Fulcrum requests in writing that Acceleron file, in the exercise of Acceleron’s rights under </w:t>
      </w:r>
      <w:r>
        <w:rPr>
          <w:rFonts w:ascii="Arial" w:cs="Arial" w:eastAsia="Arial" w:hAnsi="Arial"/>
          <w:sz w:val="19"/>
          <w:szCs w:val="19"/>
          <w:u w:val="single" w:color="auto"/>
          <w:color w:val="auto"/>
        </w:rPr>
        <w:t>Section 7.4.1(b),</w:t>
      </w:r>
      <w:r>
        <w:rPr>
          <w:rFonts w:ascii="Arial" w:cs="Arial" w:eastAsia="Arial" w:hAnsi="Arial"/>
          <w:sz w:val="19"/>
          <w:szCs w:val="19"/>
          <w:color w:val="auto"/>
        </w:rPr>
        <w:t xml:space="preserve"> a Patent Right in [**], which such Patent Right would claim or disclose any Joint Know-How, but Acceleron fails or declines to file such application within [**] following written request from Fulcrum therefor, and such request is for the filing of a Patent Right (i) that claims or discloses a method of using a Collaboration Molecule directed against a [**] Target to treat one or more indications, or (ii) that is not described in clause (i) and Acceleron does not provide a good faith strategic reason to not file such requested Patent Right (and has discussed such reason with Fulcrum), then, in each case ((i) and (ii)), Fulcrum shall have the right (but not the obligation) to file such requested patent application and, if issued, the applicable Patent Right shall belong solely to Fulcrum (and shall not be a Fulcrum Patent Right under this Agreement).</w:t>
      </w:r>
    </w:p>
    <w:p>
      <w:pPr>
        <w:spacing w:after="0" w:line="190" w:lineRule="exact"/>
        <w:rPr>
          <w:sz w:val="20"/>
          <w:szCs w:val="20"/>
          <w:color w:val="auto"/>
        </w:rPr>
      </w:pPr>
    </w:p>
    <w:p>
      <w:pPr>
        <w:jc w:val="both"/>
        <w:ind w:firstLine="877"/>
        <w:spacing w:after="0" w:line="285" w:lineRule="auto"/>
        <w:rPr>
          <w:sz w:val="20"/>
          <w:szCs w:val="20"/>
          <w:color w:val="auto"/>
        </w:rPr>
      </w:pPr>
      <w:r>
        <w:rPr>
          <w:rFonts w:ascii="Arial" w:cs="Arial" w:eastAsia="Arial" w:hAnsi="Arial"/>
          <w:sz w:val="18"/>
          <w:szCs w:val="18"/>
          <w:color w:val="auto"/>
        </w:rPr>
        <w:t xml:space="preserve">7.4.4. </w:t>
      </w:r>
      <w:r>
        <w:rPr>
          <w:rFonts w:ascii="Arial" w:cs="Arial" w:eastAsia="Arial" w:hAnsi="Arial"/>
          <w:sz w:val="18"/>
          <w:szCs w:val="18"/>
          <w:b w:val="1"/>
          <w:bCs w:val="1"/>
          <w:color w:val="auto"/>
        </w:rPr>
        <w:t>Acceleron’s Second Right</w:t>
      </w:r>
      <w:r>
        <w:rPr>
          <w:rFonts w:ascii="Arial" w:cs="Arial" w:eastAsia="Arial" w:hAnsi="Arial"/>
          <w:sz w:val="18"/>
          <w:szCs w:val="18"/>
          <w:color w:val="auto"/>
        </w:rPr>
        <w:t>. If Fulcrum fails or declines to file or maintain any Fulcrum Patent Right (other than a Platform Patent Right) that Covers a Product (each, a “</w:t>
      </w:r>
      <w:r>
        <w:rPr>
          <w:rFonts w:ascii="Arial" w:cs="Arial" w:eastAsia="Arial" w:hAnsi="Arial"/>
          <w:sz w:val="18"/>
          <w:szCs w:val="18"/>
          <w:b w:val="1"/>
          <w:bCs w:val="1"/>
          <w:color w:val="auto"/>
        </w:rPr>
        <w:t>Product Patent Right</w:t>
      </w:r>
      <w:r>
        <w:rPr>
          <w:rFonts w:ascii="Arial" w:cs="Arial" w:eastAsia="Arial" w:hAnsi="Arial"/>
          <w:sz w:val="18"/>
          <w:szCs w:val="18"/>
          <w:color w:val="auto"/>
        </w:rPr>
        <w:t>”), then within [**] before a response is due to the applicable Governmental Authority with respect to such Product Patent Right, Acceleron will have the second right, but not the obligation, at Acceleron’s expense, to assume the preparation, filing, prosecution, maintenance and defense of such Product Patent Right upon written notice to Fulcrum.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1" w:name="page182"/>
    <w:bookmarkEnd w:id="181"/>
    <w:p>
      <w:pPr>
        <w:jc w:val="both"/>
        <w:ind w:firstLine="877"/>
        <w:spacing w:after="0" w:line="253" w:lineRule="auto"/>
        <w:rPr>
          <w:sz w:val="20"/>
          <w:szCs w:val="20"/>
          <w:color w:val="auto"/>
        </w:rPr>
      </w:pPr>
      <w:r>
        <w:rPr>
          <w:rFonts w:ascii="Arial" w:cs="Arial" w:eastAsia="Arial" w:hAnsi="Arial"/>
          <w:sz w:val="20"/>
          <w:szCs w:val="20"/>
          <w:color w:val="auto"/>
        </w:rPr>
        <w:t xml:space="preserve">7.4.5. </w:t>
      </w:r>
      <w:r>
        <w:rPr>
          <w:rFonts w:ascii="Arial" w:cs="Arial" w:eastAsia="Arial" w:hAnsi="Arial"/>
          <w:sz w:val="20"/>
          <w:szCs w:val="20"/>
          <w:b w:val="1"/>
          <w:bCs w:val="1"/>
          <w:color w:val="auto"/>
        </w:rPr>
        <w:t>Certain Jointly Owned Patent Rights</w:t>
      </w:r>
      <w:r>
        <w:rPr>
          <w:rFonts w:ascii="Arial" w:cs="Arial" w:eastAsia="Arial" w:hAnsi="Arial"/>
          <w:sz w:val="20"/>
          <w:szCs w:val="20"/>
          <w:color w:val="auto"/>
        </w:rPr>
        <w:t xml:space="preserve">. The Parties shall mutually agree as to which Party shall have the right to control the preparation, filing, prosecution, maintenance and defense of any Patent Right that claims or discloses any Know-How described in </w:t>
      </w:r>
      <w:r>
        <w:rPr>
          <w:rFonts w:ascii="Arial" w:cs="Arial" w:eastAsia="Arial" w:hAnsi="Arial"/>
          <w:sz w:val="20"/>
          <w:szCs w:val="20"/>
          <w:u w:val="single" w:color="auto"/>
          <w:color w:val="auto"/>
        </w:rPr>
        <w:t>Section 7.1.4(b)(i)</w:t>
      </w:r>
      <w:r>
        <w:rPr>
          <w:rFonts w:ascii="Arial" w:cs="Arial" w:eastAsia="Arial" w:hAnsi="Arial"/>
          <w:sz w:val="20"/>
          <w:szCs w:val="20"/>
          <w:color w:val="auto"/>
        </w:rPr>
        <w:t>, and which Party or Parties shall bear the costs of such activities.</w:t>
      </w:r>
    </w:p>
    <w:p>
      <w:pPr>
        <w:spacing w:after="0" w:line="178" w:lineRule="exact"/>
        <w:rPr>
          <w:sz w:val="20"/>
          <w:szCs w:val="20"/>
          <w:color w:val="auto"/>
        </w:rPr>
      </w:pPr>
    </w:p>
    <w:p>
      <w:pPr>
        <w:jc w:val="both"/>
        <w:ind w:firstLine="877"/>
        <w:spacing w:after="0" w:line="268" w:lineRule="auto"/>
        <w:rPr>
          <w:sz w:val="20"/>
          <w:szCs w:val="20"/>
          <w:color w:val="auto"/>
        </w:rPr>
      </w:pPr>
      <w:r>
        <w:rPr>
          <w:rFonts w:ascii="Arial" w:cs="Arial" w:eastAsia="Arial" w:hAnsi="Arial"/>
          <w:sz w:val="18"/>
          <w:szCs w:val="18"/>
          <w:color w:val="auto"/>
        </w:rPr>
        <w:t xml:space="preserve">7.4.6. </w:t>
      </w:r>
      <w:r>
        <w:rPr>
          <w:rFonts w:ascii="Arial" w:cs="Arial" w:eastAsia="Arial" w:hAnsi="Arial"/>
          <w:sz w:val="18"/>
          <w:szCs w:val="18"/>
          <w:b w:val="1"/>
          <w:bCs w:val="1"/>
          <w:color w:val="auto"/>
        </w:rPr>
        <w:t>Cooperation</w:t>
      </w:r>
      <w:r>
        <w:rPr>
          <w:rFonts w:ascii="Arial" w:cs="Arial" w:eastAsia="Arial" w:hAnsi="Arial"/>
          <w:sz w:val="18"/>
          <w:szCs w:val="18"/>
          <w:color w:val="auto"/>
        </w:rPr>
        <w:t xml:space="preserve">. Each Party will cooperate with the other Party to the extent reasonably necessary for a Party to prosecute the Product Patent Rights, the Joint Patent Rights and the Patent Rights described in </w:t>
      </w:r>
      <w:r>
        <w:rPr>
          <w:rFonts w:ascii="Arial" w:cs="Arial" w:eastAsia="Arial" w:hAnsi="Arial"/>
          <w:sz w:val="18"/>
          <w:szCs w:val="18"/>
          <w:u w:val="single" w:color="auto"/>
          <w:color w:val="auto"/>
        </w:rPr>
        <w:t>Section 7.4.5</w:t>
      </w:r>
      <w:r>
        <w:rPr>
          <w:rFonts w:ascii="Arial" w:cs="Arial" w:eastAsia="Arial" w:hAnsi="Arial"/>
          <w:sz w:val="18"/>
          <w:szCs w:val="18"/>
          <w:color w:val="auto"/>
        </w:rPr>
        <w:t xml:space="preserve"> (Certain Jointly Owned Patent Rights), at the non-prosecuting Party’s cost and expense, including by providing access to relevant records and documents (including laboratory notebooks) and other evidence, and making its employees available during reasonable business hours, executing all such documents and instruments and performing such acts (and causing its relevant Representatives to execute such documents and instruments and to perform such acts) as the prosecuting Party may reasonably request. The prosecuting Party with respect to any of the Product Patent Rights, Joint Patent Rights or Patent Rights described in </w:t>
      </w:r>
      <w:r>
        <w:rPr>
          <w:rFonts w:ascii="Arial" w:cs="Arial" w:eastAsia="Arial" w:hAnsi="Arial"/>
          <w:sz w:val="18"/>
          <w:szCs w:val="18"/>
          <w:u w:val="single" w:color="auto"/>
          <w:color w:val="auto"/>
        </w:rPr>
        <w:t>Section 7.4.5</w:t>
      </w:r>
      <w:r>
        <w:rPr>
          <w:rFonts w:ascii="Arial" w:cs="Arial" w:eastAsia="Arial" w:hAnsi="Arial"/>
          <w:sz w:val="18"/>
          <w:szCs w:val="18"/>
          <w:color w:val="auto"/>
        </w:rPr>
        <w:t xml:space="preserve"> (Certain Jointly Owned Patent Rights) in the Territory will give the non-prosecuting Party an opportunity to review any application with respect to such Patent Rights before filing, will consult with the non-prosecuting Party with respect thereto, and will consider any reasonable comments of the non-prosecuting Party with respect thereto. The prosecuting Party will supply the non-prosecuting Party with a copy of the application as filed, together with notice of its filing date and serial number. The prosecuting Party will keep the non-prosecuting Party reasonably informed of the status of the actual and prospective patent filings (including the grant of any such Fulcrum Patent Rights), and will provide advance copies of any official correspondence related to the filing, prosecution and maintenance of such patent filings including (i) all United States and non-United States patent office actions involving the Product Patent Rights, Joint Patent Rights or Patent Rights described in </w:t>
      </w:r>
      <w:r>
        <w:rPr>
          <w:rFonts w:ascii="Arial" w:cs="Arial" w:eastAsia="Arial" w:hAnsi="Arial"/>
          <w:sz w:val="18"/>
          <w:szCs w:val="18"/>
          <w:u w:val="single" w:color="auto"/>
          <w:color w:val="auto"/>
        </w:rPr>
        <w:t>Section 7.4.5</w:t>
      </w:r>
      <w:r>
        <w:rPr>
          <w:rFonts w:ascii="Arial" w:cs="Arial" w:eastAsia="Arial" w:hAnsi="Arial"/>
          <w:sz w:val="18"/>
          <w:szCs w:val="18"/>
          <w:color w:val="auto"/>
        </w:rPr>
        <w:t xml:space="preserve"> (Certain Jointly Owned Patent Rights), (ii) the issuance of each patent included within the Product Patent Rights, Joint Patent Rights or Patent Rights described in </w:t>
      </w:r>
      <w:r>
        <w:rPr>
          <w:rFonts w:ascii="Arial" w:cs="Arial" w:eastAsia="Arial" w:hAnsi="Arial"/>
          <w:sz w:val="18"/>
          <w:szCs w:val="18"/>
          <w:u w:val="single" w:color="auto"/>
          <w:color w:val="auto"/>
        </w:rPr>
        <w:t>Section 7.4.5</w:t>
      </w:r>
      <w:r>
        <w:rPr>
          <w:rFonts w:ascii="Arial" w:cs="Arial" w:eastAsia="Arial" w:hAnsi="Arial"/>
          <w:sz w:val="18"/>
          <w:szCs w:val="18"/>
          <w:color w:val="auto"/>
        </w:rPr>
        <w:t xml:space="preserve"> (Certain Jointly Owned Patent Rights), giving the date of issue and patent number for each such patent, and (iii) each notice pertaining to any patent included within the Product Patent Rights, Joint Patent Rights or Patent Rights described in </w:t>
      </w:r>
      <w:r>
        <w:rPr>
          <w:rFonts w:ascii="Arial" w:cs="Arial" w:eastAsia="Arial" w:hAnsi="Arial"/>
          <w:sz w:val="18"/>
          <w:szCs w:val="18"/>
          <w:u w:val="single" w:color="auto"/>
          <w:color w:val="auto"/>
        </w:rPr>
        <w:t>Section 7.4.5</w:t>
      </w:r>
      <w:r>
        <w:rPr>
          <w:rFonts w:ascii="Arial" w:cs="Arial" w:eastAsia="Arial" w:hAnsi="Arial"/>
          <w:sz w:val="18"/>
          <w:szCs w:val="18"/>
          <w:color w:val="auto"/>
        </w:rPr>
        <w:t xml:space="preserve"> (Certain Jointly Owned Patent Rights) which it receives pursuant to the Drug Price Competition and Patent Term Restoration Act of 1984 (the “</w:t>
      </w:r>
      <w:r>
        <w:rPr>
          <w:rFonts w:ascii="Arial" w:cs="Arial" w:eastAsia="Arial" w:hAnsi="Arial"/>
          <w:sz w:val="18"/>
          <w:szCs w:val="18"/>
          <w:b w:val="1"/>
          <w:bCs w:val="1"/>
          <w:color w:val="auto"/>
        </w:rPr>
        <w:t>Act</w:t>
      </w:r>
      <w:r>
        <w:rPr>
          <w:rFonts w:ascii="Arial" w:cs="Arial" w:eastAsia="Arial" w:hAnsi="Arial"/>
          <w:sz w:val="18"/>
          <w:szCs w:val="18"/>
          <w:color w:val="auto"/>
        </w:rPr>
        <w:t>”). As between the Parties, Acceleron will have the sole right, but not the obligation, at Acceleron’s expense, to control any application for patent term extensions where applicable, with respect to the Product Patent Rights or Joint Patent Rights. Fulcrum will cooperate with Acceleron in applying for any such patent term extensions. Acceleron will notify Fulcrum of each filing for patent term restoration under the Act and all awards of patent term restoration (extensions) with respect to the Product Patent Rights or Joint Patent Rights.</w:t>
      </w:r>
    </w:p>
    <w:p>
      <w:pPr>
        <w:spacing w:after="0" w:line="182"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b w:val="1"/>
          <w:bCs w:val="1"/>
          <w:u w:val="single" w:color="auto"/>
          <w:color w:val="auto"/>
        </w:rPr>
        <w:t>Defense of Claims Brought by Third Parties</w:t>
      </w:r>
      <w:r>
        <w:rPr>
          <w:rFonts w:ascii="Arial" w:cs="Arial" w:eastAsia="Arial" w:hAnsi="Arial"/>
          <w:sz w:val="19"/>
          <w:szCs w:val="19"/>
          <w:color w:val="auto"/>
        </w:rPr>
        <w:t xml:space="preserve">. If any Third Party brings a claim or otherwise asserts that a Product manufactured, used or sold by Acceleron, its Affiliates or Sublicensees infringes such Third Party’s Patent Rights or misappropriates such Third Party’s Know-How, the Party first having notice of the claim or assertion will promptly notify, but in any event no later than [**] after the receipt of notice of an action, the other Party in writing. Each Party will have the sole right to take action to defend any such claim brought against it by a Third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neither Party will enter into any settlement of any claim described in this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(Defense of Claims Brought by Third Parties) that materially and adversely affects the other Party’s rights or interests without first obtaining such Party’s written consent. Nothing in this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(Defense of Claims Brought by Third Parties) will be deemed to relieve either Party of its rights or obligations under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(Indemnification; Insurance).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2" w:name="page183"/>
    <w:bookmarkEnd w:id="182"/>
    <w:p>
      <w:pPr>
        <w:ind w:left="880"/>
        <w:spacing w:after="0"/>
        <w:tabs>
          <w:tab w:leader="none" w:pos="182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6"/>
          <w:szCs w:val="16"/>
          <w:b w:val="1"/>
          <w:bCs w:val="1"/>
          <w:u w:val="single" w:color="auto"/>
          <w:color w:val="auto"/>
        </w:rPr>
        <w:t>Enforcement of Patent Rights</w:t>
      </w:r>
      <w:r>
        <w:rPr>
          <w:rFonts w:ascii="Arial" w:cs="Arial" w:eastAsia="Arial" w:hAnsi="Arial"/>
          <w:sz w:val="16"/>
          <w:szCs w:val="16"/>
          <w:color w:val="auto"/>
        </w:rPr>
        <w:t>.</w:t>
      </w:r>
    </w:p>
    <w:p>
      <w:pPr>
        <w:spacing w:after="0" w:line="216"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 xml:space="preserve">7.6.1. </w:t>
      </w:r>
      <w:r>
        <w:rPr>
          <w:rFonts w:ascii="Arial" w:cs="Arial" w:eastAsia="Arial" w:hAnsi="Arial"/>
          <w:sz w:val="20"/>
          <w:szCs w:val="20"/>
          <w:b w:val="1"/>
          <w:bCs w:val="1"/>
          <w:color w:val="auto"/>
        </w:rPr>
        <w:t>Notice of Competitive Infringement</w:t>
      </w:r>
      <w:r>
        <w:rPr>
          <w:rFonts w:ascii="Arial" w:cs="Arial" w:eastAsia="Arial" w:hAnsi="Arial"/>
          <w:sz w:val="20"/>
          <w:szCs w:val="20"/>
          <w:color w:val="auto"/>
        </w:rPr>
        <w:t>. Each Party will provide to the other Party written notice within [**] after becoming aware of any infringement, unauthorized use, misappropriation or threatened infringement of the Product Patent Rights or Joint Patent Rights, by a Third Party that is actually or potentially exploiting a product that is or would be competitive with a Licensed Product (a “</w:t>
      </w:r>
      <w:r>
        <w:rPr>
          <w:rFonts w:ascii="Arial" w:cs="Arial" w:eastAsia="Arial" w:hAnsi="Arial"/>
          <w:sz w:val="20"/>
          <w:szCs w:val="20"/>
          <w:b w:val="1"/>
          <w:bCs w:val="1"/>
          <w:color w:val="auto"/>
        </w:rPr>
        <w:t>Competitive Infringement</w:t>
      </w:r>
      <w:r>
        <w:rPr>
          <w:rFonts w:ascii="Arial" w:cs="Arial" w:eastAsia="Arial" w:hAnsi="Arial"/>
          <w:sz w:val="20"/>
          <w:szCs w:val="20"/>
          <w:color w:val="auto"/>
        </w:rPr>
        <w:t>”).</w:t>
      </w:r>
    </w:p>
    <w:p>
      <w:pPr>
        <w:spacing w:after="0" w:line="184" w:lineRule="exact"/>
        <w:rPr>
          <w:sz w:val="20"/>
          <w:szCs w:val="20"/>
          <w:color w:val="auto"/>
        </w:rPr>
      </w:pPr>
    </w:p>
    <w:p>
      <w:pPr>
        <w:jc w:val="both"/>
        <w:ind w:firstLine="877"/>
        <w:spacing w:after="0" w:line="262" w:lineRule="auto"/>
        <w:rPr>
          <w:sz w:val="20"/>
          <w:szCs w:val="20"/>
          <w:color w:val="auto"/>
        </w:rPr>
      </w:pPr>
      <w:r>
        <w:rPr>
          <w:rFonts w:ascii="Arial" w:cs="Arial" w:eastAsia="Arial" w:hAnsi="Arial"/>
          <w:sz w:val="19"/>
          <w:szCs w:val="19"/>
          <w:color w:val="auto"/>
        </w:rPr>
        <w:t xml:space="preserve">7.6.2. </w:t>
      </w:r>
      <w:r>
        <w:rPr>
          <w:rFonts w:ascii="Arial" w:cs="Arial" w:eastAsia="Arial" w:hAnsi="Arial"/>
          <w:sz w:val="19"/>
          <w:szCs w:val="19"/>
          <w:b w:val="1"/>
          <w:bCs w:val="1"/>
          <w:color w:val="auto"/>
        </w:rPr>
        <w:t>Acceleron’s First Right</w:t>
      </w:r>
      <w:r>
        <w:rPr>
          <w:rFonts w:ascii="Arial" w:cs="Arial" w:eastAsia="Arial" w:hAnsi="Arial"/>
          <w:sz w:val="19"/>
          <w:szCs w:val="19"/>
          <w:color w:val="auto"/>
        </w:rPr>
        <w:t>. As between the Parties, Acceleron will have the (a) sole right, but not the obligation, to enforce Acceleron Patent Rights (other than the Joint Patent Rights) against any infringement, unauthorized use, misappropriation or threatened infringement by counsel of its own choice, at its own expense, and (b) the first right, but not the obligation, to enforce the Product Patent Rights and Joint Patent Rights, against any Competitive Infringement by counsel of its own choice, at its own expense. For the avoidance of doubt, Acceleron shall not have the right to enforce any Platform Patent Rights.</w:t>
      </w:r>
    </w:p>
    <w:p>
      <w:pPr>
        <w:spacing w:after="0" w:line="171"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 xml:space="preserve">7.6.3. </w:t>
      </w:r>
      <w:r>
        <w:rPr>
          <w:rFonts w:ascii="Arial" w:cs="Arial" w:eastAsia="Arial" w:hAnsi="Arial"/>
          <w:sz w:val="20"/>
          <w:szCs w:val="20"/>
          <w:b w:val="1"/>
          <w:bCs w:val="1"/>
          <w:color w:val="auto"/>
        </w:rPr>
        <w:t>Fulcrum’s Second Right</w:t>
      </w:r>
      <w:r>
        <w:rPr>
          <w:rFonts w:ascii="Arial" w:cs="Arial" w:eastAsia="Arial" w:hAnsi="Arial"/>
          <w:sz w:val="20"/>
          <w:szCs w:val="20"/>
          <w:color w:val="auto"/>
        </w:rPr>
        <w:t>. If, within [**] after receipt of notice of any Competitive Infringement, Acceleron has not enforced the Product Patent Rights or Joint Patent Rights, against such Competitive Infringement, then Fulcrum will have the second right, but not the obligation, at Fulcrum’s expense, to enforce such Product Patent Rights or Joint Patent Rights, against such Competitive Infringement, by counsel of its own choice, at its own expense, upon written notice to Acceleron.</w:t>
      </w:r>
    </w:p>
    <w:p>
      <w:pPr>
        <w:spacing w:after="0" w:line="184"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7.6.4. </w:t>
      </w:r>
      <w:r>
        <w:rPr>
          <w:rFonts w:ascii="Arial" w:cs="Arial" w:eastAsia="Arial" w:hAnsi="Arial"/>
          <w:sz w:val="20"/>
          <w:szCs w:val="20"/>
          <w:b w:val="1"/>
          <w:bCs w:val="1"/>
          <w:color w:val="auto"/>
        </w:rPr>
        <w:t>Other Enforcement Actions</w:t>
      </w:r>
      <w:r>
        <w:rPr>
          <w:rFonts w:ascii="Arial" w:cs="Arial" w:eastAsia="Arial" w:hAnsi="Arial"/>
          <w:sz w:val="20"/>
          <w:szCs w:val="20"/>
          <w:color w:val="auto"/>
        </w:rPr>
        <w:t xml:space="preserve">. As between the Parties, each Party will have the right, but not the obligation, to enforce the Joint Patent Rights or Patent Rights described in </w:t>
      </w:r>
      <w:r>
        <w:rPr>
          <w:rFonts w:ascii="Arial" w:cs="Arial" w:eastAsia="Arial" w:hAnsi="Arial"/>
          <w:sz w:val="20"/>
          <w:szCs w:val="20"/>
          <w:u w:val="single" w:color="auto"/>
          <w:color w:val="auto"/>
        </w:rPr>
        <w:t>Section 7.4.5</w:t>
      </w:r>
      <w:r>
        <w:rPr>
          <w:rFonts w:ascii="Arial" w:cs="Arial" w:eastAsia="Arial" w:hAnsi="Arial"/>
          <w:sz w:val="20"/>
          <w:szCs w:val="20"/>
          <w:color w:val="auto"/>
        </w:rPr>
        <w:t xml:space="preserve"> (Certain Jointly Owned Patent Rights) against the unauthorized use, misappropriation or threatened infringement of the Joint Patent Rights or Patent Rights described in </w:t>
      </w:r>
      <w:r>
        <w:rPr>
          <w:rFonts w:ascii="Arial" w:cs="Arial" w:eastAsia="Arial" w:hAnsi="Arial"/>
          <w:sz w:val="20"/>
          <w:szCs w:val="20"/>
          <w:u w:val="single" w:color="auto"/>
          <w:color w:val="auto"/>
        </w:rPr>
        <w:t>Section 7.4.5</w:t>
      </w:r>
      <w:r>
        <w:rPr>
          <w:rFonts w:ascii="Arial" w:cs="Arial" w:eastAsia="Arial" w:hAnsi="Arial"/>
          <w:sz w:val="20"/>
          <w:szCs w:val="20"/>
          <w:color w:val="auto"/>
        </w:rPr>
        <w:t xml:space="preserve"> (Certain Jointly Owned Patent Rights), by a Third Party that is actually or potentially exploiting a product that is or would be competitive with such Party’s other product(s) (each, an “</w:t>
      </w:r>
      <w:r>
        <w:rPr>
          <w:rFonts w:ascii="Arial" w:cs="Arial" w:eastAsia="Arial" w:hAnsi="Arial"/>
          <w:sz w:val="20"/>
          <w:szCs w:val="20"/>
          <w:b w:val="1"/>
          <w:bCs w:val="1"/>
          <w:color w:val="auto"/>
        </w:rPr>
        <w:t>Other Enforcement Action</w:t>
      </w:r>
      <w:r>
        <w:rPr>
          <w:rFonts w:ascii="Arial" w:cs="Arial" w:eastAsia="Arial" w:hAnsi="Arial"/>
          <w:sz w:val="20"/>
          <w:szCs w:val="20"/>
          <w:color w:val="auto"/>
        </w:rPr>
        <w:t>”), without the consent of the other Party.</w:t>
      </w:r>
    </w:p>
    <w:p>
      <w:pPr>
        <w:spacing w:after="0" w:line="185"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8"/>
          <w:szCs w:val="18"/>
          <w:color w:val="auto"/>
        </w:rPr>
        <w:t xml:space="preserve">7.6.5. </w:t>
      </w:r>
      <w:r>
        <w:rPr>
          <w:rFonts w:ascii="Arial" w:cs="Arial" w:eastAsia="Arial" w:hAnsi="Arial"/>
          <w:sz w:val="18"/>
          <w:szCs w:val="18"/>
          <w:b w:val="1"/>
          <w:bCs w:val="1"/>
          <w:color w:val="auto"/>
        </w:rPr>
        <w:t>Cooperation</w:t>
      </w:r>
      <w:r>
        <w:rPr>
          <w:rFonts w:ascii="Arial" w:cs="Arial" w:eastAsia="Arial" w:hAnsi="Arial"/>
          <w:sz w:val="18"/>
          <w:szCs w:val="18"/>
          <w:color w:val="auto"/>
        </w:rPr>
        <w:t xml:space="preserve">. Each Party will cooperate with the other Party to the extent reasonably necessary for a Party to bring any enforcement action pursuant to </w:t>
      </w:r>
      <w:r>
        <w:rPr>
          <w:rFonts w:ascii="Arial" w:cs="Arial" w:eastAsia="Arial" w:hAnsi="Arial"/>
          <w:sz w:val="18"/>
          <w:szCs w:val="18"/>
          <w:u w:val="single" w:color="auto"/>
          <w:color w:val="auto"/>
        </w:rPr>
        <w:t>Section 7.6.2</w:t>
      </w:r>
      <w:r>
        <w:rPr>
          <w:rFonts w:ascii="Arial" w:cs="Arial" w:eastAsia="Arial" w:hAnsi="Arial"/>
          <w:sz w:val="18"/>
          <w:szCs w:val="18"/>
          <w:color w:val="auto"/>
        </w:rPr>
        <w:t xml:space="preserve"> (Acceleron’s First Right), </w:t>
      </w:r>
      <w:r>
        <w:rPr>
          <w:rFonts w:ascii="Arial" w:cs="Arial" w:eastAsia="Arial" w:hAnsi="Arial"/>
          <w:sz w:val="18"/>
          <w:szCs w:val="18"/>
          <w:u w:val="single" w:color="auto"/>
          <w:color w:val="auto"/>
        </w:rPr>
        <w:t>Section 7.6.3</w:t>
      </w:r>
      <w:r>
        <w:rPr>
          <w:rFonts w:ascii="Arial" w:cs="Arial" w:eastAsia="Arial" w:hAnsi="Arial"/>
          <w:sz w:val="18"/>
          <w:szCs w:val="18"/>
          <w:color w:val="auto"/>
        </w:rPr>
        <w:t xml:space="preserve"> (Fulcrum’s Second Right), or </w:t>
      </w:r>
      <w:r>
        <w:rPr>
          <w:rFonts w:ascii="Arial" w:cs="Arial" w:eastAsia="Arial" w:hAnsi="Arial"/>
          <w:sz w:val="18"/>
          <w:szCs w:val="18"/>
          <w:u w:val="single" w:color="auto"/>
          <w:color w:val="auto"/>
        </w:rPr>
        <w:t>Section 7.6.4</w:t>
      </w:r>
      <w:r>
        <w:rPr>
          <w:rFonts w:ascii="Arial" w:cs="Arial" w:eastAsia="Arial" w:hAnsi="Arial"/>
          <w:sz w:val="18"/>
          <w:szCs w:val="18"/>
          <w:color w:val="auto"/>
        </w:rPr>
        <w:t xml:space="preserve"> (Other Enforcement Actions) as applicable, at the non-enforcing Party’s cost and expense, including by providing access to relevant records and documents (including laboratory notebooks) and other evidence, making its employees available during reasonable business hours, and executing all such documents and instruments and performing such acts (and causing its relevant Representatives to execute such documents and instruments and to perform such acts) as the prosecuting Party may reasonably request. The non-enforcing Party will, and will cause its Affiliates to, assist and cooperate with the enforcing Party, as the enforcing Party may reasonably request from time to time, in connection with any enforcement action under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(Enforcement of Patent Rights), including joining in, or being named as a necessary party to, any such enforcement action and executing any settlement agreement as reasonably requested by the enforcing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enforcing Party will reimburse the non-enforcing Party for its reasonable and verifiable out-of-pocket costs and expenses incurred in connection its cooperation pursuant to this sentence. Unless otherwise set forth herein, the enforcing Party will have the right to settle all claims arising from any such enforcement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Party will have the right to settle any litigation or claim under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(Enforcement of Patent Rights) in a manner that (a) imposes any costs or liability on the other Party or its Affiliates or its or their licensees, (b) involves any admission of wrongdoing, fault, or liability by the other Party or its Affiliates or its or their licensees, (c) admits the invalidity or unenforceability (in whole or in part) of intellectual property Controlled by the other Party or its Affiliates or its or their licensees, or (d) imposes restrictions or obligations on the other Party or its Affiliates or licensees not otherwise permitted under this Agreement, in each case ((a) through (d)), without the express written consent of such other Party, which will not be unreasonably withheld, conditioned, or delayed.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3" w:name="page184"/>
    <w:bookmarkEnd w:id="183"/>
    <w:p>
      <w:pPr>
        <w:jc w:val="both"/>
        <w:ind w:firstLine="877"/>
        <w:spacing w:after="0" w:line="256" w:lineRule="auto"/>
        <w:rPr>
          <w:sz w:val="20"/>
          <w:szCs w:val="20"/>
          <w:color w:val="auto"/>
        </w:rPr>
      </w:pPr>
      <w:r>
        <w:rPr>
          <w:rFonts w:ascii="Arial" w:cs="Arial" w:eastAsia="Arial" w:hAnsi="Arial"/>
          <w:sz w:val="19"/>
          <w:szCs w:val="19"/>
          <w:color w:val="auto"/>
        </w:rPr>
        <w:t xml:space="preserve">7.6.6. </w:t>
      </w:r>
      <w:r>
        <w:rPr>
          <w:rFonts w:ascii="Arial" w:cs="Arial" w:eastAsia="Arial" w:hAnsi="Arial"/>
          <w:sz w:val="19"/>
          <w:szCs w:val="19"/>
          <w:b w:val="1"/>
          <w:bCs w:val="1"/>
          <w:color w:val="auto"/>
        </w:rPr>
        <w:t>Recovery of Damages</w:t>
      </w:r>
      <w:r>
        <w:rPr>
          <w:rFonts w:ascii="Arial" w:cs="Arial" w:eastAsia="Arial" w:hAnsi="Arial"/>
          <w:sz w:val="19"/>
          <w:szCs w:val="19"/>
          <w:color w:val="auto"/>
        </w:rPr>
        <w:t xml:space="preserve">. Unless otherwise agreed by the Parties in writing, any damages or monetary awards recovered with respect to a proceeding under this </w:t>
      </w:r>
      <w:r>
        <w:rPr>
          <w:rFonts w:ascii="Arial" w:cs="Arial" w:eastAsia="Arial" w:hAnsi="Arial"/>
          <w:sz w:val="19"/>
          <w:szCs w:val="19"/>
          <w:u w:val="single" w:color="auto"/>
          <w:color w:val="auto"/>
        </w:rPr>
        <w:t>Section 7.6</w:t>
      </w:r>
      <w:r>
        <w:rPr>
          <w:rFonts w:ascii="Arial" w:cs="Arial" w:eastAsia="Arial" w:hAnsi="Arial"/>
          <w:sz w:val="19"/>
          <w:szCs w:val="19"/>
          <w:color w:val="auto"/>
        </w:rPr>
        <w:t xml:space="preserve"> (Enforcement of Patent Rights) will be first allocated to reimburse the Parties for their costs and expenses incurred in connection with such proceeding (which amounts shall be allocated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if insufficient to cover the totality of such costs and expenses), and the remainder, if any, shall be (a) retained by Acceleron and treated as Net Sales if the applicable action was initiated by Acceleron to enforce the Product Patent Rights or Joint Patent Rights, pursuant to </w:t>
      </w:r>
      <w:r>
        <w:rPr>
          <w:rFonts w:ascii="Arial" w:cs="Arial" w:eastAsia="Arial" w:hAnsi="Arial"/>
          <w:sz w:val="19"/>
          <w:szCs w:val="19"/>
          <w:u w:val="single" w:color="auto"/>
          <w:color w:val="auto"/>
        </w:rPr>
        <w:t>Section 7.6.2(b)</w:t>
      </w:r>
      <w:r>
        <w:rPr>
          <w:rFonts w:ascii="Arial" w:cs="Arial" w:eastAsia="Arial" w:hAnsi="Arial"/>
          <w:sz w:val="19"/>
          <w:szCs w:val="19"/>
          <w:color w:val="auto"/>
        </w:rPr>
        <w:t xml:space="preserve"> (Acceleron’s First Right), (b) retained by Fulcrum if the applicable action was initiated by Fulcrum, including pursuant to </w:t>
      </w:r>
      <w:r>
        <w:rPr>
          <w:rFonts w:ascii="Arial" w:cs="Arial" w:eastAsia="Arial" w:hAnsi="Arial"/>
          <w:sz w:val="19"/>
          <w:szCs w:val="19"/>
          <w:u w:val="single" w:color="auto"/>
          <w:color w:val="auto"/>
        </w:rPr>
        <w:t>Section 7.6.3</w:t>
      </w:r>
      <w:r>
        <w:rPr>
          <w:rFonts w:ascii="Arial" w:cs="Arial" w:eastAsia="Arial" w:hAnsi="Arial"/>
          <w:sz w:val="19"/>
          <w:szCs w:val="19"/>
          <w:color w:val="auto"/>
        </w:rPr>
        <w:t xml:space="preserve"> (Fulcrum’s Second Right) or to enforce Platform Patent Rights, (c) retained by Acceleron, if the applicable action was initiated by Acceleron to enforce Acceleron Patent Rights (other than the Joint Patent Rights), pursuant to </w:t>
      </w:r>
      <w:r>
        <w:rPr>
          <w:rFonts w:ascii="Arial" w:cs="Arial" w:eastAsia="Arial" w:hAnsi="Arial"/>
          <w:sz w:val="19"/>
          <w:szCs w:val="19"/>
          <w:u w:val="single" w:color="auto"/>
          <w:color w:val="auto"/>
        </w:rPr>
        <w:t>Section 7.6.2(a)</w:t>
      </w:r>
      <w:r>
        <w:rPr>
          <w:rFonts w:ascii="Arial" w:cs="Arial" w:eastAsia="Arial" w:hAnsi="Arial"/>
          <w:sz w:val="19"/>
          <w:szCs w:val="19"/>
          <w:color w:val="auto"/>
        </w:rPr>
        <w:t xml:space="preserve"> (Acceleron’s First Right), and (d) unless otherwise agreed to by the Parties, retained by the enforcing Party if the applicable action was initiated by either Party as an Other Enforcement Action pursuant to </w:t>
      </w:r>
      <w:r>
        <w:rPr>
          <w:rFonts w:ascii="Arial" w:cs="Arial" w:eastAsia="Arial" w:hAnsi="Arial"/>
          <w:sz w:val="19"/>
          <w:szCs w:val="19"/>
          <w:u w:val="single" w:color="auto"/>
          <w:color w:val="auto"/>
        </w:rPr>
        <w:t>Section 7.6.4</w:t>
      </w:r>
      <w:r>
        <w:rPr>
          <w:rFonts w:ascii="Arial" w:cs="Arial" w:eastAsia="Arial" w:hAnsi="Arial"/>
          <w:sz w:val="19"/>
          <w:szCs w:val="19"/>
          <w:color w:val="auto"/>
        </w:rPr>
        <w:t xml:space="preserve"> (Other Enforcement Actions).</w:t>
      </w:r>
    </w:p>
    <w:p>
      <w:pPr>
        <w:spacing w:after="0" w:line="181"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b w:val="1"/>
          <w:bCs w:val="1"/>
          <w:u w:val="single" w:color="auto"/>
          <w:color w:val="auto"/>
        </w:rPr>
        <w:t>Trademarks; Copyrights</w:t>
      </w:r>
      <w:r>
        <w:rPr>
          <w:rFonts w:ascii="Arial" w:cs="Arial" w:eastAsia="Arial" w:hAnsi="Arial"/>
          <w:sz w:val="20"/>
          <w:szCs w:val="20"/>
          <w:color w:val="auto"/>
        </w:rPr>
        <w:t>. Acceleron will have the sole discretion to select, prosecute, maintain, and enforce all trademarks, trade dress, and copyrights related to the Product(s).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WARRANTIES AND COVENANTS</w:t>
      </w:r>
    </w:p>
    <w:p>
      <w:pPr>
        <w:spacing w:after="0" w:line="194"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b w:val="1"/>
          <w:bCs w:val="1"/>
          <w:u w:val="single" w:color="auto"/>
          <w:color w:val="auto"/>
        </w:rPr>
        <w:t>Mutual Representations and Warranties</w:t>
      </w:r>
      <w:r>
        <w:rPr>
          <w:rFonts w:ascii="Arial" w:cs="Arial" w:eastAsia="Arial" w:hAnsi="Arial"/>
          <w:sz w:val="20"/>
          <w:szCs w:val="20"/>
          <w:color w:val="auto"/>
        </w:rPr>
        <w:t>. Each of the Parties hereby represents and warrants to the other Party that, as of the Effective Date:</w:t>
      </w:r>
    </w:p>
    <w:p>
      <w:pPr>
        <w:spacing w:after="0" w:line="170"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8"/>
          <w:szCs w:val="18"/>
          <w:color w:val="auto"/>
        </w:rPr>
        <w:t>it is duly organized, validly existing and in good standing under the laws of the jurisdiction of its organization;</w:t>
      </w:r>
    </w:p>
    <w:p>
      <w:pPr>
        <w:spacing w:after="0" w:line="2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8.1.2. the execution, delivery and performance of this Agreement by such Party has been duly authorized by all requisite action under the provisions of its charter, bylaws and other organizational documents, and does not require any action or approval by any of its shareholders or other holders of its voting securities or voting interests;</w:t>
      </w:r>
    </w:p>
    <w:p>
      <w:pPr>
        <w:spacing w:after="0" w:line="186"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auto"/>
        </w:rPr>
        <w:t>8.1.3.</w:t>
      </w:r>
      <w:r>
        <w:rPr>
          <w:sz w:val="20"/>
          <w:szCs w:val="20"/>
          <w:color w:val="auto"/>
        </w:rPr>
        <w:tab/>
      </w:r>
      <w:r>
        <w:rPr>
          <w:rFonts w:ascii="Arial" w:cs="Arial" w:eastAsia="Arial" w:hAnsi="Arial"/>
          <w:sz w:val="16"/>
          <w:szCs w:val="16"/>
          <w:color w:val="auto"/>
        </w:rPr>
        <w:t>it has the power and authority to execute and deliver this Agreement and to perform its obligations hereunder;</w:t>
      </w:r>
    </w:p>
    <w:p>
      <w:pPr>
        <w:spacing w:after="0" w:line="21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8.1.4. this Agreement has been duly executed and is a legal, valid and binding obligation on each Party, enforceable against such Party in accordance with its terms;</w:t>
      </w:r>
    </w:p>
    <w:p>
      <w:pPr>
        <w:spacing w:after="0" w:line="177"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8.1.5. the execution, delivery, and performance by such Party of this Agreement (including such Party’s respective Research Activities) and its compliance with the terms and provisions hereof does not and will not conflict with or result in a breach of or default under any agreement with a Third Party, order, judgment, agreement or instrument to which it is a party; and</w:t>
      </w:r>
    </w:p>
    <w:p>
      <w:pPr>
        <w:spacing w:after="0" w:line="186"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8.1.6. it has not employed (and, to the best of its knowledge, has not used a contractor or consultant that has employed) any Person debarred by the FDA (or subject to a similar sanction of the EMA or another Regulatory Authority), or any Person that is the subject of an FDA debarment investigation or proceeding (or similar proceeding of the EMA or another Regulatory Authority), in any capacity in connection with this Agreement.</w:t>
      </w:r>
    </w:p>
    <w:p>
      <w:pPr>
        <w:spacing w:after="0" w:line="186"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b w:val="1"/>
          <w:bCs w:val="1"/>
          <w:u w:val="single" w:color="auto"/>
          <w:color w:val="auto"/>
        </w:rPr>
        <w:t>Representations and Warranties of Fulcrum</w:t>
      </w:r>
      <w:r>
        <w:rPr>
          <w:rFonts w:ascii="Arial" w:cs="Arial" w:eastAsia="Arial" w:hAnsi="Arial"/>
          <w:sz w:val="18"/>
          <w:szCs w:val="18"/>
          <w:color w:val="auto"/>
        </w:rPr>
        <w:t>. Fulcrum hereby represents and warrants to Acceleron that, as of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Effective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4" w:name="page185"/>
    <w:bookmarkEnd w:id="184"/>
    <w:p>
      <w:pPr>
        <w:jc w:val="both"/>
        <w:ind w:firstLine="877"/>
        <w:spacing w:after="0" w:line="250" w:lineRule="auto"/>
        <w:rPr>
          <w:sz w:val="20"/>
          <w:szCs w:val="20"/>
          <w:color w:val="auto"/>
        </w:rPr>
      </w:pPr>
      <w:r>
        <w:rPr>
          <w:rFonts w:ascii="Arial" w:cs="Arial" w:eastAsia="Arial" w:hAnsi="Arial"/>
          <w:sz w:val="20"/>
          <w:szCs w:val="20"/>
          <w:color w:val="auto"/>
        </w:rPr>
        <w:t>8.2.1. to its knowledge after reasonable inquiry, neither (a) the practice of the Fulcrum Technology, nor (b) the conduct of the Fulcrum Research Activities, in each case ((a) and (b)), as contemplated under this Agreement, infringes any Patent Right or misappropriates the Know-How of any Third Party;</w:t>
      </w:r>
    </w:p>
    <w:p>
      <w:pPr>
        <w:spacing w:after="0" w:line="18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 xml:space="preserve">8.2.2. except as provided in this Agreement, including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(Ownership of Technology), the Fulcrum Technology is solely owned by Fulcrum or one of its Affiliates, free of any encumbrance, lien, or claim of ownership by any Third Party;</w:t>
      </w:r>
    </w:p>
    <w:p>
      <w:pPr>
        <w:spacing w:after="0" w:line="177"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8.2.3. all current and former Fulcrum Representatives who have contributed to the creation or development of any Fulcrum Technology have executed and delivered to Fulcrum or one of its Affiliates an agreement regarding the protection of proprietary information (including Confidential Information and Know-How) and the assignment to Fulcrum or such Affiliate of any intellectual property that arises from such Representatives’ activities for Fulcrum or any of its Affiliates, and, to its knowledge, no current or former Representative is in violation of any such agreement;</w:t>
      </w:r>
    </w:p>
    <w:p>
      <w:pPr>
        <w:spacing w:after="0" w:line="195"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 xml:space="preserve">8.2.4. except for Fulcrum Therapeutics Securities Corp., Fulcrum’s wholly owned subsidiary, it has no Affiliates that are controlled by it (with control being determined for this purpose in accordance with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(Affiliates));</w:t>
      </w:r>
    </w:p>
    <w:p>
      <w:pPr>
        <w:spacing w:after="0" w:line="177"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 xml:space="preserve">8.2.5. no biological targets against which any compound in the Fulcrum Platform has activity are Excluded Targets pursuant to clause (a) of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(Research Targets; Excluded Targets; [**] Target Selection), and no more than [**] biological targets are Excluded Targets pursuant to clause (b) of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(Research Targets; Excluded Targets; [**] Target Selection); and</w:t>
      </w:r>
    </w:p>
    <w:p>
      <w:pPr>
        <w:spacing w:after="0" w:line="170"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8.2.6. there is no action, claim, demand, suit, proceeding, arbitration, grievance, citation, summons, subpoena, inquiry or investigation of any nature, civil, criminal, regulatory or otherwise, in law or in equity, pending or, to its knowledge after reasonable inquiry, threatened against Fulcrum or any of its Affiliates, in each case relating to the activities or transactions contemplated by this Agreement or that would impair Fulcrum’s ability to perform its obligations under this Agreement.</w:t>
      </w:r>
    </w:p>
    <w:p>
      <w:pPr>
        <w:spacing w:after="0" w:line="186"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6"/>
          <w:szCs w:val="16"/>
          <w:b w:val="1"/>
          <w:bCs w:val="1"/>
          <w:u w:val="single" w:color="auto"/>
          <w:color w:val="auto"/>
        </w:rPr>
        <w:t>Mutual Covenants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During the Term, each Party covenants to the other Party that such Party:</w:t>
      </w:r>
    </w:p>
    <w:p>
      <w:pPr>
        <w:spacing w:after="0" w:line="222"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20"/>
          <w:szCs w:val="20"/>
          <w:color w:val="auto"/>
        </w:rPr>
        <w:t>8.3.1.</w:t>
      </w:r>
      <w:r>
        <w:rPr>
          <w:sz w:val="20"/>
          <w:szCs w:val="20"/>
          <w:color w:val="auto"/>
        </w:rPr>
        <w:tab/>
      </w:r>
      <w:r>
        <w:rPr>
          <w:rFonts w:ascii="Arial" w:cs="Arial" w:eastAsia="Arial" w:hAnsi="Arial"/>
          <w:sz w:val="18"/>
          <w:szCs w:val="18"/>
          <w:color w:val="auto"/>
        </w:rPr>
        <w:t>will comply with Applicable Law in the performance of its respective obligations under this Agreement;</w:t>
      </w:r>
    </w:p>
    <w:p>
      <w:pPr>
        <w:spacing w:after="0" w:line="21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8.3.2. will not grant any right or license to any Third Party that would be inconsistent with or in conflict with, or take any action that would materially conflict with, its obligations to the other Party under this Agreement;</w:t>
      </w:r>
    </w:p>
    <w:p>
      <w:pPr>
        <w:spacing w:after="0" w:line="177"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8.3.3. will not knowingly engage directly, in any material capacity in connection with this Agreement any Person who either has been debarred by the FDA, is the subject of a conviction described in Section 306 of the FD&amp;C Act or is subject to any such similar sanction of the EMA or another Regulatory Authority;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85" w:name="page186"/>
    <w:bookmarkEnd w:id="185"/>
    <w:p>
      <w:pPr>
        <w:jc w:val="both"/>
        <w:ind w:firstLine="877"/>
        <w:spacing w:after="0" w:line="282" w:lineRule="auto"/>
        <w:rPr>
          <w:sz w:val="20"/>
          <w:szCs w:val="20"/>
          <w:color w:val="auto"/>
        </w:rPr>
      </w:pPr>
      <w:r>
        <w:rPr>
          <w:rFonts w:ascii="Arial" w:cs="Arial" w:eastAsia="Arial" w:hAnsi="Arial"/>
          <w:sz w:val="18"/>
          <w:szCs w:val="18"/>
          <w:color w:val="auto"/>
        </w:rPr>
        <w:t>8.3.4. will inform the other Party in writing promptly if it or any Person engaged by such Party or any of its Affiliates who is performing material activities under this Agreement is debarred or is the subject of a conviction described in Section 306 of the FD&amp;C Act, or if any action, suit, claim, investigation or legal or administrative proceeding is pending or, to such Party’s knowledge, is threatened, relating to the debarment or conviction of such Party, any of its Affiliates or any such Person performing services hereunder or thereunder.</w:t>
      </w:r>
    </w:p>
    <w:p>
      <w:pPr>
        <w:spacing w:after="0" w:line="156"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8"/>
          <w:szCs w:val="18"/>
          <w:b w:val="1"/>
          <w:bCs w:val="1"/>
          <w:u w:val="single" w:color="auto"/>
          <w:color w:val="auto"/>
        </w:rPr>
        <w:t>Covenants of Fulcrum</w:t>
      </w:r>
      <w:r>
        <w:rPr>
          <w:rFonts w:ascii="Arial" w:cs="Arial" w:eastAsia="Arial" w:hAnsi="Arial"/>
          <w:sz w:val="18"/>
          <w:szCs w:val="18"/>
          <w:color w:val="auto"/>
        </w:rPr>
        <w:t>. During the Term, Fulcrum covenants to Acceleron that:</w:t>
      </w:r>
    </w:p>
    <w:p>
      <w:pPr>
        <w:spacing w:after="0" w:line="222"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8.4.1. Fulcrum will maintain Control of all Fulcrum Technology that is or becomes such on the Effective Date or during the Term, and will not take any action during the Term that would materially adversely affect the rights to the Fulcrum Technology granted to Acceleron in this Agreement;</w:t>
      </w:r>
    </w:p>
    <w:p>
      <w:pPr>
        <w:spacing w:after="0" w:line="186"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8"/>
          <w:szCs w:val="18"/>
          <w:color w:val="auto"/>
        </w:rPr>
        <w:t xml:space="preserve">8.4.2. Fulcrum will provide to Acceleron all data (as such data may be anonymized in accordance with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(Research Targets; Excluded Targets; [**] Target Selection)) from the performance of the Fulcrum Research Activities which data is related to any biological target against which any compound in the Fulcrum Platform has activity, including any Excluded Targets, and will use the Fulcrum Platform to the extent necessary to complete the Target Identification Research Activities in accordance with the Research Plan;</w:t>
      </w:r>
    </w:p>
    <w:p>
      <w:pPr>
        <w:spacing w:after="0" w:line="162"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8.4.3. if, during the Term, Fulcrum controls any Person (with control being determined for this purpose in accordance with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(Affiliates)), then Fulcrum and any such Person will, at all times during which such relationship exists, be party to an intercompany license agreement pursuant to which Fulcrum Controls all intellectual property owned or licensed to such Person that would otherwise be included in Fulcrum Technology if owned by Fulcrum; and</w:t>
      </w:r>
    </w:p>
    <w:p>
      <w:pPr>
        <w:spacing w:after="0" w:line="192"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8.4.4. all Fulcrum Representatives that are in a position to contribute to the creation or development of any Fulcrum Technology have executed or will execute and deliver to Fulcrum or one of its Affiliates an agreement regarding the protection of proprietary information (including Confidential Information and Know-How) and the assignment to Fulcrum or such Affiliate of any intellectual property that arises from such Representatives’ activities for Fulcrum or any of its Affiliates.</w:t>
      </w:r>
    </w:p>
    <w:p>
      <w:pPr>
        <w:spacing w:after="0" w:line="18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b w:val="1"/>
          <w:bCs w:val="1"/>
          <w:u w:val="single" w:color="auto"/>
          <w:color w:val="auto"/>
        </w:rPr>
        <w:t>Disclaimer</w:t>
      </w:r>
      <w:r>
        <w:rPr>
          <w:rFonts w:ascii="Arial" w:cs="Arial" w:eastAsia="Arial" w:hAnsi="Arial"/>
          <w:sz w:val="20"/>
          <w:szCs w:val="20"/>
          <w:color w:val="auto"/>
        </w:rPr>
        <w:t xml:space="preserve">. EXCEPT AS OTHERWISE EXPRESSLY SET FORTH IN THIS AGREEMENT, NEITHER PARTY NOR ITS AFFILIATES MAKES ANY REPRESENTATION OR EXTENDS ANY WARRANTY OF ANY KIND, EITHER EXPRESS, IMPLIED OR OTHERWISE, TO THE OTHER PARTY, INCLUDING ANY WARRANTY OF MERCHANTABILITY, NON-INFRINGEMENT OR FITNESS FOR A PARTICULAR PURPOSE. WITHOUT LIMITING THE GENERALITY OF THE FORGOING AND WITHOUT LIMITING ACCELERON’S OBLIGATIONS UNDER </w:t>
      </w:r>
      <w:r>
        <w:rPr>
          <w:rFonts w:ascii="Arial" w:cs="Arial" w:eastAsia="Arial" w:hAnsi="Arial"/>
          <w:sz w:val="20"/>
          <w:szCs w:val="20"/>
          <w:u w:val="single" w:color="auto"/>
          <w:color w:val="auto"/>
        </w:rPr>
        <w:t>SECTION 4.6</w:t>
      </w:r>
      <w:r>
        <w:rPr>
          <w:rFonts w:ascii="Arial" w:cs="Arial" w:eastAsia="Arial" w:hAnsi="Arial"/>
          <w:sz w:val="20"/>
          <w:szCs w:val="20"/>
          <w:color w:val="auto"/>
        </w:rPr>
        <w:t xml:space="preserve"> (DILIGENCE REQUIREMENTS), ACCELERON MAKES NO REPRESENTATION OR WARRANTY REGRADING WHETHER ANY COLLABORATION MOLECULE OR PRODUCT WILL BE DEVELOPED OR COMMERCIALIZED SUCCESSFULLY OR WHETHER ANY PARTICULAR LEVEL OF SALES WILL BE ACHIEVED WITH REGARD TO ANY PRODUCT.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 INSURANCE</w:t>
      </w:r>
    </w:p>
    <w:p>
      <w:pPr>
        <w:spacing w:after="0" w:line="194"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216"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 xml:space="preserve">9.1.1. </w:t>
      </w:r>
      <w:r>
        <w:rPr>
          <w:rFonts w:ascii="Arial" w:cs="Arial" w:eastAsia="Arial" w:hAnsi="Arial"/>
          <w:sz w:val="20"/>
          <w:szCs w:val="20"/>
          <w:b w:val="1"/>
          <w:bCs w:val="1"/>
          <w:color w:val="auto"/>
        </w:rPr>
        <w:t>Indemnification by Acceleron</w:t>
      </w:r>
      <w:r>
        <w:rPr>
          <w:rFonts w:ascii="Arial" w:cs="Arial" w:eastAsia="Arial" w:hAnsi="Arial"/>
          <w:sz w:val="20"/>
          <w:szCs w:val="20"/>
          <w:color w:val="auto"/>
        </w:rPr>
        <w:t>. Acceleron will indemnify Fulcrum and its Representatives (each, a “</w:t>
      </w:r>
      <w:r>
        <w:rPr>
          <w:rFonts w:ascii="Arial" w:cs="Arial" w:eastAsia="Arial" w:hAnsi="Arial"/>
          <w:sz w:val="20"/>
          <w:szCs w:val="20"/>
          <w:b w:val="1"/>
          <w:bCs w:val="1"/>
          <w:color w:val="auto"/>
        </w:rPr>
        <w:t>Fulcrum</w:t>
      </w:r>
      <w:r>
        <w:rPr>
          <w:rFonts w:ascii="Arial" w:cs="Arial" w:eastAsia="Arial" w:hAnsi="Arial"/>
          <w:sz w:val="20"/>
          <w:szCs w:val="20"/>
          <w:color w:val="auto"/>
        </w:rPr>
        <w:t xml:space="preserve"> </w:t>
      </w:r>
      <w:r>
        <w:rPr>
          <w:rFonts w:ascii="Arial" w:cs="Arial" w:eastAsia="Arial" w:hAnsi="Arial"/>
          <w:sz w:val="20"/>
          <w:szCs w:val="20"/>
          <w:b w:val="1"/>
          <w:bCs w:val="1"/>
          <w:color w:val="auto"/>
        </w:rPr>
        <w:t>Indemnified Party</w:t>
      </w:r>
      <w:r>
        <w:rPr>
          <w:rFonts w:ascii="Arial" w:cs="Arial" w:eastAsia="Arial" w:hAnsi="Arial"/>
          <w:sz w:val="20"/>
          <w:szCs w:val="20"/>
          <w:color w:val="auto"/>
        </w:rPr>
        <w:t>”) from and against any liability, loss, damage or expense (including reasonable attorneys’ fees and expenses) (collectively,</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Liability</w:t>
      </w:r>
      <w:r>
        <w:rPr>
          <w:rFonts w:ascii="Arial" w:cs="Arial" w:eastAsia="Arial" w:hAnsi="Arial"/>
          <w:sz w:val="20"/>
          <w:szCs w:val="20"/>
          <w:color w:val="auto"/>
        </w:rPr>
        <w:t>”) that the Fulcrum Indemnified Party may incur or otherwise be required to pay to one or more Third Parties in connection with any Third Party suit, investigation, claim or demand resulting from or arising out of:</w:t>
      </w:r>
    </w:p>
    <w:p>
      <w:pPr>
        <w:spacing w:after="0" w:line="190" w:lineRule="exact"/>
        <w:rPr>
          <w:sz w:val="20"/>
          <w:szCs w:val="20"/>
          <w:color w:val="auto"/>
        </w:rPr>
      </w:pPr>
    </w:p>
    <w:p>
      <w:pPr>
        <w:jc w:val="both"/>
        <w:ind w:left="1760" w:firstLine="746"/>
        <w:spacing w:after="0" w:line="250" w:lineRule="auto"/>
        <w:tabs>
          <w:tab w:leader="none" w:pos="3371" w:val="left"/>
        </w:tabs>
        <w:numPr>
          <w:ilvl w:val="0"/>
          <w:numId w:val="68"/>
        </w:numPr>
        <w:rPr>
          <w:rFonts w:ascii="Arial" w:cs="Arial" w:eastAsia="Arial" w:hAnsi="Arial"/>
          <w:sz w:val="20"/>
          <w:szCs w:val="20"/>
          <w:color w:val="auto"/>
        </w:rPr>
      </w:pPr>
      <w:r>
        <w:rPr>
          <w:rFonts w:ascii="Arial" w:cs="Arial" w:eastAsia="Arial" w:hAnsi="Arial"/>
          <w:sz w:val="20"/>
          <w:szCs w:val="20"/>
          <w:color w:val="auto"/>
        </w:rPr>
        <w:t>any claims arising out of the research, development, manufacture, commercialization or use of any Product by, on behalf of, or under the authority of, Acceleron, including all claims involving death or bodily injury (other than by any Fulcrum Indemnified Party);</w:t>
      </w:r>
    </w:p>
    <w:p>
      <w:pPr>
        <w:spacing w:after="0" w:line="186" w:lineRule="exact"/>
        <w:rPr>
          <w:rFonts w:ascii="Arial" w:cs="Arial" w:eastAsia="Arial" w:hAnsi="Arial"/>
          <w:sz w:val="20"/>
          <w:szCs w:val="20"/>
          <w:color w:val="auto"/>
        </w:rPr>
      </w:pPr>
    </w:p>
    <w:p>
      <w:pPr>
        <w:ind w:left="3380" w:hanging="874"/>
        <w:spacing w:after="0"/>
        <w:tabs>
          <w:tab w:leader="none" w:pos="33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conduct of the Acceleron Research Activities;</w:t>
      </w:r>
    </w:p>
    <w:p>
      <w:pPr>
        <w:spacing w:after="0" w:line="215" w:lineRule="exact"/>
        <w:rPr>
          <w:rFonts w:ascii="Arial" w:cs="Arial" w:eastAsia="Arial" w:hAnsi="Arial"/>
          <w:sz w:val="20"/>
          <w:szCs w:val="20"/>
          <w:color w:val="auto"/>
        </w:rPr>
      </w:pPr>
    </w:p>
    <w:p>
      <w:pPr>
        <w:ind w:left="3380" w:hanging="874"/>
        <w:spacing w:after="0"/>
        <w:tabs>
          <w:tab w:leader="none" w:pos="33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breach by Acceleron of any of its representations, warranties or covenants set forth in this</w:t>
      </w:r>
    </w:p>
    <w:p>
      <w:pPr>
        <w:spacing w:after="0" w:line="27" w:lineRule="exact"/>
        <w:rPr>
          <w:rFonts w:ascii="Arial" w:cs="Arial" w:eastAsia="Arial" w:hAnsi="Arial"/>
          <w:sz w:val="19"/>
          <w:szCs w:val="19"/>
          <w:color w:val="auto"/>
        </w:rPr>
      </w:pPr>
    </w:p>
    <w:p>
      <w:pPr>
        <w:ind w:left="1760"/>
        <w:spacing w:after="0"/>
        <w:rPr>
          <w:rFonts w:ascii="Arial" w:cs="Arial" w:eastAsia="Arial" w:hAnsi="Arial"/>
          <w:sz w:val="19"/>
          <w:szCs w:val="19"/>
          <w:color w:val="auto"/>
        </w:rPr>
      </w:pPr>
      <w:r>
        <w:rPr>
          <w:rFonts w:ascii="Arial" w:cs="Arial" w:eastAsia="Arial" w:hAnsi="Arial"/>
          <w:sz w:val="20"/>
          <w:szCs w:val="20"/>
          <w:color w:val="auto"/>
        </w:rPr>
        <w:t>Agreement; or</w:t>
      </w:r>
    </w:p>
    <w:p>
      <w:pPr>
        <w:spacing w:after="0" w:line="199" w:lineRule="exact"/>
        <w:rPr>
          <w:rFonts w:ascii="Arial" w:cs="Arial" w:eastAsia="Arial" w:hAnsi="Arial"/>
          <w:sz w:val="19"/>
          <w:szCs w:val="19"/>
          <w:color w:val="auto"/>
        </w:rPr>
      </w:pPr>
    </w:p>
    <w:p>
      <w:pPr>
        <w:ind w:left="3380" w:hanging="874"/>
        <w:spacing w:after="0"/>
        <w:tabs>
          <w:tab w:leader="none" w:pos="33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negligence or willful misconduct of an Acceleron Indemnified Party.</w:t>
      </w:r>
    </w:p>
    <w:p>
      <w:pPr>
        <w:spacing w:after="0" w:line="216" w:lineRule="exact"/>
        <w:rPr>
          <w:sz w:val="20"/>
          <w:szCs w:val="20"/>
          <w:color w:val="auto"/>
        </w:rPr>
      </w:pPr>
    </w:p>
    <w:p>
      <w:pPr>
        <w:ind w:left="880" w:right="20"/>
        <w:spacing w:after="0" w:line="260" w:lineRule="auto"/>
        <w:rPr>
          <w:sz w:val="20"/>
          <w:szCs w:val="20"/>
          <w:color w:val="auto"/>
        </w:rPr>
      </w:pPr>
      <w:r>
        <w:rPr>
          <w:rFonts w:ascii="Arial" w:cs="Arial" w:eastAsia="Arial" w:hAnsi="Arial"/>
          <w:sz w:val="20"/>
          <w:szCs w:val="20"/>
          <w:color w:val="auto"/>
        </w:rPr>
        <w:t xml:space="preserve">and except, in each case, to the extent such claims fall within the scope of Fulcrum’s indemnification obligations under </w:t>
      </w:r>
      <w:r>
        <w:rPr>
          <w:rFonts w:ascii="Arial" w:cs="Arial" w:eastAsia="Arial" w:hAnsi="Arial"/>
          <w:sz w:val="20"/>
          <w:szCs w:val="20"/>
          <w:u w:val="single" w:color="auto"/>
          <w:color w:val="auto"/>
        </w:rPr>
        <w:t>Section 9.1.2</w:t>
      </w:r>
      <w:r>
        <w:rPr>
          <w:rFonts w:ascii="Arial" w:cs="Arial" w:eastAsia="Arial" w:hAnsi="Arial"/>
          <w:sz w:val="20"/>
          <w:szCs w:val="20"/>
          <w:color w:val="auto"/>
        </w:rPr>
        <w:t xml:space="preserve"> (Indemnification by Fulcrum).</w:t>
      </w:r>
    </w:p>
    <w:p>
      <w:pPr>
        <w:spacing w:after="0" w:line="171"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9.1.2. </w:t>
      </w:r>
      <w:r>
        <w:rPr>
          <w:rFonts w:ascii="Arial" w:cs="Arial" w:eastAsia="Arial" w:hAnsi="Arial"/>
          <w:sz w:val="19"/>
          <w:szCs w:val="19"/>
          <w:b w:val="1"/>
          <w:bCs w:val="1"/>
          <w:color w:val="auto"/>
        </w:rPr>
        <w:t>Indemnification by Fulcrum</w:t>
      </w:r>
      <w:r>
        <w:rPr>
          <w:rFonts w:ascii="Arial" w:cs="Arial" w:eastAsia="Arial" w:hAnsi="Arial"/>
          <w:sz w:val="19"/>
          <w:szCs w:val="19"/>
          <w:color w:val="auto"/>
        </w:rPr>
        <w:t>. Fulcrum will indemnify Acceleron and its Representatives (each, a “</w:t>
      </w:r>
      <w:r>
        <w:rPr>
          <w:rFonts w:ascii="Arial" w:cs="Arial" w:eastAsia="Arial" w:hAnsi="Arial"/>
          <w:sz w:val="19"/>
          <w:szCs w:val="19"/>
          <w:b w:val="1"/>
          <w:bCs w:val="1"/>
          <w:color w:val="auto"/>
        </w:rPr>
        <w:t>Acceleron</w:t>
      </w:r>
      <w:r>
        <w:rPr>
          <w:rFonts w:ascii="Arial" w:cs="Arial" w:eastAsia="Arial" w:hAnsi="Arial"/>
          <w:sz w:val="19"/>
          <w:szCs w:val="19"/>
          <w:color w:val="auto"/>
        </w:rPr>
        <w:t xml:space="preserve"> </w:t>
      </w:r>
      <w:r>
        <w:rPr>
          <w:rFonts w:ascii="Arial" w:cs="Arial" w:eastAsia="Arial" w:hAnsi="Arial"/>
          <w:sz w:val="19"/>
          <w:szCs w:val="19"/>
          <w:b w:val="1"/>
          <w:bCs w:val="1"/>
          <w:color w:val="auto"/>
        </w:rPr>
        <w:t>Indemnified Party</w:t>
      </w:r>
      <w:r>
        <w:rPr>
          <w:rFonts w:ascii="Arial" w:cs="Arial" w:eastAsia="Arial" w:hAnsi="Arial"/>
          <w:sz w:val="19"/>
          <w:szCs w:val="19"/>
          <w:color w:val="auto"/>
        </w:rPr>
        <w:t>”) from and against any Liability that the Acceleron Indemnified Party may incur or otherwise be required to pay to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Third Parties in connection with any Third Party suit, investigation, claim or demand resulting from or arising out of:</w:t>
      </w:r>
    </w:p>
    <w:p>
      <w:pPr>
        <w:spacing w:after="0" w:line="165" w:lineRule="exact"/>
        <w:rPr>
          <w:sz w:val="20"/>
          <w:szCs w:val="20"/>
          <w:color w:val="auto"/>
        </w:rPr>
      </w:pPr>
    </w:p>
    <w:p>
      <w:pPr>
        <w:jc w:val="both"/>
        <w:ind w:left="1760" w:right="20" w:firstLine="746"/>
        <w:spacing w:after="0" w:line="250" w:lineRule="auto"/>
        <w:tabs>
          <w:tab w:leader="none" w:pos="3371" w:val="left"/>
        </w:tabs>
        <w:numPr>
          <w:ilvl w:val="0"/>
          <w:numId w:val="69"/>
        </w:numPr>
        <w:rPr>
          <w:rFonts w:ascii="Arial" w:cs="Arial" w:eastAsia="Arial" w:hAnsi="Arial"/>
          <w:sz w:val="20"/>
          <w:szCs w:val="20"/>
          <w:color w:val="auto"/>
        </w:rPr>
      </w:pPr>
      <w:r>
        <w:rPr>
          <w:rFonts w:ascii="Arial" w:cs="Arial" w:eastAsia="Arial" w:hAnsi="Arial"/>
          <w:sz w:val="20"/>
          <w:szCs w:val="20"/>
          <w:color w:val="auto"/>
        </w:rPr>
        <w:t>any claim that the practice of any Patent Rights or Know-How claiming or covering the Fulcrum Platform in accordance with this Agreement infringes or misappropriates any issued Patent Right or other intellectual property rights owned or possessed by any Third Party;</w:t>
      </w:r>
    </w:p>
    <w:p>
      <w:pPr>
        <w:spacing w:after="0" w:line="186" w:lineRule="exact"/>
        <w:rPr>
          <w:rFonts w:ascii="Arial" w:cs="Arial" w:eastAsia="Arial" w:hAnsi="Arial"/>
          <w:sz w:val="20"/>
          <w:szCs w:val="20"/>
          <w:color w:val="auto"/>
        </w:rPr>
      </w:pPr>
    </w:p>
    <w:p>
      <w:pPr>
        <w:ind w:left="3380" w:hanging="874"/>
        <w:spacing w:after="0"/>
        <w:tabs>
          <w:tab w:leader="none" w:pos="338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conduct of the Fulcrum Research Activities;</w:t>
      </w:r>
    </w:p>
    <w:p>
      <w:pPr>
        <w:spacing w:after="0" w:line="215" w:lineRule="exact"/>
        <w:rPr>
          <w:rFonts w:ascii="Arial" w:cs="Arial" w:eastAsia="Arial" w:hAnsi="Arial"/>
          <w:sz w:val="20"/>
          <w:szCs w:val="20"/>
          <w:color w:val="auto"/>
        </w:rPr>
      </w:pPr>
    </w:p>
    <w:p>
      <w:pPr>
        <w:ind w:left="3380" w:hanging="874"/>
        <w:spacing w:after="0"/>
        <w:tabs>
          <w:tab w:leader="none" w:pos="338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breach by Fulcrum of any of its representations, warranties or covenants set forth in this</w:t>
      </w:r>
    </w:p>
    <w:p>
      <w:pPr>
        <w:spacing w:after="0" w:line="27" w:lineRule="exact"/>
        <w:rPr>
          <w:rFonts w:ascii="Arial" w:cs="Arial" w:eastAsia="Arial" w:hAnsi="Arial"/>
          <w:sz w:val="19"/>
          <w:szCs w:val="19"/>
          <w:color w:val="auto"/>
        </w:rPr>
      </w:pPr>
    </w:p>
    <w:p>
      <w:pPr>
        <w:ind w:left="1760"/>
        <w:spacing w:after="0"/>
        <w:rPr>
          <w:rFonts w:ascii="Arial" w:cs="Arial" w:eastAsia="Arial" w:hAnsi="Arial"/>
          <w:sz w:val="19"/>
          <w:szCs w:val="19"/>
          <w:color w:val="auto"/>
        </w:rPr>
      </w:pPr>
      <w:r>
        <w:rPr>
          <w:rFonts w:ascii="Arial" w:cs="Arial" w:eastAsia="Arial" w:hAnsi="Arial"/>
          <w:sz w:val="20"/>
          <w:szCs w:val="20"/>
          <w:color w:val="auto"/>
        </w:rPr>
        <w:t>Agreement; or</w:t>
      </w:r>
    </w:p>
    <w:p>
      <w:pPr>
        <w:spacing w:after="0" w:line="199" w:lineRule="exact"/>
        <w:rPr>
          <w:rFonts w:ascii="Arial" w:cs="Arial" w:eastAsia="Arial" w:hAnsi="Arial"/>
          <w:sz w:val="19"/>
          <w:szCs w:val="19"/>
          <w:color w:val="auto"/>
        </w:rPr>
      </w:pPr>
    </w:p>
    <w:p>
      <w:pPr>
        <w:ind w:left="3380" w:hanging="874"/>
        <w:spacing w:after="0"/>
        <w:tabs>
          <w:tab w:leader="none" w:pos="338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negligence or willful misconduct of a Fulcrum Indemnified Party.</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and except, in each case, to the extent such claims fall within the scope of Acceleron’s indemnification obligations under </w:t>
      </w:r>
      <w:r>
        <w:rPr>
          <w:rFonts w:ascii="Arial" w:cs="Arial" w:eastAsia="Arial" w:hAnsi="Arial"/>
          <w:sz w:val="20"/>
          <w:szCs w:val="20"/>
          <w:u w:val="single" w:color="auto"/>
          <w:color w:val="auto"/>
        </w:rPr>
        <w:t>Section 9.1.1</w:t>
      </w:r>
      <w:r>
        <w:rPr>
          <w:rFonts w:ascii="Arial" w:cs="Arial" w:eastAsia="Arial" w:hAnsi="Arial"/>
          <w:sz w:val="20"/>
          <w:szCs w:val="20"/>
          <w:color w:val="auto"/>
        </w:rPr>
        <w:t xml:space="preserve"> (Indemnification by Acceleron).</w:t>
      </w:r>
    </w:p>
    <w:p>
      <w:pPr>
        <w:spacing w:after="0" w:line="171"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9"/>
          <w:szCs w:val="19"/>
          <w:color w:val="auto"/>
        </w:rPr>
        <w:t xml:space="preserve">9.1.3. </w:t>
      </w:r>
      <w:r>
        <w:rPr>
          <w:rFonts w:ascii="Arial" w:cs="Arial" w:eastAsia="Arial" w:hAnsi="Arial"/>
          <w:sz w:val="19"/>
          <w:szCs w:val="19"/>
          <w:b w:val="1"/>
          <w:bCs w:val="1"/>
          <w:color w:val="auto"/>
        </w:rPr>
        <w:t>Procedure</w:t>
      </w:r>
      <w:r>
        <w:rPr>
          <w:rFonts w:ascii="Arial" w:cs="Arial" w:eastAsia="Arial" w:hAnsi="Arial"/>
          <w:sz w:val="19"/>
          <w:szCs w:val="19"/>
          <w:color w:val="auto"/>
        </w:rPr>
        <w:t xml:space="preserve">. Each Party will notify the other Party in writing if it becomes aware of a claim for which such Party may seek indemnification hereunder. If any proceeding (including any governmental investigation) is instituted against a Party with respect to which indemnity may be sought pursuant to </w:t>
      </w:r>
      <w:r>
        <w:rPr>
          <w:rFonts w:ascii="Arial" w:cs="Arial" w:eastAsia="Arial" w:hAnsi="Arial"/>
          <w:sz w:val="19"/>
          <w:szCs w:val="19"/>
          <w:u w:val="single" w:color="auto"/>
          <w:color w:val="auto"/>
        </w:rPr>
        <w:t>Section 9.1.1</w:t>
      </w:r>
      <w:r>
        <w:rPr>
          <w:rFonts w:ascii="Arial" w:cs="Arial" w:eastAsia="Arial" w:hAnsi="Arial"/>
          <w:sz w:val="19"/>
          <w:szCs w:val="19"/>
          <w:color w:val="auto"/>
        </w:rPr>
        <w:t xml:space="preserve"> (Indemnification by Acceleron) or </w:t>
      </w:r>
      <w:r>
        <w:rPr>
          <w:rFonts w:ascii="Arial" w:cs="Arial" w:eastAsia="Arial" w:hAnsi="Arial"/>
          <w:sz w:val="19"/>
          <w:szCs w:val="19"/>
          <w:u w:val="single" w:color="auto"/>
          <w:color w:val="auto"/>
        </w:rPr>
        <w:t>9.1.2</w:t>
      </w:r>
      <w:r>
        <w:rPr>
          <w:rFonts w:ascii="Arial" w:cs="Arial" w:eastAsia="Arial" w:hAnsi="Arial"/>
          <w:sz w:val="19"/>
          <w:szCs w:val="19"/>
          <w:color w:val="auto"/>
        </w:rPr>
        <w:t xml:space="preserve"> (Indemnification by Fulcrum), as applicable, such Party (the “</w:t>
      </w:r>
      <w:r>
        <w:rPr>
          <w:rFonts w:ascii="Arial" w:cs="Arial" w:eastAsia="Arial" w:hAnsi="Arial"/>
          <w:sz w:val="19"/>
          <w:szCs w:val="19"/>
          <w:b w:val="1"/>
          <w:bCs w:val="1"/>
          <w:color w:val="auto"/>
        </w:rPr>
        <w:t>Indemnified Party</w:t>
      </w:r>
      <w:r>
        <w:rPr>
          <w:rFonts w:ascii="Arial" w:cs="Arial" w:eastAsia="Arial" w:hAnsi="Arial"/>
          <w:sz w:val="19"/>
          <w:szCs w:val="19"/>
          <w:color w:val="auto"/>
        </w:rPr>
        <w:t>”) will give prompt written notice of the indemnity claim to the other Party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7" w:name="page188"/>
    <w:bookmarkEnd w:id="187"/>
    <w:p>
      <w:pPr>
        <w:jc w:val="both"/>
        <w:spacing w:after="0" w:line="27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and provide the Indemnifying Party with a copy of any complaint, summons or other written notice that the Indemnified Party receives in connection with any such claim. An Indemnified Party’s failure to deliver such written notice in a timely manner will relieve the Indemnifying Party of liability to the Indemnified Party under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(Indemnification by Acceleron) or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(Indemnification by Fulcrum), as applicable, only to the extent such delay is prejudicial to the Indemnifying Party’s ability to defend such claim. The Indemnified Party will permit the Indemnifying Party to control any litigation relating to such claim and the disposition of such claim by negotiated settlement or otherwise (subject to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(Indemnification)). The Indemnifying Party will act reasonably and in good faith with respect to all matters relating to such claim and will not settle or otherwise resolve such claim without the Indemnified Party’s prior written consent, which will not be unreasonably withheld, conditioned, or delayed;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consent will not be required with respect to any settlement that includes a full and complete release of the Indemnified Party and involves only the payment of monetary awards for which the Indemnifying Party will be fully-responsible. The Indemnified Party will cooperate with the Indemnifying Party in the Indemnifying Party’s defense of any claim for which indemnity is sought under this Agreement, at the Indemnifying Party’s cost and expense.</w:t>
      </w:r>
    </w:p>
    <w:p>
      <w:pPr>
        <w:spacing w:after="0" w:line="171"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b w:val="1"/>
          <w:bCs w:val="1"/>
          <w:u w:val="single" w:color="auto"/>
          <w:color w:val="auto"/>
        </w:rPr>
        <w:t>Insurance</w:t>
      </w:r>
      <w:r>
        <w:rPr>
          <w:rFonts w:ascii="Arial" w:cs="Arial" w:eastAsia="Arial" w:hAnsi="Arial"/>
          <w:sz w:val="20"/>
          <w:szCs w:val="20"/>
          <w:color w:val="auto"/>
        </w:rPr>
        <w:t>. Each Party will maintain, at its cost, reasonable insurance against liability and other risks associated with its activities contemplated by this Agreement and will furnish to the other Party evidence of such insurance upon request. Notwithstanding the foregoing, either Party may self-insure to the extent that it self-insures for its other activities.</w:t>
      </w:r>
    </w:p>
    <w:p>
      <w:pPr>
        <w:spacing w:after="0" w:line="178"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b w:val="1"/>
          <w:bCs w:val="1"/>
          <w:u w:val="single" w:color="auto"/>
          <w:color w:val="auto"/>
        </w:rPr>
        <w:t>No Consequential Damages</w:t>
      </w:r>
      <w:r>
        <w:rPr>
          <w:rFonts w:ascii="Arial" w:cs="Arial" w:eastAsia="Arial" w:hAnsi="Arial"/>
          <w:sz w:val="20"/>
          <w:szCs w:val="20"/>
          <w:color w:val="auto"/>
        </w:rPr>
        <w:t xml:space="preserve">. Except with respect to liability arising from a breach of the confidentiality and non-use provisions of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(Confidentiality) or a Party’s gross negligence, or willful misconduct, or to the extent such Party may be required to indemnify the other Party under this </w:t>
      </w:r>
      <w:r>
        <w:rPr>
          <w:rFonts w:ascii="Arial" w:cs="Arial" w:eastAsia="Arial" w:hAnsi="Arial"/>
          <w:sz w:val="20"/>
          <w:szCs w:val="20"/>
          <w:u w:val="single" w:color="auto"/>
          <w:color w:val="auto"/>
        </w:rPr>
        <w:t>Article 9</w:t>
      </w:r>
      <w:r>
        <w:rPr>
          <w:rFonts w:ascii="Arial" w:cs="Arial" w:eastAsia="Arial" w:hAnsi="Arial"/>
          <w:sz w:val="20"/>
          <w:szCs w:val="20"/>
          <w:color w:val="auto"/>
        </w:rPr>
        <w:t xml:space="preserve"> (Indemnification; Insurance), in no event will either Party or its Representatives be liable under this Agreement for any special (only as related to indirect, incidental or consequential damages), indirect, incidental, consequential or punitive damages, whether in contract, warranty, tort, negligence, strict liability or otherwise, including loss of profits or revenue suffered by either Party or any of its Representatives.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TERMINATION</w:t>
      </w:r>
    </w:p>
    <w:p>
      <w:pPr>
        <w:spacing w:after="0" w:line="194"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b w:val="1"/>
          <w:bCs w:val="1"/>
          <w:u w:val="single" w:color="auto"/>
          <w:color w:val="auto"/>
        </w:rPr>
        <w:t>Term</w:t>
      </w:r>
      <w:r>
        <w:rPr>
          <w:rFonts w:ascii="Arial" w:cs="Arial" w:eastAsia="Arial" w:hAnsi="Arial"/>
          <w:sz w:val="20"/>
          <w:szCs w:val="20"/>
          <w:color w:val="auto"/>
        </w:rPr>
        <w:t>. The term of this Agreement will commence on the Effective Date and continue on a [**] Target-by-[**] Target and country-by-country basis until the expiration of the last-to-expire Royalty Term for a Product that is directed against such [**] Target (the “</w:t>
      </w:r>
      <w:r>
        <w:rPr>
          <w:rFonts w:ascii="Arial" w:cs="Arial" w:eastAsia="Arial" w:hAnsi="Arial"/>
          <w:sz w:val="20"/>
          <w:szCs w:val="20"/>
          <w:b w:val="1"/>
          <w:bCs w:val="1"/>
          <w:color w:val="auto"/>
        </w:rPr>
        <w:t>Term</w:t>
      </w:r>
      <w:r>
        <w:rPr>
          <w:rFonts w:ascii="Arial" w:cs="Arial" w:eastAsia="Arial" w:hAnsi="Arial"/>
          <w:sz w:val="20"/>
          <w:szCs w:val="20"/>
          <w:color w:val="auto"/>
        </w:rPr>
        <w:t xml:space="preserve">”) unless this Agreement is terminated earlier in accordance with this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(Term; Termination). Notwithstanding the foregoing, if Acceleron has not designated a Research Target as a [**] Target by the end of the Designation Period, then this Agreement will automatically terminate.</w:t>
      </w:r>
    </w:p>
    <w:p>
      <w:pPr>
        <w:spacing w:after="0" w:line="185"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216"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 xml:space="preserve">10.2.1. </w:t>
      </w:r>
      <w:r>
        <w:rPr>
          <w:rFonts w:ascii="Arial" w:cs="Arial" w:eastAsia="Arial" w:hAnsi="Arial"/>
          <w:sz w:val="20"/>
          <w:szCs w:val="20"/>
          <w:b w:val="1"/>
          <w:bCs w:val="1"/>
          <w:color w:val="auto"/>
        </w:rPr>
        <w:t>Termination for Convenience</w:t>
      </w:r>
      <w:r>
        <w:rPr>
          <w:rFonts w:ascii="Arial" w:cs="Arial" w:eastAsia="Arial" w:hAnsi="Arial"/>
          <w:sz w:val="20"/>
          <w:szCs w:val="20"/>
          <w:color w:val="auto"/>
        </w:rPr>
        <w:t>. Acceleron may terminate this Agreement at any time during the Term, on a [**] Target-by-[**] Target and Collaboration Molecule-by-Collaboration Molecule basis, or in its entirety, for convenience by providing written notice of its intent to terminate to Fulcrum, in which case, such termination will be effective one hundred twenty (120) days after Fulcrum’s receipt of such written notice.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8" w:name="page189"/>
    <w:bookmarkEnd w:id="188"/>
    <w:p>
      <w:pPr>
        <w:jc w:val="both"/>
        <w:ind w:firstLine="877"/>
        <w:spacing w:after="0" w:line="273" w:lineRule="auto"/>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b w:val="1"/>
          <w:bCs w:val="1"/>
          <w:color w:val="auto"/>
        </w:rPr>
        <w:t>Termination for Material Breach.</w:t>
      </w:r>
      <w:r>
        <w:rPr>
          <w:rFonts w:ascii="Arial" w:cs="Arial" w:eastAsia="Arial" w:hAnsi="Arial"/>
          <w:sz w:val="18"/>
          <w:szCs w:val="18"/>
          <w:color w:val="auto"/>
        </w:rPr>
        <w:t xml:space="preserve"> In the event either Party commits a material breach of its obligations under this Agreement and fails to cure that breach within [**] (or, in the case of a payment breach, [**]) after receiving written notice thereof, then the non-breaching Party may terminate this Agreement immediately upon written notice to the breaching Party upon the expiration of such cure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such breach (other than a payment breach) is capable of being cured but cannot be cured within such [**] period and the breaching Party initiates actions to cure such breach within such period and thereafter diligently pursues such actions, then the cure period will be extended for so long as the breaching Party is diligently pursuing such actions not to exceed [**]. In the event that the breaching Party disputes in good faith the non-breaching Party’s grounds for terminating this Agreement under this </w:t>
      </w:r>
      <w:r>
        <w:rPr>
          <w:rFonts w:ascii="Arial" w:cs="Arial" w:eastAsia="Arial" w:hAnsi="Arial"/>
          <w:sz w:val="18"/>
          <w:szCs w:val="18"/>
          <w:u w:val="single" w:color="auto"/>
          <w:color w:val="auto"/>
        </w:rPr>
        <w:t>Section 10.2.2</w:t>
      </w:r>
      <w:r>
        <w:rPr>
          <w:rFonts w:ascii="Arial" w:cs="Arial" w:eastAsia="Arial" w:hAnsi="Arial"/>
          <w:sz w:val="18"/>
          <w:szCs w:val="18"/>
          <w:color w:val="auto"/>
        </w:rPr>
        <w:t xml:space="preserve"> (Termination for Material Breach), then the Parties will refer such dispute to the Executive Officers pursuant to </w:t>
      </w:r>
      <w:r>
        <w:rPr>
          <w:rFonts w:ascii="Arial" w:cs="Arial" w:eastAsia="Arial" w:hAnsi="Arial"/>
          <w:sz w:val="18"/>
          <w:szCs w:val="18"/>
          <w:u w:val="single" w:color="auto"/>
          <w:color w:val="auto"/>
        </w:rPr>
        <w:t>Section 12.1.3</w:t>
      </w:r>
      <w:r>
        <w:rPr>
          <w:rFonts w:ascii="Arial" w:cs="Arial" w:eastAsia="Arial" w:hAnsi="Arial"/>
          <w:sz w:val="18"/>
          <w:szCs w:val="18"/>
          <w:color w:val="auto"/>
        </w:rPr>
        <w:t xml:space="preserve">, and any cure period provided for under this </w:t>
      </w:r>
      <w:r>
        <w:rPr>
          <w:rFonts w:ascii="Arial" w:cs="Arial" w:eastAsia="Arial" w:hAnsi="Arial"/>
          <w:sz w:val="18"/>
          <w:szCs w:val="18"/>
          <w:u w:val="single" w:color="auto"/>
          <w:color w:val="auto"/>
        </w:rPr>
        <w:t>Section 10.2.2</w:t>
      </w:r>
      <w:r>
        <w:rPr>
          <w:rFonts w:ascii="Arial" w:cs="Arial" w:eastAsia="Arial" w:hAnsi="Arial"/>
          <w:sz w:val="18"/>
          <w:szCs w:val="18"/>
          <w:color w:val="auto"/>
        </w:rPr>
        <w:t xml:space="preserve"> (Termination for Material Breach) will be tolled during the pendency of such dispute.</w:t>
      </w:r>
    </w:p>
    <w:p>
      <w:pPr>
        <w:spacing w:after="0" w:line="163" w:lineRule="exact"/>
        <w:rPr>
          <w:sz w:val="20"/>
          <w:szCs w:val="20"/>
          <w:color w:val="auto"/>
        </w:rPr>
      </w:pPr>
    </w:p>
    <w:p>
      <w:pPr>
        <w:ind w:left="880"/>
        <w:spacing w:after="0"/>
        <w:tabs>
          <w:tab w:leader="none" w:pos="2060" w:val="left"/>
        </w:tabs>
        <w:rPr>
          <w:sz w:val="20"/>
          <w:szCs w:val="20"/>
          <w:color w:val="auto"/>
        </w:rPr>
      </w:pPr>
      <w:r>
        <w:rPr>
          <w:rFonts w:ascii="Arial" w:cs="Arial" w:eastAsia="Arial" w:hAnsi="Arial"/>
          <w:sz w:val="20"/>
          <w:szCs w:val="20"/>
          <w:color w:val="auto"/>
        </w:rPr>
        <w:t>10.2.3.</w:t>
      </w:r>
      <w:r>
        <w:rPr>
          <w:sz w:val="20"/>
          <w:szCs w:val="20"/>
          <w:color w:val="auto"/>
        </w:rPr>
        <w:tab/>
      </w:r>
      <w:r>
        <w:rPr>
          <w:rFonts w:ascii="Arial" w:cs="Arial" w:eastAsia="Arial" w:hAnsi="Arial"/>
          <w:sz w:val="16"/>
          <w:szCs w:val="16"/>
          <w:b w:val="1"/>
          <w:bCs w:val="1"/>
          <w:color w:val="auto"/>
        </w:rPr>
        <w:t>Termination for Insolvency</w:t>
      </w:r>
      <w:r>
        <w:rPr>
          <w:rFonts w:ascii="Arial" w:cs="Arial" w:eastAsia="Arial" w:hAnsi="Arial"/>
          <w:sz w:val="16"/>
          <w:szCs w:val="16"/>
          <w:color w:val="auto"/>
        </w:rPr>
        <w:t>.</w:t>
      </w:r>
    </w:p>
    <w:p>
      <w:pPr>
        <w:spacing w:after="0" w:line="222" w:lineRule="exact"/>
        <w:rPr>
          <w:sz w:val="20"/>
          <w:szCs w:val="20"/>
          <w:color w:val="auto"/>
        </w:rPr>
      </w:pPr>
    </w:p>
    <w:p>
      <w:pPr>
        <w:jc w:val="both"/>
        <w:ind w:left="1760" w:firstLine="746"/>
        <w:spacing w:after="0" w:line="272" w:lineRule="auto"/>
        <w:tabs>
          <w:tab w:leader="none" w:pos="33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either Party makes an assignment for the benefit of creditors, appoints or suffers appointment of a receiver or trustee over all or substantially all of its property, files a petition under any bankruptcy or insolvency act or has any such petition filed against it that is not discharged within [**] after the filing thereof (each, an “</w:t>
      </w:r>
      <w:r>
        <w:rPr>
          <w:rFonts w:ascii="Arial" w:cs="Arial" w:eastAsia="Arial" w:hAnsi="Arial"/>
          <w:sz w:val="18"/>
          <w:szCs w:val="18"/>
          <w:b w:val="1"/>
          <w:bCs w:val="1"/>
          <w:color w:val="auto"/>
        </w:rPr>
        <w:t>Insolvency</w:t>
      </w:r>
      <w:r>
        <w:rPr>
          <w:rFonts w:ascii="Arial" w:cs="Arial" w:eastAsia="Arial" w:hAnsi="Arial"/>
          <w:sz w:val="18"/>
          <w:szCs w:val="18"/>
          <w:color w:val="auto"/>
        </w:rPr>
        <w:t xml:space="preserve"> </w:t>
      </w:r>
      <w:r>
        <w:rPr>
          <w:rFonts w:ascii="Arial" w:cs="Arial" w:eastAsia="Arial" w:hAnsi="Arial"/>
          <w:sz w:val="18"/>
          <w:szCs w:val="18"/>
          <w:b w:val="1"/>
          <w:bCs w:val="1"/>
          <w:color w:val="auto"/>
        </w:rPr>
        <w:t>Event</w:t>
      </w:r>
      <w:r>
        <w:rPr>
          <w:rFonts w:ascii="Arial" w:cs="Arial" w:eastAsia="Arial" w:hAnsi="Arial"/>
          <w:sz w:val="18"/>
          <w:szCs w:val="18"/>
          <w:color w:val="auto"/>
        </w:rPr>
        <w:t>”), the other Party may terminate this Agreement in its entirety by providing written notice to the Party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Insolvency Event (such Party, the “</w:t>
      </w:r>
      <w:r>
        <w:rPr>
          <w:rFonts w:ascii="Arial" w:cs="Arial" w:eastAsia="Arial" w:hAnsi="Arial"/>
          <w:sz w:val="18"/>
          <w:szCs w:val="18"/>
          <w:b w:val="1"/>
          <w:bCs w:val="1"/>
          <w:color w:val="auto"/>
        </w:rPr>
        <w:t>Insolvent Party</w:t>
      </w:r>
      <w:r>
        <w:rPr>
          <w:rFonts w:ascii="Arial" w:cs="Arial" w:eastAsia="Arial" w:hAnsi="Arial"/>
          <w:sz w:val="18"/>
          <w:szCs w:val="18"/>
          <w:color w:val="auto"/>
        </w:rPr>
        <w:t>”), in which case, this Agreement will terminate on the date on which the Insolvent Party receives such written notice, provided that no termination shall be permitted pursuant to this clause (a) if the Insolvent Party (i) does not reject this Agreement or otherwise disavow its obligations hereunder, (ii) continues to perform its obligations hereunder during such Insolvency Event, and (iii) assumes this Agreement or otherwise affirms its obligations hereunder on or before any deadline for doing so during such Insolvency Event.</w:t>
      </w:r>
    </w:p>
    <w:p>
      <w:pPr>
        <w:spacing w:after="0" w:line="171" w:lineRule="exact"/>
        <w:rPr>
          <w:rFonts w:ascii="Arial" w:cs="Arial" w:eastAsia="Arial" w:hAnsi="Arial"/>
          <w:sz w:val="18"/>
          <w:szCs w:val="18"/>
          <w:color w:val="auto"/>
        </w:rPr>
      </w:pPr>
    </w:p>
    <w:p>
      <w:pPr>
        <w:jc w:val="both"/>
        <w:ind w:left="1760" w:firstLine="746"/>
        <w:spacing w:after="0" w:line="268" w:lineRule="auto"/>
        <w:tabs>
          <w:tab w:leader="none" w:pos="3382"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licenses and rights to licenses granted under or pursuant to this Agreement by Fulcrum to Acceleron are, and will otherwise be deemed to be, for purposes of Section 365(n) of the United States Bankruptcy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licenses of rights to “intellectual property” as defined under Section 101(35A) of the Bankruptcy Code. The Parties agree that Acceleron, as a licensee of such rights under this Agreement, will retain and may fully exercise all of its rights and elections under the Bankruptcy Code. The Parties further agree that that upon commencement of a bankruptcy proceeding by or against Fulcrum under the Bankruptcy Code, Acceleron will be entitled to a complete duplicate of, or complete access to (as Acceleron deems appropriate), all such intellectual property and all embodiments of such intellectual property as may be necessary for Acceleron to exercise its rights and licenses in accordance with this Agreement. Such intellectual property and all embodiments of such intellectual property will be promptly delivered to Acceleron (i) upon any such commencement of a bankruptcy proceeding and upon written request by Acceleron, unless Fulcrum assumes this Agreement or otherwise affirms its obligations hereunder on or before any deadline for doing so during such bankruptcy proceeding, or (ii) if not delivered under (i) above, upon the rejection of this Agreement by or on behalf of Fulcrum and upon written request by the Acceleron. Fulcrum (in any capacity, including debtor-in-possession) and its successors and assigns (including any trustee) agrees not to interfere with the exercise by Acceleron or its Affiliates of its rights and licenses to such intellectual property and such embodiments of intellectual property in accordance with this Agreement, and agrees to assist Acceleron and its Affiliates in obtaining such intellectual property and such embodiments of intellectual property in the possession or control of Third Parties as reasonably necessary or desirable for Acceleron to exercise such rights and licenses in accordance with this Agreement. The foregoing provisions are without prejudice to any rights Acceleron may have arising under the Bankruptcy Code or other Applicable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9" w:name="page190"/>
    <w:bookmarkEnd w:id="189"/>
    <w:p>
      <w:pPr>
        <w:ind w:left="880"/>
        <w:spacing w:after="0"/>
        <w:tabs>
          <w:tab w:leader="none" w:pos="190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6"/>
          <w:szCs w:val="16"/>
          <w:b w:val="1"/>
          <w:bCs w:val="1"/>
          <w:u w:val="single" w:color="auto"/>
          <w:color w:val="auto"/>
        </w:rPr>
        <w:t>Consequences of Termination of the Agreement</w:t>
      </w:r>
      <w:r>
        <w:rPr>
          <w:rFonts w:ascii="Arial" w:cs="Arial" w:eastAsia="Arial" w:hAnsi="Arial"/>
          <w:sz w:val="16"/>
          <w:szCs w:val="16"/>
          <w:color w:val="auto"/>
        </w:rPr>
        <w:t>.</w:t>
      </w:r>
    </w:p>
    <w:p>
      <w:pPr>
        <w:spacing w:after="0" w:line="216"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8"/>
          <w:szCs w:val="18"/>
          <w:color w:val="auto"/>
        </w:rPr>
        <w:t xml:space="preserve">10.3.1. </w:t>
      </w:r>
      <w:r>
        <w:rPr>
          <w:rFonts w:ascii="Arial" w:cs="Arial" w:eastAsia="Arial" w:hAnsi="Arial"/>
          <w:sz w:val="18"/>
          <w:szCs w:val="18"/>
          <w:b w:val="1"/>
          <w:bCs w:val="1"/>
          <w:color w:val="auto"/>
        </w:rPr>
        <w:t>Termination by Acceleron for Material Breach; Alternative to Termination by Acceleron</w:t>
      </w:r>
      <w:r>
        <w:rPr>
          <w:rFonts w:ascii="Arial" w:cs="Arial" w:eastAsia="Arial" w:hAnsi="Arial"/>
          <w:sz w:val="18"/>
          <w:szCs w:val="18"/>
          <w:color w:val="auto"/>
        </w:rPr>
        <w:t xml:space="preserve">. If Acceleron has the right to terminate this Agreement pursuant to </w:t>
      </w:r>
      <w:r>
        <w:rPr>
          <w:rFonts w:ascii="Arial" w:cs="Arial" w:eastAsia="Arial" w:hAnsi="Arial"/>
          <w:sz w:val="18"/>
          <w:szCs w:val="18"/>
          <w:u w:val="single" w:color="auto"/>
          <w:color w:val="auto"/>
        </w:rPr>
        <w:t>Section 10.2.2</w:t>
      </w:r>
      <w:r>
        <w:rPr>
          <w:rFonts w:ascii="Arial" w:cs="Arial" w:eastAsia="Arial" w:hAnsi="Arial"/>
          <w:sz w:val="18"/>
          <w:szCs w:val="18"/>
          <w:color w:val="auto"/>
        </w:rPr>
        <w:t xml:space="preserve"> (Termination for Material Breach) (after the expiration of all relevant cure periods and resolution of any dispute with respect to Acceleron’s right to terminate this Agreement), Acceleron may either (a) elect to have the consequences of termination described in </w:t>
      </w:r>
      <w:r>
        <w:rPr>
          <w:rFonts w:ascii="Arial" w:cs="Arial" w:eastAsia="Arial" w:hAnsi="Arial"/>
          <w:sz w:val="18"/>
          <w:szCs w:val="18"/>
          <w:u w:val="single" w:color="auto"/>
          <w:color w:val="auto"/>
        </w:rPr>
        <w:t>Section 10.3.2</w:t>
      </w:r>
      <w:r>
        <w:rPr>
          <w:rFonts w:ascii="Arial" w:cs="Arial" w:eastAsia="Arial" w:hAnsi="Arial"/>
          <w:sz w:val="18"/>
          <w:szCs w:val="18"/>
          <w:color w:val="auto"/>
        </w:rPr>
        <w:t xml:space="preserve"> (Termination by Fulcrum for Material Breach or Insolvency, or by Acceleron for Convenience) apply, or (b) as Acceleron’s sole and exclusive remedy, other than equitable relief, including specific performance, temporary or permanent restraining orders, preliminary injunction, or permanent injunction, or other equitable relief which may be available to Acceleron, and Fulcrum’s sole obligation to Acceleron with respect to such material breach, elect, in lieu of terminating this Agreement, for the rights and obligations of the Parties under this Agreement to continue, including the licenses and rights granted by Fulcrum to Acceleron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(License Grant to Acceleron);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Acceleron’s financial obligations under </w:t>
      </w:r>
      <w:r>
        <w:rPr>
          <w:rFonts w:ascii="Arial" w:cs="Arial" w:eastAsia="Arial" w:hAnsi="Arial"/>
          <w:sz w:val="18"/>
          <w:szCs w:val="18"/>
          <w:u w:val="single" w:color="auto"/>
          <w:color w:val="auto"/>
        </w:rPr>
        <w:t>Sections 6.2</w:t>
      </w:r>
      <w:r>
        <w:rPr>
          <w:rFonts w:ascii="Arial" w:cs="Arial" w:eastAsia="Arial" w:hAnsi="Arial"/>
          <w:sz w:val="18"/>
          <w:szCs w:val="18"/>
          <w:color w:val="auto"/>
        </w:rPr>
        <w:t xml:space="preserve"> (Milestone Payments) and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(Royalties) will be reduced to [**] percent ([**]%) of what they would otherwise be if calculated in accordance with such Section.</w:t>
      </w:r>
    </w:p>
    <w:p>
      <w:pPr>
        <w:spacing w:after="0" w:line="166"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8"/>
          <w:szCs w:val="18"/>
          <w:color w:val="auto"/>
        </w:rPr>
        <w:t xml:space="preserve">10.3.2. </w:t>
      </w:r>
      <w:r>
        <w:rPr>
          <w:rFonts w:ascii="Arial" w:cs="Arial" w:eastAsia="Arial" w:hAnsi="Arial"/>
          <w:sz w:val="18"/>
          <w:szCs w:val="18"/>
          <w:b w:val="1"/>
          <w:bCs w:val="1"/>
          <w:color w:val="auto"/>
        </w:rPr>
        <w:t>Termination by Fulcrum for Material Breach or Insolvency, or by Acceleron for Convenience or Insolvency</w:t>
      </w:r>
      <w:r>
        <w:rPr>
          <w:rFonts w:ascii="Arial" w:cs="Arial" w:eastAsia="Arial" w:hAnsi="Arial"/>
          <w:sz w:val="18"/>
          <w:szCs w:val="18"/>
          <w:color w:val="auto"/>
        </w:rPr>
        <w:t xml:space="preserve">. If this Agreement is terminated by Fulcrum pursuant to </w:t>
      </w:r>
      <w:r>
        <w:rPr>
          <w:rFonts w:ascii="Arial" w:cs="Arial" w:eastAsia="Arial" w:hAnsi="Arial"/>
          <w:sz w:val="18"/>
          <w:szCs w:val="18"/>
          <w:u w:val="single" w:color="auto"/>
          <w:color w:val="auto"/>
        </w:rPr>
        <w:t>Section 10.2.2</w:t>
      </w:r>
      <w:r>
        <w:rPr>
          <w:rFonts w:ascii="Arial" w:cs="Arial" w:eastAsia="Arial" w:hAnsi="Arial"/>
          <w:sz w:val="18"/>
          <w:szCs w:val="18"/>
          <w:color w:val="auto"/>
        </w:rPr>
        <w:t xml:space="preserve"> (Termination for Material Breach) or </w:t>
      </w:r>
      <w:r>
        <w:rPr>
          <w:rFonts w:ascii="Arial" w:cs="Arial" w:eastAsia="Arial" w:hAnsi="Arial"/>
          <w:sz w:val="18"/>
          <w:szCs w:val="18"/>
          <w:u w:val="single" w:color="auto"/>
          <w:color w:val="auto"/>
        </w:rPr>
        <w:t>10.2.3</w:t>
      </w:r>
      <w:r>
        <w:rPr>
          <w:rFonts w:ascii="Arial" w:cs="Arial" w:eastAsia="Arial" w:hAnsi="Arial"/>
          <w:sz w:val="18"/>
          <w:szCs w:val="18"/>
          <w:color w:val="auto"/>
        </w:rPr>
        <w:t xml:space="preserve"> (Termination for Insolvency), or by Acceleron pursuant to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(Termination for Convenience) or 10.2.3 (Termination for Insolvency), all license rights granted by Fulcrum to Acceleron pursuant to this Agreement, including the license rights granted to Acceleron under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(License Grant to Acceleron) will terminate as of the effective date of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Acceleron will have the right to sell off over the [**] immediately following such termination any quantities of Products then in its inventory or on order from any supplier (b) in the event of a partial termination by Acceleron pursuant to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(Termination for Convenience), such license rights will only terminate with respect to the terminated Collaboration Molecule(s), Product(s), or country(ies), as applicable, and (c) except with respect to a payment breach by Acceleron, Fulcrum’s termination of this Agreement pursuant to </w:t>
      </w:r>
      <w:r>
        <w:rPr>
          <w:rFonts w:ascii="Arial" w:cs="Arial" w:eastAsia="Arial" w:hAnsi="Arial"/>
          <w:sz w:val="18"/>
          <w:szCs w:val="18"/>
          <w:u w:val="single" w:color="auto"/>
          <w:color w:val="auto"/>
        </w:rPr>
        <w:t>Section 10.2.2</w:t>
      </w:r>
      <w:r>
        <w:rPr>
          <w:rFonts w:ascii="Arial" w:cs="Arial" w:eastAsia="Arial" w:hAnsi="Arial"/>
          <w:sz w:val="18"/>
          <w:szCs w:val="18"/>
          <w:color w:val="auto"/>
        </w:rPr>
        <w:t xml:space="preserve"> (Termination for Material Breach) will be Fulcrum’s sole and exclusive remedy with respect to such material breach, other than equitable relief, including specific performance, temporary or permanent restraining orders, preliminary injunction, or permanent injunction, or other equitable relief which may be available to Fulcrum.</w:t>
      </w:r>
    </w:p>
    <w:p>
      <w:pPr>
        <w:spacing w:after="0" w:line="171"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19"/>
          <w:szCs w:val="19"/>
          <w:color w:val="auto"/>
        </w:rPr>
        <w:t xml:space="preserve">10.3.3. </w:t>
      </w:r>
      <w:r>
        <w:rPr>
          <w:rFonts w:ascii="Arial" w:cs="Arial" w:eastAsia="Arial" w:hAnsi="Arial"/>
          <w:sz w:val="19"/>
          <w:szCs w:val="19"/>
          <w:b w:val="1"/>
          <w:bCs w:val="1"/>
          <w:color w:val="auto"/>
        </w:rPr>
        <w:t>Additional Consequences for Termination by Acceleron for Convenience</w:t>
      </w:r>
      <w:r>
        <w:rPr>
          <w:rFonts w:ascii="Arial" w:cs="Arial" w:eastAsia="Arial" w:hAnsi="Arial"/>
          <w:sz w:val="19"/>
          <w:szCs w:val="19"/>
          <w:color w:val="auto"/>
        </w:rPr>
        <w:t xml:space="preserve">. Without limiting </w:t>
      </w:r>
      <w:r>
        <w:rPr>
          <w:rFonts w:ascii="Arial" w:cs="Arial" w:eastAsia="Arial" w:hAnsi="Arial"/>
          <w:sz w:val="19"/>
          <w:szCs w:val="19"/>
          <w:u w:val="single" w:color="auto"/>
          <w:color w:val="auto"/>
        </w:rPr>
        <w:t>Section 10.3.2</w:t>
      </w:r>
      <w:r>
        <w:rPr>
          <w:rFonts w:ascii="Arial" w:cs="Arial" w:eastAsia="Arial" w:hAnsi="Arial"/>
          <w:sz w:val="19"/>
          <w:szCs w:val="19"/>
          <w:color w:val="auto"/>
        </w:rPr>
        <w:t xml:space="preserve"> (Termination by Fulcrum for Material Breach or Insolvency, or by Acceleron for Convenience), if this Agreement is terminated by Acceleron with respect to a [**] Target pursuant to </w:t>
      </w:r>
      <w:r>
        <w:rPr>
          <w:rFonts w:ascii="Arial" w:cs="Arial" w:eastAsia="Arial" w:hAnsi="Arial"/>
          <w:sz w:val="19"/>
          <w:szCs w:val="19"/>
          <w:u w:val="single" w:color="auto"/>
          <w:color w:val="auto"/>
        </w:rPr>
        <w:t>Section 10.2.1</w:t>
      </w:r>
      <w:r>
        <w:rPr>
          <w:rFonts w:ascii="Arial" w:cs="Arial" w:eastAsia="Arial" w:hAnsi="Arial"/>
          <w:sz w:val="19"/>
          <w:szCs w:val="19"/>
          <w:color w:val="auto"/>
        </w:rPr>
        <w:t xml:space="preserve"> (Termination for Convenience) and, as of the effective date of such termination, any royalties have been paid or payable by Acceleron to Fulcrum with respect to Net Sales of a Product containing a Collaboration Molecule directed against such [**] Target and the Royalty Term for such Product has not expired on the effective date of such termination, then neither Acceleron nor any of its Affiliates or sublicensees will exploit such Product for the remainder of the applicable Royalty Term. Without limiting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(Research Funding), Acceleron shall reimburse Fulcrum for any contracted and non-cancellable out-of-pocket expenses authorized by and incurred in accordance with the Research Plan (other than with respect to Fulcrum FTEs), for which Fulcrum submits an invoice to Acceleron in accordance with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(Research Funding);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Fulcrum’s obligations pursuant to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(Research Plan), Fulcrum will use Commercially Reasonable Efforts to mitigate any such expenses, including promptly winding down any activities following Acceleron’s notice of termination. In such event, Fulcrum will in good faith make a determination of its non-cancellable costs (as mitigated pursuant to the foregoing sentence) and will notify Acceleron of such determination within [**] after the effective date of Acceleron’s termination pursuant to </w:t>
      </w:r>
      <w:r>
        <w:rPr>
          <w:rFonts w:ascii="Arial" w:cs="Arial" w:eastAsia="Arial" w:hAnsi="Arial"/>
          <w:sz w:val="19"/>
          <w:szCs w:val="19"/>
          <w:u w:val="single" w:color="auto"/>
          <w:color w:val="auto"/>
        </w:rPr>
        <w:t>Section 10.2.1</w:t>
      </w:r>
      <w:r>
        <w:rPr>
          <w:rFonts w:ascii="Arial" w:cs="Arial" w:eastAsia="Arial" w:hAnsi="Arial"/>
          <w:sz w:val="19"/>
          <w:szCs w:val="19"/>
          <w:color w:val="auto"/>
        </w:rPr>
        <w:t xml:space="preserve"> (Termination for Convenience). If Acceleron in good faith does not agree with Fulcrum’s characterization of its out-of-pocket expenses as non-cancellable, Acceleron may provide Fulcrum with written notice of its disagreement within [**] after receipt of notification from Fulcrum with respect to such non-cancellable costs, and, in such event, the Parties will resolve such dispute pursuant to </w:t>
      </w:r>
      <w:r>
        <w:rPr>
          <w:rFonts w:ascii="Arial" w:cs="Arial" w:eastAsia="Arial" w:hAnsi="Arial"/>
          <w:sz w:val="19"/>
          <w:szCs w:val="19"/>
          <w:u w:val="single" w:color="auto"/>
          <w:color w:val="auto"/>
        </w:rPr>
        <w:t>Section 12.1.4</w:t>
      </w:r>
      <w:r>
        <w:rPr>
          <w:rFonts w:ascii="Arial" w:cs="Arial" w:eastAsia="Arial" w:hAnsi="Arial"/>
          <w:sz w:val="19"/>
          <w:szCs w:val="19"/>
          <w:color w:val="auto"/>
        </w:rPr>
        <w: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90" w:name="page191"/>
    <w:bookmarkEnd w:id="190"/>
    <w:p>
      <w:pPr>
        <w:jc w:val="both"/>
        <w:ind w:firstLine="877"/>
        <w:spacing w:after="0" w:line="248" w:lineRule="auto"/>
        <w:rPr>
          <w:sz w:val="20"/>
          <w:szCs w:val="20"/>
          <w:color w:val="auto"/>
        </w:rPr>
      </w:pPr>
      <w:r>
        <w:rPr>
          <w:rFonts w:ascii="Arial" w:cs="Arial" w:eastAsia="Arial" w:hAnsi="Arial"/>
          <w:sz w:val="20"/>
          <w:szCs w:val="20"/>
          <w:color w:val="auto"/>
        </w:rPr>
        <w:t xml:space="preserve">10.3.4. </w:t>
      </w:r>
      <w:r>
        <w:rPr>
          <w:rFonts w:ascii="Arial" w:cs="Arial" w:eastAsia="Arial" w:hAnsi="Arial"/>
          <w:sz w:val="20"/>
          <w:szCs w:val="20"/>
          <w:b w:val="1"/>
          <w:bCs w:val="1"/>
          <w:color w:val="auto"/>
        </w:rPr>
        <w:t>General Effects of Termination.</w:t>
      </w:r>
      <w:r>
        <w:rPr>
          <w:rFonts w:ascii="Arial" w:cs="Arial" w:eastAsia="Arial" w:hAnsi="Arial"/>
          <w:sz w:val="20"/>
          <w:szCs w:val="20"/>
          <w:color w:val="auto"/>
        </w:rPr>
        <w:t xml:space="preserve"> In addition, to the provisions of </w:t>
      </w:r>
      <w:r>
        <w:rPr>
          <w:rFonts w:ascii="Arial" w:cs="Arial" w:eastAsia="Arial" w:hAnsi="Arial"/>
          <w:sz w:val="20"/>
          <w:szCs w:val="20"/>
          <w:u w:val="single" w:color="auto"/>
          <w:color w:val="auto"/>
        </w:rPr>
        <w:t>Section 10.3.1</w:t>
      </w:r>
      <w:r>
        <w:rPr>
          <w:rFonts w:ascii="Arial" w:cs="Arial" w:eastAsia="Arial" w:hAnsi="Arial"/>
          <w:sz w:val="20"/>
          <w:szCs w:val="20"/>
          <w:color w:val="auto"/>
        </w:rPr>
        <w:t xml:space="preserve"> (Termination by Acceleron for Material Breach; Alternative to Termination by Acceleron), </w:t>
      </w:r>
      <w:r>
        <w:rPr>
          <w:rFonts w:ascii="Arial" w:cs="Arial" w:eastAsia="Arial" w:hAnsi="Arial"/>
          <w:sz w:val="20"/>
          <w:szCs w:val="20"/>
          <w:u w:val="single" w:color="auto"/>
          <w:color w:val="auto"/>
        </w:rPr>
        <w:t>Section 10.3.2</w:t>
      </w:r>
      <w:r>
        <w:rPr>
          <w:rFonts w:ascii="Arial" w:cs="Arial" w:eastAsia="Arial" w:hAnsi="Arial"/>
          <w:sz w:val="20"/>
          <w:szCs w:val="20"/>
          <w:color w:val="auto"/>
        </w:rPr>
        <w:t xml:space="preserve"> (Termination by Fulcrum for Material Breach or Insolvency, or by Acceleron for Convenience or Insolvency), or </w:t>
      </w:r>
      <w:r>
        <w:rPr>
          <w:rFonts w:ascii="Arial" w:cs="Arial" w:eastAsia="Arial" w:hAnsi="Arial"/>
          <w:sz w:val="20"/>
          <w:szCs w:val="20"/>
          <w:u w:val="single" w:color="auto"/>
          <w:color w:val="auto"/>
        </w:rPr>
        <w:t>Section 10.3.3</w:t>
      </w:r>
      <w:r>
        <w:rPr>
          <w:rFonts w:ascii="Arial" w:cs="Arial" w:eastAsia="Arial" w:hAnsi="Arial"/>
          <w:sz w:val="20"/>
          <w:szCs w:val="20"/>
          <w:color w:val="auto"/>
        </w:rPr>
        <w:t xml:space="preserve"> (Additional Consequences for Termination by Acceleron for Convenience), as applicable, upon any expiration or termination of this Agreement:</w:t>
      </w:r>
    </w:p>
    <w:p>
      <w:pPr>
        <w:spacing w:after="0" w:line="190" w:lineRule="exact"/>
        <w:rPr>
          <w:sz w:val="20"/>
          <w:szCs w:val="20"/>
          <w:color w:val="auto"/>
        </w:rPr>
      </w:pPr>
    </w:p>
    <w:p>
      <w:pPr>
        <w:jc w:val="both"/>
        <w:ind w:left="1760" w:firstLine="746"/>
        <w:spacing w:after="0" w:line="291" w:lineRule="auto"/>
        <w:tabs>
          <w:tab w:leader="none" w:pos="3371"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unless Acceleron has made an election pursuant to clause (b) of </w:t>
      </w:r>
      <w:r>
        <w:rPr>
          <w:rFonts w:ascii="Arial" w:cs="Arial" w:eastAsia="Arial" w:hAnsi="Arial"/>
          <w:sz w:val="18"/>
          <w:szCs w:val="18"/>
          <w:u w:val="single" w:color="auto"/>
          <w:color w:val="auto"/>
        </w:rPr>
        <w:t>Section 10.3.1</w:t>
      </w:r>
      <w:r>
        <w:rPr>
          <w:rFonts w:ascii="Arial" w:cs="Arial" w:eastAsia="Arial" w:hAnsi="Arial"/>
          <w:sz w:val="18"/>
          <w:szCs w:val="18"/>
          <w:color w:val="auto"/>
        </w:rPr>
        <w:t xml:space="preserve"> (Termination by Acceleron for Material Breach; Alternative to Termination by Acceleron), each Party will promptly return all Confidential Information of the other Party as provided in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(Expiration or Termination of this Agreement);</w:t>
      </w:r>
    </w:p>
    <w:p>
      <w:pPr>
        <w:spacing w:after="0" w:line="151" w:lineRule="exact"/>
        <w:rPr>
          <w:rFonts w:ascii="Arial" w:cs="Arial" w:eastAsia="Arial" w:hAnsi="Arial"/>
          <w:sz w:val="18"/>
          <w:szCs w:val="18"/>
          <w:color w:val="auto"/>
        </w:rPr>
      </w:pPr>
    </w:p>
    <w:p>
      <w:pPr>
        <w:jc w:val="both"/>
        <w:ind w:left="1760" w:firstLine="746"/>
        <w:spacing w:after="0" w:line="244" w:lineRule="auto"/>
        <w:tabs>
          <w:tab w:leader="none" w:pos="3382" w:val="left"/>
        </w:tabs>
        <w:numPr>
          <w:ilvl w:val="0"/>
          <w:numId w:val="71"/>
        </w:numPr>
        <w:rPr>
          <w:rFonts w:ascii="Arial" w:cs="Arial" w:eastAsia="Arial" w:hAnsi="Arial"/>
          <w:sz w:val="20"/>
          <w:szCs w:val="20"/>
          <w:color w:val="auto"/>
        </w:rPr>
      </w:pPr>
      <w:r>
        <w:rPr>
          <w:rFonts w:ascii="Arial" w:cs="Arial" w:eastAsia="Arial" w:hAnsi="Arial"/>
          <w:sz w:val="20"/>
          <w:szCs w:val="20"/>
          <w:color w:val="auto"/>
        </w:rPr>
        <w:t xml:space="preserve">unless Acceleron has made an election pursuant to clause (b) of </w:t>
      </w:r>
      <w:r>
        <w:rPr>
          <w:rFonts w:ascii="Arial" w:cs="Arial" w:eastAsia="Arial" w:hAnsi="Arial"/>
          <w:sz w:val="20"/>
          <w:szCs w:val="20"/>
          <w:u w:val="single" w:color="auto"/>
          <w:color w:val="auto"/>
        </w:rPr>
        <w:t>Section 10.3.1</w:t>
      </w:r>
      <w:r>
        <w:rPr>
          <w:rFonts w:ascii="Arial" w:cs="Arial" w:eastAsia="Arial" w:hAnsi="Arial"/>
          <w:sz w:val="20"/>
          <w:szCs w:val="20"/>
          <w:color w:val="auto"/>
        </w:rPr>
        <w:t xml:space="preserve"> (Termination by Acceleron for Material Breach; Alternative to Termination by Acceleron), Acceleron will, and does hereby, assign, on behalf of itself and its Affiliates, and their Representatives, to Fulcrum, without additional compensation, all Acceleron’s rights, title and interests in and to the Target Know-How, Target Patent Rights, Collaboration Molecule Know-How, and Collaboration Molecule Patent Rights; and</w:t>
      </w:r>
    </w:p>
    <w:p>
      <w:pPr>
        <w:spacing w:after="0" w:line="194" w:lineRule="exact"/>
        <w:rPr>
          <w:rFonts w:ascii="Arial" w:cs="Arial" w:eastAsia="Arial" w:hAnsi="Arial"/>
          <w:sz w:val="20"/>
          <w:szCs w:val="20"/>
          <w:color w:val="auto"/>
        </w:rPr>
      </w:pPr>
    </w:p>
    <w:p>
      <w:pPr>
        <w:jc w:val="both"/>
        <w:ind w:left="1760" w:firstLine="746"/>
        <w:spacing w:after="0" w:line="263" w:lineRule="auto"/>
        <w:tabs>
          <w:tab w:leader="none" w:pos="3371"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if the license granted to Acceleron under this Agreement is terminated, any sublicenses granted by Acceleron will remain in full force and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as of the effective date of such termination, the applicable Sublicensee is not in breach of its sublicense agreement, and (ii) the applicable Sublicensee agrees to be bound directly to Fulcrum as a licensor under the terms and conditions of the applicable sublicense agreement.</w:t>
      </w:r>
    </w:p>
    <w:p>
      <w:pPr>
        <w:spacing w:after="0" w:line="171"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8"/>
          <w:szCs w:val="18"/>
          <w:color w:val="auto"/>
        </w:rPr>
        <w:t xml:space="preserve">10.3.5. </w:t>
      </w:r>
      <w:r>
        <w:rPr>
          <w:rFonts w:ascii="Arial" w:cs="Arial" w:eastAsia="Arial" w:hAnsi="Arial"/>
          <w:sz w:val="18"/>
          <w:szCs w:val="18"/>
          <w:b w:val="1"/>
          <w:bCs w:val="1"/>
          <w:color w:val="auto"/>
        </w:rPr>
        <w:t>Surviving Provisions.</w:t>
      </w:r>
      <w:r>
        <w:rPr>
          <w:rFonts w:ascii="Arial" w:cs="Arial" w:eastAsia="Arial" w:hAnsi="Arial"/>
          <w:sz w:val="18"/>
          <w:szCs w:val="18"/>
          <w:color w:val="auto"/>
        </w:rPr>
        <w:t xml:space="preserve"> The following provisions will survive any expiration or termination of this Agreement for the period of time specified in such provision, or if not specified, then they will survive indefinitely: </w:t>
      </w:r>
      <w:r>
        <w:rPr>
          <w:rFonts w:ascii="Arial" w:cs="Arial" w:eastAsia="Arial" w:hAnsi="Arial"/>
          <w:sz w:val="18"/>
          <w:szCs w:val="18"/>
          <w:u w:val="single" w:color="auto"/>
          <w:color w:val="auto"/>
        </w:rPr>
        <w:t>Article 1</w:t>
      </w:r>
      <w:r>
        <w:rPr>
          <w:rFonts w:ascii="Arial" w:cs="Arial" w:eastAsia="Arial" w:hAnsi="Arial"/>
          <w:sz w:val="18"/>
          <w:szCs w:val="18"/>
          <w:color w:val="auto"/>
        </w:rPr>
        <w:t xml:space="preserve"> (Definitions),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(Intellectual Property),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(Indemnification; Insurance),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(Confidentiality),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(Dispute Resolution), and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(Miscellaneous), and </w:t>
      </w:r>
      <w:r>
        <w:rPr>
          <w:rFonts w:ascii="Arial" w:cs="Arial" w:eastAsia="Arial" w:hAnsi="Arial"/>
          <w:sz w:val="18"/>
          <w:szCs w:val="18"/>
          <w:u w:val="single" w:color="auto"/>
          <w:color w:val="auto"/>
        </w:rPr>
        <w:t>Sections 6.3.4</w:t>
      </w:r>
      <w:r>
        <w:rPr>
          <w:rFonts w:ascii="Arial" w:cs="Arial" w:eastAsia="Arial" w:hAnsi="Arial"/>
          <w:sz w:val="18"/>
          <w:szCs w:val="18"/>
          <w:color w:val="auto"/>
        </w:rPr>
        <w:t xml:space="preserve"> (Royalty Reports) (final report only), </w:t>
      </w:r>
      <w:r>
        <w:rPr>
          <w:rFonts w:ascii="Arial" w:cs="Arial" w:eastAsia="Arial" w:hAnsi="Arial"/>
          <w:sz w:val="18"/>
          <w:szCs w:val="18"/>
          <w:u w:val="single" w:color="auto"/>
          <w:color w:val="auto"/>
        </w:rPr>
        <w:t>6.4</w:t>
      </w:r>
      <w:r>
        <w:rPr>
          <w:rFonts w:ascii="Arial" w:cs="Arial" w:eastAsia="Arial" w:hAnsi="Arial"/>
          <w:sz w:val="18"/>
          <w:szCs w:val="18"/>
          <w:color w:val="auto"/>
        </w:rPr>
        <w:t xml:space="preserve"> (Payment Terms; Blocked Payments) (final payment only), </w:t>
      </w:r>
      <w:r>
        <w:rPr>
          <w:rFonts w:ascii="Arial" w:cs="Arial" w:eastAsia="Arial" w:hAnsi="Arial"/>
          <w:sz w:val="18"/>
          <w:szCs w:val="18"/>
          <w:u w:val="single" w:color="auto"/>
          <w:color w:val="auto"/>
        </w:rPr>
        <w:t>6.5</w:t>
      </w:r>
      <w:r>
        <w:rPr>
          <w:rFonts w:ascii="Arial" w:cs="Arial" w:eastAsia="Arial" w:hAnsi="Arial"/>
          <w:sz w:val="18"/>
          <w:szCs w:val="18"/>
          <w:color w:val="auto"/>
        </w:rPr>
        <w:t xml:space="preserve"> (Withholding Taxes) (final payment only), </w:t>
      </w:r>
      <w:r>
        <w:rPr>
          <w:rFonts w:ascii="Arial" w:cs="Arial" w:eastAsia="Arial" w:hAnsi="Arial"/>
          <w:sz w:val="18"/>
          <w:szCs w:val="18"/>
          <w:u w:val="single" w:color="auto"/>
          <w:color w:val="auto"/>
        </w:rPr>
        <w:t>6.6</w:t>
      </w:r>
      <w:r>
        <w:rPr>
          <w:rFonts w:ascii="Arial" w:cs="Arial" w:eastAsia="Arial" w:hAnsi="Arial"/>
          <w:sz w:val="18"/>
          <w:szCs w:val="18"/>
          <w:color w:val="auto"/>
        </w:rPr>
        <w:t xml:space="preserve"> (Records; Audits), </w:t>
      </w:r>
      <w:r>
        <w:rPr>
          <w:rFonts w:ascii="Arial" w:cs="Arial" w:eastAsia="Arial" w:hAnsi="Arial"/>
          <w:sz w:val="18"/>
          <w:szCs w:val="18"/>
          <w:u w:val="single" w:color="auto"/>
          <w:color w:val="auto"/>
        </w:rPr>
        <w:t>6.7</w:t>
      </w:r>
      <w:r>
        <w:rPr>
          <w:rFonts w:ascii="Arial" w:cs="Arial" w:eastAsia="Arial" w:hAnsi="Arial"/>
          <w:sz w:val="18"/>
          <w:szCs w:val="18"/>
          <w:color w:val="auto"/>
        </w:rPr>
        <w:t xml:space="preserve"> (Late Payment),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(Disclaimer), </w:t>
      </w:r>
      <w:r>
        <w:rPr>
          <w:rFonts w:ascii="Arial" w:cs="Arial" w:eastAsia="Arial" w:hAnsi="Arial"/>
          <w:sz w:val="18"/>
          <w:szCs w:val="18"/>
          <w:u w:val="single" w:color="auto"/>
          <w:color w:val="auto"/>
        </w:rPr>
        <w:t>10.2.3(b)</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(Consequences of Termination of the Agreement), </w:t>
      </w:r>
      <w:r>
        <w:rPr>
          <w:rFonts w:ascii="Arial" w:cs="Arial" w:eastAsia="Arial" w:hAnsi="Arial"/>
          <w:sz w:val="18"/>
          <w:szCs w:val="18"/>
          <w:u w:val="single" w:color="auto"/>
          <w:color w:val="auto"/>
        </w:rPr>
        <w:t>10.3.3</w:t>
      </w:r>
      <w:r>
        <w:rPr>
          <w:rFonts w:ascii="Arial" w:cs="Arial" w:eastAsia="Arial" w:hAnsi="Arial"/>
          <w:sz w:val="18"/>
          <w:szCs w:val="18"/>
          <w:color w:val="auto"/>
        </w:rPr>
        <w:t xml:space="preserve"> (Additional Consequences for Termination by Acceleron for Convenience) </w:t>
      </w:r>
      <w:r>
        <w:rPr>
          <w:rFonts w:ascii="Arial" w:cs="Arial" w:eastAsia="Arial" w:hAnsi="Arial"/>
          <w:sz w:val="18"/>
          <w:szCs w:val="18"/>
          <w:u w:val="single" w:color="auto"/>
          <w:color w:val="auto"/>
        </w:rPr>
        <w:t>10.3.4</w:t>
      </w:r>
      <w:r>
        <w:rPr>
          <w:rFonts w:ascii="Arial" w:cs="Arial" w:eastAsia="Arial" w:hAnsi="Arial"/>
          <w:sz w:val="18"/>
          <w:szCs w:val="18"/>
          <w:color w:val="auto"/>
        </w:rPr>
        <w:t xml:space="preserve"> (General Effects of Termination), and </w:t>
      </w:r>
      <w:r>
        <w:rPr>
          <w:rFonts w:ascii="Arial" w:cs="Arial" w:eastAsia="Arial" w:hAnsi="Arial"/>
          <w:sz w:val="18"/>
          <w:szCs w:val="18"/>
          <w:u w:val="single" w:color="auto"/>
          <w:color w:val="auto"/>
        </w:rPr>
        <w:t>10.3.5</w:t>
      </w:r>
      <w:r>
        <w:rPr>
          <w:rFonts w:ascii="Arial" w:cs="Arial" w:eastAsia="Arial" w:hAnsi="Arial"/>
          <w:sz w:val="18"/>
          <w:szCs w:val="18"/>
          <w:color w:val="auto"/>
        </w:rPr>
        <w:t xml:space="preserve"> (Surviving Provisions). In addition,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(Research, Development, Manufacturing, and Commercialization of Products),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(License Grants and Exclusivity) and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(Milestone Payments) (subject to </w:t>
      </w:r>
      <w:r>
        <w:rPr>
          <w:rFonts w:ascii="Arial" w:cs="Arial" w:eastAsia="Arial" w:hAnsi="Arial"/>
          <w:sz w:val="18"/>
          <w:szCs w:val="18"/>
          <w:u w:val="single" w:color="auto"/>
          <w:color w:val="auto"/>
        </w:rPr>
        <w:t>Section 10.3.1</w:t>
      </w:r>
      <w:r>
        <w:rPr>
          <w:rFonts w:ascii="Arial" w:cs="Arial" w:eastAsia="Arial" w:hAnsi="Arial"/>
          <w:sz w:val="18"/>
          <w:szCs w:val="18"/>
          <w:color w:val="auto"/>
        </w:rPr>
        <w:t xml:space="preserve"> (Termination by Acceleron for Material Breach or Insolvency; Alternative to Termination by Acceleron)), the remainder of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(Royalties) (subject to </w:t>
      </w:r>
      <w:r>
        <w:rPr>
          <w:rFonts w:ascii="Arial" w:cs="Arial" w:eastAsia="Arial" w:hAnsi="Arial"/>
          <w:sz w:val="18"/>
          <w:szCs w:val="18"/>
          <w:u w:val="single" w:color="auto"/>
          <w:color w:val="auto"/>
        </w:rPr>
        <w:t>Section 10.3.1</w:t>
      </w:r>
      <w:r>
        <w:rPr>
          <w:rFonts w:ascii="Arial" w:cs="Arial" w:eastAsia="Arial" w:hAnsi="Arial"/>
          <w:sz w:val="18"/>
          <w:szCs w:val="18"/>
          <w:color w:val="auto"/>
        </w:rPr>
        <w:t xml:space="preserve"> (Termination by Acceleron for Material Breach or Insolvency; Alternative to Termination by Acceleron)), and </w:t>
      </w:r>
      <w:r>
        <w:rPr>
          <w:rFonts w:ascii="Arial" w:cs="Arial" w:eastAsia="Arial" w:hAnsi="Arial"/>
          <w:sz w:val="18"/>
          <w:szCs w:val="18"/>
          <w:u w:val="single" w:color="auto"/>
          <w:color w:val="auto"/>
        </w:rPr>
        <w:t>Sections 6.4</w:t>
      </w:r>
      <w:r>
        <w:rPr>
          <w:rFonts w:ascii="Arial" w:cs="Arial" w:eastAsia="Arial" w:hAnsi="Arial"/>
          <w:sz w:val="18"/>
          <w:szCs w:val="18"/>
          <w:color w:val="auto"/>
        </w:rPr>
        <w:t xml:space="preserve"> (Payment Terms; Blocked Payments), </w:t>
      </w:r>
      <w:r>
        <w:rPr>
          <w:rFonts w:ascii="Arial" w:cs="Arial" w:eastAsia="Arial" w:hAnsi="Arial"/>
          <w:sz w:val="18"/>
          <w:szCs w:val="18"/>
          <w:u w:val="single" w:color="auto"/>
          <w:color w:val="auto"/>
        </w:rPr>
        <w:t>6.5</w:t>
      </w:r>
      <w:r>
        <w:rPr>
          <w:rFonts w:ascii="Arial" w:cs="Arial" w:eastAsia="Arial" w:hAnsi="Arial"/>
          <w:sz w:val="18"/>
          <w:szCs w:val="18"/>
          <w:color w:val="auto"/>
        </w:rPr>
        <w:t xml:space="preserve"> (Withholding Taxes), and </w:t>
      </w:r>
      <w:r>
        <w:rPr>
          <w:rFonts w:ascii="Arial" w:cs="Arial" w:eastAsia="Arial" w:hAnsi="Arial"/>
          <w:sz w:val="18"/>
          <w:szCs w:val="18"/>
          <w:u w:val="single" w:color="auto"/>
          <w:color w:val="auto"/>
        </w:rPr>
        <w:t>6.6</w:t>
      </w:r>
      <w:r>
        <w:rPr>
          <w:rFonts w:ascii="Arial" w:cs="Arial" w:eastAsia="Arial" w:hAnsi="Arial"/>
          <w:sz w:val="18"/>
          <w:szCs w:val="18"/>
          <w:color w:val="auto"/>
        </w:rPr>
        <w:t xml:space="preserve"> (Records; Audits) will also survive any termination of this Agreement by Acceleron under </w:t>
      </w:r>
      <w:r>
        <w:rPr>
          <w:rFonts w:ascii="Arial" w:cs="Arial" w:eastAsia="Arial" w:hAnsi="Arial"/>
          <w:sz w:val="18"/>
          <w:szCs w:val="18"/>
          <w:u w:val="single" w:color="auto"/>
          <w:color w:val="auto"/>
        </w:rPr>
        <w:t>Sections 10.2.2</w:t>
      </w:r>
      <w:r>
        <w:rPr>
          <w:rFonts w:ascii="Arial" w:cs="Arial" w:eastAsia="Arial" w:hAnsi="Arial"/>
          <w:sz w:val="18"/>
          <w:szCs w:val="18"/>
          <w:color w:val="auto"/>
        </w:rPr>
        <w:t xml:space="preserve"> (Termination for Material Breach) or </w:t>
      </w:r>
      <w:r>
        <w:rPr>
          <w:rFonts w:ascii="Arial" w:cs="Arial" w:eastAsia="Arial" w:hAnsi="Arial"/>
          <w:sz w:val="18"/>
          <w:szCs w:val="18"/>
          <w:u w:val="single" w:color="auto"/>
          <w:color w:val="auto"/>
        </w:rPr>
        <w:t>10.2.3</w:t>
      </w:r>
      <w:r>
        <w:rPr>
          <w:rFonts w:ascii="Arial" w:cs="Arial" w:eastAsia="Arial" w:hAnsi="Arial"/>
          <w:sz w:val="18"/>
          <w:szCs w:val="18"/>
          <w:color w:val="auto"/>
        </w:rPr>
        <w:t xml:space="preserve"> (Termination for Insolvency), and the remainder of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(Royalties), and </w:t>
      </w:r>
      <w:r>
        <w:rPr>
          <w:rFonts w:ascii="Arial" w:cs="Arial" w:eastAsia="Arial" w:hAnsi="Arial"/>
          <w:sz w:val="18"/>
          <w:szCs w:val="18"/>
          <w:u w:val="single" w:color="auto"/>
          <w:color w:val="auto"/>
        </w:rPr>
        <w:t>Sections 6.4</w:t>
      </w:r>
      <w:r>
        <w:rPr>
          <w:rFonts w:ascii="Arial" w:cs="Arial" w:eastAsia="Arial" w:hAnsi="Arial"/>
          <w:sz w:val="18"/>
          <w:szCs w:val="18"/>
          <w:color w:val="auto"/>
        </w:rPr>
        <w:t xml:space="preserve"> (Payment Terms; Blocked Payments), </w:t>
      </w:r>
      <w:r>
        <w:rPr>
          <w:rFonts w:ascii="Arial" w:cs="Arial" w:eastAsia="Arial" w:hAnsi="Arial"/>
          <w:sz w:val="18"/>
          <w:szCs w:val="18"/>
          <w:u w:val="single" w:color="auto"/>
          <w:color w:val="auto"/>
        </w:rPr>
        <w:t>6.5</w:t>
      </w:r>
      <w:r>
        <w:rPr>
          <w:rFonts w:ascii="Arial" w:cs="Arial" w:eastAsia="Arial" w:hAnsi="Arial"/>
          <w:sz w:val="18"/>
          <w:szCs w:val="18"/>
          <w:color w:val="auto"/>
        </w:rPr>
        <w:t xml:space="preserve"> (Withholding Taxes) and </w:t>
      </w:r>
      <w:r>
        <w:rPr>
          <w:rFonts w:ascii="Arial" w:cs="Arial" w:eastAsia="Arial" w:hAnsi="Arial"/>
          <w:sz w:val="18"/>
          <w:szCs w:val="18"/>
          <w:u w:val="single" w:color="auto"/>
          <w:color w:val="auto"/>
        </w:rPr>
        <w:t>6.6</w:t>
      </w:r>
      <w:r>
        <w:rPr>
          <w:rFonts w:ascii="Arial" w:cs="Arial" w:eastAsia="Arial" w:hAnsi="Arial"/>
          <w:sz w:val="18"/>
          <w:szCs w:val="18"/>
          <w:color w:val="auto"/>
        </w:rPr>
        <w:t xml:space="preserve"> (Records; Audits) will also survive any termination of this Agreement by Acceleron under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(Termination for Convenience). Termination of this Agreement will not relieve the Parties of any liability which accrued under this Agreement prior to the effective date of such termination nor preclude either Party from pursuing all rights and remedies it may have under this Agreement or at law or in equity with respect to any breach of this Agreement. The remedies provided in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(Term; Termination) are not exclusive of any other remedies a Party may have in law or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w:t>
      </w:r>
    </w:p>
    <w:p>
      <w:pPr>
        <w:spacing w:after="0" w:line="194"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b w:val="1"/>
          <w:bCs w:val="1"/>
          <w:u w:val="single" w:color="auto"/>
          <w:color w:val="auto"/>
        </w:rPr>
        <w:t>Confidentiality</w:t>
      </w:r>
      <w:r>
        <w:rPr>
          <w:rFonts w:ascii="Arial" w:cs="Arial" w:eastAsia="Arial" w:hAnsi="Arial"/>
          <w:sz w:val="20"/>
          <w:szCs w:val="20"/>
          <w:color w:val="auto"/>
        </w:rPr>
        <w:t>. Each Party (the “</w:t>
      </w:r>
      <w:r>
        <w:rPr>
          <w:rFonts w:ascii="Arial" w:cs="Arial" w:eastAsia="Arial" w:hAnsi="Arial"/>
          <w:sz w:val="20"/>
          <w:szCs w:val="20"/>
          <w:b w:val="1"/>
          <w:bCs w:val="1"/>
          <w:color w:val="auto"/>
        </w:rPr>
        <w:t>Receiving Party</w:t>
      </w:r>
      <w:r>
        <w:rPr>
          <w:rFonts w:ascii="Arial" w:cs="Arial" w:eastAsia="Arial" w:hAnsi="Arial"/>
          <w:sz w:val="20"/>
          <w:szCs w:val="20"/>
          <w:color w:val="auto"/>
        </w:rPr>
        <w:t>”) receiving any Confidential Information of the other Party (the “</w:t>
      </w:r>
      <w:r>
        <w:rPr>
          <w:rFonts w:ascii="Arial" w:cs="Arial" w:eastAsia="Arial" w:hAnsi="Arial"/>
          <w:sz w:val="20"/>
          <w:szCs w:val="20"/>
          <w:b w:val="1"/>
          <w:bCs w:val="1"/>
          <w:color w:val="auto"/>
        </w:rPr>
        <w:t>Disclosing Party</w:t>
      </w:r>
      <w:r>
        <w:rPr>
          <w:rFonts w:ascii="Arial" w:cs="Arial" w:eastAsia="Arial" w:hAnsi="Arial"/>
          <w:sz w:val="20"/>
          <w:szCs w:val="20"/>
          <w:color w:val="auto"/>
        </w:rPr>
        <w:t>”) will: (a) keep the Disclosing Party’s Confidential Information confidential; (b) not publish, or allow to be published, and will not otherwise disclose, or permit the disclosure of, the Disclosing Party’s Confidential Information; and (c) not use, or permit to be used, the Disclosing Party’s Confidential Information for any purpose, except, in each case, to the extent expressly permitted under this Agreement or otherwise agreed by the Parties in writing.</w:t>
      </w:r>
    </w:p>
    <w:p>
      <w:pPr>
        <w:spacing w:after="0" w:line="185"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9"/>
          <w:szCs w:val="19"/>
          <w:b w:val="1"/>
          <w:bCs w:val="1"/>
          <w:u w:val="single" w:color="auto"/>
          <w:color w:val="auto"/>
        </w:rPr>
        <w:t>Authorized Disclosure</w:t>
      </w:r>
      <w:r>
        <w:rPr>
          <w:rFonts w:ascii="Arial" w:cs="Arial" w:eastAsia="Arial" w:hAnsi="Arial"/>
          <w:sz w:val="19"/>
          <w:szCs w:val="19"/>
          <w:color w:val="auto"/>
        </w:rPr>
        <w:t>. Notwithstanding</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Section 11.1</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(Confidentiality), the Receiving Party may disclose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Disclosing Party’s Confidential Information to the extent such disclosure is reasonably necessary to:</w:t>
      </w:r>
    </w:p>
    <w:p>
      <w:pPr>
        <w:spacing w:after="0" w:line="200" w:lineRule="exact"/>
        <w:rPr>
          <w:sz w:val="20"/>
          <w:szCs w:val="20"/>
          <w:color w:val="auto"/>
        </w:rPr>
      </w:pPr>
    </w:p>
    <w:p>
      <w:pPr>
        <w:ind w:left="880"/>
        <w:spacing w:after="0"/>
        <w:tabs>
          <w:tab w:leader="none" w:pos="2060" w:val="left"/>
        </w:tabs>
        <w:rPr>
          <w:sz w:val="20"/>
          <w:szCs w:val="20"/>
          <w:color w:val="auto"/>
        </w:rPr>
      </w:pPr>
      <w:r>
        <w:rPr>
          <w:rFonts w:ascii="Arial" w:cs="Arial" w:eastAsia="Arial" w:hAnsi="Arial"/>
          <w:sz w:val="20"/>
          <w:szCs w:val="20"/>
          <w:color w:val="auto"/>
        </w:rPr>
        <w:t>11.2.1.</w:t>
      </w:r>
      <w:r>
        <w:rPr>
          <w:sz w:val="20"/>
          <w:szCs w:val="20"/>
          <w:color w:val="auto"/>
        </w:rPr>
        <w:tab/>
      </w:r>
      <w:r>
        <w:rPr>
          <w:rFonts w:ascii="Arial" w:cs="Arial" w:eastAsia="Arial" w:hAnsi="Arial"/>
          <w:sz w:val="16"/>
          <w:szCs w:val="16"/>
          <w:color w:val="auto"/>
        </w:rPr>
        <w:t>file or prosecute patent applications as contemplated by this Agreement;</w:t>
      </w:r>
    </w:p>
    <w:p>
      <w:pPr>
        <w:spacing w:after="0" w:line="216" w:lineRule="exact"/>
        <w:rPr>
          <w:sz w:val="20"/>
          <w:szCs w:val="20"/>
          <w:color w:val="auto"/>
        </w:rPr>
      </w:pPr>
    </w:p>
    <w:p>
      <w:pPr>
        <w:ind w:left="880"/>
        <w:spacing w:after="0"/>
        <w:tabs>
          <w:tab w:leader="none" w:pos="206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18"/>
          <w:szCs w:val="18"/>
          <w:color w:val="auto"/>
        </w:rPr>
        <w:t>prosecute or defend litigation;</w:t>
      </w:r>
    </w:p>
    <w:p>
      <w:pPr>
        <w:spacing w:after="0" w:line="216"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11.2.3. its advisors (including financial advisors, attorneys, and accountants), actual or potential acquisition partners, financing sources or investors and underwriters who have a legitimate business reason to know such Confidential Information;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disclosure is covered by terms of confidentiality at least a restrictive as those set forth herein (which may include professional ethical obligations); or</w:t>
      </w:r>
    </w:p>
    <w:p>
      <w:pPr>
        <w:spacing w:after="0" w:line="192"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11.2.4. comply with Applicable Law (including the rules and regulations promulgated by the United States Securities and Exchange Commission or any equivalent Governmental Authority in any country in the Territory);</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In addition to the foregoing, the Receiving Party may disclose the Disclosing Party’s Confidential Information to its Representatives who have a need to know such Confidential Information in connection with the Receiving Party’s performance of its obligations under this Agreement;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disclosure is covered by terms of confidentiality at least as restrictive as those set forth herein.</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If the Receiving Party deems it reasonably necessary to disclose the Disclosing Party’s Confidential Information pursuant to </w:t>
      </w:r>
      <w:r>
        <w:rPr>
          <w:rFonts w:ascii="Arial" w:cs="Arial" w:eastAsia="Arial" w:hAnsi="Arial"/>
          <w:sz w:val="16"/>
          <w:szCs w:val="16"/>
          <w:u w:val="single" w:color="auto"/>
          <w:color w:val="auto"/>
        </w:rPr>
        <w:t>Sections 11.2.1</w:t>
      </w:r>
      <w:r>
        <w:rPr>
          <w:rFonts w:ascii="Arial" w:cs="Arial" w:eastAsia="Arial" w:hAnsi="Arial"/>
          <w:sz w:val="16"/>
          <w:szCs w:val="16"/>
          <w:color w:val="auto"/>
        </w:rPr>
        <w:t xml:space="preserve">, </w:t>
      </w:r>
      <w:r>
        <w:rPr>
          <w:rFonts w:ascii="Arial" w:cs="Arial" w:eastAsia="Arial" w:hAnsi="Arial"/>
          <w:sz w:val="16"/>
          <w:szCs w:val="16"/>
          <w:u w:val="single" w:color="auto"/>
          <w:color w:val="auto"/>
        </w:rPr>
        <w:t>11.2.2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11.2.4,</w:t>
      </w:r>
      <w:r>
        <w:rPr>
          <w:rFonts w:ascii="Arial" w:cs="Arial" w:eastAsia="Arial" w:hAnsi="Arial"/>
          <w:sz w:val="16"/>
          <w:szCs w:val="16"/>
          <w:color w:val="auto"/>
        </w:rPr>
        <w:t xml:space="preserve"> then the Receiving Party will, to the extent possible, give reasonable advance notice of such disclosure to the Disclosing Party and take such measures to ensure confidential treatment of such Confidential Information as is reasonably requested by the Disclosing Party.</w:t>
      </w:r>
    </w:p>
    <w:p>
      <w:pPr>
        <w:spacing w:after="0" w:line="4" w:lineRule="exact"/>
        <w:rPr>
          <w:sz w:val="20"/>
          <w:szCs w:val="20"/>
          <w:color w:val="auto"/>
        </w:rPr>
      </w:pPr>
    </w:p>
    <w:p>
      <w:pPr>
        <w:jc w:val="both"/>
        <w:ind w:firstLine="877"/>
        <w:spacing w:after="0" w:line="293"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b w:val="1"/>
          <w:bCs w:val="1"/>
          <w:u w:val="single" w:color="auto"/>
          <w:color w:val="auto"/>
        </w:rPr>
        <w:t>Exceptions</w:t>
      </w:r>
      <w:r>
        <w:rPr>
          <w:rFonts w:ascii="Arial" w:cs="Arial" w:eastAsia="Arial" w:hAnsi="Arial"/>
          <w:sz w:val="19"/>
          <w:szCs w:val="19"/>
          <w:b w:val="1"/>
          <w:bCs w:val="1"/>
          <w:color w:val="auto"/>
        </w:rPr>
        <w:t>.</w:t>
      </w:r>
      <w:r>
        <w:rPr>
          <w:rFonts w:ascii="Arial" w:cs="Arial" w:eastAsia="Arial" w:hAnsi="Arial"/>
          <w:sz w:val="19"/>
          <w:szCs w:val="19"/>
          <w:color w:val="auto"/>
        </w:rPr>
        <w:t xml:space="preserve"> The Receiving Party’s obligations of non-disclosure and non-use under this Agreement will not apply to any portion of the Disclosing Party’s Confidential Information that the Receiving Party can demonstrate, by competent proof:</w:t>
      </w:r>
    </w:p>
    <w:p>
      <w:pPr>
        <w:spacing w:after="0" w:line="148"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11.3.1. is generally known to the public at the time of disclosure or becomes generally known through no wrongful act on the part of the Receiving Party;</w:t>
      </w:r>
    </w:p>
    <w:p>
      <w:pPr>
        <w:spacing w:after="0" w:line="177" w:lineRule="exact"/>
        <w:rPr>
          <w:sz w:val="20"/>
          <w:szCs w:val="20"/>
          <w:color w:val="auto"/>
        </w:rPr>
      </w:pPr>
    </w:p>
    <w:p>
      <w:pPr>
        <w:ind w:right="280" w:firstLine="877"/>
        <w:spacing w:after="0" w:line="260" w:lineRule="auto"/>
        <w:rPr>
          <w:sz w:val="20"/>
          <w:szCs w:val="20"/>
          <w:color w:val="auto"/>
        </w:rPr>
      </w:pPr>
      <w:r>
        <w:rPr>
          <w:rFonts w:ascii="Arial" w:cs="Arial" w:eastAsia="Arial" w:hAnsi="Arial"/>
          <w:sz w:val="20"/>
          <w:szCs w:val="20"/>
          <w:color w:val="auto"/>
        </w:rPr>
        <w:t>11.3.2. is in the Receiving Party’s possession prior to the time of disclosure, other than as a result of the Receiving Party’s breach of any legal obligation with respect to such Confidential Information;</w:t>
      </w:r>
    </w:p>
    <w:p>
      <w:pPr>
        <w:spacing w:after="0" w:line="177" w:lineRule="exact"/>
        <w:rPr>
          <w:sz w:val="20"/>
          <w:szCs w:val="20"/>
          <w:color w:val="auto"/>
        </w:rPr>
      </w:pPr>
    </w:p>
    <w:p>
      <w:pPr>
        <w:ind w:right="520" w:firstLine="877"/>
        <w:spacing w:after="0" w:line="260" w:lineRule="auto"/>
        <w:rPr>
          <w:sz w:val="20"/>
          <w:szCs w:val="20"/>
          <w:color w:val="auto"/>
        </w:rPr>
      </w:pPr>
      <w:r>
        <w:rPr>
          <w:rFonts w:ascii="Arial" w:cs="Arial" w:eastAsia="Arial" w:hAnsi="Arial"/>
          <w:sz w:val="20"/>
          <w:szCs w:val="20"/>
          <w:color w:val="auto"/>
        </w:rPr>
        <w:t>11.3.3. becomes known to the Receiving Party on a non-confidential basis through disclosure by sources other than the Disclosing Party having the legal right to disclose such Confidential Information; 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92" w:name="page193"/>
    <w:bookmarkEnd w:id="192"/>
    <w:p>
      <w:pPr>
        <w:ind w:right="560" w:firstLine="877"/>
        <w:spacing w:after="0" w:line="260" w:lineRule="auto"/>
        <w:rPr>
          <w:sz w:val="20"/>
          <w:szCs w:val="20"/>
          <w:color w:val="auto"/>
        </w:rPr>
      </w:pPr>
      <w:r>
        <w:rPr>
          <w:rFonts w:ascii="Arial" w:cs="Arial" w:eastAsia="Arial" w:hAnsi="Arial"/>
          <w:sz w:val="20"/>
          <w:szCs w:val="20"/>
          <w:color w:val="auto"/>
        </w:rPr>
        <w:t>11.3.4. is independently developed by the Receiving Party without reference to or reliance upon the Disclosing Party’s Confidential Information.</w:t>
      </w:r>
    </w:p>
    <w:p>
      <w:pPr>
        <w:spacing w:after="0" w:line="171"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b w:val="1"/>
          <w:bCs w:val="1"/>
          <w:u w:val="single" w:color="auto"/>
          <w:color w:val="auto"/>
        </w:rPr>
        <w:t>Expiration or Termination of this Agreement</w:t>
      </w:r>
      <w:r>
        <w:rPr>
          <w:rFonts w:ascii="Arial" w:cs="Arial" w:eastAsia="Arial" w:hAnsi="Arial"/>
          <w:sz w:val="19"/>
          <w:szCs w:val="19"/>
          <w:color w:val="auto"/>
        </w:rPr>
        <w:t xml:space="preserve">. Following expiration or termination of this Agreement, if requested by the Disclosing Party, at the Disclosing Party’s election, the Receiving Party will promptly (but no more than [**] after such request) return or destroy, all data, files, records and other materials containing or comprising the Disclosing Party’s Confidential Information, except to the extent such Confidential Information is necessary or useful to conduct surviving obligations or exercise surviving rights. Notwithstanding the foregoing, (a) the Receiving Party will be permitted to retain one (1) copy of such data, files, records, and other materials for archival and legal compliance purposes, and (b) the Receiving Party will not be required to delete or destroy any electronic back-up tapes or other electronic back-up files that have been created solely by the Receiving Party’s automatic or routine archiving and back-up procedures, to the extent created and retained in a manner consistent with its or their standard archiving and back-up procedure;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in each case such retained information will continue to be subject to the confidentiality and non-use obligations set forth under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(Confidentiality). The confidentiality and non-use obligations set forth under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(Confidentiality) will survive expiration or termination of this Agreement for [**] from the effective date of such expiration or termination.</w:t>
      </w:r>
    </w:p>
    <w:p>
      <w:pPr>
        <w:spacing w:after="0" w:line="178"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u w:val="single" w:color="auto"/>
          <w:color w:val="auto"/>
        </w:rPr>
        <w:t>Public Announcement</w:t>
      </w:r>
      <w:r>
        <w:rPr>
          <w:rFonts w:ascii="Arial" w:cs="Arial" w:eastAsia="Arial" w:hAnsi="Arial"/>
          <w:sz w:val="18"/>
          <w:szCs w:val="18"/>
          <w:color w:val="auto"/>
        </w:rPr>
        <w:t xml:space="preserve">. Promptly following the Effective Date, the Parties will jointly issue a mutually agreed press release regarding the signing of this Agreement in the form attached hereto as </w:t>
      </w:r>
      <w:r>
        <w:rPr>
          <w:rFonts w:ascii="Arial" w:cs="Arial" w:eastAsia="Arial" w:hAnsi="Arial"/>
          <w:sz w:val="18"/>
          <w:szCs w:val="18"/>
          <w:u w:val="single" w:color="auto"/>
          <w:color w:val="auto"/>
        </w:rPr>
        <w:t>Schedule 11.5</w:t>
      </w:r>
      <w:r>
        <w:rPr>
          <w:rFonts w:ascii="Arial" w:cs="Arial" w:eastAsia="Arial" w:hAnsi="Arial"/>
          <w:sz w:val="18"/>
          <w:szCs w:val="18"/>
          <w:color w:val="auto"/>
        </w:rPr>
        <w:t xml:space="preserve">. Except (a) as set forth in the preceding sentence or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(Authorized Disclosure), (b) as required to comply with Applicable Law (including the rules and regulations promulgated by the United States Securities and Exchange Commission or any equivalent Governmental Authority in any country in the Territory), and (c) as may be expressly permitted under this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(Public Announcement), neither Party will make any public announcement regarding this Agreement without the prior written approval of the other Party. Notwithstanding the foregoing, (i) Acceleron may make scientific publications or public announcements concerning its research, development, manufacture or commercialization activities with respect to any Product under this Agreement without Fulcrum’s prior written approval but subject to Acceleron’s obligations under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(Confidentiality), (ii) Fulcrum may announce the achievement of any Milestone or the payment of any Milestone 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Fulcrum shall not disclose details sufficient to identify the [**] Target, or any Collaboration Molecule or Product, unless required by Applicable Law, and (B) Fulcrum shall provide Acceleron reasonable advance notice of any such proposed announcement, and will incorporate such reasonable comments and revisions to protect the Confidential Information of Acceleron as reasonably requested by Acceleron, and (iii) Fulcrum will not otherwise make any publications, presentations or public announcements of any kind regarding any of the activities contemplated under this Agreement or the results of such activities without Acceleron’s prior written consent in each instance. Neither Party will use the other Party’s or its Affiliates’ name or logo in any label, press release or product advertising, or for any other promotional purpose, without first obtaining the other Party’s prior written consent.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DISPUTE RESOLUTION</w:t>
      </w:r>
    </w:p>
    <w:p>
      <w:pPr>
        <w:spacing w:after="0" w:line="194"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b w:val="1"/>
          <w:bCs w:val="1"/>
          <w:u w:val="single" w:color="auto"/>
          <w:color w:val="auto"/>
        </w:rPr>
        <w:t>Dispute Resolution</w:t>
      </w:r>
      <w:r>
        <w:rPr>
          <w:rFonts w:ascii="Arial" w:cs="Arial" w:eastAsia="Arial" w:hAnsi="Arial"/>
          <w:sz w:val="18"/>
          <w:szCs w:val="18"/>
          <w:color w:val="auto"/>
        </w:rPr>
        <w:t>. If any dispute or disagreement arises between the Parties with respect to any matter under this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Agreement, they will follow the following procedures in an attempt to resolve the dispute or disagreement:</w:t>
      </w:r>
    </w:p>
    <w:p>
      <w:pPr>
        <w:spacing w:after="0" w:line="200"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12.1.1. The Party claiming that such a dispute exists will give notice in writing to the other Party of the nature of the dispute, and the JSC will meet to try to resolve the dispute.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93" w:name="page194"/>
    <w:bookmarkEnd w:id="193"/>
    <w:p>
      <w:pPr>
        <w:jc w:val="both"/>
        <w:ind w:firstLine="877"/>
        <w:spacing w:after="0" w:line="260" w:lineRule="auto"/>
        <w:rPr>
          <w:sz w:val="20"/>
          <w:szCs w:val="20"/>
          <w:color w:val="auto"/>
        </w:rPr>
      </w:pPr>
      <w:r>
        <w:rPr>
          <w:rFonts w:ascii="Arial" w:cs="Arial" w:eastAsia="Arial" w:hAnsi="Arial"/>
          <w:sz w:val="20"/>
          <w:szCs w:val="20"/>
          <w:color w:val="auto"/>
        </w:rPr>
        <w:t>12.1.2. If the JSC is not able to resolve such dispute within [**] after receipt of such notice, then the dispute will be submitted to the Executive Officers of Acceleron and Fulcrum for resolution.</w:t>
      </w:r>
    </w:p>
    <w:p>
      <w:pPr>
        <w:spacing w:after="0" w:line="17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12.1.3. If the Executive Offices are not able to resolve such dispute cannot within [**] after escalation to the Executive Officers, then the Parties agree that either Party may invoke any remedy available to it under law or equity to resolve the dispute.</w:t>
      </w:r>
    </w:p>
    <w:p>
      <w:pPr>
        <w:spacing w:after="0" w:line="177" w:lineRule="exact"/>
        <w:rPr>
          <w:sz w:val="20"/>
          <w:szCs w:val="20"/>
          <w:color w:val="auto"/>
        </w:rPr>
      </w:pPr>
    </w:p>
    <w:p>
      <w:pPr>
        <w:jc w:val="both"/>
        <w:ind w:firstLine="877"/>
        <w:spacing w:after="0" w:line="241" w:lineRule="auto"/>
        <w:rPr>
          <w:sz w:val="20"/>
          <w:szCs w:val="20"/>
          <w:color w:val="auto"/>
        </w:rPr>
      </w:pPr>
      <w:r>
        <w:rPr>
          <w:rFonts w:ascii="Arial" w:cs="Arial" w:eastAsia="Arial" w:hAnsi="Arial"/>
          <w:sz w:val="20"/>
          <w:szCs w:val="20"/>
          <w:color w:val="auto"/>
        </w:rPr>
        <w:t xml:space="preserve">12.1.4. Notwithstanding anything to the contrary herein, including the rest of this </w:t>
      </w:r>
      <w:r>
        <w:rPr>
          <w:rFonts w:ascii="Arial" w:cs="Arial" w:eastAsia="Arial" w:hAnsi="Arial"/>
          <w:sz w:val="20"/>
          <w:szCs w:val="20"/>
          <w:u w:val="single" w:color="auto"/>
          <w:color w:val="auto"/>
        </w:rPr>
        <w:t>Section 12.1</w:t>
      </w:r>
      <w:r>
        <w:rPr>
          <w:rFonts w:ascii="Arial" w:cs="Arial" w:eastAsia="Arial" w:hAnsi="Arial"/>
          <w:sz w:val="20"/>
          <w:szCs w:val="20"/>
          <w:color w:val="auto"/>
        </w:rPr>
        <w:t xml:space="preserve"> (Dispute Resolution), in the event of a dispute regarding (a) Acceleron’s determination pursuant to </w:t>
      </w:r>
      <w:r>
        <w:rPr>
          <w:rFonts w:ascii="Arial" w:cs="Arial" w:eastAsia="Arial" w:hAnsi="Arial"/>
          <w:sz w:val="20"/>
          <w:szCs w:val="20"/>
          <w:u w:val="single" w:color="auto"/>
          <w:color w:val="auto"/>
        </w:rPr>
        <w:t>Section 1.82.1</w:t>
      </w:r>
      <w:r>
        <w:rPr>
          <w:rFonts w:ascii="Arial" w:cs="Arial" w:eastAsia="Arial" w:hAnsi="Arial"/>
          <w:sz w:val="20"/>
          <w:szCs w:val="20"/>
          <w:color w:val="auto"/>
        </w:rPr>
        <w:t xml:space="preserve"> of the respective fair market values of the Mono Product and all other active compounds or active ingredients included in the Combination Product, (b) the JSC’s determination pursuant to </w:t>
      </w:r>
      <w:r>
        <w:rPr>
          <w:rFonts w:ascii="Arial" w:cs="Arial" w:eastAsia="Arial" w:hAnsi="Arial"/>
          <w:sz w:val="20"/>
          <w:szCs w:val="20"/>
          <w:u w:val="single" w:color="auto"/>
          <w:color w:val="auto"/>
        </w:rPr>
        <w:t>Section 2.4.4</w:t>
      </w:r>
      <w:r>
        <w:rPr>
          <w:rFonts w:ascii="Arial" w:cs="Arial" w:eastAsia="Arial" w:hAnsi="Arial"/>
          <w:sz w:val="20"/>
          <w:szCs w:val="20"/>
          <w:color w:val="auto"/>
        </w:rPr>
        <w:t xml:space="preserve"> of whether any Research Milestone 1 has been achieved, (c) Fulcrum’s determination of its non-cancellable costs pursuant to </w:t>
      </w:r>
      <w:r>
        <w:rPr>
          <w:rFonts w:ascii="Arial" w:cs="Arial" w:eastAsia="Arial" w:hAnsi="Arial"/>
          <w:sz w:val="20"/>
          <w:szCs w:val="20"/>
          <w:u w:val="single" w:color="auto"/>
          <w:color w:val="auto"/>
        </w:rPr>
        <w:t>Section 10.3.3</w:t>
      </w:r>
      <w:r>
        <w:rPr>
          <w:rFonts w:ascii="Arial" w:cs="Arial" w:eastAsia="Arial" w:hAnsi="Arial"/>
          <w:sz w:val="20"/>
          <w:szCs w:val="20"/>
          <w:color w:val="auto"/>
        </w:rPr>
        <w:t xml:space="preserve"> (Additional Consequences for Termination by Acceleron for Convenience) or (d) Acceleron’s determination of whether any Data Package, including the Final Data Package, is complete, then in either case ((a), (b), (c) or (d)), the Parties will mutually identify a Third Party expert to resolve such dispute and may, within [**] of identifying such expert, each present any supporting materials to such expert that such Party desires for resolution of such dispute. Such expert will be instructed to provide its resolution of such dispute within [**] after the end of the preceding [**] period, and the determination of such expert will be binding on the Parties, with the costs of such expert being shared equally by the Parties.</w:t>
      </w:r>
    </w:p>
    <w:p>
      <w:pPr>
        <w:spacing w:after="0" w:line="19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b w:val="1"/>
          <w:bCs w:val="1"/>
          <w:u w:val="single" w:color="auto"/>
          <w:color w:val="auto"/>
        </w:rPr>
        <w:t>Injunctive Relief</w:t>
      </w:r>
      <w:r>
        <w:rPr>
          <w:rFonts w:ascii="Arial" w:cs="Arial" w:eastAsia="Arial" w:hAnsi="Arial"/>
          <w:sz w:val="19"/>
          <w:szCs w:val="19"/>
          <w:b w:val="1"/>
          <w:bCs w:val="1"/>
          <w:color w:val="auto"/>
        </w:rPr>
        <w:t>.</w:t>
      </w:r>
      <w:r>
        <w:rPr>
          <w:rFonts w:ascii="Arial" w:cs="Arial" w:eastAsia="Arial" w:hAnsi="Arial"/>
          <w:sz w:val="19"/>
          <w:szCs w:val="19"/>
          <w:color w:val="auto"/>
        </w:rPr>
        <w:t xml:space="preserve"> Notwithstanding any provision to the contrary set forth in this Agreement, the Parties each stipulate and agree that a breach of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(License Grants and Exclusivity) or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(Confidentiality) by a Party may cause irrevocable harm for which monetary damages would not provide a sufficient remedy, and in such case, the non-breaching Party will be entitled to equitable relief, including specific performance, temporary or permanent restraining orders, preliminary injunction, or permanent injunction, or other equitable relief without the posting of any bond or other security, from any court of competent jurisdiction, in each case, without first submitting to the dispute resolution procedures set forth in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(Dispute Resolution).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94"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b w:val="1"/>
          <w:bCs w:val="1"/>
          <w:u w:val="single" w:color="auto"/>
          <w:color w:val="auto"/>
        </w:rPr>
        <w:t>Assignment</w:t>
      </w:r>
      <w:r>
        <w:rPr>
          <w:rFonts w:ascii="Arial" w:cs="Arial" w:eastAsia="Arial" w:hAnsi="Arial"/>
          <w:sz w:val="19"/>
          <w:szCs w:val="19"/>
          <w:color w:val="auto"/>
        </w:rPr>
        <w:t xml:space="preserve">. This Agreement will not be assignable by any Party to any Third Party without the written consent of the non-assigning Party. Notwithstanding the foregoing, without the written consent of the other Party, either Party may assign this Agreement or its rights and obligations under this Agreement to (a) a Third Party in connection with a Change of Control, or (b) an Affiliate (both only for so long as such Affiliate remains an Affiliate), in each case ((a) and (b)), that agrees in writing to be bound by the terms of this Agreement. This Agreement will be binding upon the successors and permitted assigns of the Parties and the name of a Party appearing herein will be deemed to include the names of such Party’s successors and permitted assigns to the extent necessary to carry out the intent of this Agreement. Any assignment not in accordance with this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(Assignment) will be void.</w:t>
      </w:r>
    </w:p>
    <w:p>
      <w:pPr>
        <w:spacing w:after="0" w:line="173"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b w:val="1"/>
          <w:bCs w:val="1"/>
          <w:u w:val="single" w:color="auto"/>
          <w:color w:val="auto"/>
        </w:rPr>
        <w:t>Representation by Legal Counsel</w:t>
      </w:r>
      <w:r>
        <w:rPr>
          <w:rFonts w:ascii="Arial" w:cs="Arial" w:eastAsia="Arial" w:hAnsi="Arial"/>
          <w:sz w:val="19"/>
          <w:szCs w:val="19"/>
          <w:color w:val="auto"/>
        </w:rPr>
        <w:t>. Each Party hereto represents that it has been represented by legal counsel in connection with this Agreement and acknowledges that it has participated in the drafting hereof. In interpreting and applying the terms and provisions of this Agreement, no presumption will exist or be implied against the Party that drafted such terms and provisions.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94" w:name="page195"/>
    <w:bookmarkEnd w:id="194"/>
    <w:p>
      <w:pPr>
        <w:ind w:firstLine="877"/>
        <w:spacing w:after="0" w:line="267" w:lineRule="auto"/>
        <w:rPr>
          <w:sz w:val="20"/>
          <w:szCs w:val="20"/>
          <w:color w:val="auto"/>
        </w:rPr>
      </w:pPr>
      <w:r>
        <w:rPr>
          <w:rFonts w:ascii="Arial" w:cs="Arial" w:eastAsia="Arial" w:hAnsi="Arial"/>
          <w:sz w:val="20"/>
          <w:szCs w:val="20"/>
          <w:color w:val="auto"/>
        </w:rPr>
        <w:t xml:space="preserve">13.3. </w:t>
      </w:r>
      <w:r>
        <w:rPr>
          <w:rFonts w:ascii="Arial" w:cs="Arial" w:eastAsia="Arial" w:hAnsi="Arial"/>
          <w:sz w:val="20"/>
          <w:szCs w:val="20"/>
          <w:b w:val="1"/>
          <w:bCs w:val="1"/>
          <w:u w:val="single" w:color="auto"/>
          <w:color w:val="auto"/>
        </w:rPr>
        <w:t>Notices</w:t>
      </w:r>
      <w:r>
        <w:rPr>
          <w:rFonts w:ascii="Arial" w:cs="Arial" w:eastAsia="Arial" w:hAnsi="Arial"/>
          <w:sz w:val="20"/>
          <w:szCs w:val="20"/>
          <w:color w:val="auto"/>
        </w:rPr>
        <w:t>. All notices which are required or permitted hereunder will be in writing and sufficient if delivered personally, sent by email or sent by nationally-recognized overnight courier, addressed as follows: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If to Fulcrum:</w:t>
      </w:r>
    </w:p>
    <w:p>
      <w:pPr>
        <w:spacing w:after="0" w:line="108"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Fulcrum Therapeutics, Inc.</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26 Landsdowne Street</w:t>
      </w:r>
    </w:p>
    <w:p>
      <w:pPr>
        <w:ind w:left="1760"/>
        <w:spacing w:after="0"/>
        <w:rPr>
          <w:sz w:val="20"/>
          <w:szCs w:val="20"/>
          <w:color w:val="auto"/>
        </w:rPr>
      </w:pPr>
      <w:r>
        <w:rPr>
          <w:rFonts w:ascii="Arial" w:cs="Arial" w:eastAsia="Arial" w:hAnsi="Arial"/>
          <w:sz w:val="20"/>
          <w:szCs w:val="20"/>
          <w:color w:val="auto"/>
        </w:rPr>
        <w:t>Cambridge, MA 02139</w:t>
      </w:r>
    </w:p>
    <w:p>
      <w:pPr>
        <w:ind w:left="1760"/>
        <w:spacing w:after="0"/>
        <w:rPr>
          <w:sz w:val="20"/>
          <w:szCs w:val="20"/>
          <w:color w:val="auto"/>
        </w:rPr>
      </w:pPr>
      <w:r>
        <w:rPr>
          <w:rFonts w:ascii="Arial" w:cs="Arial" w:eastAsia="Arial" w:hAnsi="Arial"/>
          <w:sz w:val="20"/>
          <w:szCs w:val="20"/>
          <w:color w:val="auto"/>
        </w:rPr>
        <w:t>Attention: Bryan Stuart</w:t>
      </w:r>
    </w:p>
    <w:p>
      <w:pPr>
        <w:ind w:left="1760"/>
        <w:spacing w:after="0"/>
        <w:rPr>
          <w:sz w:val="20"/>
          <w:szCs w:val="20"/>
          <w:color w:val="auto"/>
        </w:rPr>
      </w:pPr>
      <w:r>
        <w:rPr>
          <w:rFonts w:ascii="Arial" w:cs="Arial" w:eastAsia="Arial" w:hAnsi="Arial"/>
          <w:sz w:val="20"/>
          <w:szCs w:val="20"/>
          <w:color w:val="auto"/>
        </w:rPr>
        <w:t>Email: [**]</w:t>
      </w:r>
    </w:p>
    <w:p>
      <w:pPr>
        <w:spacing w:after="0" w:line="30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with a copy that will not constitute notice to:</w:t>
      </w:r>
    </w:p>
    <w:p>
      <w:pPr>
        <w:spacing w:after="0" w:line="108"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Wilmer Cutler Pickering Hale and Dorr LLP</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60 State Street</w:t>
      </w:r>
    </w:p>
    <w:p>
      <w:pPr>
        <w:ind w:left="1760"/>
        <w:spacing w:after="0"/>
        <w:rPr>
          <w:sz w:val="20"/>
          <w:szCs w:val="20"/>
          <w:color w:val="auto"/>
        </w:rPr>
      </w:pPr>
      <w:r>
        <w:rPr>
          <w:rFonts w:ascii="Arial" w:cs="Arial" w:eastAsia="Arial" w:hAnsi="Arial"/>
          <w:sz w:val="20"/>
          <w:szCs w:val="20"/>
          <w:color w:val="auto"/>
        </w:rPr>
        <w:t>Boston, MA 02109</w:t>
      </w:r>
    </w:p>
    <w:p>
      <w:pPr>
        <w:ind w:left="1760"/>
        <w:spacing w:after="0"/>
        <w:rPr>
          <w:sz w:val="20"/>
          <w:szCs w:val="20"/>
          <w:color w:val="auto"/>
        </w:rPr>
      </w:pPr>
      <w:r>
        <w:rPr>
          <w:rFonts w:ascii="Arial" w:cs="Arial" w:eastAsia="Arial" w:hAnsi="Arial"/>
          <w:sz w:val="20"/>
          <w:szCs w:val="20"/>
          <w:color w:val="auto"/>
        </w:rPr>
        <w:t>Attention: Steven D. Singer, Esq.</w:t>
      </w:r>
    </w:p>
    <w:p>
      <w:pPr>
        <w:ind w:left="1760"/>
        <w:spacing w:after="0"/>
        <w:rPr>
          <w:sz w:val="20"/>
          <w:szCs w:val="20"/>
          <w:color w:val="auto"/>
        </w:rPr>
      </w:pPr>
      <w:r>
        <w:rPr>
          <w:rFonts w:ascii="Arial" w:cs="Arial" w:eastAsia="Arial" w:hAnsi="Arial"/>
          <w:sz w:val="20"/>
          <w:szCs w:val="20"/>
          <w:color w:val="auto"/>
        </w:rPr>
        <w:t>Telephone: 617-526-6000</w:t>
      </w:r>
    </w:p>
    <w:p>
      <w:pPr>
        <w:ind w:left="1760"/>
        <w:spacing w:after="0"/>
        <w:rPr>
          <w:sz w:val="20"/>
          <w:szCs w:val="20"/>
          <w:color w:val="auto"/>
        </w:rPr>
      </w:pPr>
      <w:r>
        <w:rPr>
          <w:rFonts w:ascii="Arial" w:cs="Arial" w:eastAsia="Arial" w:hAnsi="Arial"/>
          <w:sz w:val="20"/>
          <w:szCs w:val="20"/>
          <w:color w:val="auto"/>
        </w:rPr>
        <w:t>Facsimile: 617-526-5000</w:t>
      </w:r>
    </w:p>
    <w:p>
      <w:pPr>
        <w:ind w:left="1760"/>
        <w:spacing w:after="0"/>
        <w:tabs>
          <w:tab w:leader="none" w:pos="292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steven.singer@wilmerhale.com</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If to Acceleron:</w:t>
      </w:r>
    </w:p>
    <w:p>
      <w:pPr>
        <w:spacing w:after="0" w:line="108"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Acceleron Pharma Inc.</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128 Sidney Street</w:t>
      </w:r>
    </w:p>
    <w:p>
      <w:pPr>
        <w:ind w:left="1740"/>
        <w:spacing w:after="0"/>
        <w:rPr>
          <w:sz w:val="20"/>
          <w:szCs w:val="20"/>
          <w:color w:val="auto"/>
        </w:rPr>
      </w:pPr>
      <w:r>
        <w:rPr>
          <w:rFonts w:ascii="Arial" w:cs="Arial" w:eastAsia="Arial" w:hAnsi="Arial"/>
          <w:sz w:val="20"/>
          <w:szCs w:val="20"/>
          <w:color w:val="auto"/>
        </w:rPr>
        <w:t>Cambridge, MA 02139</w:t>
      </w:r>
    </w:p>
    <w:p>
      <w:pPr>
        <w:ind w:left="1740"/>
        <w:spacing w:after="0"/>
        <w:rPr>
          <w:sz w:val="20"/>
          <w:szCs w:val="20"/>
          <w:color w:val="auto"/>
        </w:rPr>
      </w:pPr>
      <w:r>
        <w:rPr>
          <w:rFonts w:ascii="Arial" w:cs="Arial" w:eastAsia="Arial" w:hAnsi="Arial"/>
          <w:sz w:val="20"/>
          <w:szCs w:val="20"/>
          <w:color w:val="auto"/>
        </w:rPr>
        <w:t>Attn: CEO</w:t>
      </w:r>
    </w:p>
    <w:p>
      <w:pPr>
        <w:ind w:left="174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jc w:val="center"/>
        <w:ind w:right="6180"/>
        <w:spacing w:after="0"/>
        <w:rPr>
          <w:sz w:val="20"/>
          <w:szCs w:val="20"/>
          <w:color w:val="auto"/>
        </w:rPr>
      </w:pPr>
      <w:r>
        <w:rPr>
          <w:rFonts w:ascii="Arial" w:cs="Arial" w:eastAsia="Arial" w:hAnsi="Arial"/>
          <w:sz w:val="20"/>
          <w:szCs w:val="20"/>
          <w:color w:val="auto"/>
        </w:rPr>
        <w:t>with a copy that will not constitute notice to</w:t>
      </w:r>
    </w:p>
    <w:p>
      <w:pPr>
        <w:spacing w:after="0" w:line="108" w:lineRule="exact"/>
        <w:rPr>
          <w:sz w:val="20"/>
          <w:szCs w:val="20"/>
          <w:color w:val="auto"/>
        </w:rPr>
      </w:pPr>
    </w:p>
    <w:p>
      <w:pPr>
        <w:jc w:val="center"/>
        <w:ind w:right="6120"/>
        <w:spacing w:after="0"/>
        <w:rPr>
          <w:sz w:val="20"/>
          <w:szCs w:val="20"/>
          <w:color w:val="auto"/>
        </w:rPr>
      </w:pPr>
      <w:r>
        <w:rPr>
          <w:rFonts w:ascii="Arial" w:cs="Arial" w:eastAsia="Arial" w:hAnsi="Arial"/>
          <w:sz w:val="20"/>
          <w:szCs w:val="20"/>
          <w:color w:val="auto"/>
        </w:rPr>
        <w:t>Acceleron Pharma Inc.</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128 Sidney Street</w:t>
      </w:r>
    </w:p>
    <w:p>
      <w:pPr>
        <w:ind w:left="1740"/>
        <w:spacing w:after="0"/>
        <w:rPr>
          <w:sz w:val="20"/>
          <w:szCs w:val="20"/>
          <w:color w:val="auto"/>
        </w:rPr>
      </w:pPr>
      <w:r>
        <w:rPr>
          <w:rFonts w:ascii="Arial" w:cs="Arial" w:eastAsia="Arial" w:hAnsi="Arial"/>
          <w:sz w:val="20"/>
          <w:szCs w:val="20"/>
          <w:color w:val="auto"/>
        </w:rPr>
        <w:t>Cambridge, MA 02139</w:t>
      </w:r>
    </w:p>
    <w:p>
      <w:pPr>
        <w:ind w:left="1740"/>
        <w:spacing w:after="0"/>
        <w:rPr>
          <w:sz w:val="20"/>
          <w:szCs w:val="20"/>
          <w:color w:val="auto"/>
        </w:rPr>
      </w:pPr>
      <w:r>
        <w:rPr>
          <w:rFonts w:ascii="Arial" w:cs="Arial" w:eastAsia="Arial" w:hAnsi="Arial"/>
          <w:sz w:val="20"/>
          <w:szCs w:val="20"/>
          <w:color w:val="auto"/>
        </w:rPr>
        <w:t>Attn: Legal</w:t>
      </w:r>
    </w:p>
    <w:p>
      <w:pPr>
        <w:ind w:left="174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with a copy to that will not constitute notice to:</w:t>
      </w:r>
    </w:p>
    <w:p>
      <w:pPr>
        <w:spacing w:after="0" w:line="108"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Ropes &amp; Gray LLP</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Attn: Marc A. Rubenstein</w:t>
      </w:r>
    </w:p>
    <w:p>
      <w:pPr>
        <w:ind w:left="1760"/>
        <w:spacing w:after="0"/>
        <w:rPr>
          <w:sz w:val="20"/>
          <w:szCs w:val="20"/>
          <w:color w:val="auto"/>
        </w:rPr>
      </w:pPr>
      <w:r>
        <w:rPr>
          <w:rFonts w:ascii="Arial" w:cs="Arial" w:eastAsia="Arial" w:hAnsi="Arial"/>
          <w:sz w:val="20"/>
          <w:szCs w:val="20"/>
          <w:color w:val="auto"/>
        </w:rPr>
        <w:t>Prudential Tower</w:t>
      </w:r>
    </w:p>
    <w:p>
      <w:pPr>
        <w:ind w:left="1760"/>
        <w:spacing w:after="0"/>
        <w:rPr>
          <w:sz w:val="20"/>
          <w:szCs w:val="20"/>
          <w:color w:val="auto"/>
        </w:rPr>
      </w:pPr>
      <w:r>
        <w:rPr>
          <w:rFonts w:ascii="Arial" w:cs="Arial" w:eastAsia="Arial" w:hAnsi="Arial"/>
          <w:sz w:val="20"/>
          <w:szCs w:val="20"/>
          <w:color w:val="auto"/>
        </w:rPr>
        <w:t>800 Boylston Street</w:t>
      </w:r>
    </w:p>
    <w:p>
      <w:pPr>
        <w:ind w:left="1760"/>
        <w:spacing w:after="0"/>
        <w:rPr>
          <w:sz w:val="20"/>
          <w:szCs w:val="20"/>
          <w:color w:val="auto"/>
        </w:rPr>
      </w:pPr>
      <w:r>
        <w:rPr>
          <w:rFonts w:ascii="Arial" w:cs="Arial" w:eastAsia="Arial" w:hAnsi="Arial"/>
          <w:sz w:val="20"/>
          <w:szCs w:val="20"/>
          <w:color w:val="auto"/>
        </w:rPr>
        <w:t>Boston, MA 02199</w:t>
      </w:r>
    </w:p>
    <w:p>
      <w:pPr>
        <w:spacing w:after="0" w:line="200" w:lineRule="exact"/>
        <w:rPr>
          <w:sz w:val="20"/>
          <w:szCs w:val="20"/>
          <w:color w:val="auto"/>
        </w:rPr>
      </w:pPr>
    </w:p>
    <w:p>
      <w:pPr>
        <w:jc w:val="both"/>
        <w:ind w:left="880"/>
        <w:spacing w:after="0" w:line="250" w:lineRule="auto"/>
        <w:rPr>
          <w:sz w:val="20"/>
          <w:szCs w:val="20"/>
          <w:color w:val="auto"/>
        </w:rPr>
      </w:pPr>
      <w:r>
        <w:rPr>
          <w:rFonts w:ascii="Arial" w:cs="Arial" w:eastAsia="Arial" w:hAnsi="Arial"/>
          <w:sz w:val="20"/>
          <w:szCs w:val="20"/>
          <w:color w:val="auto"/>
        </w:rPr>
        <w:t>or to such other address as the Party to whom written notice is to be given may have furnished to the other Party in writing in accordance herewith. Any such written notice will be deemed to have been given and received by the other Party: (a) when delivered if personally delivered; or (b) on receipt if sent by overnight courier.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95" w:name="page196"/>
    <w:bookmarkEnd w:id="195"/>
    <w:p>
      <w:pPr>
        <w:jc w:val="both"/>
        <w:ind w:firstLine="877"/>
        <w:spacing w:after="0" w:line="267" w:lineRule="auto"/>
        <w:rPr>
          <w:sz w:val="20"/>
          <w:szCs w:val="20"/>
          <w:color w:val="auto"/>
        </w:rPr>
      </w:pPr>
      <w:r>
        <w:rPr>
          <w:rFonts w:ascii="Arial" w:cs="Arial" w:eastAsia="Arial" w:hAnsi="Arial"/>
          <w:sz w:val="20"/>
          <w:szCs w:val="20"/>
          <w:color w:val="auto"/>
        </w:rPr>
        <w:t xml:space="preserve">13.4. </w:t>
      </w:r>
      <w:r>
        <w:rPr>
          <w:rFonts w:ascii="Arial" w:cs="Arial" w:eastAsia="Arial" w:hAnsi="Arial"/>
          <w:sz w:val="20"/>
          <w:szCs w:val="20"/>
          <w:b w:val="1"/>
          <w:bCs w:val="1"/>
          <w:u w:val="single" w:color="auto"/>
          <w:color w:val="auto"/>
        </w:rPr>
        <w:t>Amendment</w:t>
      </w:r>
      <w:r>
        <w:rPr>
          <w:rFonts w:ascii="Arial" w:cs="Arial" w:eastAsia="Arial" w:hAnsi="Arial"/>
          <w:sz w:val="20"/>
          <w:szCs w:val="20"/>
          <w:color w:val="auto"/>
        </w:rPr>
        <w:t>. No amendment, modification or supplement of any provision of this Agreement will be valid or effective unless made in writing and signed by a duly authorized officer of each of the Parties.</w:t>
      </w:r>
    </w:p>
    <w:p>
      <w:pPr>
        <w:spacing w:after="0" w:line="164"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0"/>
          <w:szCs w:val="20"/>
          <w:color w:val="auto"/>
        </w:rPr>
        <w:t xml:space="preserve">13.5. </w:t>
      </w: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No provision of this Agreement will be waived by any act, omission or knowledge of a Party or its agents or employees except by an instrument in writing expressly waiving such provision and signed by a duly authorized officer of the waiving Party. The waiver by either Party of any breach of any provision hereof by the other Party will not be construed to be a waiver of any succeeding breach of such provision or a waiver of the provision itself.</w:t>
      </w:r>
    </w:p>
    <w:p>
      <w:pPr>
        <w:spacing w:after="0" w:line="184"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 xml:space="preserve">13.6. </w:t>
      </w: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If any clause or portion thereof in this Agreement is for any reason held to be invalid, illegal or unenforceable, the same will not affect any other portion of this Agreement, as it is the intent of the Parties that this Agreement will be construed in such fashion as to maintain its existence, validity and enforceability to the greatest extent possible. In any such event, this Agreement will be construed as if such clause of portion thereof had never been contained in this Agreement, and there will be deemed substituted therefor such provision as will most nearly carry out the intent of the Parties as expressed in this Agreement to the fullest extent permitted by Applicable Law.</w:t>
      </w:r>
    </w:p>
    <w:p>
      <w:pPr>
        <w:spacing w:after="0" w:line="185" w:lineRule="exact"/>
        <w:rPr>
          <w:sz w:val="20"/>
          <w:szCs w:val="20"/>
          <w:color w:val="auto"/>
        </w:rPr>
      </w:pPr>
    </w:p>
    <w:p>
      <w:pPr>
        <w:jc w:val="both"/>
        <w:ind w:right="20" w:firstLine="877"/>
        <w:spacing w:after="0" w:line="267" w:lineRule="auto"/>
        <w:rPr>
          <w:sz w:val="20"/>
          <w:szCs w:val="20"/>
          <w:color w:val="auto"/>
        </w:rPr>
      </w:pPr>
      <w:r>
        <w:rPr>
          <w:rFonts w:ascii="Arial" w:cs="Arial" w:eastAsia="Arial" w:hAnsi="Arial"/>
          <w:sz w:val="20"/>
          <w:szCs w:val="20"/>
          <w:color w:val="auto"/>
        </w:rPr>
        <w:t xml:space="preserve">13.7. </w:t>
      </w:r>
      <w:r>
        <w:rPr>
          <w:rFonts w:ascii="Arial" w:cs="Arial" w:eastAsia="Arial" w:hAnsi="Arial"/>
          <w:sz w:val="20"/>
          <w:szCs w:val="20"/>
          <w:b w:val="1"/>
          <w:bCs w:val="1"/>
          <w:u w:val="single" w:color="auto"/>
          <w:color w:val="auto"/>
        </w:rPr>
        <w:t>Descriptive Headings</w:t>
      </w:r>
      <w:r>
        <w:rPr>
          <w:rFonts w:ascii="Arial" w:cs="Arial" w:eastAsia="Arial" w:hAnsi="Arial"/>
          <w:sz w:val="20"/>
          <w:szCs w:val="20"/>
          <w:color w:val="auto"/>
        </w:rPr>
        <w:t>. The descriptive headings of this Agreement are for convenience only and will be of no force or effect in construing or interpreting any of the provisions of this Agreement.</w:t>
      </w:r>
    </w:p>
    <w:p>
      <w:pPr>
        <w:spacing w:after="0" w:line="164"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 xml:space="preserve">13.8. </w:t>
      </w: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Agreement, and all claims arising under or in connection therewith, will be governed by and interpreted in accordance with the substantive laws of The Commonwealth of Massachusetts, without regard to conflict of law principles thereof.</w:t>
      </w:r>
    </w:p>
    <w:p>
      <w:pPr>
        <w:spacing w:after="0" w:line="17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 xml:space="preserve">13.9. </w:t>
      </w: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Agreement constitutes and contains the complete, final and exclusive understanding and agreement of the Parties and cancels and supersedes all prior negotiations, correspondence, understandings and agreements, whether oral or written, between the Parties respecting the subject matter of this Agreement, including the CDA.</w:t>
      </w:r>
    </w:p>
    <w:p>
      <w:pPr>
        <w:spacing w:after="0" w:line="178"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13.10. </w:t>
      </w:r>
      <w:r>
        <w:rPr>
          <w:rFonts w:ascii="Arial" w:cs="Arial" w:eastAsia="Arial" w:hAnsi="Arial"/>
          <w:sz w:val="20"/>
          <w:szCs w:val="20"/>
          <w:b w:val="1"/>
          <w:bCs w:val="1"/>
          <w:u w:val="single" w:color="auto"/>
          <w:color w:val="auto"/>
        </w:rPr>
        <w:t>Independent Contractors</w:t>
      </w:r>
      <w:r>
        <w:rPr>
          <w:rFonts w:ascii="Arial" w:cs="Arial" w:eastAsia="Arial" w:hAnsi="Arial"/>
          <w:sz w:val="20"/>
          <w:szCs w:val="20"/>
          <w:color w:val="auto"/>
        </w:rPr>
        <w:t>. The Parties are independent contractors under this Agreement. Nothing contained herein will be deemed to create an employment, agency, joint venture or partnership relationship between the Parties or any of their agents or employees, or any other legal arrangement that would impose liability upon one Party for the act or failure to act of the other Party. Neither Party will have any express or implied power to enter into any contracts or commitments or to incur any liabilities in the name of, or on behalf of, the other Party, or to bind the other Party in any respect whatsoever.</w:t>
      </w:r>
    </w:p>
    <w:p>
      <w:pPr>
        <w:spacing w:after="0" w:line="185"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9"/>
          <w:szCs w:val="19"/>
          <w:color w:val="auto"/>
        </w:rPr>
        <w:t xml:space="preserve">13.11. </w:t>
      </w:r>
      <w:r>
        <w:rPr>
          <w:rFonts w:ascii="Arial" w:cs="Arial" w:eastAsia="Arial" w:hAnsi="Arial"/>
          <w:sz w:val="19"/>
          <w:szCs w:val="19"/>
          <w:b w:val="1"/>
          <w:bCs w:val="1"/>
          <w:u w:val="single" w:color="auto"/>
          <w:color w:val="auto"/>
        </w:rPr>
        <w:t>Force Majeure</w:t>
      </w:r>
      <w:r>
        <w:rPr>
          <w:rFonts w:ascii="Arial" w:cs="Arial" w:eastAsia="Arial" w:hAnsi="Arial"/>
          <w:sz w:val="19"/>
          <w:szCs w:val="19"/>
          <w:color w:val="auto"/>
        </w:rPr>
        <w:t xml:space="preserve">. Each Party will be excused from the performance of its obligations under this Agreement to the extent that such performance is prevented by a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event and the nonperforming Party promptly provides notice of the prevention to the other Party. Such excuse will be continued so long as the condition constituting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continues and the nonperforming Party uses reasonable efforts to remove the condition. For purposes of this Agreement,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will include conditions beyond the reasonable control of the Parties, including an act of God or terrorism, voluntary or involuntary compliance with any regulation, law or order of any government, war, civil commotion, labor strike or lock-out, epidemic, failure or default of public utilities or common carriers, destruction of production facilities or materials by fire, earthquake, storm or like catastrophe.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96" w:name="page197"/>
    <w:bookmarkEnd w:id="196"/>
    <w:p>
      <w:pPr>
        <w:jc w:val="both"/>
        <w:ind w:firstLine="877"/>
        <w:spacing w:after="0" w:line="278"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Except where the context expressly requires otherwise, (a) the use of any gender herein will be deemed to encompass references to either or both genders, and the use of the singular will be deemed to include the plural (and vice versa),</w:t>
      </w:r>
    </w:p>
    <w:p>
      <w:pPr>
        <w:spacing w:after="0" w:line="2" w:lineRule="exact"/>
        <w:rPr>
          <w:sz w:val="20"/>
          <w:szCs w:val="20"/>
          <w:color w:val="auto"/>
        </w:rPr>
      </w:pPr>
    </w:p>
    <w:p>
      <w:pPr>
        <w:jc w:val="both"/>
        <w:ind w:firstLine="8"/>
        <w:spacing w:after="0" w:line="266" w:lineRule="auto"/>
        <w:tabs>
          <w:tab w:leader="none" w:pos="28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be construed to refer to this Agreement in its entirety and not to any particular provision hereof, (g) all references herein to Sections, Exhibits or Schedules will be construed to refer to Sections, Exhibits or Schedules of this Agreement, and references to this Agreement include all Exhibits and Schedules hereto, (h) the word “notice” means notice in writing (whether or not specifically stated) and will include notices, consents, approvals and other written communications contemplated under this Agreement, (i) provisions that require that a Party, the Parties or any committee hereunder “agree,” “consent” or “approve” or the like will require that such agreement, consent or approval be specific and in writing, whether by written agreement, letter, approved minutes or otherwise (but excluding e-mail and instant messaging),</w:t>
      </w:r>
    </w:p>
    <w:p>
      <w:pPr>
        <w:spacing w:after="0" w:line="1" w:lineRule="exact"/>
        <w:rPr>
          <w:rFonts w:ascii="Arial" w:cs="Arial" w:eastAsia="Arial" w:hAnsi="Arial"/>
          <w:sz w:val="18"/>
          <w:szCs w:val="18"/>
          <w:color w:val="auto"/>
        </w:rPr>
      </w:pPr>
    </w:p>
    <w:p>
      <w:pPr>
        <w:jc w:val="both"/>
        <w:ind w:firstLine="8"/>
        <w:spacing w:after="0" w:line="241" w:lineRule="auto"/>
        <w:tabs>
          <w:tab w:leader="none" w:pos="258" w:val="left"/>
        </w:tabs>
        <w:numPr>
          <w:ilvl w:val="0"/>
          <w:numId w:val="73"/>
        </w:numPr>
        <w:rPr>
          <w:rFonts w:ascii="Arial" w:cs="Arial" w:eastAsia="Arial" w:hAnsi="Arial"/>
          <w:sz w:val="20"/>
          <w:szCs w:val="20"/>
          <w:color w:val="auto"/>
        </w:rPr>
      </w:pPr>
      <w:r>
        <w:rPr>
          <w:rFonts w:ascii="Arial" w:cs="Arial" w:eastAsia="Arial" w:hAnsi="Arial"/>
          <w:sz w:val="20"/>
          <w:szCs w:val="20"/>
          <w:color w:val="auto"/>
        </w:rPr>
        <w:t>references to any specific law, rule or regulation, or article, section or other division thereof, will be deemed to include the then-current amendments thereto or any replacement or successor law, rule or regulation thereof, and (k) the term “or” will be interpreted in the inclusive sense commonly associated with the term “and/or.”</w:t>
      </w:r>
    </w:p>
    <w:p>
      <w:pPr>
        <w:spacing w:after="0" w:line="190" w:lineRule="exact"/>
        <w:rPr>
          <w:sz w:val="20"/>
          <w:szCs w:val="20"/>
          <w:color w:val="auto"/>
        </w:rPr>
      </w:pPr>
    </w:p>
    <w:p>
      <w:pPr>
        <w:jc w:val="both"/>
        <w:ind w:firstLine="877"/>
        <w:spacing w:after="0" w:line="285"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b w:val="1"/>
          <w:bCs w:val="1"/>
          <w:u w:val="single" w:color="auto"/>
          <w:color w:val="auto"/>
        </w:rPr>
        <w:t>No Third Party Beneficiaries, Rights or Obligations</w:t>
      </w:r>
      <w:r>
        <w:rPr>
          <w:rFonts w:ascii="Arial" w:cs="Arial" w:eastAsia="Arial" w:hAnsi="Arial"/>
          <w:sz w:val="18"/>
          <w:szCs w:val="18"/>
          <w:color w:val="auto"/>
        </w:rPr>
        <w:t>. There are no Third Party beneficiaries hereunder and the provisions of this Agreement are for the exclusive benefit of the Parties. No provision of this Agreement will be deemed or construed in any way to result in the creation of any rights or obligations in any Person not a Party to this Agreement, and no other Person or entity shall have any right or claim against either Party by reason of these provisions or be entitled to enforce any of these provisions against either Party.</w:t>
      </w:r>
    </w:p>
    <w:p>
      <w:pPr>
        <w:spacing w:after="0" w:line="151"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color w:val="auto"/>
        </w:rPr>
        <w:t xml:space="preserve">13.14. </w:t>
      </w:r>
      <w:r>
        <w:rPr>
          <w:rFonts w:ascii="Arial" w:cs="Arial" w:eastAsia="Arial" w:hAnsi="Arial"/>
          <w:sz w:val="20"/>
          <w:szCs w:val="20"/>
          <w:b w:val="1"/>
          <w:bCs w:val="1"/>
          <w:u w:val="single" w:color="auto"/>
          <w:color w:val="auto"/>
        </w:rPr>
        <w:t>Further Actions</w:t>
      </w:r>
      <w:r>
        <w:rPr>
          <w:rFonts w:ascii="Arial" w:cs="Arial" w:eastAsia="Arial" w:hAnsi="Arial"/>
          <w:sz w:val="20"/>
          <w:szCs w:val="20"/>
          <w:color w:val="auto"/>
        </w:rPr>
        <w:t>. Each Party agrees to execute, acknowledge and deliver such further instruments, and to do all such other acts, as may be necessary or appropriate in order to carry out the purposes and intent of this Agreement.</w:t>
      </w:r>
    </w:p>
    <w:p>
      <w:pPr>
        <w:spacing w:after="0" w:line="164"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0"/>
          <w:szCs w:val="20"/>
          <w:color w:val="auto"/>
        </w:rPr>
        <w:t xml:space="preserve">13.15. </w:t>
      </w: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Agreement may be executed in two counterparts, each of which will be an original and both of which will constitute together the same document. Counterparts may be signed and delivered by digital transmission (</w:t>
      </w:r>
      <w:r>
        <w:rPr>
          <w:rFonts w:ascii="Arial" w:cs="Arial" w:eastAsia="Arial" w:hAnsi="Arial"/>
          <w:sz w:val="20"/>
          <w:szCs w:val="20"/>
          <w:i w:val="1"/>
          <w:iCs w:val="1"/>
          <w:color w:val="auto"/>
        </w:rPr>
        <w:t>e.g.</w:t>
      </w:r>
      <w:r>
        <w:rPr>
          <w:rFonts w:ascii="Arial" w:cs="Arial" w:eastAsia="Arial" w:hAnsi="Arial"/>
          <w:sz w:val="20"/>
          <w:szCs w:val="20"/>
          <w:color w:val="auto"/>
        </w:rPr>
        <w:t>, .pdf), each of which will be binding when received by the applicable Party.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97" w:name="page198"/>
    <w:bookmarkEnd w:id="197"/>
    <w:p>
      <w:pPr>
        <w:ind w:firstLine="877"/>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caused this Agreement to be executed by their representatives thereunto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as of the Effective Date.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80" w:type="dxa"/>
            <w:vAlign w:val="bottom"/>
            <w:gridSpan w:val="2"/>
          </w:tcPr>
          <w:p>
            <w:pPr>
              <w:spacing w:after="0"/>
              <w:rPr>
                <w:sz w:val="20"/>
                <w:szCs w:val="20"/>
                <w:color w:val="auto"/>
              </w:rPr>
            </w:pPr>
            <w:r>
              <w:rPr>
                <w:rFonts w:ascii="Arial" w:cs="Arial" w:eastAsia="Arial" w:hAnsi="Arial"/>
                <w:sz w:val="20"/>
                <w:szCs w:val="20"/>
                <w:b w:val="1"/>
                <w:bCs w:val="1"/>
                <w:color w:val="auto"/>
              </w:rPr>
              <w:t>ACCELERON PHARMA INC.</w:t>
            </w:r>
          </w:p>
        </w:tc>
        <w:tc>
          <w:tcPr>
            <w:tcW w:w="6140" w:type="dxa"/>
            <w:vAlign w:val="bottom"/>
            <w:gridSpan w:val="2"/>
          </w:tcPr>
          <w:p>
            <w:pPr>
              <w:ind w:left="520"/>
              <w:spacing w:after="0"/>
              <w:rPr>
                <w:sz w:val="20"/>
                <w:szCs w:val="20"/>
                <w:color w:val="auto"/>
              </w:rPr>
            </w:pPr>
            <w:r>
              <w:rPr>
                <w:rFonts w:ascii="Arial" w:cs="Arial" w:eastAsia="Arial" w:hAnsi="Arial"/>
                <w:sz w:val="20"/>
                <w:szCs w:val="20"/>
                <w:b w:val="1"/>
                <w:bCs w:val="1"/>
                <w:color w:val="auto"/>
              </w:rPr>
              <w:t>FULCRUM THERAPEUTICS, INC.</w:t>
            </w:r>
          </w:p>
        </w:tc>
      </w:tr>
      <w:tr>
        <w:trPr>
          <w:trHeight w:val="977"/>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Habib Dable</w:t>
            </w:r>
          </w:p>
        </w:tc>
        <w:tc>
          <w:tcPr>
            <w:tcW w:w="1300" w:type="dxa"/>
            <w:vAlign w:val="bottom"/>
          </w:tcPr>
          <w:p>
            <w:pPr>
              <w:ind w:left="520"/>
              <w:spacing w:after="0"/>
              <w:rPr>
                <w:sz w:val="20"/>
                <w:szCs w:val="20"/>
                <w:color w:val="auto"/>
              </w:rPr>
            </w:pPr>
            <w:r>
              <w:rPr>
                <w:rFonts w:ascii="Arial" w:cs="Arial" w:eastAsia="Arial" w:hAnsi="Arial"/>
                <w:sz w:val="20"/>
                <w:szCs w:val="20"/>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Robert J. Gould</w:t>
            </w:r>
          </w:p>
        </w:tc>
      </w:tr>
      <w:tr>
        <w:trPr>
          <w:trHeight w:val="475"/>
        </w:trPr>
        <w:tc>
          <w:tcPr>
            <w:tcW w:w="760" w:type="dxa"/>
            <w:vAlign w:val="bottom"/>
          </w:tcPr>
          <w:p>
            <w:pPr>
              <w:spacing w:after="0"/>
              <w:rPr>
                <w:sz w:val="20"/>
                <w:szCs w:val="20"/>
                <w:color w:val="auto"/>
              </w:rPr>
            </w:pPr>
            <w:r>
              <w:rPr>
                <w:rFonts w:ascii="Arial" w:cs="Arial" w:eastAsia="Arial" w:hAnsi="Arial"/>
                <w:sz w:val="20"/>
                <w:szCs w:val="20"/>
                <w:color w:val="auto"/>
              </w:rPr>
              <w:t>Name:</w:t>
            </w:r>
          </w:p>
        </w:tc>
        <w:tc>
          <w:tcPr>
            <w:tcW w:w="4520" w:type="dxa"/>
            <w:vAlign w:val="bottom"/>
          </w:tcPr>
          <w:p>
            <w:pPr>
              <w:spacing w:after="0"/>
              <w:rPr>
                <w:sz w:val="20"/>
                <w:szCs w:val="20"/>
                <w:color w:val="auto"/>
              </w:rPr>
            </w:pPr>
            <w:r>
              <w:rPr>
                <w:rFonts w:ascii="Arial" w:cs="Arial" w:eastAsia="Arial" w:hAnsi="Arial"/>
                <w:sz w:val="20"/>
                <w:szCs w:val="20"/>
                <w:color w:val="auto"/>
              </w:rPr>
              <w:t>Habib Dable</w:t>
            </w:r>
          </w:p>
        </w:tc>
        <w:tc>
          <w:tcPr>
            <w:tcW w:w="1300" w:type="dxa"/>
            <w:vAlign w:val="bottom"/>
          </w:tcPr>
          <w:p>
            <w:pPr>
              <w:ind w:left="520"/>
              <w:spacing w:after="0"/>
              <w:rPr>
                <w:sz w:val="20"/>
                <w:szCs w:val="20"/>
                <w:color w:val="auto"/>
              </w:rPr>
            </w:pPr>
            <w:r>
              <w:rPr>
                <w:rFonts w:ascii="Arial" w:cs="Arial" w:eastAsia="Arial" w:hAnsi="Arial"/>
                <w:sz w:val="20"/>
                <w:szCs w:val="20"/>
                <w:color w:val="auto"/>
              </w:rPr>
              <w:t>Name:</w:t>
            </w:r>
          </w:p>
        </w:tc>
        <w:tc>
          <w:tcPr>
            <w:tcW w:w="4840" w:type="dxa"/>
            <w:vAlign w:val="bottom"/>
          </w:tcPr>
          <w:p>
            <w:pPr>
              <w:spacing w:after="0"/>
              <w:rPr>
                <w:sz w:val="20"/>
                <w:szCs w:val="20"/>
                <w:color w:val="auto"/>
              </w:rPr>
            </w:pPr>
            <w:r>
              <w:rPr>
                <w:rFonts w:ascii="Arial" w:cs="Arial" w:eastAsia="Arial" w:hAnsi="Arial"/>
                <w:sz w:val="20"/>
                <w:szCs w:val="20"/>
                <w:color w:val="auto"/>
              </w:rPr>
              <w:t>Robert J. Gould</w:t>
            </w:r>
          </w:p>
        </w:tc>
      </w:tr>
      <w:tr>
        <w:trPr>
          <w:trHeight w:val="486"/>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520" w:type="dxa"/>
            <w:vAlign w:val="bottom"/>
          </w:tcPr>
          <w:p>
            <w:pPr>
              <w:spacing w:after="0"/>
              <w:rPr>
                <w:sz w:val="20"/>
                <w:szCs w:val="20"/>
                <w:color w:val="auto"/>
              </w:rPr>
            </w:pPr>
            <w:r>
              <w:rPr>
                <w:rFonts w:ascii="Arial" w:cs="Arial" w:eastAsia="Arial" w:hAnsi="Arial"/>
                <w:sz w:val="20"/>
                <w:szCs w:val="20"/>
                <w:color w:val="auto"/>
              </w:rPr>
              <w:t>President, Chief Executive Officer</w:t>
            </w:r>
          </w:p>
        </w:tc>
        <w:tc>
          <w:tcPr>
            <w:tcW w:w="1300" w:type="dxa"/>
            <w:vAlign w:val="bottom"/>
          </w:tcPr>
          <w:p>
            <w:pPr>
              <w:ind w:left="520"/>
              <w:spacing w:after="0"/>
              <w:rPr>
                <w:sz w:val="20"/>
                <w:szCs w:val="20"/>
                <w:color w:val="auto"/>
              </w:rPr>
            </w:pPr>
            <w:r>
              <w:rPr>
                <w:rFonts w:ascii="Arial" w:cs="Arial" w:eastAsia="Arial" w:hAnsi="Arial"/>
                <w:sz w:val="20"/>
                <w:szCs w:val="20"/>
                <w:color w:val="auto"/>
              </w:rPr>
              <w:t>Title:</w:t>
            </w:r>
          </w:p>
        </w:tc>
        <w:tc>
          <w:tcPr>
            <w:tcW w:w="4840" w:type="dxa"/>
            <w:vAlign w:val="bottom"/>
          </w:tcPr>
          <w:p>
            <w:pPr>
              <w:spacing w:after="0"/>
              <w:rPr>
                <w:sz w:val="20"/>
                <w:szCs w:val="20"/>
                <w:color w:val="auto"/>
              </w:rPr>
            </w:pPr>
            <w:r>
              <w:rPr>
                <w:rFonts w:ascii="Arial" w:cs="Arial" w:eastAsia="Arial" w:hAnsi="Arial"/>
                <w:sz w:val="20"/>
                <w:szCs w:val="20"/>
                <w:color w:val="auto"/>
              </w:rPr>
              <w:t>President &amp; Chief Executive Officer</w:t>
            </w: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Collaboration and License Agreement</w:t>
      </w:r>
      <w:r>
        <w:rPr>
          <w:rFonts w:ascii="Arial" w:cs="Arial" w:eastAsia="Arial" w:hAnsi="Arial"/>
          <w:sz w:val="18"/>
          <w:szCs w:val="18"/>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78770651_20</w:t>
      </w:r>
    </w:p>
    <w:p>
      <w:pPr>
        <w:sectPr>
          <w:pgSz w:w="11900" w:h="16838" w:orient="portrait"/>
          <w:cols w:equalWidth="0" w:num="1">
            <w:col w:w="11420"/>
          </w:cols>
          <w:pgMar w:left="240" w:top="360"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48"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Jurisdiction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Fulcrum Therapeutics Securities Corp.</w:t>
      </w:r>
      <w:r>
        <w:rPr>
          <w:sz w:val="20"/>
          <w:szCs w:val="20"/>
          <w:color w:val="auto"/>
        </w:rPr>
        <w:tab/>
      </w:r>
      <w:r>
        <w:rPr>
          <w:rFonts w:ascii="Arial" w:cs="Arial" w:eastAsia="Arial" w:hAnsi="Arial"/>
          <w:sz w:val="15"/>
          <w:szCs w:val="15"/>
          <w:color w:val="auto"/>
        </w:rPr>
        <w:t>Massachusetts</w:t>
      </w:r>
    </w:p>
    <w:p>
      <w:pPr>
        <w:sectPr>
          <w:pgSz w:w="11900" w:h="16838" w:orient="portrait"/>
          <w:cols w:equalWidth="0" w:num="1">
            <w:col w:w="11420"/>
          </w:cols>
          <w:pgMar w:left="240" w:top="351"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No. 333-233452) pertaining to the 2016 Stock Incentive Plan, as amended, 2019 Stock Incentive Plan, and 2019 Employee Stock Purchase Plan of Fulcrum Therapeutics, Inc. of our report dated March 5, 2020, with respect to the consolidated financial statements of Fulcrum Therapeutics, Inc. included in this Annual Report (Form 10-K) for the year ended December 31,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ectPr>
          <w:pgSz w:w="11900" w:h="16838" w:orient="portrait"/>
          <w:cols w:equalWidth="0" w:num="1">
            <w:col w:w="11420"/>
          </w:cols>
          <w:pgMar w:left="240" w:top="121"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Robert J. Gould, certify that:</w:t>
      </w:r>
    </w:p>
    <w:p>
      <w:pPr>
        <w:spacing w:after="0" w:line="117" w:lineRule="exact"/>
        <w:rPr>
          <w:sz w:val="20"/>
          <w:szCs w:val="20"/>
          <w:color w:val="auto"/>
        </w:rPr>
      </w:pPr>
    </w:p>
    <w:p>
      <w:pPr>
        <w:ind w:left="800" w:hanging="172"/>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Fulcrum Therapeutics, Inc.;</w:t>
      </w:r>
    </w:p>
    <w:p>
      <w:pPr>
        <w:spacing w:after="0" w:line="117" w:lineRule="exact"/>
        <w:rPr>
          <w:rFonts w:ascii="Arial" w:cs="Arial" w:eastAsia="Arial" w:hAnsi="Arial"/>
          <w:sz w:val="18"/>
          <w:szCs w:val="18"/>
          <w:color w:val="auto"/>
        </w:rPr>
      </w:pPr>
    </w:p>
    <w:p>
      <w:pPr>
        <w:ind w:right="140" w:firstLine="628"/>
        <w:spacing w:after="0" w:line="342" w:lineRule="auto"/>
        <w:tabs>
          <w:tab w:leader="none" w:pos="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628"/>
        <w:spacing w:after="0" w:line="277"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40" w:firstLine="628"/>
        <w:spacing w:after="0" w:line="277"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20" w:right="480" w:firstLine="594"/>
        <w:spacing w:after="0" w:line="264" w:lineRule="auto"/>
        <w:tabs>
          <w:tab w:leader="none" w:pos="1451"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460" w:hanging="246"/>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left="620" w:right="260" w:firstLine="594"/>
        <w:spacing w:after="0" w:line="342" w:lineRule="auto"/>
        <w:tabs>
          <w:tab w:leader="none" w:pos="1451"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220" w:firstLine="594"/>
        <w:spacing w:after="0" w:line="264" w:lineRule="auto"/>
        <w:tabs>
          <w:tab w:leader="none" w:pos="1461"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00" w:firstLine="628"/>
        <w:spacing w:after="0" w:line="308" w:lineRule="auto"/>
        <w:tabs>
          <w:tab w:leader="none" w:pos="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480" w:firstLine="594"/>
        <w:spacing w:after="0" w:line="308" w:lineRule="auto"/>
        <w:tabs>
          <w:tab w:leader="none" w:pos="1451"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160" w:firstLine="594"/>
        <w:spacing w:after="0" w:line="277" w:lineRule="auto"/>
        <w:tabs>
          <w:tab w:leader="none" w:pos="1461"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Date: March 5, 2020</w:t>
            </w:r>
          </w:p>
        </w:tc>
        <w:tc>
          <w:tcPr>
            <w:tcW w:w="7240" w:type="dxa"/>
            <w:vAlign w:val="bottom"/>
            <w:gridSpan w:val="2"/>
          </w:tcPr>
          <w:p>
            <w:pPr>
              <w:ind w:left="2680"/>
              <w:spacing w:after="0"/>
              <w:rPr>
                <w:sz w:val="20"/>
                <w:szCs w:val="20"/>
                <w:color w:val="auto"/>
              </w:rPr>
            </w:pPr>
            <w:r>
              <w:rPr>
                <w:rFonts w:ascii="Arial" w:cs="Arial" w:eastAsia="Arial" w:hAnsi="Arial"/>
                <w:sz w:val="18"/>
                <w:szCs w:val="18"/>
                <w:color w:val="auto"/>
              </w:rPr>
              <w:t>By: /s/ Robert J. Gould</w:t>
            </w:r>
          </w:p>
        </w:tc>
      </w:tr>
      <w:tr>
        <w:trPr>
          <w:trHeight w:val="195"/>
        </w:trPr>
        <w:tc>
          <w:tcPr>
            <w:tcW w:w="41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J. Gould, Ph.D.</w:t>
            </w:r>
          </w:p>
        </w:tc>
      </w:tr>
      <w:tr>
        <w:trPr>
          <w:trHeight w:val="216"/>
        </w:trPr>
        <w:tc>
          <w:tcPr>
            <w:tcW w:w="41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Bryan Stuart, certify that:</w:t>
      </w:r>
    </w:p>
    <w:p>
      <w:pPr>
        <w:spacing w:after="0" w:line="117" w:lineRule="exact"/>
        <w:rPr>
          <w:sz w:val="20"/>
          <w:szCs w:val="20"/>
          <w:color w:val="auto"/>
        </w:rPr>
      </w:pPr>
    </w:p>
    <w:p>
      <w:pPr>
        <w:ind w:left="800" w:hanging="172"/>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Fulcrum Therapeutics, Inc.;</w:t>
      </w:r>
    </w:p>
    <w:p>
      <w:pPr>
        <w:spacing w:after="0" w:line="117" w:lineRule="exact"/>
        <w:rPr>
          <w:rFonts w:ascii="Arial" w:cs="Arial" w:eastAsia="Arial" w:hAnsi="Arial"/>
          <w:sz w:val="18"/>
          <w:szCs w:val="18"/>
          <w:color w:val="auto"/>
        </w:rPr>
      </w:pPr>
    </w:p>
    <w:p>
      <w:pPr>
        <w:ind w:right="140" w:firstLine="628"/>
        <w:spacing w:after="0" w:line="342" w:lineRule="auto"/>
        <w:tabs>
          <w:tab w:leader="none" w:pos="8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628"/>
        <w:spacing w:after="0" w:line="277"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40" w:firstLine="628"/>
        <w:spacing w:after="0" w:line="277"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20" w:right="480" w:firstLine="594"/>
        <w:spacing w:after="0" w:line="264" w:lineRule="auto"/>
        <w:tabs>
          <w:tab w:leader="none" w:pos="1451"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460" w:hanging="246"/>
        <w:spacing w:after="0"/>
        <w:tabs>
          <w:tab w:leader="none" w:pos="14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left="620" w:right="260" w:firstLine="594"/>
        <w:spacing w:after="0" w:line="342" w:lineRule="auto"/>
        <w:tabs>
          <w:tab w:leader="none" w:pos="1451"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220" w:firstLine="594"/>
        <w:spacing w:after="0" w:line="264" w:lineRule="auto"/>
        <w:tabs>
          <w:tab w:leader="none" w:pos="1461"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00" w:firstLine="628"/>
        <w:spacing w:after="0" w:line="308" w:lineRule="auto"/>
        <w:tabs>
          <w:tab w:leader="none" w:pos="8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480" w:firstLine="594"/>
        <w:spacing w:after="0" w:line="308" w:lineRule="auto"/>
        <w:tabs>
          <w:tab w:leader="none" w:pos="1451"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160" w:firstLine="594"/>
        <w:spacing w:after="0" w:line="277" w:lineRule="auto"/>
        <w:tabs>
          <w:tab w:leader="none" w:pos="1461"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Date: March 5, 2020</w:t>
            </w:r>
          </w:p>
        </w:tc>
        <w:tc>
          <w:tcPr>
            <w:tcW w:w="7240" w:type="dxa"/>
            <w:vAlign w:val="bottom"/>
            <w:gridSpan w:val="2"/>
          </w:tcPr>
          <w:p>
            <w:pPr>
              <w:ind w:left="2680"/>
              <w:spacing w:after="0"/>
              <w:rPr>
                <w:sz w:val="20"/>
                <w:szCs w:val="20"/>
                <w:color w:val="auto"/>
              </w:rPr>
            </w:pPr>
            <w:r>
              <w:rPr>
                <w:rFonts w:ascii="Arial" w:cs="Arial" w:eastAsia="Arial" w:hAnsi="Arial"/>
                <w:sz w:val="18"/>
                <w:szCs w:val="18"/>
                <w:color w:val="auto"/>
              </w:rPr>
              <w:t>By: /s/ Bryan Stuart</w:t>
            </w:r>
          </w:p>
        </w:tc>
      </w:tr>
      <w:tr>
        <w:trPr>
          <w:trHeight w:val="195"/>
        </w:trPr>
        <w:tc>
          <w:tcPr>
            <w:tcW w:w="41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Bryan Stuart</w:t>
            </w:r>
          </w:p>
        </w:tc>
      </w:tr>
      <w:tr>
        <w:trPr>
          <w:trHeight w:val="216"/>
        </w:trPr>
        <w:tc>
          <w:tcPr>
            <w:tcW w:w="41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30"/>
        </w:trPr>
        <w:tc>
          <w:tcPr>
            <w:tcW w:w="4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connection with the Annual Report on Form 10-K of Fulcrum Therapeutics, Inc. (the “Company”) for the year ended December 31, 2019, as filed with the Securities and Exchange Commission on the date hereof (the “Report”), the undersigned, Robert J. Gould, President and Chief Executive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54"/>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Gould</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J. Gould,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51"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In connection with the Annual Report on Form 10-K of Fulcrum Therapeutics, Inc. (the “Company”) for the year ended December 31, 2019, as filed with the Securities and Exchange Commission on the date hereof (the “Report”), the undersigned, Bryan Stuart, Chief Operating Officer of the Company, hereby certifies, pursuant to 18 U.S.C. Section 1350, as adopted pursuant to Section 906 of the Sarbanes-Oxley Act of 2002, that to his knowledge:</w:t>
      </w:r>
    </w:p>
    <w:p>
      <w:pPr>
        <w:spacing w:after="0" w:line="147" w:lineRule="exact"/>
        <w:rPr>
          <w:sz w:val="20"/>
          <w:szCs w:val="20"/>
          <w:color w:val="auto"/>
        </w:rPr>
      </w:pPr>
    </w:p>
    <w:p>
      <w:pPr>
        <w:ind w:left="780" w:hanging="254"/>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Stuart</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Operating Officer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1)"/>
      <w:numFmt w:val="decimal"/>
      <w:start w:val="1"/>
    </w:lvl>
  </w:abstractNum>
  <w:abstractNum w:abstractNumId="51">
    <w:nsid w:val="5FF87E05"/>
    <w:multiLevelType w:val="hybridMultilevel"/>
    <w:lvl w:ilvl="0">
      <w:lvlJc w:val="left"/>
      <w:lvlText w:val="(%1)"/>
      <w:numFmt w:val="lowerRoman"/>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1)"/>
      <w:numFmt w:val="lowerLetter"/>
      <w:start w:val="2"/>
    </w:lvl>
  </w:abstractNum>
  <w:abstractNum w:abstractNumId="57">
    <w:nsid w:val="1381823A"/>
    <w:multiLevelType w:val="hybridMultilevel"/>
    <w:lvl w:ilvl="0">
      <w:lvlJc w:val="left"/>
      <w:lvlText w:val="(%1)"/>
      <w:numFmt w:val="lowerRoman"/>
      <w:start w:val="10"/>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1)"/>
      <w:numFmt w:val="lowerLetter"/>
      <w:start w:val="2"/>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1)"/>
      <w:numFmt w:val="lowerLetter"/>
      <w:start w:val="2"/>
    </w:lvl>
  </w:abstractNum>
  <w:abstractNum w:abstractNumId="62">
    <w:nsid w:val="5F5E7FD0"/>
    <w:multiLevelType w:val="hybridMultilevel"/>
    <w:lvl w:ilvl="0">
      <w:lvlJc w:val="left"/>
      <w:lvlText w:val="(%1)"/>
      <w:numFmt w:val="lowerLetter"/>
      <w:start w:val="3"/>
    </w:lvl>
  </w:abstractNum>
  <w:abstractNum w:abstractNumId="63">
    <w:nsid w:val="98A3148"/>
    <w:multiLevelType w:val="hybridMultilevel"/>
    <w:lvl w:ilvl="0">
      <w:lvlJc w:val="left"/>
      <w:lvlText w:val="(%1)"/>
      <w:numFmt w:val="lowerLetter"/>
      <w:start w:val="4"/>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1)"/>
      <w:numFmt w:val="lowerLetter"/>
      <w:start w:val="1"/>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lowerLetter"/>
      <w:start w:val="1"/>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lowerLetter"/>
      <w:start w:val="1"/>
    </w:lvl>
  </w:abstractNum>
  <w:abstractNum w:abstractNumId="70">
    <w:nsid w:val="5DC79EA8"/>
    <w:multiLevelType w:val="hybridMultilevel"/>
    <w:lvl w:ilvl="0">
      <w:lvlJc w:val="left"/>
      <w:lvlText w:val="(%1)"/>
      <w:numFmt w:val="lowerLetter"/>
      <w:start w:val="1"/>
    </w:lvl>
  </w:abstractNum>
  <w:abstractNum w:abstractNumId="71">
    <w:nsid w:val="540A471C"/>
    <w:multiLevelType w:val="hybridMultilevel"/>
    <w:lvl w:ilvl="0">
      <w:lvlJc w:val="left"/>
      <w:lvlText w:val="(%1)"/>
      <w:numFmt w:val="lowerLetter"/>
      <w:start w:val="2"/>
    </w:lvl>
  </w:abstractNum>
  <w:abstractNum w:abstractNumId="72">
    <w:nsid w:val="7BD3EE7B"/>
    <w:multiLevelType w:val="hybridMultilevel"/>
    <w:lvl w:ilvl="0">
      <w:lvlJc w:val="left"/>
      <w:lvlText w:val="(%1)"/>
      <w:numFmt w:val="lowerLetter"/>
      <w:start w:val="10"/>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210"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193" Type="http://schemas.openxmlformats.org/officeDocument/2006/relationships/hyperlink" Target="http://www.sec.gov/Archives/edgar/data/0001680581/000104746919004324/a2239321zex-3_1.htm" TargetMode="External"/><Relationship Id="rId194" Type="http://schemas.openxmlformats.org/officeDocument/2006/relationships/hyperlink" Target="http://www.sec.gov/Archives/edgar/data/0001680581/000104746919004324/a2239321zex-3_2.htm" TargetMode="External"/><Relationship Id="rId195" Type="http://schemas.openxmlformats.org/officeDocument/2006/relationships/hyperlink" Target="http://www.sec.gov/Archives/edgar/data/1680581/000104746919003793/a2239080zex-4_1.htm" TargetMode="External"/><Relationship Id="rId196" Type="http://schemas.openxmlformats.org/officeDocument/2006/relationships/hyperlink" Target="http://www.sec.gov/Archives/edgar/data/1680581/000104746919003793/a2239080zex-10_1.htm" TargetMode="External"/><Relationship Id="rId197" Type="http://schemas.openxmlformats.org/officeDocument/2006/relationships/hyperlink" Target="http://www.sec.gov/Archives/edgar/data/1680581/000104746919003793/a2239080zex-10_2.htm" TargetMode="External"/><Relationship Id="rId198" Type="http://schemas.openxmlformats.org/officeDocument/2006/relationships/hyperlink" Target="http://www.sec.gov/Archives/edgar/data/1680581/000104746919003793/a2239080zex-10_3.htm" TargetMode="External"/><Relationship Id="rId199" Type="http://schemas.openxmlformats.org/officeDocument/2006/relationships/hyperlink" Target="http://www.sec.gov/Archives/edgar/data/1680581/000104746919003793/a2239080zex-10_4.htm" TargetMode="External"/><Relationship Id="rId200" Type="http://schemas.openxmlformats.org/officeDocument/2006/relationships/hyperlink" Target="http://www.sec.gov/Archives/edgar/data/1680581/000104746919003793/a2239080zex-10_5.htm" TargetMode="External"/><Relationship Id="rId201" Type="http://schemas.openxmlformats.org/officeDocument/2006/relationships/hyperlink" Target="http://www.sec.gov/Archives/edgar/data/0001680581/000104746919004014/a2239182zex-10_6.htm" TargetMode="External"/><Relationship Id="rId202" Type="http://schemas.openxmlformats.org/officeDocument/2006/relationships/hyperlink" Target="http://www.sec.gov/Archives/edgar/data/0001680581/000104746919004014/a2239182zex-10_7.htm" TargetMode="External"/><Relationship Id="rId203" Type="http://schemas.openxmlformats.org/officeDocument/2006/relationships/hyperlink" Target="http://www.sec.gov/Archives/edgar/data/0001680581/000104746919004014/a2239182zex-10_8.htm" TargetMode="External"/><Relationship Id="rId204" Type="http://schemas.openxmlformats.org/officeDocument/2006/relationships/hyperlink" Target="http://www.sec.gov/Archives/edgar/data/0001680581/000104746919004014/a2239182zex-10_9.htm" TargetMode="External"/><Relationship Id="rId205" Type="http://schemas.openxmlformats.org/officeDocument/2006/relationships/hyperlink" Target="http://www.sec.gov/Archives/edgar/data/1680581/000104746919003793/a2239080zex-10_10.htm" TargetMode="External"/><Relationship Id="rId206" Type="http://schemas.openxmlformats.org/officeDocument/2006/relationships/hyperlink" Target="http://www.sec.gov/Archives/edgar/data/1680581/000104746919003793/a2239080zex-10_11.htm" TargetMode="External"/><Relationship Id="rId207" Type="http://schemas.openxmlformats.org/officeDocument/2006/relationships/hyperlink" Target="http://www.sec.gov/Archives/edgar/data/0001680581/000104746919004014/a2239182zex-10_12.htm" TargetMode="External"/><Relationship Id="rId208" Type="http://schemas.openxmlformats.org/officeDocument/2006/relationships/hyperlink" Target="http://www.sec.gov/Archives/edgar/data/0001680581/000104746919004158/a2239256zex-10_13.htm" TargetMode="External"/><Relationship Id="rId209" Type="http://schemas.openxmlformats.org/officeDocument/2006/relationships/hyperlink" Target="http://www.sec.gov/Archives/edgar/data/0001680581/000104746919004158/a2239256zex-10_14.htm" TargetMode="External"/><Relationship Id="rId211" Type="http://schemas.openxmlformats.org/officeDocument/2006/relationships/hyperlink" Target="http://www.sec.gov/Archives/edgar/data/0001680581/000104746919004158/a2239256zex-10_15.htm" TargetMode="External"/><Relationship Id="rId212" Type="http://schemas.openxmlformats.org/officeDocument/2006/relationships/hyperlink" Target="http://www.sec.gov/Archives/edgar/data/0001680581/000104746919003793/a2239080zex-10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2020-03-05T15:04:54Z</dcterms:created>
  <dcterms:modified xsi:type="dcterms:W3CDTF">2020-03-05T15:04:54Z</dcterms:modified>
</cp:coreProperties>
</file>