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1620" w:hanging="3912"/>
        <w:spacing w:after="0" w:line="281" w:lineRule="auto"/>
        <w:tabs>
          <w:tab w:leader="none" w:pos="86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50"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6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001-38978</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-311785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47-4839948</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220" w:space="720"/>
            <w:col w:w="3300"/>
          </w:cols>
          <w:pgMar w:left="320" w:top="310" w:right="339" w:bottom="1440" w:gutter="0" w:footer="0" w:header="0"/>
          <w:type w:val="continuous"/>
        </w:sectPr>
      </w:pPr>
    </w:p>
    <w:p>
      <w:pPr>
        <w:ind w:left="1960"/>
        <w:spacing w:after="0"/>
        <w:rPr>
          <w:sz w:val="20"/>
          <w:szCs w:val="20"/>
          <w:color w:val="auto"/>
        </w:rPr>
      </w:pPr>
      <w:r>
        <w:rPr>
          <w:rFonts w:ascii="Arial" w:cs="Arial" w:eastAsia="Arial" w:hAnsi="Arial"/>
          <w:sz w:val="18"/>
          <w:szCs w:val="18"/>
          <w:b w:val="1"/>
          <w:bCs w:val="1"/>
          <w:color w:val="auto"/>
        </w:rPr>
        <w:t>26 Landsdowne Street</w:t>
      </w:r>
    </w:p>
    <w:p>
      <w:pPr>
        <w:spacing w:after="0" w:line="25" w:lineRule="exact"/>
        <w:rPr>
          <w:sz w:val="24"/>
          <w:szCs w:val="24"/>
          <w:color w:val="auto"/>
        </w:rPr>
      </w:pPr>
    </w:p>
    <w:p>
      <w:pPr>
        <w:ind w:left="1780"/>
        <w:spacing w:after="0"/>
        <w:tabs>
          <w:tab w:leader="none" w:pos="8180" w:val="left"/>
        </w:tabs>
        <w:rPr>
          <w:sz w:val="20"/>
          <w:szCs w:val="20"/>
          <w:color w:val="auto"/>
        </w:rPr>
      </w:pPr>
      <w:r>
        <w:rPr>
          <w:rFonts w:ascii="Arial" w:cs="Arial" w:eastAsia="Arial" w:hAnsi="Arial"/>
          <w:sz w:val="18"/>
          <w:szCs w:val="18"/>
          <w:b w:val="1"/>
          <w:bCs w:val="1"/>
          <w:color w:val="auto"/>
        </w:rPr>
        <w:t>Cambridge, Massachusetts</w:t>
      </w:r>
      <w:r>
        <w:rPr>
          <w:sz w:val="20"/>
          <w:szCs w:val="20"/>
          <w:color w:val="auto"/>
        </w:rPr>
        <w:tab/>
      </w:r>
      <w:r>
        <w:rPr>
          <w:rFonts w:ascii="Arial" w:cs="Arial" w:eastAsia="Arial" w:hAnsi="Arial"/>
          <w:sz w:val="16"/>
          <w:szCs w:val="16"/>
          <w:b w:val="1"/>
          <w:bCs w:val="1"/>
          <w:color w:val="auto"/>
        </w:rPr>
        <w:t>02139</w:t>
      </w:r>
    </w:p>
    <w:p>
      <w:pPr>
        <w:spacing w:after="0" w:line="18"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3"/>
                <w:szCs w:val="13"/>
                <w:color w:val="auto"/>
              </w:rPr>
            </w:pP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FULC</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22" w:lineRule="exact"/>
        <w:rPr>
          <w:sz w:val="24"/>
          <w:szCs w:val="24"/>
          <w:color w:val="auto"/>
        </w:rPr>
      </w:pPr>
    </w:p>
    <w:p>
      <w:pPr>
        <w:ind w:right="3080"/>
        <w:spacing w:after="0" w:line="24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80"/>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ind w:right="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6" w:lineRule="exact"/>
        <w:rPr>
          <w:sz w:val="24"/>
          <w:szCs w:val="24"/>
          <w:color w:val="auto"/>
        </w:rPr>
      </w:pPr>
    </w:p>
    <w:p>
      <w:pPr>
        <w:ind w:right="600"/>
        <w:spacing w:after="0" w:line="20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40"/>
        <w:spacing w:after="0" w:line="19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ind w:right="140"/>
        <w:spacing w:after="0" w:line="256"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2020, was approximately $239,959,880.</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25, 2021 was 32,672,223.</w:t>
      </w:r>
    </w:p>
    <w:p>
      <w:pPr>
        <w:spacing w:after="0" w:line="21"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DOCUMENTS INCORPORATED BY REFERENCE</w:t>
      </w:r>
    </w:p>
    <w:p>
      <w:pPr>
        <w:spacing w:after="0" w:line="34" w:lineRule="exact"/>
        <w:rPr>
          <w:sz w:val="24"/>
          <w:szCs w:val="24"/>
          <w:color w:val="auto"/>
        </w:rPr>
      </w:pPr>
    </w:p>
    <w:p>
      <w:pPr>
        <w:ind w:right="100"/>
        <w:spacing w:after="0" w:line="331" w:lineRule="auto"/>
        <w:rPr>
          <w:sz w:val="20"/>
          <w:szCs w:val="20"/>
          <w:color w:val="auto"/>
        </w:rPr>
      </w:pPr>
      <w:r>
        <w:rPr>
          <w:rFonts w:ascii="Arial" w:cs="Arial" w:eastAsia="Arial" w:hAnsi="Arial"/>
          <w:sz w:val="13"/>
          <w:szCs w:val="13"/>
          <w:color w:val="auto"/>
        </w:rPr>
        <w:t>The registrant filed a definitive proxy statement pursuant to Regulation 14A relating to the 2021 Annual Meeting of Stockholders within 120 days of the end of the registrant’s fiscal year ended December 31, 2020.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Fulcrum Therapeutics, Inc. is filing this Amendment No. 1 on Form 10-K/A to amend its original Annual Report on Form 10-K for the fiscal year ended December 31, 2020, or Original Form 10-K, originally filed with the Securities and Exchange Commission, or SEC, on March 4, 2021, for the sole purpose of filing revised Exhibit 31.1 in order to include in the certifications set forth in such exhibit the language of revised paragraph 4(b), which language was inadvertently omitted from the certifications when originally filed as Exhibits 31.1 and 31.2. This amendment consists solely of the preceding cover page, this explanatory note, Item 8, Item 9A, the list of exhibits filed with this amendment, the signature page and the revised certifications filed as Exhibit 31.1 to this amendment and the required certifications required by the Sarbanes-Oxley Act in connection with the filing of this amendment.</w:t>
      </w:r>
    </w:p>
    <w:p>
      <w:pPr>
        <w:spacing w:after="0" w:line="56"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Except as described above, this amendment does not reflect events occurring after the date of the filing of the original Annual Report on Form 10-K or modify or update any of the other disclosures contained therein in any way. Accordingly, this amendment should be read in conjunction with the original Annual Report on Form 10-K and the Company’s other filings with the SEC. This amendment does not reflect events that may have occurred subsequent to the filing of the Original Form 10-K. The filing of this amendment is not an admission that the Original Form 10-K, when filed, included any untrue statement of a material fact or omitted to state a material fact necessary to make a statement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consolidated financial statements, together with the independent registered public accounting firm report thereon, are presented beginning on page F-1 of this Form 10-K/A.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661" w:right="5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December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2020, our principal executive officer and principal financial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80" w:firstLine="509"/>
        <w:spacing w:after="0" w:line="28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 w:lineRule="exact"/>
        <w:rPr>
          <w:sz w:val="20"/>
          <w:szCs w:val="20"/>
          <w:color w:val="auto"/>
        </w:rPr>
      </w:pPr>
    </w:p>
    <w:p>
      <w:pPr>
        <w:ind w:left="1260" w:right="820" w:hanging="368"/>
        <w:spacing w:after="0" w:line="260"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77" w:lineRule="exact"/>
        <w:rPr>
          <w:rFonts w:ascii="Arial" w:cs="Arial" w:eastAsia="Arial" w:hAnsi="Arial"/>
          <w:sz w:val="18"/>
          <w:szCs w:val="18"/>
          <w:color w:val="auto"/>
        </w:rPr>
      </w:pPr>
    </w:p>
    <w:p>
      <w:pPr>
        <w:ind w:left="1260" w:right="120" w:hanging="368"/>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75" w:lineRule="exact"/>
        <w:rPr>
          <w:rFonts w:ascii="Arial" w:cs="Arial" w:eastAsia="Arial" w:hAnsi="Arial"/>
          <w:sz w:val="18"/>
          <w:szCs w:val="18"/>
          <w:color w:val="auto"/>
        </w:rPr>
      </w:pPr>
    </w:p>
    <w:p>
      <w:pPr>
        <w:ind w:left="1260" w:right="400" w:hanging="368"/>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 company’s assets that could have a material effect on the financial statements.</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2020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2020.</w:t>
      </w:r>
    </w:p>
    <w:p>
      <w:pPr>
        <w:spacing w:after="0" w:line="17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This Form 10-K/A does not include an attestation report of our independent registered public accounting firm due to an exemption established by the JOBS Act for “emerging growth companies”.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December 31, 2020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included on pages F-1 through F-31 attached hereto and are filed as part of this Form 10-K/A.</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Page</w:t>
            </w:r>
          </w:p>
        </w:tc>
      </w:tr>
      <w:tr>
        <w:trPr>
          <w:trHeight w:val="183"/>
        </w:trPr>
        <w:tc>
          <w:tcPr>
            <w:tcW w:w="10300" w:type="dxa"/>
            <w:vAlign w:val="bottom"/>
            <w:gridSpan w:val="7"/>
          </w:tcPr>
          <w:p>
            <w:pPr>
              <w:spacing w:after="0" w:line="182" w:lineRule="exact"/>
              <w:rPr>
                <w:sz w:val="20"/>
                <w:szCs w:val="20"/>
                <w:color w:val="auto"/>
              </w:rPr>
            </w:pPr>
            <w:r>
              <w:rPr>
                <w:rFonts w:ascii="Arial" w:cs="Arial" w:eastAsia="Arial" w:hAnsi="Arial"/>
                <w:sz w:val="18"/>
                <w:szCs w:val="18"/>
                <w:color w:val="0563C1"/>
              </w:rPr>
              <w:t>Report of Independent Registered Public Accounting Firm</w:t>
            </w:r>
          </w:p>
        </w:tc>
        <w:tc>
          <w:tcPr>
            <w:tcW w:w="800" w:type="dxa"/>
            <w:vAlign w:val="bottom"/>
          </w:tcPr>
          <w:p>
            <w:pPr>
              <w:ind w:left="540"/>
              <w:spacing w:after="0" w:line="182" w:lineRule="exact"/>
              <w:rPr>
                <w:sz w:val="20"/>
                <w:szCs w:val="20"/>
                <w:color w:val="auto"/>
              </w:rPr>
            </w:pPr>
            <w:r>
              <w:rPr>
                <w:rFonts w:ascii="Arial" w:cs="Arial" w:eastAsia="Arial" w:hAnsi="Arial"/>
                <w:sz w:val="18"/>
                <w:szCs w:val="18"/>
                <w:color w:val="auto"/>
                <w:w w:val="88"/>
              </w:rPr>
              <w:t>F-2</w:t>
            </w:r>
          </w:p>
        </w:tc>
      </w:tr>
      <w:tr>
        <w:trPr>
          <w:trHeight w:val="223"/>
        </w:trPr>
        <w:tc>
          <w:tcPr>
            <w:tcW w:w="4200" w:type="dxa"/>
            <w:vAlign w:val="bottom"/>
            <w:tcBorders>
              <w:top w:val="single" w:sz="8" w:color="0563C1"/>
            </w:tcBorders>
            <w:gridSpan w:val="4"/>
          </w:tcPr>
          <w:p>
            <w:pPr>
              <w:spacing w:after="0"/>
              <w:rPr>
                <w:sz w:val="20"/>
                <w:szCs w:val="20"/>
                <w:color w:val="auto"/>
              </w:rPr>
            </w:pPr>
            <w:r>
              <w:rPr>
                <w:rFonts w:ascii="Arial" w:cs="Arial" w:eastAsia="Arial" w:hAnsi="Arial"/>
                <w:sz w:val="18"/>
                <w:szCs w:val="18"/>
                <w:color w:val="0563C1"/>
              </w:rPr>
              <w:t>Consolidated Balance Sheets</w:t>
            </w:r>
          </w:p>
        </w:tc>
        <w:tc>
          <w:tcPr>
            <w:tcW w:w="6100" w:type="dxa"/>
            <w:vAlign w:val="bottom"/>
            <w:gridSpan w:val="3"/>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88"/>
              </w:rPr>
              <w:t>F-3</w:t>
            </w:r>
          </w:p>
        </w:tc>
      </w:tr>
      <w:tr>
        <w:trPr>
          <w:trHeight w:val="20"/>
        </w:trPr>
        <w:tc>
          <w:tcPr>
            <w:tcW w:w="208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4680" w:type="dxa"/>
            <w:vAlign w:val="bottom"/>
            <w:tcBorders>
              <w:bottom w:val="single" w:sz="8" w:color="0563C1"/>
            </w:tcBorders>
            <w:gridSpan w:val="5"/>
          </w:tcPr>
          <w:p>
            <w:pPr>
              <w:spacing w:after="0"/>
              <w:rPr>
                <w:sz w:val="20"/>
                <w:szCs w:val="20"/>
                <w:color w:val="auto"/>
              </w:rPr>
            </w:pPr>
            <w:r>
              <w:rPr>
                <w:rFonts w:ascii="Arial" w:cs="Arial" w:eastAsia="Arial" w:hAnsi="Arial"/>
                <w:sz w:val="18"/>
                <w:szCs w:val="18"/>
                <w:color w:val="0563C1"/>
                <w:w w:val="89"/>
              </w:rPr>
              <w:t>Consolidated Statements of Operations and Comprehensive Loss</w:t>
            </w:r>
          </w:p>
        </w:tc>
        <w:tc>
          <w:tcPr>
            <w:tcW w:w="5620" w:type="dxa"/>
            <w:vAlign w:val="bottom"/>
            <w:gridSpan w:val="2"/>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88"/>
              </w:rPr>
              <w:t>F-4</w:t>
            </w:r>
          </w:p>
        </w:tc>
      </w:tr>
      <w:tr>
        <w:trPr>
          <w:trHeight w:val="223"/>
        </w:trPr>
        <w:tc>
          <w:tcPr>
            <w:tcW w:w="10300" w:type="dxa"/>
            <w:vAlign w:val="bottom"/>
            <w:gridSpan w:val="7"/>
          </w:tcPr>
          <w:p>
            <w:pPr>
              <w:spacing w:after="0"/>
              <w:rPr>
                <w:sz w:val="20"/>
                <w:szCs w:val="20"/>
                <w:color w:val="auto"/>
              </w:rPr>
            </w:pPr>
            <w:r>
              <w:rPr>
                <w:rFonts w:ascii="Arial" w:cs="Arial" w:eastAsia="Arial" w:hAnsi="Arial"/>
                <w:sz w:val="18"/>
                <w:szCs w:val="18"/>
                <w:color w:val="0563C1"/>
              </w:rPr>
              <w:t>Consolidated Statements of Convertible Preferred Stock and Stockholders’ Equity (Deficit)</w:t>
            </w:r>
          </w:p>
        </w:tc>
        <w:tc>
          <w:tcPr>
            <w:tcW w:w="800" w:type="dxa"/>
            <w:vAlign w:val="bottom"/>
          </w:tcPr>
          <w:p>
            <w:pPr>
              <w:ind w:left="540"/>
              <w:spacing w:after="0"/>
              <w:rPr>
                <w:sz w:val="20"/>
                <w:szCs w:val="20"/>
                <w:color w:val="auto"/>
              </w:rPr>
            </w:pPr>
            <w:r>
              <w:rPr>
                <w:rFonts w:ascii="Arial" w:cs="Arial" w:eastAsia="Arial" w:hAnsi="Arial"/>
                <w:sz w:val="18"/>
                <w:szCs w:val="18"/>
                <w:color w:val="auto"/>
                <w:w w:val="88"/>
              </w:rPr>
              <w:t>F-5</w:t>
            </w:r>
          </w:p>
        </w:tc>
      </w:tr>
      <w:tr>
        <w:trPr>
          <w:trHeight w:val="223"/>
        </w:trPr>
        <w:tc>
          <w:tcPr>
            <w:tcW w:w="6560" w:type="dxa"/>
            <w:vAlign w:val="bottom"/>
            <w:tcBorders>
              <w:top w:val="single" w:sz="8" w:color="0563C1"/>
            </w:tcBorders>
            <w:gridSpan w:val="6"/>
          </w:tcPr>
          <w:p>
            <w:pPr>
              <w:spacing w:after="0"/>
              <w:rPr>
                <w:sz w:val="20"/>
                <w:szCs w:val="20"/>
                <w:color w:val="auto"/>
              </w:rPr>
            </w:pPr>
            <w:r>
              <w:rPr>
                <w:rFonts w:ascii="Arial" w:cs="Arial" w:eastAsia="Arial" w:hAnsi="Arial"/>
                <w:sz w:val="18"/>
                <w:szCs w:val="18"/>
                <w:color w:val="0563C1"/>
              </w:rPr>
              <w:t>Consolidated Statements of Cash Flows</w:t>
            </w:r>
          </w:p>
        </w:tc>
        <w:tc>
          <w:tcPr>
            <w:tcW w:w="374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88"/>
              </w:rPr>
              <w:t>F-6</w:t>
            </w:r>
          </w:p>
        </w:tc>
      </w:tr>
      <w:tr>
        <w:trPr>
          <w:trHeight w:val="20"/>
        </w:trPr>
        <w:tc>
          <w:tcPr>
            <w:tcW w:w="2860" w:type="dxa"/>
            <w:vAlign w:val="bottom"/>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0300" w:type="dxa"/>
            <w:vAlign w:val="bottom"/>
            <w:gridSpan w:val="7"/>
          </w:tcPr>
          <w:p>
            <w:pPr>
              <w:spacing w:after="0"/>
              <w:rPr>
                <w:sz w:val="20"/>
                <w:szCs w:val="20"/>
                <w:color w:val="auto"/>
              </w:rPr>
            </w:pPr>
            <w:r>
              <w:rPr>
                <w:rFonts w:ascii="Arial" w:cs="Arial" w:eastAsia="Arial" w:hAnsi="Arial"/>
                <w:sz w:val="18"/>
                <w:szCs w:val="18"/>
                <w:color w:val="0563C1"/>
              </w:rPr>
              <w:t>Notes to Consolidated Financial Statements</w:t>
            </w:r>
          </w:p>
        </w:tc>
        <w:tc>
          <w:tcPr>
            <w:tcW w:w="800" w:type="dxa"/>
            <w:vAlign w:val="bottom"/>
          </w:tcPr>
          <w:p>
            <w:pPr>
              <w:ind w:left="540"/>
              <w:spacing w:after="0"/>
              <w:rPr>
                <w:sz w:val="20"/>
                <w:szCs w:val="20"/>
                <w:color w:val="auto"/>
              </w:rPr>
            </w:pPr>
            <w:r>
              <w:rPr>
                <w:rFonts w:ascii="Arial" w:cs="Arial" w:eastAsia="Arial" w:hAnsi="Arial"/>
                <w:sz w:val="18"/>
                <w:szCs w:val="18"/>
                <w:color w:val="auto"/>
                <w:w w:val="88"/>
              </w:rPr>
              <w:t>F-7</w:t>
            </w:r>
          </w:p>
        </w:tc>
      </w:tr>
      <w:tr>
        <w:trPr>
          <w:trHeight w:val="20"/>
        </w:trPr>
        <w:tc>
          <w:tcPr>
            <w:tcW w:w="208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exhibits required by Item 601 of Regulation S-K and Item 15(b) of Form 10-K are listed in the Exhibit Index immediately preceding the signature page of this Form 10-K/A. The exhibits listed in the Exhibit Index are incorporated by reference herein.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10360" w:type="dxa"/>
            <w:vAlign w:val="bottom"/>
            <w:gridSpan w:val="7"/>
          </w:tcPr>
          <w:p>
            <w:pPr>
              <w:spacing w:after="0" w:line="182" w:lineRule="exact"/>
              <w:rPr>
                <w:sz w:val="20"/>
                <w:szCs w:val="20"/>
                <w:color w:val="auto"/>
              </w:rPr>
            </w:pPr>
            <w:r>
              <w:rPr>
                <w:rFonts w:ascii="Arial" w:cs="Arial" w:eastAsia="Arial" w:hAnsi="Arial"/>
                <w:sz w:val="18"/>
                <w:szCs w:val="18"/>
                <w:color w:val="0563C1"/>
              </w:rPr>
              <w:t>Report of Independent Registered Public Accounting Firm</w:t>
            </w:r>
          </w:p>
        </w:tc>
        <w:tc>
          <w:tcPr>
            <w:tcW w:w="740" w:type="dxa"/>
            <w:vAlign w:val="bottom"/>
          </w:tcPr>
          <w:p>
            <w:pPr>
              <w:ind w:left="480"/>
              <w:spacing w:after="0" w:line="182" w:lineRule="exact"/>
              <w:rPr>
                <w:sz w:val="20"/>
                <w:szCs w:val="20"/>
                <w:color w:val="auto"/>
              </w:rPr>
            </w:pPr>
            <w:r>
              <w:rPr>
                <w:rFonts w:ascii="Arial" w:cs="Arial" w:eastAsia="Arial" w:hAnsi="Arial"/>
                <w:sz w:val="18"/>
                <w:szCs w:val="18"/>
                <w:color w:val="auto"/>
                <w:w w:val="88"/>
              </w:rPr>
              <w:t>F-2</w:t>
            </w:r>
          </w:p>
        </w:tc>
        <w:tc>
          <w:tcPr>
            <w:tcW w:w="60" w:type="dxa"/>
            <w:vAlign w:val="bottom"/>
          </w:tcPr>
          <w:p>
            <w:pPr>
              <w:spacing w:after="0"/>
              <w:rPr>
                <w:sz w:val="15"/>
                <w:szCs w:val="15"/>
                <w:color w:val="auto"/>
              </w:rPr>
            </w:pPr>
          </w:p>
        </w:tc>
      </w:tr>
      <w:tr>
        <w:trPr>
          <w:trHeight w:val="223"/>
        </w:trPr>
        <w:tc>
          <w:tcPr>
            <w:tcW w:w="80" w:type="dxa"/>
            <w:vAlign w:val="bottom"/>
          </w:tcPr>
          <w:p>
            <w:pPr>
              <w:spacing w:after="0"/>
              <w:rPr>
                <w:sz w:val="19"/>
                <w:szCs w:val="19"/>
                <w:color w:val="auto"/>
              </w:rPr>
            </w:pPr>
          </w:p>
        </w:tc>
        <w:tc>
          <w:tcPr>
            <w:tcW w:w="4200" w:type="dxa"/>
            <w:vAlign w:val="bottom"/>
            <w:tcBorders>
              <w:top w:val="single" w:sz="8" w:color="0563C1"/>
            </w:tcBorders>
            <w:gridSpan w:val="4"/>
          </w:tcPr>
          <w:p>
            <w:pPr>
              <w:spacing w:after="0"/>
              <w:rPr>
                <w:sz w:val="20"/>
                <w:szCs w:val="20"/>
                <w:color w:val="auto"/>
              </w:rPr>
            </w:pPr>
            <w:r>
              <w:rPr>
                <w:rFonts w:ascii="Arial" w:cs="Arial" w:eastAsia="Arial" w:hAnsi="Arial"/>
                <w:sz w:val="18"/>
                <w:szCs w:val="18"/>
                <w:color w:val="0563C1"/>
              </w:rPr>
              <w:t>Consolidated Balance Sheets</w:t>
            </w:r>
          </w:p>
        </w:tc>
        <w:tc>
          <w:tcPr>
            <w:tcW w:w="6160" w:type="dxa"/>
            <w:vAlign w:val="bottom"/>
            <w:gridSpan w:val="3"/>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88"/>
              </w:rPr>
              <w:t>F-3</w:t>
            </w: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208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80" w:type="dxa"/>
            <w:vAlign w:val="bottom"/>
            <w:tcBorders>
              <w:bottom w:val="single" w:sz="8" w:color="0563C1"/>
            </w:tcBorders>
            <w:gridSpan w:val="5"/>
          </w:tcPr>
          <w:p>
            <w:pPr>
              <w:spacing w:after="0"/>
              <w:rPr>
                <w:sz w:val="20"/>
                <w:szCs w:val="20"/>
                <w:color w:val="auto"/>
              </w:rPr>
            </w:pPr>
            <w:r>
              <w:rPr>
                <w:rFonts w:ascii="Arial" w:cs="Arial" w:eastAsia="Arial" w:hAnsi="Arial"/>
                <w:sz w:val="18"/>
                <w:szCs w:val="18"/>
                <w:color w:val="0563C1"/>
                <w:w w:val="89"/>
              </w:rPr>
              <w:t>Consolidated Statements of Operations and Comprehensive Loss</w:t>
            </w:r>
          </w:p>
        </w:tc>
        <w:tc>
          <w:tcPr>
            <w:tcW w:w="5680" w:type="dxa"/>
            <w:vAlign w:val="bottom"/>
            <w:gridSpan w:val="2"/>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88"/>
              </w:rPr>
              <w:t>F-4</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0360" w:type="dxa"/>
            <w:vAlign w:val="bottom"/>
            <w:gridSpan w:val="7"/>
          </w:tcPr>
          <w:p>
            <w:pPr>
              <w:spacing w:after="0"/>
              <w:rPr>
                <w:sz w:val="20"/>
                <w:szCs w:val="20"/>
                <w:color w:val="auto"/>
              </w:rPr>
            </w:pPr>
            <w:r>
              <w:rPr>
                <w:rFonts w:ascii="Arial" w:cs="Arial" w:eastAsia="Arial" w:hAnsi="Arial"/>
                <w:sz w:val="18"/>
                <w:szCs w:val="18"/>
                <w:color w:val="0563C1"/>
              </w:rPr>
              <w:t>Consolidated Statements of Convertible Preferred Stock and Stockholders’ Equity (Deficit)</w:t>
            </w:r>
          </w:p>
        </w:tc>
        <w:tc>
          <w:tcPr>
            <w:tcW w:w="740" w:type="dxa"/>
            <w:vAlign w:val="bottom"/>
          </w:tcPr>
          <w:p>
            <w:pPr>
              <w:ind w:left="480"/>
              <w:spacing w:after="0"/>
              <w:rPr>
                <w:sz w:val="20"/>
                <w:szCs w:val="20"/>
                <w:color w:val="auto"/>
              </w:rPr>
            </w:pPr>
            <w:r>
              <w:rPr>
                <w:rFonts w:ascii="Arial" w:cs="Arial" w:eastAsia="Arial" w:hAnsi="Arial"/>
                <w:sz w:val="18"/>
                <w:szCs w:val="18"/>
                <w:color w:val="auto"/>
                <w:w w:val="88"/>
              </w:rPr>
              <w:t>F-5</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6560" w:type="dxa"/>
            <w:vAlign w:val="bottom"/>
            <w:tcBorders>
              <w:top w:val="single" w:sz="8" w:color="0563C1"/>
            </w:tcBorders>
            <w:gridSpan w:val="6"/>
          </w:tcPr>
          <w:p>
            <w:pPr>
              <w:spacing w:after="0"/>
              <w:rPr>
                <w:sz w:val="20"/>
                <w:szCs w:val="20"/>
                <w:color w:val="auto"/>
              </w:rPr>
            </w:pPr>
            <w:r>
              <w:rPr>
                <w:rFonts w:ascii="Arial" w:cs="Arial" w:eastAsia="Arial" w:hAnsi="Arial"/>
                <w:sz w:val="18"/>
                <w:szCs w:val="18"/>
                <w:color w:val="0563C1"/>
              </w:rPr>
              <w:t>Consolidated Statements of Cash Flows</w:t>
            </w:r>
          </w:p>
        </w:tc>
        <w:tc>
          <w:tcPr>
            <w:tcW w:w="38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88"/>
              </w:rPr>
              <w:t>F-6</w:t>
            </w: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2860" w:type="dxa"/>
            <w:vAlign w:val="bottom"/>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360" w:type="dxa"/>
            <w:vAlign w:val="bottom"/>
            <w:gridSpan w:val="7"/>
          </w:tcPr>
          <w:p>
            <w:pPr>
              <w:spacing w:after="0"/>
              <w:rPr>
                <w:sz w:val="20"/>
                <w:szCs w:val="20"/>
                <w:color w:val="auto"/>
              </w:rPr>
            </w:pPr>
            <w:r>
              <w:rPr>
                <w:rFonts w:ascii="Arial" w:cs="Arial" w:eastAsia="Arial" w:hAnsi="Arial"/>
                <w:sz w:val="18"/>
                <w:szCs w:val="18"/>
                <w:color w:val="0563C1"/>
              </w:rPr>
              <w:t>Notes to Consolidated Financial Statements</w:t>
            </w:r>
          </w:p>
        </w:tc>
        <w:tc>
          <w:tcPr>
            <w:tcW w:w="740" w:type="dxa"/>
            <w:vAlign w:val="bottom"/>
          </w:tcPr>
          <w:p>
            <w:pPr>
              <w:ind w:left="480"/>
              <w:spacing w:after="0"/>
              <w:rPr>
                <w:sz w:val="20"/>
                <w:szCs w:val="20"/>
                <w:color w:val="auto"/>
              </w:rPr>
            </w:pPr>
            <w:r>
              <w:rPr>
                <w:rFonts w:ascii="Arial" w:cs="Arial" w:eastAsia="Arial" w:hAnsi="Arial"/>
                <w:sz w:val="18"/>
                <w:szCs w:val="18"/>
                <w:color w:val="auto"/>
                <w:w w:val="88"/>
              </w:rPr>
              <w:t>F-7</w:t>
            </w:r>
          </w:p>
        </w:tc>
        <w:tc>
          <w:tcPr>
            <w:tcW w:w="60" w:type="dxa"/>
            <w:vAlign w:val="bottom"/>
          </w:tcPr>
          <w:p>
            <w:pPr>
              <w:spacing w:after="0"/>
              <w:rPr>
                <w:sz w:val="19"/>
                <w:szCs w:val="19"/>
                <w:color w:val="auto"/>
              </w:rPr>
            </w:pPr>
          </w:p>
        </w:tc>
      </w:tr>
      <w:tr>
        <w:trPr>
          <w:trHeight w:val="682"/>
        </w:trPr>
        <w:tc>
          <w:tcPr>
            <w:tcW w:w="80" w:type="dxa"/>
            <w:vAlign w:val="bottom"/>
          </w:tcPr>
          <w:p>
            <w:pPr>
              <w:spacing w:after="0"/>
              <w:rPr>
                <w:sz w:val="24"/>
                <w:szCs w:val="24"/>
                <w:color w:val="auto"/>
              </w:rPr>
            </w:pPr>
          </w:p>
        </w:tc>
        <w:tc>
          <w:tcPr>
            <w:tcW w:w="2080" w:type="dxa"/>
            <w:vAlign w:val="bottom"/>
            <w:tcBorders>
              <w:top w:val="single" w:sz="8" w:color="0563C1"/>
            </w:tcBorders>
          </w:tcPr>
          <w:p>
            <w:pPr>
              <w:spacing w:after="0"/>
              <w:rPr>
                <w:sz w:val="24"/>
                <w:szCs w:val="24"/>
                <w:color w:val="auto"/>
              </w:rPr>
            </w:pPr>
          </w:p>
        </w:tc>
        <w:tc>
          <w:tcPr>
            <w:tcW w:w="78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2"/>
          </w:tcPr>
          <w:p>
            <w:pPr>
              <w:ind w:left="740"/>
              <w:spacing w:after="0"/>
              <w:rPr>
                <w:sz w:val="20"/>
                <w:szCs w:val="20"/>
                <w:color w:val="auto"/>
              </w:rPr>
            </w:pPr>
            <w:r>
              <w:rPr>
                <w:rFonts w:ascii="Arial" w:cs="Arial" w:eastAsia="Arial" w:hAnsi="Arial"/>
                <w:sz w:val="18"/>
                <w:szCs w:val="18"/>
                <w:color w:val="auto"/>
              </w:rPr>
              <w:t>F-1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3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audited the accompanying consolidated balance sheets of Fulcrum Therapeutics, Inc. (the Company) as of December 31, 2020 and 2019, the related consolidated statements of operations and comprehensive loss,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55,862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Unbilled accounts receivable</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119,510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100,083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1,092</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129,577</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110,439</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5,496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lease incentive, current portion</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Deferred rent, excluding current portion</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lease incentive, excluding current portion</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Deferred revenue, excluding current portion</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6,011</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 excluding current portion</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34,396</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23,286</w:t>
            </w:r>
          </w:p>
        </w:tc>
        <w:tc>
          <w:tcPr>
            <w:tcW w:w="140" w:type="dxa"/>
            <w:vAlign w:val="bottom"/>
            <w:tcBorders>
              <w:top w:val="single" w:sz="8" w:color="CFF0FC"/>
            </w:tcBorders>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Preferred stock, $0.001 par value; 5,000,000 shares authorized; no shares issued or outstanding</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Common stock, $0.001 par value; 200,000,000 shares authorized; 28,067,402 and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23,335,514 shares issued as of December 31, 2020 and December 31, 2019, respectively;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w w:val="93"/>
              </w:rPr>
              <w:t>27,941,566 and 22,654,444 shares outstanding as of December 31, 2020 and December 31, 2019,</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at cost; no shares as of December 31, 2020 and December 31, 2019</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316,775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237,931</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(221,620 )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(150,801 )</w:t>
            </w:r>
          </w:p>
        </w:tc>
      </w:tr>
      <w:tr>
        <w:trPr>
          <w:trHeight w:val="23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87,153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129,577</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110,439</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-4679950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-4679950</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-4053840</wp:posOffset>
            </wp:positionV>
            <wp:extent cx="8572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-4053840</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-2159635</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-2159635</wp:posOffset>
            </wp:positionV>
            <wp:extent cx="857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8"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98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59,042</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21,392</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80,434</w:t>
            </w:r>
          </w:p>
        </w:tc>
        <w:tc>
          <w:tcPr>
            <w:tcW w:w="3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84,217</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(71,611 )</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(84,217 )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(70,819 )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(82,677 )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Cumulative convertible preferred stock dividends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(70,819 )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(89,805 )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w w:val="98"/>
              </w:rPr>
              <w:t>Weighted average number of common shares used in net loss per share attributable to common</w:t>
            </w:r>
          </w:p>
        </w:tc>
        <w:tc>
          <w:tcPr>
            <w:tcW w:w="9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25,354</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11,046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Arial" w:cs="Arial" w:eastAsia="Arial" w:hAnsi="Arial"/>
                <w:sz w:val="18"/>
                <w:szCs w:val="18"/>
                <w:color w:val="auto"/>
              </w:rPr>
              <w:t>stockholders, basic and diluted</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1"/>
              </w:rPr>
              <w:t>(70,819 )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(82,677 )</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marketable securities</w:t>
            </w:r>
          </w:p>
        </w:tc>
        <w:tc>
          <w:tcPr>
            <w:tcW w:w="9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Pr>
          <w:p>
            <w:pPr>
              <w:ind w:left="300"/>
              <w:spacing w:after="0"/>
              <w:rPr>
                <w:sz w:val="20"/>
                <w:szCs w:val="20"/>
                <w:color w:val="auto"/>
              </w:rPr>
            </w:pPr>
            <w:r>
              <w:rPr>
                <w:rFonts w:ascii="Arial" w:cs="Arial" w:eastAsia="Arial" w:hAnsi="Arial"/>
                <w:sz w:val="18"/>
                <w:szCs w:val="18"/>
                <w:color w:val="auto"/>
              </w:rPr>
              <w:t>Total other comprehensive loss</w:t>
            </w:r>
          </w:p>
        </w:tc>
        <w:tc>
          <w:tcPr>
            <w:tcW w:w="98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(2 )</w:t>
            </w:r>
          </w:p>
        </w:tc>
        <w:tc>
          <w:tcPr>
            <w:tcW w:w="38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(70,821</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(82,677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-2433955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-2433955</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-1782445</wp:posOffset>
            </wp:positionV>
            <wp:extent cx="8572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-1782445</wp:posOffset>
            </wp:positionV>
            <wp:extent cx="8572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-1439545</wp:posOffset>
            </wp:positionV>
            <wp:extent cx="130302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020" cy="31750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-350520</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restart"/>
          </w:tcPr>
          <w:p>
            <w:pPr>
              <w:jc w:val="center"/>
              <w:ind w:left="173"/>
              <w:spacing w:after="0"/>
              <w:rPr>
                <w:sz w:val="20"/>
                <w:szCs w:val="20"/>
                <w:color w:val="auto"/>
              </w:rPr>
            </w:pPr>
            <w:r>
              <w:rPr>
                <w:rFonts w:ascii="Arial" w:cs="Arial" w:eastAsia="Arial" w:hAnsi="Arial"/>
                <w:sz w:val="13"/>
                <w:szCs w:val="13"/>
                <w:b w:val="1"/>
                <w:bCs w:val="1"/>
                <w:color w:val="auto"/>
                <w:w w:val="88"/>
              </w:rPr>
              <w:t>Series B</w:t>
            </w:r>
          </w:p>
        </w:tc>
        <w:tc>
          <w:tcPr>
            <w:tcW w:w="2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b w:val="1"/>
                <w:bCs w:val="1"/>
                <w:color w:val="auto"/>
              </w:rPr>
              <w:t>ulated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8"/>
              </w:rPr>
              <w:t>Addition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94"/>
              </w:rPr>
              <w:t>Series A Convertible</w:t>
            </w:r>
          </w:p>
        </w:tc>
        <w:tc>
          <w:tcPr>
            <w:tcW w:w="140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5"/>
              </w:rPr>
              <w:t>Convertible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center"/>
              <w:ind w:right="73"/>
              <w:spacing w:after="0"/>
              <w:rPr>
                <w:sz w:val="20"/>
                <w:szCs w:val="20"/>
                <w:color w:val="auto"/>
              </w:rPr>
            </w:pPr>
            <w:r>
              <w:rPr>
                <w:rFonts w:ascii="Arial" w:cs="Arial" w:eastAsia="Arial" w:hAnsi="Arial"/>
                <w:sz w:val="13"/>
                <w:szCs w:val="13"/>
                <w:b w:val="1"/>
                <w:bCs w:val="1"/>
                <w:color w:val="auto"/>
                <w:w w:val="91"/>
              </w:rPr>
              <w:t>al</w:t>
            </w:r>
          </w:p>
        </w:tc>
        <w:tc>
          <w:tcPr>
            <w:tcW w:w="26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w:t>
            </w: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ders’</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26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3"/>
                <w:szCs w:val="13"/>
                <w:b w:val="1"/>
                <w:bCs w:val="1"/>
                <w:color w:val="auto"/>
              </w:rPr>
              <w:t>Preferred Stock</w:t>
            </w:r>
          </w:p>
        </w:tc>
        <w:tc>
          <w:tcPr>
            <w:tcW w:w="240" w:type="dxa"/>
            <w:vAlign w:val="bottom"/>
          </w:tcPr>
          <w:p>
            <w:pPr>
              <w:spacing w:after="0"/>
              <w:rPr>
                <w:sz w:val="15"/>
                <w:szCs w:val="15"/>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2"/>
              </w:rPr>
              <w:t>Common Stock</w:t>
            </w:r>
          </w:p>
        </w:tc>
        <w:tc>
          <w:tcPr>
            <w:tcW w:w="1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3"/>
              </w:rPr>
              <w:t>Treasury Stock</w:t>
            </w:r>
          </w:p>
        </w:tc>
        <w:tc>
          <w:tcPr>
            <w:tcW w:w="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hensive</w:t>
            </w:r>
          </w:p>
        </w:tc>
        <w:tc>
          <w:tcPr>
            <w:tcW w:w="740" w:type="dxa"/>
            <w:vAlign w:val="bottom"/>
            <w:gridSpan w:val="3"/>
          </w:tcPr>
          <w:p>
            <w:pPr>
              <w:ind w:left="60"/>
              <w:spacing w:after="0"/>
              <w:rPr>
                <w:sz w:val="20"/>
                <w:szCs w:val="20"/>
                <w:color w:val="auto"/>
              </w:rPr>
            </w:pPr>
            <w:r>
              <w:rPr>
                <w:rFonts w:ascii="Arial" w:cs="Arial" w:eastAsia="Arial" w:hAnsi="Arial"/>
                <w:sz w:val="13"/>
                <w:szCs w:val="13"/>
                <w:b w:val="1"/>
                <w:bCs w:val="1"/>
                <w:color w:val="auto"/>
              </w:rPr>
              <w:t>ulated</w:t>
            </w:r>
          </w:p>
        </w:tc>
        <w:tc>
          <w:tcPr>
            <w:tcW w:w="8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Amoun</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right w:val="single" w:sz="8" w:color="auto"/>
            </w:tcBorders>
            <w:gridSpan w:val="3"/>
          </w:tcPr>
          <w:p>
            <w:pPr>
              <w:ind w:left="20"/>
              <w:spacing w:after="0" w:line="143" w:lineRule="exact"/>
              <w:rPr>
                <w:sz w:val="20"/>
                <w:szCs w:val="20"/>
                <w:color w:val="auto"/>
              </w:rPr>
            </w:pPr>
            <w:r>
              <w:rPr>
                <w:rFonts w:ascii="Arial" w:cs="Arial" w:eastAsia="Arial" w:hAnsi="Arial"/>
                <w:sz w:val="13"/>
                <w:szCs w:val="13"/>
                <w:b w:val="1"/>
                <w:bCs w:val="1"/>
                <w:color w:val="auto"/>
              </w:rPr>
              <w:t>Amou</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w w:val="98"/>
              </w:rPr>
              <w:t>Amoun</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w w:val="98"/>
              </w:rPr>
              <w:t>Amoun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t</w:t>
            </w:r>
          </w:p>
        </w:tc>
        <w:tc>
          <w:tcPr>
            <w:tcW w:w="24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7"/>
              </w:rPr>
              <w:t>nt</w:t>
            </w: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t</w:t>
            </w:r>
          </w:p>
        </w:tc>
        <w:tc>
          <w:tcPr>
            <w:tcW w:w="1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5"/>
                <w:szCs w:val="15"/>
                <w:color w:val="auto"/>
              </w:rPr>
            </w:pP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t</w:t>
            </w:r>
          </w:p>
        </w:tc>
        <w:tc>
          <w:tcPr>
            <w:tcW w:w="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2"/>
              </w:rPr>
              <w:t>loss</w:t>
            </w:r>
          </w:p>
        </w:tc>
        <w:tc>
          <w:tcPr>
            <w:tcW w:w="240" w:type="dxa"/>
            <w:vAlign w:val="bottom"/>
          </w:tcPr>
          <w:p>
            <w:pPr>
              <w:spacing w:after="0"/>
              <w:rPr>
                <w:sz w:val="15"/>
                <w:szCs w:val="15"/>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5"/>
                <w:szCs w:val="15"/>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240" w:type="dxa"/>
            <w:vAlign w:val="bottom"/>
            <w:shd w:val="clear" w:color="auto" w:fill="CFF0FC"/>
          </w:tcPr>
          <w:p>
            <w:pPr>
              <w:ind w:left="20"/>
              <w:spacing w:after="0" w:line="145" w:lineRule="exact"/>
              <w:rPr>
                <w:sz w:val="20"/>
                <w:szCs w:val="20"/>
                <w:color w:val="auto"/>
              </w:rPr>
            </w:pPr>
            <w:r>
              <w:rPr>
                <w:rFonts w:ascii="Arial" w:cs="Arial" w:eastAsia="Arial" w:hAnsi="Arial"/>
                <w:sz w:val="13"/>
                <w:szCs w:val="13"/>
                <w:color w:val="auto"/>
              </w:rPr>
              <w:t>Balance at December 31, 2018</w:t>
            </w:r>
          </w:p>
        </w:tc>
        <w:tc>
          <w:tcPr>
            <w:tcW w:w="50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60,00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59,90</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40,00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w w:val="94"/>
              </w:rPr>
              <w:t>79,7</w:t>
            </w: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1,587,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line="145" w:lineRule="exact"/>
              <w:rPr>
                <w:sz w:val="20"/>
                <w:szCs w:val="20"/>
                <w:color w:val="auto"/>
              </w:rPr>
            </w:pPr>
            <w:r>
              <w:rPr>
                <w:rFonts w:ascii="Arial" w:cs="Arial" w:eastAsia="Arial" w:hAnsi="Arial"/>
                <w:sz w:val="13"/>
                <w:szCs w:val="13"/>
                <w:color w:val="auto"/>
              </w:rPr>
              <w:t>67,02</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(68,1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0,000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0,000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w:t>
            </w:r>
          </w:p>
        </w:tc>
        <w:tc>
          <w:tcPr>
            <w:tcW w:w="58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4,452</w:t>
            </w:r>
          </w:p>
        </w:tc>
        <w:tc>
          <w:tcPr>
            <w:tcW w:w="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24 )</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(63,670 )</w:t>
            </w: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Issuance of Series B convertible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rPr>
                <w:sz w:val="20"/>
                <w:szCs w:val="20"/>
                <w:color w:val="auto"/>
              </w:rPr>
            </w:pPr>
            <w:r>
              <w:rPr>
                <w:rFonts w:ascii="Arial" w:cs="Arial" w:eastAsia="Arial" w:hAnsi="Arial"/>
                <w:sz w:val="13"/>
                <w:szCs w:val="13"/>
                <w:color w:val="auto"/>
              </w:rPr>
              <w:t>preferred stock in connection with</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00"/>
              <w:spacing w:after="0"/>
              <w:rPr>
                <w:sz w:val="20"/>
                <w:szCs w:val="20"/>
                <w:color w:val="auto"/>
              </w:rPr>
            </w:pPr>
            <w:r>
              <w:rPr>
                <w:rFonts w:ascii="Arial" w:cs="Arial" w:eastAsia="Arial" w:hAnsi="Arial"/>
                <w:sz w:val="13"/>
                <w:szCs w:val="13"/>
                <w:color w:val="auto"/>
              </w:rPr>
              <w:t>asset acquisition, net of issuance</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4"/>
              </w:rPr>
              <w:t>25,4</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0"/>
              <w:spacing w:after="0"/>
              <w:rPr>
                <w:sz w:val="20"/>
                <w:szCs w:val="20"/>
                <w:color w:val="auto"/>
              </w:rPr>
            </w:pPr>
            <w:r>
              <w:rPr>
                <w:rFonts w:ascii="Arial" w:cs="Arial" w:eastAsia="Arial" w:hAnsi="Arial"/>
                <w:sz w:val="13"/>
                <w:szCs w:val="13"/>
                <w:color w:val="auto"/>
              </w:rPr>
              <w:t>costs</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66</w:t>
            </w: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Conversion of convertible</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preferred stock into common stock</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00,00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4"/>
              </w:rPr>
              <w:t>5,22</w:t>
            </w: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165,12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165,13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0 )</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09 )</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0 )</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7 )</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1,418</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16</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Initial public offering, net of</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00"/>
              <w:spacing w:after="0"/>
              <w:rPr>
                <w:sz w:val="20"/>
                <w:szCs w:val="20"/>
                <w:color w:val="auto"/>
              </w:rPr>
            </w:pPr>
            <w:r>
              <w:rPr>
                <w:rFonts w:ascii="Arial" w:cs="Arial" w:eastAsia="Arial" w:hAnsi="Arial"/>
                <w:sz w:val="13"/>
                <w:szCs w:val="13"/>
                <w:color w:val="auto"/>
              </w:rPr>
              <w:t>underwriting discounts,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4,500,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0"/>
              <w:spacing w:after="0"/>
              <w:rPr>
                <w:sz w:val="20"/>
                <w:szCs w:val="20"/>
                <w:color w:val="auto"/>
              </w:rPr>
            </w:pPr>
            <w:r>
              <w:rPr>
                <w:rFonts w:ascii="Arial" w:cs="Arial" w:eastAsia="Arial" w:hAnsi="Arial"/>
                <w:sz w:val="13"/>
                <w:szCs w:val="13"/>
                <w:color w:val="auto"/>
              </w:rPr>
              <w:t>commissions and offering costs</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000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63,867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63,872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under</w:t>
            </w: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33,78</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employee benefit plans</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Vesting of restricted stock awards</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461,2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 of unvested restricted</w:t>
            </w: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61,45</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awards</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Retirement of treasury shares</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(128,</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474 )</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expense</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(82,6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77 )</w:t>
            </w: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(82,677 )</w:t>
            </w:r>
          </w:p>
        </w:tc>
        <w:tc>
          <w:tcPr>
            <w:tcW w:w="0" w:type="dxa"/>
            <w:vAlign w:val="bottom"/>
          </w:tcPr>
          <w:p>
            <w:pPr>
              <w:spacing w:after="0"/>
              <w:rPr>
                <w:sz w:val="1"/>
                <w:szCs w:val="1"/>
                <w:color w:val="auto"/>
              </w:rPr>
            </w:pPr>
          </w:p>
        </w:tc>
      </w:tr>
      <w:tr>
        <w:trPr>
          <w:trHeight w:val="145"/>
        </w:trPr>
        <w:tc>
          <w:tcPr>
            <w:tcW w:w="2240" w:type="dxa"/>
            <w:vAlign w:val="bottom"/>
            <w:shd w:val="clear" w:color="auto" w:fill="CFF0FC"/>
          </w:tcPr>
          <w:p>
            <w:pPr>
              <w:ind w:left="20"/>
              <w:spacing w:after="0" w:line="145" w:lineRule="exact"/>
              <w:rPr>
                <w:sz w:val="20"/>
                <w:szCs w:val="20"/>
                <w:color w:val="auto"/>
              </w:rPr>
            </w:pPr>
            <w:r>
              <w:rPr>
                <w:rFonts w:ascii="Arial" w:cs="Arial" w:eastAsia="Arial" w:hAnsi="Arial"/>
                <w:sz w:val="13"/>
                <w:szCs w:val="13"/>
                <w:color w:val="auto"/>
              </w:rPr>
              <w:t>Balance at December 31, 2019</w:t>
            </w: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22,65</w:t>
            </w:r>
          </w:p>
        </w:tc>
        <w:tc>
          <w:tcPr>
            <w:tcW w:w="26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237,93</w:t>
            </w:r>
          </w:p>
        </w:tc>
        <w:tc>
          <w:tcPr>
            <w:tcW w:w="2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(150,</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2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4,444</w:t>
            </w:r>
          </w:p>
        </w:tc>
        <w:tc>
          <w:tcPr>
            <w:tcW w:w="58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23</w:t>
            </w: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801 )</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87,153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240" w:type="dxa"/>
            <w:vAlign w:val="bottom"/>
            <w:tcBorders>
              <w:top w:val="single" w:sz="8" w:color="CFF0FC"/>
            </w:tcBorders>
          </w:tcPr>
          <w:p>
            <w:pPr>
              <w:ind w:left="200"/>
              <w:spacing w:after="0" w:line="132" w:lineRule="exact"/>
              <w:rPr>
                <w:sz w:val="20"/>
                <w:szCs w:val="20"/>
                <w:color w:val="auto"/>
              </w:rPr>
            </w:pPr>
            <w:r>
              <w:rPr>
                <w:rFonts w:ascii="Arial" w:cs="Arial" w:eastAsia="Arial" w:hAnsi="Arial"/>
                <w:sz w:val="13"/>
                <w:szCs w:val="13"/>
                <w:color w:val="auto"/>
              </w:rPr>
              <w:t>Issuance of common stock in</w:t>
            </w: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00"/>
              <w:spacing w:after="0"/>
              <w:rPr>
                <w:sz w:val="20"/>
                <w:szCs w:val="20"/>
                <w:color w:val="auto"/>
              </w:rPr>
            </w:pPr>
            <w:r>
              <w:rPr>
                <w:rFonts w:ascii="Arial" w:cs="Arial" w:eastAsia="Arial" w:hAnsi="Arial"/>
                <w:sz w:val="13"/>
                <w:szCs w:val="13"/>
                <w:color w:val="auto"/>
              </w:rPr>
              <w:t>connection with private placement,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4,029,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0"/>
              <w:spacing w:after="0"/>
              <w:rPr>
                <w:sz w:val="20"/>
                <w:szCs w:val="20"/>
                <w:color w:val="auto"/>
              </w:rPr>
            </w:pPr>
            <w:r>
              <w:rPr>
                <w:rFonts w:ascii="Arial" w:cs="Arial" w:eastAsia="Arial" w:hAnsi="Arial"/>
                <w:sz w:val="13"/>
                <w:szCs w:val="13"/>
                <w:color w:val="auto"/>
              </w:rPr>
              <w:t>net of issuance costs</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4</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64,314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64,318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in "at-</w:t>
            </w: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the-market" offering, net of</w:t>
            </w: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costs</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Issuance of common stock under</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182,3</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0"/>
              <w:spacing w:after="0"/>
              <w:rPr>
                <w:sz w:val="20"/>
                <w:szCs w:val="20"/>
                <w:color w:val="auto"/>
              </w:rPr>
            </w:pPr>
            <w:r>
              <w:rPr>
                <w:rFonts w:ascii="Arial" w:cs="Arial" w:eastAsia="Arial" w:hAnsi="Arial"/>
                <w:sz w:val="13"/>
                <w:szCs w:val="13"/>
                <w:color w:val="auto"/>
              </w:rPr>
              <w:t>employee benefit plans</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1,430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awards</w:t>
            </w: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Repurchase of unvested restricted</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29,88</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0"/>
              <w:spacing w:after="0"/>
              <w:rPr>
                <w:sz w:val="20"/>
                <w:szCs w:val="20"/>
                <w:color w:val="auto"/>
              </w:rPr>
            </w:pPr>
            <w:r>
              <w:rPr>
                <w:rFonts w:ascii="Arial" w:cs="Arial" w:eastAsia="Arial" w:hAnsi="Arial"/>
                <w:sz w:val="13"/>
                <w:szCs w:val="13"/>
                <w:color w:val="auto"/>
              </w:rPr>
              <w:t>stock awards</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Retirement of treasury shares</w:t>
            </w: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(29,8</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82 )</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0"/>
              <w:spacing w:after="0"/>
              <w:rPr>
                <w:sz w:val="20"/>
                <w:szCs w:val="20"/>
                <w:color w:val="auto"/>
              </w:rPr>
            </w:pPr>
            <w:r>
              <w:rPr>
                <w:rFonts w:ascii="Arial" w:cs="Arial" w:eastAsia="Arial" w:hAnsi="Arial"/>
                <w:sz w:val="13"/>
                <w:szCs w:val="13"/>
                <w:color w:val="auto"/>
              </w:rPr>
              <w:t>expense</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7,350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loss on marketable</w:t>
            </w: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securities</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(2 )</w:t>
            </w: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51"/>
        </w:trPr>
        <w:tc>
          <w:tcPr>
            <w:tcW w:w="22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(70,8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19 )</w:t>
            </w: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(70,819 )</w:t>
            </w:r>
          </w:p>
        </w:tc>
        <w:tc>
          <w:tcPr>
            <w:tcW w:w="0" w:type="dxa"/>
            <w:vAlign w:val="bottom"/>
          </w:tcPr>
          <w:p>
            <w:pPr>
              <w:spacing w:after="0"/>
              <w:rPr>
                <w:sz w:val="1"/>
                <w:szCs w:val="1"/>
                <w:color w:val="auto"/>
              </w:rPr>
            </w:pPr>
          </w:p>
        </w:tc>
      </w:tr>
      <w:tr>
        <w:trPr>
          <w:trHeight w:val="145"/>
        </w:trPr>
        <w:tc>
          <w:tcPr>
            <w:tcW w:w="2240" w:type="dxa"/>
            <w:vAlign w:val="bottom"/>
            <w:shd w:val="clear" w:color="auto" w:fill="CFF0FC"/>
          </w:tcPr>
          <w:p>
            <w:pPr>
              <w:ind w:left="20"/>
              <w:spacing w:after="0" w:line="145" w:lineRule="exact"/>
              <w:rPr>
                <w:sz w:val="20"/>
                <w:szCs w:val="20"/>
                <w:color w:val="auto"/>
              </w:rPr>
            </w:pPr>
            <w:r>
              <w:rPr>
                <w:rFonts w:ascii="Arial" w:cs="Arial" w:eastAsia="Arial" w:hAnsi="Arial"/>
                <w:sz w:val="13"/>
                <w:szCs w:val="13"/>
                <w:color w:val="auto"/>
              </w:rPr>
              <w:t>Balance at December 31, 2020</w:t>
            </w: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27,94</w:t>
            </w:r>
          </w:p>
        </w:tc>
        <w:tc>
          <w:tcPr>
            <w:tcW w:w="26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316,77</w:t>
            </w:r>
          </w:p>
        </w:tc>
        <w:tc>
          <w:tcPr>
            <w:tcW w:w="2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(221,</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1,566</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28</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(2 )</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620 )</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95,181</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-2305685</wp:posOffset>
            </wp:positionV>
            <wp:extent cx="5392420"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92420" cy="3257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-25400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-8255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-25400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-8255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-25400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-25400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-25400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-8255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69"/>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(70,819 )</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(82,677 )</w:t>
            </w:r>
          </w:p>
        </w:tc>
      </w:tr>
      <w:tr>
        <w:trPr>
          <w:trHeight w:val="176"/>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7580" w:type="dxa"/>
            <w:vAlign w:val="bottom"/>
          </w:tcPr>
          <w:p>
            <w:pPr>
              <w:ind w:left="200"/>
              <w:spacing w:after="0"/>
              <w:rPr>
                <w:sz w:val="20"/>
                <w:szCs w:val="20"/>
                <w:color w:val="auto"/>
              </w:rPr>
            </w:pPr>
            <w:r>
              <w:rPr>
                <w:rFonts w:ascii="Arial" w:cs="Arial" w:eastAsia="Arial" w:hAnsi="Arial"/>
                <w:sz w:val="14"/>
                <w:szCs w:val="14"/>
                <w:color w:val="auto"/>
              </w:rPr>
              <w:t>Depreciation expense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2,379</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2,053</w:t>
            </w:r>
          </w:p>
        </w:tc>
        <w:tc>
          <w:tcPr>
            <w:tcW w:w="140" w:type="dxa"/>
            <w:vAlign w:val="bottom"/>
          </w:tcPr>
          <w:p>
            <w:pPr>
              <w:spacing w:after="0"/>
              <w:rPr>
                <w:sz w:val="15"/>
                <w:szCs w:val="15"/>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7,350</w:t>
            </w: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4,224</w:t>
            </w:r>
          </w:p>
        </w:tc>
        <w:tc>
          <w:tcPr>
            <w:tcW w:w="140" w:type="dxa"/>
            <w:vAlign w:val="bottom"/>
            <w:shd w:val="clear" w:color="auto" w:fill="CFF0FC"/>
          </w:tcPr>
          <w:p>
            <w:pPr>
              <w:spacing w:after="0"/>
              <w:rPr>
                <w:sz w:val="15"/>
                <w:szCs w:val="15"/>
                <w:color w:val="auto"/>
              </w:rPr>
            </w:pPr>
          </w:p>
        </w:tc>
      </w:tr>
      <w:tr>
        <w:trPr>
          <w:trHeight w:val="176"/>
        </w:trPr>
        <w:tc>
          <w:tcPr>
            <w:tcW w:w="7580" w:type="dxa"/>
            <w:vAlign w:val="bottom"/>
          </w:tcPr>
          <w:p>
            <w:pPr>
              <w:ind w:left="200"/>
              <w:spacing w:after="0"/>
              <w:rPr>
                <w:sz w:val="20"/>
                <w:szCs w:val="20"/>
                <w:color w:val="auto"/>
              </w:rPr>
            </w:pPr>
            <w:r>
              <w:rPr>
                <w:rFonts w:ascii="Arial" w:cs="Arial" w:eastAsia="Arial" w:hAnsi="Arial"/>
                <w:sz w:val="14"/>
                <w:szCs w:val="14"/>
                <w:color w:val="auto"/>
              </w:rPr>
              <w:t>In-process research and development expense</w:t>
            </w:r>
          </w:p>
        </w:tc>
        <w:tc>
          <w:tcPr>
            <w:tcW w:w="1000" w:type="dxa"/>
            <w:vAlign w:val="bottom"/>
          </w:tcPr>
          <w:p>
            <w:pPr>
              <w:spacing w:after="0"/>
              <w:rPr>
                <w:sz w:val="15"/>
                <w:szCs w:val="15"/>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25,591</w:t>
            </w:r>
          </w:p>
        </w:tc>
        <w:tc>
          <w:tcPr>
            <w:tcW w:w="140" w:type="dxa"/>
            <w:vAlign w:val="bottom"/>
          </w:tcPr>
          <w:p>
            <w:pPr>
              <w:spacing w:after="0"/>
              <w:rPr>
                <w:sz w:val="15"/>
                <w:szCs w:val="15"/>
                <w:color w:val="auto"/>
              </w:rPr>
            </w:pPr>
          </w:p>
        </w:tc>
      </w:tr>
      <w:tr>
        <w:trPr>
          <w:trHeight w:val="175"/>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amortization of premiums and discounts on marketable securities</w:t>
            </w:r>
          </w:p>
        </w:tc>
        <w:tc>
          <w:tcPr>
            <w:tcW w:w="10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(68 )</w:t>
            </w: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758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(2,000 )</w:t>
            </w: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7580" w:type="dxa"/>
            <w:vAlign w:val="bottom"/>
          </w:tcPr>
          <w:p>
            <w:pPr>
              <w:ind w:left="380"/>
              <w:spacing w:after="0"/>
              <w:rPr>
                <w:sz w:val="20"/>
                <w:szCs w:val="20"/>
                <w:color w:val="auto"/>
              </w:rPr>
            </w:pPr>
            <w:r>
              <w:rPr>
                <w:rFonts w:ascii="Arial" w:cs="Arial" w:eastAsia="Arial" w:hAnsi="Arial"/>
                <w:sz w:val="14"/>
                <w:szCs w:val="14"/>
                <w:color w:val="auto"/>
              </w:rPr>
              <w:t>Unbilled accounts receivable</w:t>
            </w:r>
          </w:p>
        </w:tc>
        <w:tc>
          <w:tcPr>
            <w:tcW w:w="100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(531 )</w:t>
            </w:r>
          </w:p>
        </w:tc>
        <w:tc>
          <w:tcPr>
            <w:tcW w:w="360" w:type="dxa"/>
            <w:vAlign w:val="bottom"/>
          </w:tcPr>
          <w:p>
            <w:pPr>
              <w:spacing w:after="0"/>
              <w:rPr>
                <w:sz w:val="15"/>
                <w:szCs w:val="15"/>
                <w:color w:val="auto"/>
              </w:rPr>
            </w:pPr>
          </w:p>
        </w:tc>
        <w:tc>
          <w:tcPr>
            <w:tcW w:w="1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(697 )</w:t>
            </w: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(2,459 )</w:t>
            </w:r>
          </w:p>
        </w:tc>
      </w:tr>
      <w:tr>
        <w:trPr>
          <w:trHeight w:val="175"/>
        </w:trPr>
        <w:tc>
          <w:tcPr>
            <w:tcW w:w="758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(519 )</w:t>
            </w:r>
          </w:p>
        </w:tc>
        <w:tc>
          <w:tcPr>
            <w:tcW w:w="360" w:type="dxa"/>
            <w:vAlign w:val="bottom"/>
          </w:tcPr>
          <w:p>
            <w:pPr>
              <w:spacing w:after="0"/>
              <w:rPr>
                <w:sz w:val="15"/>
                <w:szCs w:val="15"/>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(20 )</w:t>
            </w:r>
          </w:p>
        </w:tc>
      </w:tr>
      <w:tr>
        <w:trPr>
          <w:trHeight w:val="176"/>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1,773</w:t>
            </w: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140" w:type="dxa"/>
            <w:vAlign w:val="bottom"/>
            <w:shd w:val="clear" w:color="auto" w:fill="CFF0FC"/>
          </w:tcPr>
          <w:p>
            <w:pPr>
              <w:spacing w:after="0"/>
              <w:rPr>
                <w:sz w:val="15"/>
                <w:szCs w:val="15"/>
                <w:color w:val="auto"/>
              </w:rPr>
            </w:pPr>
          </w:p>
        </w:tc>
      </w:tr>
      <w:tr>
        <w:trPr>
          <w:trHeight w:val="175"/>
        </w:trPr>
        <w:tc>
          <w:tcPr>
            <w:tcW w:w="7580" w:type="dxa"/>
            <w:vAlign w:val="bottom"/>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1,976</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2,949</w:t>
            </w:r>
          </w:p>
        </w:tc>
        <w:tc>
          <w:tcPr>
            <w:tcW w:w="140" w:type="dxa"/>
            <w:vAlign w:val="bottom"/>
          </w:tcPr>
          <w:p>
            <w:pPr>
              <w:spacing w:after="0"/>
              <w:rPr>
                <w:sz w:val="15"/>
                <w:szCs w:val="15"/>
                <w:color w:val="auto"/>
              </w:rPr>
            </w:pPr>
          </w:p>
        </w:tc>
      </w:tr>
      <w:tr>
        <w:trPr>
          <w:trHeight w:val="176"/>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revenue</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7,881</w:t>
            </w: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FF0FC"/>
          </w:tcPr>
          <w:p>
            <w:pPr>
              <w:spacing w:after="0"/>
              <w:rPr>
                <w:sz w:val="15"/>
                <w:szCs w:val="15"/>
                <w:color w:val="auto"/>
              </w:rPr>
            </w:pPr>
          </w:p>
        </w:tc>
      </w:tr>
      <w:tr>
        <w:trPr>
          <w:trHeight w:val="176"/>
        </w:trPr>
        <w:tc>
          <w:tcPr>
            <w:tcW w:w="7580" w:type="dxa"/>
            <w:vAlign w:val="bottom"/>
          </w:tcPr>
          <w:p>
            <w:pPr>
              <w:ind w:left="380"/>
              <w:spacing w:after="0"/>
              <w:rPr>
                <w:sz w:val="20"/>
                <w:szCs w:val="20"/>
                <w:color w:val="auto"/>
              </w:rPr>
            </w:pPr>
            <w:r>
              <w:rPr>
                <w:rFonts w:ascii="Arial" w:cs="Arial" w:eastAsia="Arial" w:hAnsi="Arial"/>
                <w:sz w:val="14"/>
                <w:szCs w:val="14"/>
                <w:color w:val="auto"/>
              </w:rPr>
              <w:t>Deferred rent and deferred lease incentive</w:t>
            </w:r>
          </w:p>
        </w:tc>
        <w:tc>
          <w:tcPr>
            <w:tcW w:w="100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(380 )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5"/>
                <w:szCs w:val="15"/>
                <w:color w:val="auto"/>
              </w:rPr>
            </w:pPr>
          </w:p>
        </w:tc>
      </w:tr>
      <w:tr>
        <w:trPr>
          <w:trHeight w:val="169"/>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00" w:type="dxa"/>
            <w:vAlign w:val="bottom"/>
            <w:tcBorders>
              <w:top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(53,655</w:t>
            </w:r>
          </w:p>
        </w:tc>
        <w:tc>
          <w:tcPr>
            <w:tcW w:w="3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(39,483</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r>
      <w:tr>
        <w:trPr>
          <w:trHeight w:val="176"/>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marketable securities</w:t>
            </w:r>
          </w:p>
        </w:tc>
        <w:tc>
          <w:tcPr>
            <w:tcW w:w="10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(124,270 )</w:t>
            </w: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Maturities of marketable securities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68,474</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(1,342 )</w:t>
            </w: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(853 )</w:t>
            </w: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Transaction costs associated with asset acquisition</w:t>
            </w:r>
          </w:p>
        </w:tc>
        <w:tc>
          <w:tcPr>
            <w:tcW w:w="1000" w:type="dxa"/>
            <w:vAlign w:val="bottom"/>
          </w:tcPr>
          <w:p>
            <w:pPr>
              <w:spacing w:after="0"/>
              <w:rPr>
                <w:sz w:val="15"/>
                <w:szCs w:val="15"/>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(91 )</w:t>
            </w:r>
          </w:p>
        </w:tc>
      </w:tr>
      <w:tr>
        <w:trPr>
          <w:trHeight w:val="169"/>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(57,138</w:t>
            </w:r>
          </w:p>
        </w:tc>
        <w:tc>
          <w:tcPr>
            <w:tcW w:w="3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(944</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r>
      <w:tr>
        <w:trPr>
          <w:trHeight w:val="176"/>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Series B convertible preferred stock issuance costs</w:t>
            </w:r>
          </w:p>
        </w:tc>
        <w:tc>
          <w:tcPr>
            <w:tcW w:w="10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(34 )</w:t>
            </w:r>
          </w:p>
        </w:tc>
      </w:tr>
      <w:tr>
        <w:trPr>
          <w:trHeight w:val="176"/>
        </w:trPr>
        <w:tc>
          <w:tcPr>
            <w:tcW w:w="7580" w:type="dxa"/>
            <w:vAlign w:val="bottom"/>
          </w:tcPr>
          <w:p>
            <w:pPr>
              <w:ind w:left="20"/>
              <w:spacing w:after="0"/>
              <w:rPr>
                <w:sz w:val="20"/>
                <w:szCs w:val="20"/>
                <w:color w:val="auto"/>
              </w:rPr>
            </w:pPr>
            <w:r>
              <w:rPr>
                <w:rFonts w:ascii="Arial" w:cs="Arial" w:eastAsia="Arial" w:hAnsi="Arial"/>
                <w:sz w:val="14"/>
                <w:szCs w:val="14"/>
                <w:color w:val="auto"/>
              </w:rPr>
              <w:t>Proceeds from initial public offering of common stock, net of underwriting discounts and commissions</w:t>
            </w:r>
          </w:p>
        </w:tc>
        <w:tc>
          <w:tcPr>
            <w:tcW w:w="100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(193 )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64,173</w:t>
            </w:r>
          </w:p>
        </w:tc>
        <w:tc>
          <w:tcPr>
            <w:tcW w:w="140" w:type="dxa"/>
            <w:vAlign w:val="bottom"/>
          </w:tcPr>
          <w:p>
            <w:pPr>
              <w:spacing w:after="0"/>
              <w:rPr>
                <w:sz w:val="15"/>
                <w:szCs w:val="15"/>
                <w:color w:val="auto"/>
              </w:rPr>
            </w:pPr>
          </w:p>
        </w:tc>
      </w:tr>
      <w:tr>
        <w:trPr>
          <w:trHeight w:val="175"/>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common stock in connection with private placement, net of issuance costs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64,210</w:t>
            </w: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Proceeds from issuance of common stock in connection with at-the-market offering, net of issuance costs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5,736</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on capital lease obligations</w:t>
            </w:r>
          </w:p>
        </w:tc>
        <w:tc>
          <w:tcPr>
            <w:tcW w:w="10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(50 )</w:t>
            </w: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(45 )</w:t>
            </w: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under benefit plans, net</w:t>
            </w: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w:t>
            </w: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40" w:type="dxa"/>
            <w:vAlign w:val="bottom"/>
          </w:tcPr>
          <w:p>
            <w:pPr>
              <w:spacing w:after="0"/>
              <w:rPr>
                <w:sz w:val="15"/>
                <w:szCs w:val="15"/>
                <w:color w:val="auto"/>
              </w:rPr>
            </w:pPr>
          </w:p>
        </w:tc>
      </w:tr>
      <w:tr>
        <w:trPr>
          <w:trHeight w:val="169"/>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71,132</w:t>
            </w:r>
          </w:p>
        </w:tc>
        <w:tc>
          <w:tcPr>
            <w:tcW w:w="3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64,343</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9"/>
        </w:trPr>
        <w:tc>
          <w:tcPr>
            <w:tcW w:w="758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1000" w:type="dxa"/>
            <w:vAlign w:val="bottom"/>
          </w:tcPr>
          <w:p>
            <w:pPr>
              <w:spacing w:after="0"/>
              <w:rPr>
                <w:sz w:val="14"/>
                <w:szCs w:val="14"/>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(39,661 )</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23,916</w:t>
            </w:r>
          </w:p>
        </w:tc>
        <w:tc>
          <w:tcPr>
            <w:tcW w:w="140" w:type="dxa"/>
            <w:vAlign w:val="bottom"/>
          </w:tcPr>
          <w:p>
            <w:pPr>
              <w:spacing w:after="0"/>
              <w:rPr>
                <w:sz w:val="14"/>
                <w:szCs w:val="14"/>
                <w:color w:val="auto"/>
              </w:rPr>
            </w:pPr>
          </w:p>
        </w:tc>
      </w:tr>
      <w:tr>
        <w:trPr>
          <w:trHeight w:val="175"/>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97,805</w:t>
            </w:r>
          </w:p>
        </w:tc>
        <w:tc>
          <w:tcPr>
            <w:tcW w:w="3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73,889</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75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58,144</w:t>
            </w:r>
          </w:p>
        </w:tc>
        <w:tc>
          <w:tcPr>
            <w:tcW w:w="34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97,805</w:t>
            </w:r>
          </w:p>
        </w:tc>
        <w:tc>
          <w:tcPr>
            <w:tcW w:w="140" w:type="dxa"/>
            <w:vAlign w:val="bottom"/>
          </w:tcPr>
          <w:p>
            <w:pPr>
              <w:spacing w:after="0"/>
              <w:rPr>
                <w:sz w:val="14"/>
                <w:szCs w:val="14"/>
                <w:color w:val="auto"/>
              </w:rPr>
            </w:pPr>
          </w:p>
        </w:tc>
      </w:tr>
      <w:tr>
        <w:trPr>
          <w:trHeight w:val="20"/>
        </w:trPr>
        <w:tc>
          <w:tcPr>
            <w:tcW w:w="7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75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r>
      <w:tr>
        <w:trPr>
          <w:trHeight w:val="175"/>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Acquisition of in process research and development through issuance of stock</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25,500</w:t>
            </w:r>
          </w:p>
        </w:tc>
        <w:tc>
          <w:tcPr>
            <w:tcW w:w="140" w:type="dxa"/>
            <w:vAlign w:val="bottom"/>
          </w:tcPr>
          <w:p>
            <w:pPr>
              <w:spacing w:after="0"/>
              <w:rPr>
                <w:sz w:val="15"/>
                <w:szCs w:val="15"/>
                <w:color w:val="auto"/>
              </w:rPr>
            </w:pPr>
          </w:p>
        </w:tc>
      </w:tr>
      <w:tr>
        <w:trPr>
          <w:trHeight w:val="176"/>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Conversion of convertible preferred stock into common stock</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165,136</w:t>
            </w:r>
          </w:p>
        </w:tc>
        <w:tc>
          <w:tcPr>
            <w:tcW w:w="140" w:type="dxa"/>
            <w:vAlign w:val="bottom"/>
            <w:shd w:val="clear" w:color="auto" w:fill="CFF0FC"/>
          </w:tcPr>
          <w:p>
            <w:pPr>
              <w:spacing w:after="0"/>
              <w:rPr>
                <w:sz w:val="15"/>
                <w:szCs w:val="15"/>
                <w:color w:val="auto"/>
              </w:rPr>
            </w:pPr>
          </w:p>
        </w:tc>
      </w:tr>
      <w:tr>
        <w:trPr>
          <w:trHeight w:val="175"/>
        </w:trPr>
        <w:tc>
          <w:tcPr>
            <w:tcW w:w="7580" w:type="dxa"/>
            <w:vAlign w:val="bottom"/>
          </w:tcPr>
          <w:p>
            <w:pPr>
              <w:ind w:left="20"/>
              <w:spacing w:after="0"/>
              <w:rPr>
                <w:sz w:val="20"/>
                <w:szCs w:val="20"/>
                <w:color w:val="auto"/>
              </w:rPr>
            </w:pPr>
            <w:r>
              <w:rPr>
                <w:rFonts w:ascii="Arial" w:cs="Arial" w:eastAsia="Arial" w:hAnsi="Arial"/>
                <w:sz w:val="14"/>
                <w:szCs w:val="14"/>
                <w:color w:val="auto"/>
              </w:rPr>
              <w:t>Property and equipment purchases unpaid at end of period</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262</w:t>
            </w:r>
          </w:p>
        </w:tc>
        <w:tc>
          <w:tcPr>
            <w:tcW w:w="34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5"/>
                <w:szCs w:val="15"/>
                <w:color w:val="auto"/>
              </w:rPr>
            </w:pPr>
          </w:p>
        </w:tc>
      </w:tr>
      <w:tr>
        <w:trPr>
          <w:trHeight w:val="175"/>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Public offering costs unpaid at end of period</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w:t>
            </w:r>
          </w:p>
        </w:tc>
        <w:tc>
          <w:tcPr>
            <w:tcW w:w="14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-1156970</wp:posOffset>
            </wp:positionV>
            <wp:extent cx="8572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-1156970</wp:posOffset>
            </wp:positionV>
            <wp:extent cx="85725"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-925195</wp:posOffset>
            </wp:positionV>
            <wp:extent cx="8572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-925195</wp:posOffset>
            </wp:positionV>
            <wp:extent cx="8572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r>
      <w:tr>
        <w:trPr>
          <w:trHeight w:val="185"/>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57,052</w:t>
            </w: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96,713</w:t>
            </w:r>
          </w:p>
        </w:tc>
        <w:tc>
          <w:tcPr>
            <w:tcW w:w="140" w:type="dxa"/>
            <w:vAlign w:val="bottom"/>
            <w:shd w:val="clear" w:color="auto" w:fill="CFF0FC"/>
          </w:tcPr>
          <w:p>
            <w:pPr>
              <w:spacing w:after="0"/>
              <w:rPr>
                <w:sz w:val="14"/>
                <w:szCs w:val="14"/>
                <w:color w:val="auto"/>
              </w:rPr>
            </w:pPr>
          </w:p>
        </w:tc>
      </w:tr>
      <w:tr>
        <w:trPr>
          <w:trHeight w:val="175"/>
        </w:trPr>
        <w:tc>
          <w:tcPr>
            <w:tcW w:w="76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140" w:type="dxa"/>
            <w:vAlign w:val="bottom"/>
          </w:tcPr>
          <w:p>
            <w:pPr>
              <w:spacing w:after="0"/>
              <w:rPr>
                <w:sz w:val="15"/>
                <w:szCs w:val="15"/>
                <w:color w:val="auto"/>
              </w:rPr>
            </w:pPr>
          </w:p>
        </w:tc>
      </w:tr>
      <w:tr>
        <w:trPr>
          <w:trHeight w:val="20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58,144</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97,805</w:t>
            </w:r>
          </w:p>
        </w:tc>
        <w:tc>
          <w:tcPr>
            <w:tcW w:w="1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July 5, 2019, in connection with the IPO,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for periods prior to the reverse stock split have been retroactively adjusted to give effect to this reverse stock split, including reclassifying an amount equal to the reduction in par value of common stock to additional paid-in capital.</w:t>
      </w:r>
    </w:p>
    <w:p>
      <w:pPr>
        <w:spacing w:after="0" w:line="188"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net proceeds of $64.3 million after deducting offering costs.</w:t>
      </w:r>
    </w:p>
    <w:p>
      <w:pPr>
        <w:spacing w:after="0" w:line="170"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On August 11, 2020, the Company entered into an Equity Distribution Agreement with Piper Sandler &amp; Co. (“Piper Sandler”), as sales agent, pursuant to which the Company may offer and sell shares of its common stock with an aggregate offering price of up to $75.0 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December 31, 2020, the Company has issued and sold 550,000 shares under the ATM Offering, resulting in aggregate net proceeds of $5.7 million after deducting issuance costs of $0.2 million.</w:t>
      </w:r>
    </w:p>
    <w:p>
      <w:pPr>
        <w:spacing w:after="0" w:line="19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On January 22, 2021, the Company completed a public offering of its common stock and issued and sold 4,600,000 shares of common stock at a public offering price of $11.00 per share, resulting in net proceeds of $46.4 million after deducting underwriting discounts and commissions and estimated offering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sale of shares of common stock in public offerings, a private placement, and the ATM Offering, through issuances of convertible preferred stock, and from upfront payments received from the collaboration and license agreements with Acceleron Pharma Inc. (“Acceleron”) and MyoKardia, Inc. (“MyoKardia”), a wholly-owned subsidiary of Bristol Myers Squibb Company. As of December 31, 2020, the Company had an accumulated deficit of $221.6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As of the date of issuance of these financial statements, the Company expects that its cash, cash equivalents, and marketable securities, together with the net proceeds from the sale of its common stock in a public offering on January 22, 2021 of $46.4 million,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the fair value of the Company’s common stock and convertible preferred stock prior to the completion of the IPO,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These assets include investments in money market funds that invest in U.S. Treasury obligations. The Company maintains its bank accounts at major financial institutions.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represents the cash held to secure a letter of credit associated with the Company’s facility lease.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 w:name="page14"/>
    <w:bookmarkEnd w:id="13"/>
    <w:p>
      <w:pPr>
        <w:ind w:right="200"/>
        <w:spacing w:after="0" w:line="277" w:lineRule="auto"/>
        <w:rPr>
          <w:sz w:val="20"/>
          <w:szCs w:val="20"/>
          <w:color w:val="auto"/>
        </w:rPr>
      </w:pPr>
      <w:r>
        <w:rPr>
          <w:rFonts w:ascii="Arial" w:cs="Arial" w:eastAsia="Arial" w:hAnsi="Arial"/>
          <w:sz w:val="18"/>
          <w:szCs w:val="18"/>
          <w:color w:val="auto"/>
        </w:rPr>
        <w:t>market participants would price assets and liabilities). The following fair value hierarchy is used to classify assets and liabilities based on the observable inputs and unobservable inputs used in order to value the assets and liabilities:</w:t>
      </w:r>
    </w:p>
    <w:p>
      <w:pPr>
        <w:spacing w:after="0" w:line="62"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0" w:firstLine="578"/>
        <w:spacing w:after="0" w:line="311" w:lineRule="auto"/>
        <w:rPr>
          <w:sz w:val="20"/>
          <w:szCs w:val="20"/>
          <w:color w:val="auto"/>
        </w:rPr>
      </w:pPr>
      <w:r>
        <w:rPr>
          <w:rFonts w:ascii="Arial" w:cs="Arial" w:eastAsia="Arial" w:hAnsi="Arial"/>
          <w:sz w:val="16"/>
          <w:szCs w:val="16"/>
          <w:color w:val="auto"/>
        </w:rPr>
        <w:t>The Company classifies securities with a remaining maturity when purchased of greater than three months as marketable securities. As of December 31, 2020, the Company’s marketable securities consisted of investments in corporate bonds and commercial paper. Marketable securities are classified as current assets on the consolidated balance sheets if the marketable securities are available to be converted into cash to fund current operations.</w:t>
      </w:r>
    </w:p>
    <w:p>
      <w:pPr>
        <w:spacing w:after="0" w:line="149"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spacing w:after="0" w:line="188" w:lineRule="exact"/>
        <w:rPr>
          <w:sz w:val="20"/>
          <w:szCs w:val="20"/>
          <w:color w:val="auto"/>
        </w:rPr>
      </w:pPr>
    </w:p>
    <w:p>
      <w:pPr>
        <w:ind w:right="100" w:firstLine="578"/>
        <w:spacing w:after="0" w:line="263"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40" w:firstLine="509"/>
        <w:spacing w:after="0" w:line="342"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210"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 Life (in years)</w:t>
            </w:r>
          </w:p>
        </w:tc>
      </w:tr>
      <w:tr>
        <w:trPr>
          <w:trHeight w:val="25"/>
        </w:trPr>
        <w:tc>
          <w:tcPr>
            <w:tcW w:w="29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4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79"/>
              </w:rPr>
              <w:t>5</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900" w:type="dxa"/>
            <w:vAlign w:val="bottom"/>
          </w:tcPr>
          <w:p>
            <w:pPr>
              <w:jc w:val="center"/>
              <w:ind w:left="13"/>
              <w:spacing w:after="0"/>
              <w:rPr>
                <w:sz w:val="20"/>
                <w:szCs w:val="20"/>
                <w:color w:val="auto"/>
              </w:rPr>
            </w:pPr>
            <w:r>
              <w:rPr>
                <w:rFonts w:ascii="Arial" w:cs="Arial" w:eastAsia="Arial" w:hAnsi="Arial"/>
                <w:sz w:val="18"/>
                <w:szCs w:val="18"/>
                <w:color w:val="auto"/>
                <w:w w:val="79"/>
              </w:rPr>
              <w:t>4</w:t>
            </w:r>
          </w:p>
        </w:tc>
      </w:tr>
      <w:tr>
        <w:trPr>
          <w:trHeight w:val="24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79"/>
              </w:rPr>
              <w:t>3</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Software</w:t>
            </w:r>
          </w:p>
        </w:tc>
        <w:tc>
          <w:tcPr>
            <w:tcW w:w="4900" w:type="dxa"/>
            <w:vAlign w:val="bottom"/>
          </w:tcPr>
          <w:p>
            <w:pPr>
              <w:jc w:val="center"/>
              <w:ind w:left="13"/>
              <w:spacing w:after="0"/>
              <w:rPr>
                <w:sz w:val="20"/>
                <w:szCs w:val="20"/>
                <w:color w:val="auto"/>
              </w:rPr>
            </w:pPr>
            <w:r>
              <w:rPr>
                <w:rFonts w:ascii="Arial" w:cs="Arial" w:eastAsia="Arial" w:hAnsi="Arial"/>
                <w:sz w:val="18"/>
                <w:szCs w:val="18"/>
                <w:color w:val="auto"/>
                <w:w w:val="79"/>
              </w:rPr>
              <w:t>3</w:t>
            </w:r>
          </w:p>
        </w:tc>
      </w:tr>
      <w:tr>
        <w:trPr>
          <w:trHeight w:val="24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1"/>
              </w:rPr>
              <w:t>Shorter of useful life or remaining lease term</w:t>
            </w:r>
          </w:p>
        </w:tc>
      </w:tr>
    </w:tbl>
    <w:p>
      <w:pPr>
        <w:spacing w:after="0" w:line="22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2020 and 2019.</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 xml:space="preserve">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 Identify the promises and performance obligations in the contract</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5" w:name="page16"/>
    <w:bookmarkEnd w:id="15"/>
    <w:p>
      <w:pPr>
        <w:ind w:right="100" w:firstLine="509"/>
        <w:spacing w:after="0" w:line="257" w:lineRule="auto"/>
        <w:rPr>
          <w:sz w:val="20"/>
          <w:szCs w:val="20"/>
          <w:color w:val="auto"/>
        </w:rPr>
      </w:pPr>
      <w:r>
        <w:rPr>
          <w:rFonts w:ascii="Arial" w:cs="Arial" w:eastAsia="Arial" w:hAnsi="Arial"/>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spacing w:after="0" w:line="188"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4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9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spacing w:after="0" w:line="195"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See Note 10, “Collaboration and License Agreements”, for further information on the application of ASC 606 to the collaboration and license agreement with Acceleron (the “Acceleron Collaboration Agreement”) and the collaboration and license agreement with MyoKardia (the “MyoKardia Collaboration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or the extent of services provided during the reporting periods, including invoices received and contracted costs. Significant judgments and estimates are made in determining the accrued balances at each reporting period. Actual results could differ from the Company’s estimates.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117" w:lineRule="exact"/>
        <w:rPr>
          <w:sz w:val="20"/>
          <w:szCs w:val="20"/>
          <w:color w:val="auto"/>
        </w:rPr>
      </w:pPr>
    </w:p>
    <w:p>
      <w:pPr>
        <w:ind w:right="600" w:firstLine="509"/>
        <w:spacing w:after="0" w:line="342" w:lineRule="auto"/>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Series B Convertible Preferred Stock</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Company determined the estimated fair value of common stock and Series B convertible preferred stock (the “Series B Preferred Stock”) issued prior to the completion of the IPO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initial public offering,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prior to the completion of the IPO included the guideline public company method and/or the precedent transaction method to estimate the equity value, and the option-pricing method or the hybrid method, which is a probability-weighted expected return method, to allocate equity value to the common stock and preferred stock. The Company utilized the hybrid method to estimate the fair value of the Series B Preferred Stock prior to the completion of the IPO. Significant changes to the key assumptions used in the valuations could result in different fair values of common stock and the Series B Preferred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7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8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Comprehensive loss is defined as the change in equity of a business enterprise during a period from transactions and other events and circumstances from non-owner sources. For the years ended December 31, 2020 and 2019, comprehensive loss consists of net loss and unrealized losses on investments.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66"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11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0" w:firstLine="578"/>
        <w:spacing w:after="0" w:line="301" w:lineRule="auto"/>
        <w:rPr>
          <w:sz w:val="20"/>
          <w:szCs w:val="20"/>
          <w:color w:val="auto"/>
        </w:rPr>
      </w:pPr>
      <w:r>
        <w:rPr>
          <w:rFonts w:ascii="Arial" w:cs="Arial" w:eastAsia="Arial" w:hAnsi="Arial"/>
          <w:sz w:val="16"/>
          <w:szCs w:val="16"/>
          <w:color w:val="auto"/>
        </w:rPr>
        <w:t xml:space="preserve">In March 2017, the FASB issued ASU No. 2017-08, </w:t>
      </w:r>
      <w:r>
        <w:rPr>
          <w:rFonts w:ascii="Arial" w:cs="Arial" w:eastAsia="Arial" w:hAnsi="Arial"/>
          <w:sz w:val="16"/>
          <w:szCs w:val="16"/>
          <w:i w:val="1"/>
          <w:iCs w:val="1"/>
          <w:color w:val="auto"/>
        </w:rPr>
        <w:t>Receivables - Nonrefundable Fees and Other Costs (Subtopic 310-20): Premium Amortization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Purchased Callable Debt Securities </w:t>
      </w:r>
      <w:r>
        <w:rPr>
          <w:rFonts w:ascii="Arial" w:cs="Arial" w:eastAsia="Arial" w:hAnsi="Arial"/>
          <w:sz w:val="16"/>
          <w:szCs w:val="16"/>
          <w:color w:val="auto"/>
        </w:rPr>
        <w:t>(“ASU 2017-08”). This standard amends the amortization period for certain purchased callable debt securities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a premium by shortening the amortization period to the earliest call date. The new standard became effective for the Company on January 1, 2020. The adoption of this standard did not have a material impact on the Company’s consolidated financial statements or footnote disclosures.</w:t>
      </w:r>
    </w:p>
    <w:p>
      <w:pPr>
        <w:spacing w:after="0" w:line="157" w:lineRule="exact"/>
        <w:rPr>
          <w:sz w:val="20"/>
          <w:szCs w:val="20"/>
          <w:color w:val="auto"/>
        </w:rPr>
      </w:pPr>
    </w:p>
    <w:p>
      <w:pPr>
        <w:ind w:right="40" w:firstLine="578"/>
        <w:spacing w:after="0" w:line="290"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Part I of the standard applies to entities that issue financial instruments such as warrants, convertible debt 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that contain down-round features. Part II of the standard replaces the indefinite deferral for certain mandatorily redeemable noncontrolling interests and mandatorily redeemable financial instruments of nonpublic entities contained within ASC 480 with a scope exception and does not impact the accounting for these mandatorily redeemable instruments. The new standard became effective for the Company on January 1, 2020 under the extended transition period. The adoption of this standard did not have a material impact on the Company’s consolidated financial statements or footnote disclosures.</w:t>
      </w:r>
    </w:p>
    <w:p>
      <w:pPr>
        <w:spacing w:after="0" w:line="165" w:lineRule="exact"/>
        <w:rPr>
          <w:sz w:val="20"/>
          <w:szCs w:val="20"/>
          <w:color w:val="auto"/>
        </w:rPr>
      </w:pPr>
    </w:p>
    <w:p>
      <w:pPr>
        <w:ind w:right="120" w:firstLine="578"/>
        <w:spacing w:after="0" w:line="291"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and Topic 606</w:t>
      </w:r>
      <w:r>
        <w:rPr>
          <w:rFonts w:ascii="Arial" w:cs="Arial" w:eastAsia="Arial" w:hAnsi="Arial"/>
          <w:sz w:val="16"/>
          <w:szCs w:val="16"/>
          <w:color w:val="auto"/>
        </w:rPr>
        <w:t>. The standard clarifies that certain transactions between collaborative arrangement participants should be accounted for as revenue under</w:t>
      </w:r>
      <w:r>
        <w:rPr>
          <w:rFonts w:ascii="Arial" w:cs="Arial" w:eastAsia="Arial" w:hAnsi="Arial"/>
          <w:sz w:val="16"/>
          <w:szCs w:val="16"/>
          <w:i w:val="1"/>
          <w:iCs w:val="1"/>
          <w:color w:val="auto"/>
        </w:rPr>
        <w:t xml:space="preserve"> </w:t>
      </w:r>
      <w:r>
        <w:rPr>
          <w:rFonts w:ascii="Arial" w:cs="Arial" w:eastAsia="Arial" w:hAnsi="Arial"/>
          <w:sz w:val="16"/>
          <w:szCs w:val="16"/>
          <w:color w:val="auto"/>
        </w:rPr>
        <w:t>ASC 606 when the collaborative arrangement participant is a customer in the context of a unit-of-account. The standard amends ASC 808 to refer to the unit-of-account guidance in ASC 606 and requires it to be used only when assessing whether the collaborative arrangement or a part of the arrangement is within the scope of ASC 606. The standard requires that collaborative arrangement revenue not within the scope of ASC 606 be presented separately from revenues from transactions within the scope of ASC 606. The new standard became effective for the Company on January 1, 2020. The adoption of this standard did not have a material impact on the Company’s consolidated financial statements or footnote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(“ASU 2018-11”), which permits entities to continue applying legacy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including its disclosure requirements, in the comparative periods presented in the year that the entity adopts the new leasing standard. In November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9" w:name="page20"/>
    <w:bookmarkEnd w:id="19"/>
    <w:p>
      <w:pPr>
        <w:ind w:right="80"/>
        <w:spacing w:after="0" w:line="290" w:lineRule="auto"/>
        <w:rPr>
          <w:sz w:val="20"/>
          <w:szCs w:val="20"/>
          <w:color w:val="auto"/>
        </w:rPr>
      </w:pPr>
      <w:r>
        <w:rPr>
          <w:rFonts w:ascii="Arial" w:cs="Arial" w:eastAsia="Arial" w:hAnsi="Arial"/>
          <w:sz w:val="16"/>
          <w:szCs w:val="16"/>
          <w:color w:val="auto"/>
        </w:rPr>
        <w:t>2019, the FASB deferred the effective date of ASU 2016-02, as amended, for private companies to fiscal years beginning after December 15, 2020. In June 2020, the FASB further deferred the effective date of ASU 2016-02, as amended, for private companies to fiscal years beginning after December 15, 2021. The new standard will become effective for the Company on January 1, 2022. The Company will apply the transition method permitted by ASU 2016-02, as amended.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6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requires that credit losses be reported using an expected losses model rather than the incurred losses model</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9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xml:space="preserve"> (“ASU 2019-12”).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December 31, 2020 and 2019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center"/>
              <w:ind w:right="135"/>
              <w:spacing w:after="0"/>
              <w:rPr>
                <w:sz w:val="20"/>
                <w:szCs w:val="20"/>
                <w:color w:val="auto"/>
              </w:rPr>
            </w:pPr>
            <w:r>
              <w:rPr>
                <w:rFonts w:ascii="Arial" w:cs="Arial" w:eastAsia="Arial" w:hAnsi="Arial"/>
                <w:sz w:val="14"/>
                <w:szCs w:val="14"/>
                <w:b w:val="1"/>
                <w:bCs w:val="1"/>
                <w:color w:val="auto"/>
                <w:w w:val="93"/>
              </w:rPr>
              <w:t>Fair Value Measurements at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57,052</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57,052</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23,339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23,339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64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112,914</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57,052</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55,862</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6"/>
        </w:trPr>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tcPr>
          <w:p>
            <w:pPr>
              <w:jc w:val="center"/>
              <w:ind w:right="135"/>
              <w:spacing w:after="0"/>
              <w:rPr>
                <w:sz w:val="20"/>
                <w:szCs w:val="20"/>
                <w:color w:val="auto"/>
              </w:rPr>
            </w:pPr>
            <w:r>
              <w:rPr>
                <w:rFonts w:ascii="Arial" w:cs="Arial" w:eastAsia="Arial" w:hAnsi="Arial"/>
                <w:sz w:val="14"/>
                <w:szCs w:val="14"/>
                <w:b w:val="1"/>
                <w:bCs w:val="1"/>
                <w:color w:val="auto"/>
                <w:w w:val="93"/>
              </w:rPr>
              <w:t>Fair Value Measurements at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96,713</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96,713</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7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-1190625</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-1190625</wp:posOffset>
            </wp:positionV>
            <wp:extent cx="857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-1190625</wp:posOffset>
            </wp:positionV>
            <wp:extent cx="857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-1190625</wp:posOffset>
            </wp:positionV>
            <wp:extent cx="857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levels during the years ended December 31, 2020 or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Marketable securities consisted of the following as of December 31, 2020 (in thousands):</w:t>
      </w:r>
    </w:p>
    <w:p>
      <w:pPr>
        <w:spacing w:after="0" w:line="28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-6985</wp:posOffset>
            </wp:positionV>
            <wp:extent cx="2854325" cy="342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432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5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4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Borders>
              <w:top w:val="single" w:sz="8" w:color="auto"/>
            </w:tcBorders>
          </w:tcPr>
          <w:p>
            <w:pPr>
              <w:jc w:val="center"/>
              <w:ind w:left="14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57,052</w:t>
            </w:r>
          </w:p>
        </w:tc>
        <w:tc>
          <w:tcPr>
            <w:tcW w:w="1240" w:type="dxa"/>
            <w:vAlign w:val="bottom"/>
            <w:gridSpan w:val="3"/>
          </w:tcPr>
          <w:p>
            <w:pPr>
              <w:jc w:val="right"/>
              <w:ind w:right="76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(4 )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55,862</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40" w:type="dxa"/>
            <w:vAlign w:val="bottom"/>
          </w:tcPr>
          <w:p>
            <w:pPr>
              <w:ind w:left="38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112,916</w:t>
            </w:r>
          </w:p>
        </w:tc>
        <w:tc>
          <w:tcPr>
            <w:tcW w:w="1240" w:type="dxa"/>
            <w:vAlign w:val="bottom"/>
            <w:gridSpan w:val="3"/>
          </w:tcPr>
          <w:p>
            <w:pPr>
              <w:jc w:val="right"/>
              <w:ind w:right="76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(4 )</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112,914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-187960</wp:posOffset>
            </wp:positionV>
            <wp:extent cx="8572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857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hold any marketable securities as of December 31, 2019.</w:t>
      </w:r>
    </w:p>
    <w:p>
      <w:pPr>
        <w:spacing w:after="0" w:line="225"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There were no sales of marketable securities during the year ended December 31, 2020. As of December 31, 2020, the aggregate fair value of securities that were in an unrealized loss position for less than twelve months was $13.4 million.</w:t>
      </w:r>
    </w:p>
    <w:p>
      <w:pPr>
        <w:spacing w:after="0" w:line="17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Company determined that it did not hold any securities with any other-than-temporary impairment as of December 31, 2020. As of December 31, 2020, the fair value and amortized cost of securities with a remaining contractual maturity of greater than one year was $3.1 million. As of December 31, 2020, the Company did not intend to sell, and would not be more likely than not required to sell, the securities in an unrealized loss position before recovery of their amortized cost bases.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(6,118 )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(3,947 )</w:t>
            </w:r>
          </w:p>
        </w:tc>
      </w:tr>
      <w:tr>
        <w:trPr>
          <w:trHeight w:val="277"/>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Depreciation expense for the years ended December 31, 2020 and 2019 was $2.4 million and $2.1 million, respectively. Total property and equipment, gross, as of each of December 31, 2020 and 2019 included $0.2 million of property and equipment recorded under capital leases. Accumulated depreciation, as of December 31, 2020 and 2019, included $0.2 million and $0.1 million, respectively, for property and equipment recorded under capital leases.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Payroll and benefits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Future minimum lease payments associated with the Company’s capital lease obligations are less than $0.1 million in the year ending December 31, 2021. No minimum lease payments associated with the Company’s capital lease obligations are due after December 31,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July 2016, the Company entered into a Series A convertible preferred stock purchase agreement, pursuant to which the Company sold 55,000,000 shares of Series A convertible preferred stock (the “Series A Preferred Stock”) at a price of $1.00 per share. In April 2017, the Company entered into an additional Series A Preferred Stock purchase agreement, pursuant to which the Company sold 5,000,000 shares of Series A Preferred Stock at a price of $1.00 per share.</w:t>
      </w:r>
    </w:p>
    <w:p>
      <w:pPr>
        <w:spacing w:after="0" w:line="187"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In August 2018, the Company entered into a Series B convertible preferred stock purchase agreement, pursuant to which the Company sold 40,000,000 shares of the Series B Preferred Stock at a purchase price of $2.00 per share. During the year ended December 31, 2019, the Company issued 12,500,000 shares of Series B Preferred Stock in connection with the right of reference and license agreement, as amended, entered into with subsidiaries of GlaxoSmithKline plc (collectively referred to as “GSK”) (the “GSK Agreement”) (Note 11).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7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64"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As the Preferred Stock was redeemable upon the occurrence of a Deemed Liquidation Event (as defined below), the Preferred Stock was classified outside of stockholders’ equity. Since the Preferred Stock was not initially redeemable and the Company determined that it was not probable that it would be redeemable, the carrying value of the Preferred Stock was not adjusted.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2" w:name="page23"/>
    <w:bookmarkEnd w:id="22"/>
    <w:p>
      <w:pPr>
        <w:ind w:firstLine="509"/>
        <w:spacing w:after="0" w:line="308" w:lineRule="auto"/>
        <w:rPr>
          <w:sz w:val="20"/>
          <w:szCs w:val="20"/>
          <w:color w:val="auto"/>
        </w:rPr>
      </w:pPr>
      <w:r>
        <w:rPr>
          <w:rFonts w:ascii="Arial" w:cs="Arial" w:eastAsia="Arial" w:hAnsi="Arial"/>
          <w:sz w:val="17"/>
          <w:szCs w:val="17"/>
          <w:color w:val="auto"/>
        </w:rPr>
        <w:t>On July 5, 2019, the Company eliminated the gross proceeds threshold of $45.0 million for a firm-commitment underwritten public offering in order to effect an automatic conversion of all outstanding shares of Preferred Stock into common stock upon the closing of the IPO.</w:t>
      </w:r>
    </w:p>
    <w:p>
      <w:pPr>
        <w:spacing w:after="0" w:line="146"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Upon the completion of the IPO on July 22, 2019, all 112,500,000 shares of outstanding Preferred Stock automatically converted into 16,071,418 shares of common stock. In addition, upon the completion of the IPO, the Company amended and restated its certificate of incorporation to authorize 5,000,000 shares of preferred stock, which shares of preferred stock are currently undesignated. As of December 31, 2020 and 2019, 5,000,000 shares of undesignated preferred stock were authorized and no shares of preferred stock were issued or outstanding.</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closing of the IPO, the holders of the Preferred Stock had the following rights, privileges, and preferences: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The holders of the Preferred Stock were entitled to vote on all matters submitted to stockholders for a vote and had the right to vote the number of shares equal to the number of shares of common stock into which such shares of Preferred Stock could convert on the record date for determination of stockholders entitled to vote. The holders of Preferred Stock voted together with the holders of common stock as a single class, on an as-converted basis, unless otherwise specified by law or the Certificate of Incorporation. For example, the holders of Series A Preferred Stock, exclusively and as a separate class, were entitled to elect one director of the Company and the holders of Series B Preferred Stock, exclusively and as a separate class, were entitled to elect one director of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Each share of Preferred Stock was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 Preferred Stock in effect at the time of conversion. The Original Issue Price was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was $7.00 per share for Series A Preferred Stock and $14.00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78"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Each share of Preferred Stock would have been automatically converted into shares of common stock at the then-effective conversion ratio upon either (i) the closing of the sale of shares of common stock to the public in a firm-commitment underwritten public offering pursuant to an effective registration statement under the Securities Act of 1933, as amended (the “Securities Act”), and, following such offering, the common stock was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approved a mandatory conversion in connection with a proposed Deemed Liquidation Event in which the holders of Series B Preferred Stock would have received less than the full liquidation preference applicable to the Series B Preferred Stock (as discussed below), then the mandatory conversion would have also required the consent of the holders of a majority of the outstanding shares of Series B Preferred Stock, voting together as a separate class.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From the date of issuance of the Series B Preferred Stock, dividends at an annual rate of $0.16 per share accrued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accrued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were cumulative and were payable only when and if declared by the board of directors of the Company or in the event of a liquidation, dissolution or winding up of the Company or a Deemed Liquidation Event. The Company could not declare dividends on the common stock unless the holders of Preferred Stock first received, or simultaneously received, a dividend on each outstanding share of Preferred Stock. No dividends have been declared since inception.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the holders of shares of Preferred Stock then outstanding would have been entitled to be paid out of the assets of the Company available for distribution to its stockholders before any payment was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 (ii) such amount per share as would have been payable had all shares of Preferred Stock been converted into common stock immediately prior to such liquidation, dissolution, winding up or Deemed Liquidation Event.</w:t>
      </w:r>
    </w:p>
    <w:p>
      <w:pPr>
        <w:spacing w:after="0" w:line="17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After the payment of all preferential amounts required to be paid to the holders of shares of Preferred Stock, the remaining assets of the Company available for distribution to its stockholders would have been distributed among the holders of the shares of common stock, pro rata based on the number of shares held by each such holder.</w:t>
      </w:r>
    </w:p>
    <w:p>
      <w:pPr>
        <w:spacing w:after="0" w:line="1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Unless the holders of at least 65% of the outstanding shares of Preferred Stock, voting together as a single class, elected otherwise, a “Deemed Liquidation Event” included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As of December 31, 2020, the Company’s restated certificate of incorporation authorized the Company to issue 200,000,000 shares of common stock, $0.001 par value per share.</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and 2019, the Company has reserved for future issuance the following number of shares of common stock:</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36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2,962,347</w:t>
            </w:r>
          </w:p>
        </w:tc>
        <w:tc>
          <w:tcPr>
            <w:tcW w:w="2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Shares reserved for future issuance under the 2019 Stock</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Incentive Plan</w:t>
            </w:r>
          </w:p>
        </w:tc>
        <w:tc>
          <w:tcPr>
            <w:tcW w:w="1120" w:type="dxa"/>
            <w:vAlign w:val="bottom"/>
          </w:tcPr>
          <w:p>
            <w:pPr>
              <w:jc w:val="right"/>
              <w:spacing w:after="0"/>
              <w:rPr>
                <w:sz w:val="20"/>
                <w:szCs w:val="20"/>
                <w:color w:val="auto"/>
              </w:rPr>
            </w:pPr>
            <w:r>
              <w:rPr>
                <w:rFonts w:ascii="Arial" w:cs="Arial" w:eastAsia="Arial" w:hAnsi="Arial"/>
                <w:sz w:val="18"/>
                <w:szCs w:val="18"/>
                <w:color w:val="auto"/>
              </w:rPr>
              <w:t>1,728,616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1,866,694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issuance under the 2019</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465,999</w:t>
            </w:r>
          </w:p>
        </w:tc>
        <w:tc>
          <w:tcPr>
            <w:tcW w:w="240" w:type="dxa"/>
            <w:vAlign w:val="bottom"/>
            <w:vMerge w:val="restart"/>
            <w:shd w:val="clear" w:color="auto" w:fill="CFF0FC"/>
          </w:tcPr>
          <w:p>
            <w:pPr>
              <w:spacing w:after="0"/>
              <w:rPr>
                <w:sz w:val="19"/>
                <w:szCs w:val="19"/>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252,142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Employee Stock Purchase Plan</w:t>
            </w: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5,156,962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4,142,664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603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2020 and 2019, no shares remained available for future issuance under the 2016 Plan. Any options or awards outstanding under the 2016 Plan remain outstanding and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will be annually increased on January 1, 2020 and each January 1 thereafter through January 1, 2029 by the least of (i) 2,000,000 shares, (ii) 4% of the number of shares of the Company’s common stock outstanding on the first day of each such year or (iii) an amount determined by the Company’s board of directors. As of December 31, 2020, there were 1,728,616 shares available for future issuance under the 2019 Plan. On January 1, 2021, the number of shares reserved for issuance under the 2019 Plan was increased by 1,122,696 shares.</w:t>
      </w:r>
    </w:p>
    <w:p>
      <w:pPr>
        <w:spacing w:after="0" w:line="178"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 Following the completion of the IPO, the fair value of the common stock on the grant date was based on the closing price of the stock on the Nasdaq Global Market on the date of grant.</w:t>
      </w:r>
    </w:p>
    <w:p>
      <w:pPr>
        <w:spacing w:after="0" w:line="187"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 Shares issued upon the exercise of stock options are issued from the Company’s pool of authorized but unissued common stock.</w:t>
      </w:r>
    </w:p>
    <w:p>
      <w:pPr>
        <w:spacing w:after="0" w:line="18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activity under the 2019 Plan and 2016 Plan since December 31, 2018:</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Date Fair</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22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757,022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224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36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(349,149 )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color w:val="auto"/>
              </w:rPr>
              <w:t>(61,450 )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3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346,423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224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36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(233,563 )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color w:val="auto"/>
              </w:rPr>
              <w:t>(29,882 )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22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82,978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0" w:type="dxa"/>
            <w:vAlign w:val="bottom"/>
            <w:gridSpan w:val="3"/>
          </w:tcPr>
          <w:p>
            <w:pPr>
              <w:jc w:val="right"/>
              <w:ind w:right="2540"/>
              <w:spacing w:after="0"/>
              <w:rPr>
                <w:sz w:val="20"/>
                <w:szCs w:val="20"/>
                <w:color w:val="auto"/>
              </w:rPr>
            </w:pPr>
            <w:r>
              <w:rPr>
                <w:rFonts w:ascii="Arial" w:cs="Arial" w:eastAsia="Arial" w:hAnsi="Arial"/>
                <w:sz w:val="18"/>
                <w:szCs w:val="18"/>
                <w:color w:val="auto"/>
              </w:rPr>
              <w:t>F-20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-522605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-505460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120" w:firstLine="509"/>
        <w:spacing w:after="0" w:line="277" w:lineRule="auto"/>
        <w:rPr>
          <w:sz w:val="20"/>
          <w:szCs w:val="20"/>
          <w:color w:val="auto"/>
        </w:rPr>
      </w:pPr>
      <w:r>
        <w:rPr>
          <w:rFonts w:ascii="Arial" w:cs="Arial" w:eastAsia="Arial" w:hAnsi="Arial"/>
          <w:sz w:val="18"/>
          <w:szCs w:val="18"/>
          <w:color w:val="auto"/>
        </w:rPr>
        <w:t>Stock options granted by the Company typically vest over a four year period and have a ten year contractual term. The following table summarizes the Company’s stock option activity under the 2019 Plan and 2016 Plan during the year ended December 31, 2020:</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14,840,035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1,352,306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(162,861 )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(250,926 )</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2,962,347</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5,767,895</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873,748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2,256,315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-205105</wp:posOffset>
            </wp:positionV>
            <wp:extent cx="7683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weighted average grant date fair value of stock options granted in the years ended December 31, 2020 and 2019 was $9.76 per share and $6.97 per share, respectively. The total intrinsic value of stock options exercised in the years ended December 31, 2020 and 2019 was $1.4 million and $0.2 million, respectively.</w:t>
      </w:r>
    </w:p>
    <w:p>
      <w:pPr>
        <w:spacing w:after="0" w:line="18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fair value of stock options granted during the years ended December 31, 2020 and 2019 under the 2019 Plan and 2016 Plan has been calculated on the date of grant using the following weighted average assumptions: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9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2"/>
              </w:rPr>
              <w:t>Year</w:t>
            </w:r>
          </w:p>
        </w:tc>
        <w:tc>
          <w:tcPr>
            <w:tcW w:w="1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Year</w:t>
            </w:r>
          </w:p>
        </w:tc>
      </w:tr>
      <w:tr>
        <w:trPr>
          <w:trHeight w:val="149"/>
        </w:trPr>
        <w:tc>
          <w:tcPr>
            <w:tcW w:w="4060" w:type="dxa"/>
            <w:vAlign w:val="bottom"/>
          </w:tcPr>
          <w:p>
            <w:pPr>
              <w:spacing w:after="0"/>
              <w:rPr>
                <w:sz w:val="12"/>
                <w:szCs w:val="12"/>
                <w:color w:val="auto"/>
              </w:rPr>
            </w:pPr>
          </w:p>
        </w:tc>
        <w:tc>
          <w:tcPr>
            <w:tcW w:w="19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Ended</w:t>
            </w:r>
          </w:p>
        </w:tc>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4060" w:type="dxa"/>
            <w:vAlign w:val="bottom"/>
          </w:tcPr>
          <w:p>
            <w:pPr>
              <w:spacing w:after="0"/>
              <w:rPr>
                <w:sz w:val="16"/>
                <w:szCs w:val="16"/>
                <w:color w:val="auto"/>
              </w:rPr>
            </w:pPr>
          </w:p>
        </w:tc>
        <w:tc>
          <w:tcPr>
            <w:tcW w:w="19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December 31, 2020</w:t>
            </w:r>
          </w:p>
        </w:tc>
        <w:tc>
          <w:tcPr>
            <w:tcW w:w="1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4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8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7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4"/>
                <w:szCs w:val="24"/>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980" w:type="dxa"/>
            <w:vAlign w:val="bottom"/>
            <w:gridSpan w:val="2"/>
          </w:tcPr>
          <w:p>
            <w:pPr>
              <w:jc w:val="right"/>
              <w:ind w:right="10"/>
              <w:spacing w:after="0"/>
              <w:rPr>
                <w:sz w:val="20"/>
                <w:szCs w:val="20"/>
                <w:color w:val="auto"/>
              </w:rPr>
            </w:pPr>
            <w:r>
              <w:rPr>
                <w:rFonts w:ascii="Arial" w:cs="Arial" w:eastAsia="Arial" w:hAnsi="Arial"/>
                <w:sz w:val="18"/>
                <w:szCs w:val="18"/>
                <w:color w:val="auto"/>
              </w:rPr>
              <w:t>77.6 %</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80.9 %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-625475</wp:posOffset>
            </wp:positionV>
            <wp:extent cx="498919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of the 2016 Stock Incentive Plan and the 2019 Stock Incentive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since December 31, 2018:</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446,789</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(112,142 )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334,647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(291,789 )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2020 and 2019 was $8.8 million and $4.8 million,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compensation cost recognized in the statements of operations associated with all stock-based compensation awards granted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as follows (in thousands):</w:t>
      </w:r>
    </w:p>
    <w:p>
      <w:pPr>
        <w:spacing w:after="0" w:line="270"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of December 31, 2020, the Company had an aggregate of $16.0 million of unrecognized stock-based compensation expense, which is expected to be recognized over a weighted average period of 2.57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will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2020, there were 465,999 shares available for future issuance under the ESPP. On January 1, 2021, the number of shares reserved for issuance under the 2019 ESPP was increased by 280,674 shares.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Company received a non-refundable upfront payment of $10.0 million in December 2019 upon the execution of the Acceleron Collaboration Agreement. The Company is entitled to research milestone payments of up to $18.5 million in the aggregate upon achievement of specified research milestones, development milestone payments of up to $202.5 million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right="160"/>
        <w:spacing w:after="0" w:line="255" w:lineRule="auto"/>
        <w:rPr>
          <w:sz w:val="20"/>
          <w:szCs w:val="20"/>
          <w:color w:val="auto"/>
        </w:rPr>
      </w:pPr>
      <w:r>
        <w:rPr>
          <w:rFonts w:ascii="Arial" w:cs="Arial" w:eastAsia="Arial" w:hAnsi="Arial"/>
          <w:sz w:val="18"/>
          <w:szCs w:val="18"/>
          <w:color w:val="auto"/>
        </w:rPr>
        <w:t>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To date, the Company achieved $2.0 million of specified research milestones. In addition, the Company is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9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were previously constrained due to the significant uncertainty regarding whether such research milestones would be achieved. The Company included this amount in the transaction price as of December 31, 2020.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included in the transaction price the expected amount of costs to be reimbursed for the Research Services.</w:t>
      </w:r>
    </w:p>
    <w:p>
      <w:pPr>
        <w:spacing w:after="0" w:line="117"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Company will reassess the transaction price at the end of each reporting period and as uncertain events are resolved or other changes in circumstances occur, and, if necessary, adjust its estimate of the transaction price.</w:t>
      </w:r>
    </w:p>
    <w:p>
      <w:pPr>
        <w:spacing w:after="0" w:line="170"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During the year ended December 31, 2020, the Company recognized $6.3 million of collaboration revenue associated with the Acceleron Collaboration Agreement, which includes a cumulative catch-up adjustment of $0.5 million attributable to the removal of the constraint associated with the $2.0 million of research milestones achieved in December 2020, and $3.4 million of revenue recognized that was included in deferred revenue as of December 31, 2019. During the year ended December 31, 2019, the Company did not recognize any revenue under the Acceleron Collaboration Agreement, as no Research Services had been performed. As of December 31, 2020 and 2019, the Company recorded deferred revenue associated with the Acceleron Collaboration Agreement of $7.9 million and $10.0 million, respectively,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2020. As of December 31, 2020, the Company had received $1.7 million of cost reimbursement payments, and no milestone or royalty payments under the Acceleron Collaboration Agreement. As of December 31, 2019, the Company had not received any milestone, royalty, or cost reimbursement payments under the Acceleron Collaboration Agreement. As of December 31, 2020, the Company recorded unbilled accounts receivable of $0.5 million related to reimbursable research and development costs under the Acceleron Collaboration Agreement for activities performed during the three months ended December 31, 2020. As of December 31, 2020, the Company recorded accounts receivable of $2.0 million associated with the achievement of specified research milestones in December 2020. As of December 31, 2019, the Company had recorded no accounts receivable under the Acceleron Collaboration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8"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5" w:lineRule="exact"/>
        <w:rPr>
          <w:sz w:val="20"/>
          <w:szCs w:val="20"/>
          <w:color w:val="auto"/>
        </w:rPr>
      </w:pPr>
    </w:p>
    <w:p>
      <w:pPr>
        <w:ind w:right="200" w:firstLine="509"/>
        <w:spacing w:after="0" w:line="265"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3" w:lineRule="exact"/>
        <w:rPr>
          <w:sz w:val="20"/>
          <w:szCs w:val="20"/>
          <w:color w:val="auto"/>
        </w:rPr>
      </w:pPr>
    </w:p>
    <w:p>
      <w:pPr>
        <w:ind w:firstLine="509"/>
        <w:spacing w:after="0" w:line="26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6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Company received a non-refundable upfront payment of $10.0 million, which the Company included in the transaction price.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8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62" w:lineRule="exact"/>
        <w:rPr>
          <w:sz w:val="20"/>
          <w:szCs w:val="20"/>
          <w:color w:val="auto"/>
        </w:rPr>
      </w:pPr>
    </w:p>
    <w:p>
      <w:pPr>
        <w:ind w:right="840" w:firstLine="509"/>
        <w:spacing w:after="0" w:line="277"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w:t>
      </w:r>
    </w:p>
    <w:p>
      <w:pPr>
        <w:spacing w:after="0" w:line="6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56"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During the year ended December 31, 2020, the Company recognized $2.5 million of collaboration revenue associated with the MyoKardia Collaboration Agreement. During the year ended December 31, 2019, the Company did not recognize any revenue under the MyoKardia Collaboration Agreement as it had not yet entered into the MyoKardia Collaboration Agreement. As of December 31, 2020, the Company recorded deferred revenue of $10.0 million associated with the MyoKardia Collaboration Agreement, which is classified as either current or net of current portion in the accompanying consolidated balance sheets based on the period over which the revenue is expected to be recognized. As of December 31,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right="40"/>
        <w:spacing w:after="0" w:line="255" w:lineRule="auto"/>
        <w:rPr>
          <w:sz w:val="20"/>
          <w:szCs w:val="20"/>
          <w:color w:val="auto"/>
        </w:rPr>
      </w:pPr>
      <w:r>
        <w:rPr>
          <w:rFonts w:ascii="Arial" w:cs="Arial" w:eastAsia="Arial" w:hAnsi="Arial"/>
          <w:sz w:val="18"/>
          <w:szCs w:val="18"/>
          <w:color w:val="auto"/>
        </w:rPr>
        <w:t>2019, the Company recorded no deferred revenue associated with the MyoKardia Collaboration Agreement as it had not yet entered into the MyoKardia Collaboration Agreement. The aggregate deferred revenue balance represents the aggregate amount of the transaction price allocated to the performance obligations that are unsatisfied as of December 31, 2020. As of December 31, 2020, the Company had not received any milestone, royalty, or cost reimbursement payments under the MyoKardia Collaboration Agreement, other than the $2.5 million payment as prepaid research funding in July 2020. As of December 31, 2020, the Company has recorded no accounts receivable related to reimbursable MyoKardia Research Services costs under the MyoKardia Collaboration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Asset Acquisition</w:t>
      </w:r>
    </w:p>
    <w:p>
      <w:pPr>
        <w:spacing w:after="0" w:line="121"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In February 2019, the Company entered into the GSK Agreement,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1"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Under the GSK Agreement, the Company issued 12,500,000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including $2.5 million due upon the initiation of a Phase 2 clinical trial, which was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 The Company recorded the $2.5 million milestone due upon the initiation of a Phase 2 clinical trial as research and development expense in the Company’s consolidated statement of operations and comprehensive loss for the year ended December 31, 2019.</w:t>
      </w:r>
    </w:p>
    <w:p>
      <w:pPr>
        <w:spacing w:after="0" w:line="166"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during the year ended December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November 2017, the Company entered into a lease agreement for its current corporate headquarters for approximately 28,731 square feet of office and laboratory space in Cambridge, Massachusetts, commencing December 2017 when the Company gained access to the leased space for purposes of making leasehold improvements. The Company began recognizing rent expense associated with this lease during December 2017. The Company began to occupy and use the leased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80"/>
        <w:spacing w:after="0" w:line="289" w:lineRule="auto"/>
        <w:rPr>
          <w:sz w:val="20"/>
          <w:szCs w:val="20"/>
          <w:color w:val="auto"/>
        </w:rPr>
      </w:pPr>
      <w:r>
        <w:rPr>
          <w:rFonts w:ascii="Arial" w:cs="Arial" w:eastAsia="Arial" w:hAnsi="Arial"/>
          <w:sz w:val="16"/>
          <w:szCs w:val="16"/>
          <w:color w:val="auto"/>
        </w:rPr>
        <w:t>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2020 and 2019. The Company records rent expense for this lease on a straight-line basis. Rent expense associated with this lease for the years ended December 31, 2020 and 2019 was approximately $1.9 million.</w:t>
      </w:r>
    </w:p>
    <w:p>
      <w:pPr>
        <w:spacing w:after="0" w:line="16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2020 are as follows (in thousands):</w:t>
      </w:r>
    </w:p>
    <w:p>
      <w:pPr>
        <w:spacing w:after="0" w:line="239" w:lineRule="exact"/>
        <w:rPr>
          <w:sz w:val="20"/>
          <w:szCs w:val="20"/>
          <w:color w:val="auto"/>
        </w:rPr>
      </w:pPr>
    </w:p>
    <w:tbl>
      <w:tblPr>
        <w:tblLayout w:type="fixed"/>
        <w:tblInd w:w="2240" w:type="dxa"/>
        <w:tblCellMar>
          <w:top w:w="0" w:type="dxa"/>
          <w:left w:w="0" w:type="dxa"/>
          <w:bottom w:w="0" w:type="dxa"/>
          <w:right w:w="0" w:type="dxa"/>
        </w:tblCellMar>
      </w:tblP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20"/>
                <w:szCs w:val="20"/>
                <w:color w:val="auto"/>
              </w:rPr>
            </w:pPr>
          </w:p>
        </w:tc>
      </w:tr>
      <w:tr>
        <w:trPr>
          <w:trHeight w:val="27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2020,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2020 or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2020 and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Year Ended</w:t>
            </w: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4820" w:type="dxa"/>
            <w:vAlign w:val="bottom"/>
          </w:tcPr>
          <w:p>
            <w:pPr>
              <w:spacing w:after="0"/>
              <w:rPr>
                <w:sz w:val="12"/>
                <w:szCs w:val="12"/>
                <w:color w:val="auto"/>
              </w:rPr>
            </w:pPr>
          </w:p>
        </w:tc>
        <w:tc>
          <w:tcPr>
            <w:tcW w:w="160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48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4"/>
        </w:trPr>
        <w:tc>
          <w:tcPr>
            <w:tcW w:w="4820" w:type="dxa"/>
            <w:vAlign w:val="bottom"/>
          </w:tcPr>
          <w:p>
            <w:pPr>
              <w:spacing w:after="0"/>
              <w:rPr>
                <w:sz w:val="20"/>
                <w:szCs w:val="20"/>
                <w:color w:val="auto"/>
              </w:rPr>
            </w:pPr>
            <w:r>
              <w:rPr>
                <w:rFonts w:ascii="Arial" w:cs="Arial" w:eastAsia="Arial" w:hAnsi="Arial"/>
                <w:sz w:val="18"/>
                <w:szCs w:val="18"/>
                <w:color w:val="auto"/>
              </w:rPr>
              <w:t>Federal income tax at statutory rate</w:t>
            </w: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4820" w:type="dxa"/>
            <w:vAlign w:val="bottom"/>
          </w:tcPr>
          <w:p>
            <w:pPr>
              <w:spacing w:after="0"/>
              <w:rPr>
                <w:sz w:val="20"/>
                <w:szCs w:val="20"/>
                <w:color w:val="auto"/>
              </w:rPr>
            </w:pPr>
            <w:r>
              <w:rPr>
                <w:rFonts w:ascii="Arial" w:cs="Arial" w:eastAsia="Arial" w:hAnsi="Arial"/>
                <w:sz w:val="18"/>
                <w:szCs w:val="18"/>
                <w:color w:val="auto"/>
              </w:rPr>
              <w:t>Permanent differences</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(0.79 )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(0.67 )</w:t>
            </w:r>
          </w:p>
        </w:tc>
        <w:tc>
          <w:tcPr>
            <w:tcW w:w="60" w:type="dxa"/>
            <w:vAlign w:val="bottom"/>
          </w:tcPr>
          <w:p>
            <w:pPr>
              <w:spacing w:after="0"/>
              <w:rPr>
                <w:sz w:val="21"/>
                <w:szCs w:val="21"/>
                <w:color w:val="auto"/>
              </w:rPr>
            </w:pPr>
          </w:p>
        </w:tc>
      </w:tr>
      <w:tr>
        <w:trPr>
          <w:trHeight w:val="25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Federal and state research and development credits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Federal orphan drug credits</w:t>
            </w:r>
          </w:p>
        </w:tc>
        <w:tc>
          <w:tcPr>
            <w:tcW w:w="134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 net of federal benefit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6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(33.67 )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(29.03 )</w:t>
            </w:r>
          </w:p>
        </w:tc>
        <w:tc>
          <w:tcPr>
            <w:tcW w:w="60" w:type="dxa"/>
            <w:vAlign w:val="bottom"/>
          </w:tcPr>
          <w:p>
            <w:pPr>
              <w:spacing w:after="0"/>
              <w:rPr>
                <w:sz w:val="21"/>
                <w:szCs w:val="2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8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auto"/>
                <w:highlight w:val="white"/>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auto"/>
                <w:highlight w:val="white"/>
              </w:rPr>
              <w:t>%</w:t>
            </w:r>
          </w:p>
        </w:tc>
      </w:tr>
      <w:tr>
        <w:trPr>
          <w:trHeight w:val="20"/>
        </w:trPr>
        <w:tc>
          <w:tcPr>
            <w:tcW w:w="48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-1268095</wp:posOffset>
            </wp:positionV>
            <wp:extent cx="498919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9"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During the years ended December 31, 2020 and 2019, the Company incurred book and tax losses and, because it maintains a full valuation allowance on its net deferred tax assets, did not recognize federal or state income tax expense or benefit.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5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37"/>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46,603</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30,444</w:t>
            </w:r>
          </w:p>
        </w:tc>
        <w:tc>
          <w:tcPr>
            <w:tcW w:w="100" w:type="dxa"/>
            <w:vAlign w:val="bottom"/>
          </w:tcPr>
          <w:p>
            <w:pPr>
              <w:spacing w:after="0"/>
              <w:rPr>
                <w:sz w:val="20"/>
                <w:szCs w:val="20"/>
                <w:color w:val="auto"/>
              </w:rPr>
            </w:pPr>
          </w:p>
        </w:tc>
      </w:tr>
      <w:tr>
        <w:trPr>
          <w:trHeight w:val="249"/>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FF0FC"/>
          </w:tcPr>
          <w:p>
            <w:pPr>
              <w:spacing w:after="0"/>
              <w:rPr>
                <w:sz w:val="21"/>
                <w:szCs w:val="2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Orphan drug credit carryforwards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7,235</w:t>
            </w:r>
          </w:p>
        </w:tc>
        <w:tc>
          <w:tcPr>
            <w:tcW w:w="100" w:type="dxa"/>
            <w:vAlign w:val="bottom"/>
            <w:shd w:val="clear" w:color="auto" w:fill="CFF0FC"/>
          </w:tcPr>
          <w:p>
            <w:pPr>
              <w:spacing w:after="0"/>
              <w:rPr>
                <w:sz w:val="21"/>
                <w:szCs w:val="2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and other</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FF0FC"/>
          </w:tcPr>
          <w:p>
            <w:pPr>
              <w:spacing w:after="0"/>
              <w:rPr>
                <w:sz w:val="21"/>
                <w:szCs w:val="2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Deferred lease incentive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r>
      <w:tr>
        <w:trPr>
          <w:trHeight w:val="243"/>
        </w:trPr>
        <w:tc>
          <w:tcPr>
            <w:tcW w:w="5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2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68,642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45,002</w:t>
            </w:r>
          </w:p>
        </w:tc>
        <w:tc>
          <w:tcPr>
            <w:tcW w:w="100" w:type="dxa"/>
            <w:vAlign w:val="bottom"/>
          </w:tcPr>
          <w:p>
            <w:pPr>
              <w:spacing w:after="0"/>
              <w:rPr>
                <w:sz w:val="20"/>
                <w:szCs w:val="20"/>
                <w:color w:val="auto"/>
              </w:rPr>
            </w:pPr>
          </w:p>
        </w:tc>
      </w:tr>
      <w:tr>
        <w:trPr>
          <w:trHeight w:val="243"/>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(67,427 )</w:t>
            </w: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(43,586 )</w:t>
            </w:r>
          </w:p>
        </w:tc>
      </w:tr>
      <w:tr>
        <w:trPr>
          <w:trHeight w:val="236"/>
        </w:trPr>
        <w:tc>
          <w:tcPr>
            <w:tcW w:w="50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top w:val="single" w:sz="8" w:color="CFF0FC"/>
            </w:tcBorders>
          </w:tcPr>
          <w:p>
            <w:pPr>
              <w:spacing w:after="0"/>
              <w:rPr>
                <w:sz w:val="20"/>
                <w:szCs w:val="20"/>
                <w:color w:val="auto"/>
              </w:rPr>
            </w:pPr>
          </w:p>
        </w:tc>
      </w:tr>
      <w:tr>
        <w:trPr>
          <w:trHeight w:val="24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(1,215 )</w:t>
            </w: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(1,416 )</w:t>
            </w:r>
          </w:p>
        </w:tc>
      </w:tr>
      <w:tr>
        <w:trPr>
          <w:trHeight w:val="237"/>
        </w:trPr>
        <w:tc>
          <w:tcPr>
            <w:tcW w:w="50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-822325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-822325</wp:posOffset>
            </wp:positionV>
            <wp:extent cx="5969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-504825</wp:posOffset>
            </wp:positionV>
            <wp:extent cx="6858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5969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2020 and 2019. The valuation allowance increased by $23.8 million during the year ended December 31, 2020,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w:t>
      </w:r>
    </w:p>
    <w:p>
      <w:pPr>
        <w:spacing w:after="0" w:line="195"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As of December 31, 2020, the Company had federal net operating loss carryforwards of approximately $170.7 million which begin to expire in 2035. Approximately $139.7 million of the federal net operating losses can be carried forward indefinitely. As of December 31, 2020, the Company also had state net operating loss carryforwards of approximately $170.2 million, which begin to expire in 2035.</w:t>
      </w:r>
    </w:p>
    <w:p>
      <w:pPr>
        <w:spacing w:after="0" w:line="18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As of December 31, 2020, the Company had federal orphan drug credits of approximately $3.0 million, which begin to expire in 2040. As of December 31, 2020, the Company had federal research and development tax credit carryforwards of approximately $4.6 million, which begin to expire in 2035. As of December 31, 2020, the Company also had state research and development tax credit carryforwards of approximately $2.8 million, which begin to expire in 2030.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ind w:right="120" w:firstLine="509"/>
        <w:spacing w:after="0" w:line="287"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68"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2020, the Company’s tax years are still open under statute from 2016 to the present.</w:t>
      </w:r>
    </w:p>
    <w:p>
      <w:pPr>
        <w:spacing w:after="0" w:line="1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the provision for income taxes. As of December 31, 2020 and 2019, the Company had no accrued interest or penalties related to uncertain tax positions and no amounts have been recognized in the Company’s statements of operations. For the year ended December 31, 2020,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w:t>
      </w:r>
    </w:p>
    <w:p>
      <w:pPr>
        <w:spacing w:after="0" w:line="12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229"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5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84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2,962,347</w:t>
            </w:r>
          </w:p>
        </w:tc>
        <w:tc>
          <w:tcPr>
            <w:tcW w:w="26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125,836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681,070</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3,088,183</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2,704,898</w:t>
            </w:r>
          </w:p>
        </w:tc>
        <w:tc>
          <w:tcPr>
            <w:tcW w:w="10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5"/>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140" w:type="dxa"/>
            <w:vAlign w:val="bottom"/>
            <w:gridSpan w:val="2"/>
          </w:tcPr>
          <w:p>
            <w:pPr>
              <w:jc w:val="right"/>
              <w:ind w:right="2016"/>
              <w:spacing w:after="0"/>
              <w:rPr>
                <w:sz w:val="20"/>
                <w:szCs w:val="20"/>
                <w:color w:val="auto"/>
              </w:rPr>
            </w:pPr>
            <w:r>
              <w:rPr>
                <w:rFonts w:ascii="Arial" w:cs="Arial" w:eastAsia="Arial" w:hAnsi="Arial"/>
                <w:sz w:val="18"/>
                <w:szCs w:val="18"/>
                <w:color w:val="auto"/>
              </w:rPr>
              <w:t>F-30</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-522605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-505460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-522605</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-505460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During the year ended December 31, 2019, the Company paid fees to Third Rock Ventures, LLC (“TRV”), an affiliate of one of the Company’s principal stockholders, in exchange for consulting services. The Company recorded expenses related to such fees of less than $0.1 million during the year ended December 31, 2019. The Company did not record expenses related to such fees during the year ended December 31, 2020. During the year ended December 31, 2020, the Company did not pay fees to TRV in exchange for services. As of December 31, 2019, there was less than $0.1 million of amounts due to TRV for such services that were included in accounts payable and accrued expenses. As of December 31, 2020, there were no amounts due to TRV for such services that were included in accounts payable and accrued expenses. Additionally, consultants that provided services to the Company are employees of TRV. The Company has issued an aggregate of 142,284 shares of common stock to these consultants in exchange for their continuing consulting services.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100" w:type="dxa"/>
            <w:vAlign w:val="bottom"/>
            <w:gridSpan w:val="21"/>
          </w:tcPr>
          <w:p>
            <w:pPr>
              <w:ind w:left="10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6"/>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0" w:type="dxa"/>
            <w:vAlign w:val="bottom"/>
            <w:gridSpan w:val="20"/>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0"/>
              <w:spacing w:after="0" w:line="18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10100" w:type="dxa"/>
            <w:vAlign w:val="bottom"/>
            <w:gridSpan w:val="25"/>
          </w:tcPr>
          <w:p>
            <w:pPr>
              <w:spacing w:after="0" w:line="182" w:lineRule="exact"/>
              <w:rPr>
                <w:rFonts w:ascii="Arial" w:cs="Arial" w:eastAsia="Arial" w:hAnsi="Arial"/>
                <w:sz w:val="18"/>
                <w:szCs w:val="18"/>
                <w:color w:val="0563C1"/>
                <w:w w:val="91"/>
              </w:rPr>
            </w:pPr>
            <w:hyperlink r:id="rId164">
              <w:r>
                <w:rPr>
                  <w:rFonts w:ascii="Arial" w:cs="Arial" w:eastAsia="Arial" w:hAnsi="Arial"/>
                  <w:sz w:val="18"/>
                  <w:szCs w:val="18"/>
                  <w:color w:val="0563C1"/>
                  <w:w w:val="91"/>
                </w:rPr>
                <w:t>Restated Certificate of Incorporation of the Registrant (incorporated by reference to Exhibit 3.1 to the Registrant’s Current Report on Form</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64">
              <w:r>
                <w:rPr>
                  <w:rFonts w:ascii="Arial" w:cs="Arial" w:eastAsia="Arial" w:hAnsi="Arial"/>
                  <w:sz w:val="18"/>
                  <w:szCs w:val="18"/>
                  <w:color w:val="0563C1"/>
                </w:rPr>
                <w:t>8-K (File No. 001-38978)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2"/>
              </w:rPr>
            </w:pPr>
            <w:hyperlink r:id="rId165">
              <w:r>
                <w:rPr>
                  <w:rFonts w:ascii="Arial" w:cs="Arial" w:eastAsia="Arial" w:hAnsi="Arial"/>
                  <w:sz w:val="18"/>
                  <w:szCs w:val="18"/>
                  <w:color w:val="0563C1"/>
                  <w:w w:val="92"/>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65">
              <w:r>
                <w:rPr>
                  <w:rFonts w:ascii="Arial" w:cs="Arial" w:eastAsia="Arial" w:hAnsi="Arial"/>
                  <w:sz w:val="18"/>
                  <w:szCs w:val="18"/>
                  <w:color w:val="0563C1"/>
                </w:rPr>
                <w:t>(File No. 001-38978)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3"/>
              </w:rPr>
            </w:pPr>
            <w:hyperlink r:id="rId166">
              <w:r>
                <w:rPr>
                  <w:rFonts w:ascii="Arial" w:cs="Arial" w:eastAsia="Arial" w:hAnsi="Arial"/>
                  <w:sz w:val="18"/>
                  <w:szCs w:val="18"/>
                  <w:color w:val="0563C1"/>
                  <w:w w:val="93"/>
                </w:rPr>
                <w:t>Specimen Stock Certificate evidencing shares of common stock (incorporated by reference to Exhibit 4.1 to the Registrant’s Registration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66">
              <w:r>
                <w:rPr>
                  <w:rFonts w:ascii="Arial" w:cs="Arial" w:eastAsia="Arial" w:hAnsi="Arial"/>
                  <w:sz w:val="18"/>
                  <w:szCs w:val="18"/>
                  <w:color w:val="0563C1"/>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1"/>
              </w:rPr>
            </w:pPr>
            <w:hyperlink r:id="rId167">
              <w:r>
                <w:rPr>
                  <w:rFonts w:ascii="Arial" w:cs="Arial" w:eastAsia="Arial" w:hAnsi="Arial"/>
                  <w:sz w:val="18"/>
                  <w:szCs w:val="18"/>
                  <w:color w:val="0563C1"/>
                  <w:w w:val="91"/>
                </w:rPr>
                <w:t>Description of the Registrant’s Securities Registered under Section 12 of the Exchange Act (incorporated by reference to Exhibit 4.2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4"/>
              </w:rPr>
            </w:pPr>
            <w:hyperlink r:id="rId167">
              <w:r>
                <w:rPr>
                  <w:rFonts w:ascii="Arial" w:cs="Arial" w:eastAsia="Arial" w:hAnsi="Arial"/>
                  <w:sz w:val="18"/>
                  <w:szCs w:val="18"/>
                  <w:color w:val="0563C1"/>
                  <w:w w:val="94"/>
                </w:rPr>
                <w:t>Registrant’s Annual Report on Form 10-K (File No. 001-38978) filed with the Securities and Exchange Commission on March 5,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89"/>
              </w:rPr>
            </w:pPr>
            <w:hyperlink r:id="rId168">
              <w:r>
                <w:rPr>
                  <w:rFonts w:ascii="Arial" w:cs="Arial" w:eastAsia="Arial" w:hAnsi="Arial"/>
                  <w:sz w:val="18"/>
                  <w:szCs w:val="18"/>
                  <w:color w:val="0563C1"/>
                  <w:w w:val="89"/>
                </w:rPr>
                <w:t>Amended and Restated Investors' Rights Agreement, dated as of August 24, 2018, by and among the Registrant and the other parties thereto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5"/>
              </w:rPr>
            </w:pPr>
            <w:hyperlink r:id="rId168">
              <w:r>
                <w:rPr>
                  <w:rFonts w:ascii="Arial" w:cs="Arial" w:eastAsia="Arial" w:hAnsi="Arial"/>
                  <w:sz w:val="18"/>
                  <w:szCs w:val="18"/>
                  <w:color w:val="0563C1"/>
                  <w:w w:val="95"/>
                </w:rPr>
                <w:t>(incorporated by reference to Exhibit 10.1 to the Registrant’s Registration Statement on Form S-1 (File No. 333-232260) filed with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68">
              <w:r>
                <w:rPr>
                  <w:rFonts w:ascii="Arial" w:cs="Arial" w:eastAsia="Arial" w:hAnsi="Arial"/>
                  <w:sz w:val="18"/>
                  <w:szCs w:val="18"/>
                  <w:color w:val="0563C1"/>
                </w:rPr>
                <w:t>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2"/>
              </w:rPr>
            </w:pPr>
            <w:hyperlink r:id="rId169">
              <w:r>
                <w:rPr>
                  <w:rFonts w:ascii="Arial" w:cs="Arial" w:eastAsia="Arial" w:hAnsi="Arial"/>
                  <w:sz w:val="18"/>
                  <w:szCs w:val="18"/>
                  <w:color w:val="0563C1"/>
                  <w:w w:val="92"/>
                </w:rPr>
                <w:t>2016 Stock Incentive Plan, as amended (incorporated by reference to Exhibit 10.2 to the Registrant’s Registration Statement on Form S-1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69">
              <w:r>
                <w:rPr>
                  <w:rFonts w:ascii="Arial" w:cs="Arial" w:eastAsia="Arial" w:hAnsi="Arial"/>
                  <w:sz w:val="18"/>
                  <w:szCs w:val="18"/>
                  <w:color w:val="0563C1"/>
                </w:rPr>
                <w:t>(File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8"/>
              </w:rPr>
            </w:pPr>
            <w:hyperlink r:id="rId170">
              <w:r>
                <w:rPr>
                  <w:rFonts w:ascii="Arial" w:cs="Arial" w:eastAsia="Arial" w:hAnsi="Arial"/>
                  <w:sz w:val="18"/>
                  <w:szCs w:val="18"/>
                  <w:color w:val="0563C1"/>
                  <w:w w:val="98"/>
                </w:rPr>
                <w:t>Form of Incentive Stock Option Agreement under the 2016 Stock Incentive Plan (incorporated by reference to Exhibit 10.3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3"/>
              </w:rPr>
            </w:pPr>
            <w:hyperlink r:id="rId170">
              <w:r>
                <w:rPr>
                  <w:rFonts w:ascii="Arial" w:cs="Arial" w:eastAsia="Arial" w:hAnsi="Arial"/>
                  <w:sz w:val="18"/>
                  <w:szCs w:val="18"/>
                  <w:color w:val="0563C1"/>
                  <w:w w:val="93"/>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3"/>
          </w:tcPr>
          <w:p>
            <w:pPr>
              <w:spacing w:after="0" w:line="196" w:lineRule="exact"/>
              <w:rPr>
                <w:rFonts w:ascii="Arial" w:cs="Arial" w:eastAsia="Arial" w:hAnsi="Arial"/>
                <w:sz w:val="18"/>
                <w:szCs w:val="18"/>
                <w:color w:val="0563C1"/>
              </w:rPr>
            </w:pPr>
            <w:hyperlink r:id="rId170">
              <w:r>
                <w:rPr>
                  <w:rFonts w:ascii="Arial" w:cs="Arial" w:eastAsia="Arial" w:hAnsi="Arial"/>
                  <w:sz w:val="18"/>
                  <w:szCs w:val="18"/>
                  <w:color w:val="0563C1"/>
                </w:rPr>
                <w:t>2019)</w:t>
              </w:r>
              <w:r>
                <w:rPr>
                  <w:rFonts w:ascii="Arial" w:cs="Arial" w:eastAsia="Arial" w:hAnsi="Arial"/>
                  <w:sz w:val="18"/>
                  <w:szCs w:val="18"/>
                  <w:color w:val="000000"/>
                </w:rPr>
                <w:t>.</w:t>
              </w:r>
            </w:hyperlink>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5"/>
              </w:rPr>
            </w:pPr>
            <w:hyperlink r:id="rId171">
              <w:r>
                <w:rPr>
                  <w:rFonts w:ascii="Arial" w:cs="Arial" w:eastAsia="Arial" w:hAnsi="Arial"/>
                  <w:sz w:val="18"/>
                  <w:szCs w:val="18"/>
                  <w:color w:val="0563C1"/>
                  <w:w w:val="95"/>
                </w:rPr>
                <w:t>Form of Non-Statutory Stock Option Agreement under the 2016 Stock Incentive Plan (incorporated by reference to Exhibit 10.4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3"/>
              </w:rPr>
            </w:pPr>
            <w:hyperlink r:id="rId171">
              <w:r>
                <w:rPr>
                  <w:rFonts w:ascii="Arial" w:cs="Arial" w:eastAsia="Arial" w:hAnsi="Arial"/>
                  <w:sz w:val="18"/>
                  <w:szCs w:val="18"/>
                  <w:color w:val="0563C1"/>
                  <w:w w:val="93"/>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spacing w:after="0" w:line="196" w:lineRule="exact"/>
              <w:rPr>
                <w:rFonts w:ascii="Arial" w:cs="Arial" w:eastAsia="Arial" w:hAnsi="Arial"/>
                <w:sz w:val="18"/>
                <w:szCs w:val="18"/>
                <w:color w:val="0563C1"/>
                <w:w w:val="86"/>
              </w:rPr>
            </w:pPr>
            <w:hyperlink r:id="rId171">
              <w:r>
                <w:rPr>
                  <w:rFonts w:ascii="Arial" w:cs="Arial" w:eastAsia="Arial" w:hAnsi="Arial"/>
                  <w:sz w:val="18"/>
                  <w:szCs w:val="18"/>
                  <w:color w:val="0563C1"/>
                  <w:w w:val="86"/>
                </w:rPr>
                <w:t>2019).</w:t>
              </w:r>
            </w:hyperlink>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4"/>
              </w:rPr>
            </w:pPr>
            <w:hyperlink r:id="rId172">
              <w:r>
                <w:rPr>
                  <w:rFonts w:ascii="Arial" w:cs="Arial" w:eastAsia="Arial" w:hAnsi="Arial"/>
                  <w:sz w:val="18"/>
                  <w:szCs w:val="18"/>
                  <w:color w:val="0563C1"/>
                  <w:w w:val="94"/>
                </w:rPr>
                <w:t>Form of Restricted Stock Agreement under the 2016 Stock Incentive Plan (incorporated by reference to Exhibit 10.5 to the Registrant’s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7"/>
              </w:rPr>
            </w:pPr>
            <w:hyperlink r:id="rId172">
              <w:r>
                <w:rPr>
                  <w:rFonts w:ascii="Arial" w:cs="Arial" w:eastAsia="Arial" w:hAnsi="Arial"/>
                  <w:sz w:val="18"/>
                  <w:szCs w:val="18"/>
                  <w:color w:val="0563C1"/>
                  <w:w w:val="97"/>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1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0100" w:type="dxa"/>
            <w:vAlign w:val="bottom"/>
            <w:gridSpan w:val="25"/>
          </w:tcPr>
          <w:p>
            <w:pPr>
              <w:spacing w:after="0"/>
              <w:rPr>
                <w:rFonts w:ascii="Arial" w:cs="Arial" w:eastAsia="Arial" w:hAnsi="Arial"/>
                <w:sz w:val="18"/>
                <w:szCs w:val="18"/>
                <w:color w:val="0563C1"/>
                <w:w w:val="92"/>
              </w:rPr>
            </w:pPr>
            <w:hyperlink r:id="rId173">
              <w:r>
                <w:rPr>
                  <w:rFonts w:ascii="Arial" w:cs="Arial" w:eastAsia="Arial" w:hAnsi="Arial"/>
                  <w:sz w:val="18"/>
                  <w:szCs w:val="18"/>
                  <w:color w:val="0563C1"/>
                  <w:w w:val="92"/>
                </w:rPr>
                <w:t>2019 Stock Incentive Plan (incorporated by reference to Exhibit 10.6 to Amendment No. 1 to Registrant’s Registration Statement on Form</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73">
              <w:r>
                <w:rPr>
                  <w:rFonts w:ascii="Arial" w:cs="Arial" w:eastAsia="Arial" w:hAnsi="Arial"/>
                  <w:sz w:val="18"/>
                  <w:szCs w:val="18"/>
                  <w:color w:val="0563C1"/>
                </w:rPr>
                <w:t>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3"/>
              </w:rPr>
            </w:pPr>
            <w:hyperlink r:id="rId174">
              <w:r>
                <w:rPr>
                  <w:rFonts w:ascii="Arial" w:cs="Arial" w:eastAsia="Arial" w:hAnsi="Arial"/>
                  <w:sz w:val="18"/>
                  <w:szCs w:val="18"/>
                  <w:color w:val="0563C1"/>
                  <w:w w:val="93"/>
                </w:rPr>
                <w:t>Form of Stock Option Agreement under the 2019 Stock Incentive Plan (incorporated by reference to Exhibit 10.7 to Amendment No. 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1380" w:type="dxa"/>
            <w:vAlign w:val="bottom"/>
            <w:gridSpan w:val="4"/>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4"/>
              </w:rPr>
            </w:pPr>
            <w:hyperlink r:id="rId174">
              <w:r>
                <w:rPr>
                  <w:rFonts w:ascii="Arial" w:cs="Arial" w:eastAsia="Arial" w:hAnsi="Arial"/>
                  <w:sz w:val="18"/>
                  <w:szCs w:val="18"/>
                  <w:color w:val="0563C1"/>
                  <w:w w:val="94"/>
                </w:rPr>
                <w:t>Registrant’s Registration Statement on Form S-1 (File No. 333-232260) filed with the Securities and Exchange Commission on July 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10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6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spacing w:after="0" w:line="196" w:lineRule="exact"/>
              <w:rPr>
                <w:rFonts w:ascii="Arial" w:cs="Arial" w:eastAsia="Arial" w:hAnsi="Arial"/>
                <w:sz w:val="18"/>
                <w:szCs w:val="18"/>
                <w:color w:val="0563C1"/>
                <w:w w:val="86"/>
              </w:rPr>
            </w:pPr>
            <w:hyperlink r:id="rId174">
              <w:r>
                <w:rPr>
                  <w:rFonts w:ascii="Arial" w:cs="Arial" w:eastAsia="Arial" w:hAnsi="Arial"/>
                  <w:sz w:val="18"/>
                  <w:szCs w:val="18"/>
                  <w:color w:val="0563C1"/>
                  <w:w w:val="86"/>
                </w:rPr>
                <w:t>2019).</w:t>
              </w:r>
            </w:hyperlink>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0"/>
              </w:rPr>
            </w:pPr>
            <w:hyperlink r:id="rId175">
              <w:r>
                <w:rPr>
                  <w:rFonts w:ascii="Arial" w:cs="Arial" w:eastAsia="Arial" w:hAnsi="Arial"/>
                  <w:sz w:val="18"/>
                  <w:szCs w:val="18"/>
                  <w:color w:val="0563C1"/>
                  <w:w w:val="90"/>
                </w:rPr>
                <w:t>2019 Employee Stock Purchase Plan (incorporated by reference to Exhibit 10.8 to Amendment No. 1 to Registrant’s Registration Statement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1380" w:type="dxa"/>
            <w:vAlign w:val="bottom"/>
            <w:gridSpan w:val="4"/>
            <w:shd w:val="clear" w:color="auto" w:fill="0563C1"/>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75">
              <w:r>
                <w:rPr>
                  <w:rFonts w:ascii="Arial" w:cs="Arial" w:eastAsia="Arial" w:hAnsi="Arial"/>
                  <w:sz w:val="18"/>
                  <w:szCs w:val="18"/>
                  <w:color w:val="0563C1"/>
                </w:rPr>
                <w:t>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3220" w:type="dxa"/>
            <w:vAlign w:val="bottom"/>
            <w:tcBorders>
              <w:left w:val="single" w:sz="8" w:color="0563C1"/>
            </w:tcBorders>
            <w:gridSpan w:val="2"/>
            <w:shd w:val="clear" w:color="auto" w:fill="0563C1"/>
          </w:tcPr>
          <w:p>
            <w:pPr>
              <w:spacing w:after="0" w:line="20" w:lineRule="exact"/>
              <w:rPr>
                <w:sz w:val="1"/>
                <w:szCs w:val="1"/>
                <w:color w:val="auto"/>
              </w:rPr>
            </w:pPr>
          </w:p>
        </w:tc>
        <w:tc>
          <w:tcPr>
            <w:tcW w:w="1380" w:type="dxa"/>
            <w:vAlign w:val="bottom"/>
            <w:gridSpan w:val="4"/>
            <w:shd w:val="clear" w:color="auto" w:fill="0563C1"/>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000FF"/>
                <w:w w:val="92"/>
              </w:rPr>
            </w:pPr>
            <w:hyperlink r:id="rId176">
              <w:r>
                <w:rPr>
                  <w:rFonts w:ascii="Arial" w:cs="Arial" w:eastAsia="Arial" w:hAnsi="Arial"/>
                  <w:sz w:val="18"/>
                  <w:szCs w:val="18"/>
                  <w:color w:val="0000FF"/>
                  <w:w w:val="92"/>
                </w:rPr>
                <w:t>Summary of Non-Employee Director Compensation Program (incorporated by reference to Exhibit 10.9 to the Registrant’s Annual Report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20" w:type="dxa"/>
            <w:vAlign w:val="bottom"/>
            <w:tcBorders>
              <w:left w:val="single" w:sz="8" w:color="0000FF"/>
            </w:tcBorders>
            <w:gridSpan w:val="2"/>
            <w:shd w:val="clear" w:color="auto" w:fill="0000FF"/>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on Form 10-K filed with the Securities and Exchange Commission on March 4,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20" w:type="dxa"/>
            <w:vAlign w:val="bottom"/>
            <w:tcBorders>
              <w:left w:val="single" w:sz="8" w:color="0000FF"/>
            </w:tcBorders>
            <w:gridSpan w:val="2"/>
            <w:shd w:val="clear" w:color="auto" w:fill="0000FF"/>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10.10</w:t>
            </w: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4"/>
              </w:rPr>
            </w:pPr>
            <w:hyperlink r:id="rId177">
              <w:r>
                <w:rPr>
                  <w:rFonts w:ascii="Arial" w:cs="Arial" w:eastAsia="Arial" w:hAnsi="Arial"/>
                  <w:sz w:val="18"/>
                  <w:szCs w:val="18"/>
                  <w:color w:val="0563C1"/>
                  <w:w w:val="94"/>
                </w:rPr>
                <w:t>Right of Reference and License Agreement, dated as of February 8, 2019, by and among the Registrant, GlaxoSmithKline Intellectual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3"/>
              </w:rPr>
            </w:pPr>
            <w:hyperlink r:id="rId177">
              <w:r>
                <w:rPr>
                  <w:rFonts w:ascii="Arial" w:cs="Arial" w:eastAsia="Arial" w:hAnsi="Arial"/>
                  <w:sz w:val="18"/>
                  <w:szCs w:val="18"/>
                  <w:color w:val="0563C1"/>
                  <w:w w:val="93"/>
                </w:rPr>
                <w:t>Property (No. 2) Limited, GlaxoSmithKline LLC and Glaxo Group Limited (incorporated by reference to Exhibit 10.10 to the Registrant’s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7"/>
              </w:rPr>
            </w:pPr>
            <w:hyperlink r:id="rId177">
              <w:r>
                <w:rPr>
                  <w:rFonts w:ascii="Arial" w:cs="Arial" w:eastAsia="Arial" w:hAnsi="Arial"/>
                  <w:sz w:val="18"/>
                  <w:szCs w:val="18"/>
                  <w:color w:val="0563C1"/>
                  <w:w w:val="97"/>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0"/>
              </w:rPr>
            </w:pPr>
            <w:hyperlink r:id="rId178">
              <w:r>
                <w:rPr>
                  <w:rFonts w:ascii="Arial" w:cs="Arial" w:eastAsia="Arial" w:hAnsi="Arial"/>
                  <w:sz w:val="18"/>
                  <w:szCs w:val="18"/>
                  <w:color w:val="0563C1"/>
                  <w:w w:val="90"/>
                </w:rPr>
                <w:t>Lease for 26 Landsdowne Street, dated November 22, 2017, by and between the UP 26 Landsdowne, LLC and the Registrant (incorporated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3"/>
              </w:rPr>
            </w:pPr>
            <w:hyperlink r:id="rId178">
              <w:r>
                <w:rPr>
                  <w:rFonts w:ascii="Arial" w:cs="Arial" w:eastAsia="Arial" w:hAnsi="Arial"/>
                  <w:sz w:val="18"/>
                  <w:szCs w:val="18"/>
                  <w:color w:val="0563C1"/>
                  <w:w w:val="93"/>
                </w:rPr>
                <w:t>by reference to Exhibit 10.11 to the Registrant’s Registration Statement on Form S-1 (File No. 333-232260) filed with the Securities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gridSpan w:val="4"/>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78">
              <w:r>
                <w:rPr>
                  <w:rFonts w:ascii="Arial" w:cs="Arial" w:eastAsia="Arial" w:hAnsi="Arial"/>
                  <w:sz w:val="18"/>
                  <w:szCs w:val="18"/>
                  <w:color w:val="0563C1"/>
                </w:rPr>
                <w:t>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4"/>
              </w:rPr>
            </w:pPr>
            <w:hyperlink r:id="rId179">
              <w:r>
                <w:rPr>
                  <w:rFonts w:ascii="Arial" w:cs="Arial" w:eastAsia="Arial" w:hAnsi="Arial"/>
                  <w:sz w:val="18"/>
                  <w:szCs w:val="18"/>
                  <w:color w:val="0563C1"/>
                  <w:w w:val="94"/>
                </w:rPr>
                <w:t>Form of Employment Agreement for Executive Officers (incorporated by reference to Exhibit 10.12 to Amendment No. 1 to Registrant’s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8"/>
              </w:rPr>
            </w:pPr>
            <w:hyperlink r:id="rId179">
              <w:r>
                <w:rPr>
                  <w:rFonts w:ascii="Arial" w:cs="Arial" w:eastAsia="Arial" w:hAnsi="Arial"/>
                  <w:sz w:val="18"/>
                  <w:szCs w:val="18"/>
                  <w:color w:val="0563C1"/>
                  <w:w w:val="98"/>
                </w:rPr>
                <w:t>Registration Statement 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280" w:type="dxa"/>
            <w:vAlign w:val="bottom"/>
            <w:tcBorders>
              <w:left w:val="single" w:sz="8" w:color="0563C1"/>
            </w:tcBorders>
            <w:gridSpan w:val="8"/>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3"/>
              </w:rPr>
            </w:pPr>
            <w:hyperlink r:id="rId180">
              <w:r>
                <w:rPr>
                  <w:rFonts w:ascii="Arial" w:cs="Arial" w:eastAsia="Arial" w:hAnsi="Arial"/>
                  <w:sz w:val="18"/>
                  <w:szCs w:val="18"/>
                  <w:color w:val="0563C1"/>
                  <w:w w:val="93"/>
                </w:rPr>
                <w:t>Employment Agreement, dated June 30, 2019, by and between the Registrant and Robert J. Gould (incorporated by reference to Exhibit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460" w:type="dxa"/>
            <w:vAlign w:val="bottom"/>
            <w:tcBorders>
              <w:left w:val="single" w:sz="8" w:color="0563C1"/>
            </w:tcBorders>
            <w:gridSpan w:val="10"/>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gridSpan w:val="4"/>
            <w:shd w:val="clear" w:color="auto" w:fill="0563C1"/>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7"/>
              </w:rPr>
            </w:pPr>
            <w:hyperlink r:id="rId180">
              <w:r>
                <w:rPr>
                  <w:rFonts w:ascii="Arial" w:cs="Arial" w:eastAsia="Arial" w:hAnsi="Arial"/>
                  <w:sz w:val="18"/>
                  <w:szCs w:val="18"/>
                  <w:color w:val="0563C1"/>
                  <w:w w:val="97"/>
                </w:rPr>
                <w:t>10.</w:t>
              </w:r>
              <w:r>
                <w:rPr>
                  <w:rFonts w:ascii="Arial" w:cs="Arial" w:eastAsia="Arial" w:hAnsi="Arial"/>
                  <w:sz w:val="18"/>
                  <w:szCs w:val="18"/>
                  <w:u w:val="single" w:color="auto"/>
                  <w:color w:val="0563C1"/>
                  <w:w w:val="97"/>
                </w:rPr>
                <w:t>13</w:t>
              </w:r>
              <w:r>
                <w:rPr>
                  <w:rFonts w:ascii="Arial" w:cs="Arial" w:eastAsia="Arial" w:hAnsi="Arial"/>
                  <w:sz w:val="18"/>
                  <w:szCs w:val="18"/>
                  <w:color w:val="0563C1"/>
                  <w:w w:val="97"/>
                </w:rPr>
                <w:t xml:space="preserve"> to Amendment No. 2 to Registrant’s Registration Statement on Form S-1 (File No. 333-232260) filed with the Securities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460" w:type="dxa"/>
            <w:vAlign w:val="bottom"/>
            <w:tcBorders>
              <w:left w:val="single" w:sz="8" w:color="0563C1"/>
            </w:tcBorders>
            <w:gridSpan w:val="10"/>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80">
              <w:r>
                <w:rPr>
                  <w:rFonts w:ascii="Arial" w:cs="Arial" w:eastAsia="Arial" w:hAnsi="Arial"/>
                  <w:sz w:val="18"/>
                  <w:szCs w:val="18"/>
                  <w:color w:val="0563C1"/>
                </w:rPr>
                <w:t>Exchange Commission on July 12,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120"/>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8"/>
                <w:szCs w:val="18"/>
                <w:color w:val="0563C1"/>
                <w:w w:val="90"/>
              </w:rPr>
            </w:pPr>
            <w:hyperlink r:id="rId181">
              <w:r>
                <w:rPr>
                  <w:rFonts w:ascii="Arial" w:cs="Arial" w:eastAsia="Arial" w:hAnsi="Arial"/>
                  <w:sz w:val="18"/>
                  <w:szCs w:val="18"/>
                  <w:color w:val="0563C1"/>
                  <w:w w:val="90"/>
                </w:rPr>
                <w:t>Employment Agreement, dated July 3, 2019, by and between the Registrant and Bryan Stuart (incorporated by reference to Exhibit 10.14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340" w:type="dxa"/>
            <w:vAlign w:val="bottom"/>
            <w:gridSpan w:val="12"/>
            <w:shd w:val="clear" w:color="auto" w:fill="0563C1"/>
          </w:tcPr>
          <w:p>
            <w:pPr>
              <w:spacing w:after="0" w:line="20" w:lineRule="exact"/>
              <w:rPr>
                <w:sz w:val="1"/>
                <w:szCs w:val="1"/>
                <w:color w:val="auto"/>
              </w:rPr>
            </w:pPr>
          </w:p>
        </w:tc>
        <w:tc>
          <w:tcPr>
            <w:tcW w:w="500" w:type="dxa"/>
            <w:vAlign w:val="bottom"/>
            <w:gridSpan w:val="9"/>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w w:val="96"/>
              </w:rPr>
            </w:pPr>
            <w:hyperlink r:id="rId181">
              <w:r>
                <w:rPr>
                  <w:rFonts w:ascii="Arial" w:cs="Arial" w:eastAsia="Arial" w:hAnsi="Arial"/>
                  <w:sz w:val="18"/>
                  <w:szCs w:val="18"/>
                  <w:color w:val="0563C1"/>
                  <w:w w:val="96"/>
                </w:rPr>
                <w:t>Amendment No. 2 to Registrant’s Registration Statement on Form S-1 (File No. 333-232260) filed with the Securities and Exchange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3"/>
            <w:shd w:val="clear" w:color="auto" w:fill="0563C1"/>
          </w:tcPr>
          <w:p>
            <w:pPr>
              <w:spacing w:after="0" w:line="20" w:lineRule="exact"/>
              <w:rPr>
                <w:sz w:val="1"/>
                <w:szCs w:val="1"/>
                <w:color w:val="auto"/>
              </w:rPr>
            </w:pPr>
          </w:p>
        </w:tc>
        <w:tc>
          <w:tcPr>
            <w:tcW w:w="7340" w:type="dxa"/>
            <w:vAlign w:val="bottom"/>
            <w:gridSpan w:val="12"/>
            <w:shd w:val="clear" w:color="auto" w:fill="0563C1"/>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563C1"/>
              </w:rPr>
            </w:pPr>
            <w:hyperlink r:id="rId181">
              <w:r>
                <w:rPr>
                  <w:rFonts w:ascii="Arial" w:cs="Arial" w:eastAsia="Arial" w:hAnsi="Arial"/>
                  <w:sz w:val="18"/>
                  <w:szCs w:val="18"/>
                  <w:color w:val="0563C1"/>
                </w:rPr>
                <w:t>Commission on July 12, 2019).</w:t>
              </w:r>
            </w:hyperlink>
          </w:p>
        </w:tc>
        <w:tc>
          <w:tcPr>
            <w:tcW w:w="0" w:type="dxa"/>
            <w:vAlign w:val="bottom"/>
          </w:tcPr>
          <w:p>
            <w:pPr>
              <w:spacing w:after="0"/>
              <w:rPr>
                <w:sz w:val="1"/>
                <w:szCs w:val="1"/>
                <w:color w:val="auto"/>
              </w:rPr>
            </w:pPr>
          </w:p>
        </w:tc>
      </w:tr>
      <w:tr>
        <w:trPr>
          <w:trHeight w:val="365"/>
        </w:trPr>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1780" w:type="dxa"/>
            <w:vAlign w:val="bottom"/>
            <w:tcBorders>
              <w:top w:val="single" w:sz="8" w:color="0563C1"/>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tbl>
      <w:tblPr>
        <w:tblLayout w:type="fixed"/>
        <w:tblInd w:w="12" w:type="dxa"/>
        <w:tblCellMar>
          <w:top w:w="0" w:type="dxa"/>
          <w:left w:w="0" w:type="dxa"/>
          <w:bottom w:w="0" w:type="dxa"/>
          <w:right w:w="0" w:type="dxa"/>
        </w:tblCellMar>
      </w:tblPr>
      <w:tr>
        <w:trPr>
          <w:trHeight w:val="207"/>
        </w:trPr>
        <w:tc>
          <w:tcPr>
            <w:tcW w:w="1120" w:type="dxa"/>
            <w:vAlign w:val="bottom"/>
          </w:tcPr>
          <w:p>
            <w:pPr>
              <w:ind w:left="100"/>
              <w:spacing w:after="0"/>
              <w:rPr>
                <w:sz w:val="20"/>
                <w:szCs w:val="20"/>
                <w:color w:val="auto"/>
              </w:rPr>
            </w:pPr>
            <w:r>
              <w:rPr>
                <w:rFonts w:ascii="Arial" w:cs="Arial" w:eastAsia="Arial" w:hAnsi="Arial"/>
                <w:sz w:val="18"/>
                <w:szCs w:val="18"/>
                <w:color w:val="auto"/>
              </w:rPr>
              <w:t>10.15#</w:t>
            </w:r>
          </w:p>
        </w:tc>
        <w:tc>
          <w:tcPr>
            <w:tcW w:w="10020" w:type="dxa"/>
            <w:vAlign w:val="bottom"/>
            <w:gridSpan w:val="19"/>
          </w:tcPr>
          <w:p>
            <w:pPr>
              <w:spacing w:after="0"/>
              <w:rPr>
                <w:rFonts w:ascii="Arial" w:cs="Arial" w:eastAsia="Arial" w:hAnsi="Arial"/>
                <w:sz w:val="18"/>
                <w:szCs w:val="18"/>
                <w:color w:val="0563C1"/>
                <w:w w:val="90"/>
              </w:rPr>
            </w:pPr>
            <w:hyperlink r:id="rId184">
              <w:r>
                <w:rPr>
                  <w:rFonts w:ascii="Arial" w:cs="Arial" w:eastAsia="Arial" w:hAnsi="Arial"/>
                  <w:sz w:val="18"/>
                  <w:szCs w:val="18"/>
                  <w:color w:val="0563C1"/>
                  <w:w w:val="90"/>
                </w:rPr>
                <w:t>Employment Agreement, dated July 18, 2019, by and between the Registrant and Owen Wallace (incorporated by reference to Exhibit 10.1</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0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5"/>
              </w:rPr>
            </w:pPr>
            <w:hyperlink r:id="rId184">
              <w:r>
                <w:rPr>
                  <w:rFonts w:ascii="Arial" w:cs="Arial" w:eastAsia="Arial" w:hAnsi="Arial"/>
                  <w:sz w:val="18"/>
                  <w:szCs w:val="18"/>
                  <w:color w:val="0563C1"/>
                  <w:w w:val="95"/>
                </w:rPr>
                <w:t>to Registrant’s Quarterly Report on Form 10-Q (File No. 001-38978) filed with the Securities and Exchange Commission on May 13,</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0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563C1"/>
                <w:w w:val="86"/>
              </w:rPr>
            </w:pPr>
            <w:hyperlink r:id="rId184">
              <w:r>
                <w:rPr>
                  <w:rFonts w:ascii="Arial" w:cs="Arial" w:eastAsia="Arial" w:hAnsi="Arial"/>
                  <w:sz w:val="18"/>
                  <w:szCs w:val="18"/>
                  <w:color w:val="0563C1"/>
                  <w:w w:val="86"/>
                </w:rPr>
                <w:t>2020).</w:t>
              </w:r>
            </w:hyperlink>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10.16#</w:t>
            </w:r>
          </w:p>
        </w:tc>
        <w:tc>
          <w:tcPr>
            <w:tcW w:w="10020" w:type="dxa"/>
            <w:vAlign w:val="bottom"/>
            <w:gridSpan w:val="19"/>
          </w:tcPr>
          <w:p>
            <w:pPr>
              <w:spacing w:after="0"/>
              <w:rPr>
                <w:rFonts w:ascii="Arial" w:cs="Arial" w:eastAsia="Arial" w:hAnsi="Arial"/>
                <w:sz w:val="18"/>
                <w:szCs w:val="18"/>
                <w:color w:val="0000FF"/>
                <w:w w:val="90"/>
              </w:rPr>
            </w:pPr>
            <w:hyperlink r:id="rId185">
              <w:r>
                <w:rPr>
                  <w:rFonts w:ascii="Arial" w:cs="Arial" w:eastAsia="Arial" w:hAnsi="Arial"/>
                  <w:sz w:val="18"/>
                  <w:szCs w:val="18"/>
                  <w:color w:val="0000FF"/>
                  <w:w w:val="90"/>
                </w:rPr>
                <w:t>Employment Agreement, dated October 29, 2020, by and between the Registrant and Curtis Oltmans (incorporated by reference to Exhibit</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16</w:t>
              </w:r>
              <w:r>
                <w:rPr>
                  <w:rFonts w:ascii="Arial" w:cs="Arial" w:eastAsia="Arial" w:hAnsi="Arial"/>
                  <w:sz w:val="18"/>
                  <w:szCs w:val="18"/>
                  <w:color w:val="0000FF"/>
                  <w:w w:val="99"/>
                </w:rPr>
                <w:t xml:space="preserve"> to the Registrant’s Annual Report on Form 10-K filed with the Securities and Exchange Commission on March 4, 2021).</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10.17#</w:t>
            </w:r>
          </w:p>
        </w:tc>
        <w:tc>
          <w:tcPr>
            <w:tcW w:w="10020" w:type="dxa"/>
            <w:vAlign w:val="bottom"/>
            <w:gridSpan w:val="19"/>
          </w:tcPr>
          <w:p>
            <w:pPr>
              <w:spacing w:after="0"/>
              <w:rPr>
                <w:rFonts w:ascii="Arial" w:cs="Arial" w:eastAsia="Arial" w:hAnsi="Arial"/>
                <w:sz w:val="18"/>
                <w:szCs w:val="18"/>
                <w:color w:val="0563C1"/>
                <w:w w:val="91"/>
              </w:rPr>
            </w:pPr>
            <w:hyperlink r:id="rId186">
              <w:r>
                <w:rPr>
                  <w:rFonts w:ascii="Arial" w:cs="Arial" w:eastAsia="Arial" w:hAnsi="Arial"/>
                  <w:sz w:val="18"/>
                  <w:szCs w:val="18"/>
                  <w:color w:val="0563C1"/>
                  <w:w w:val="91"/>
                </w:rPr>
                <w:t>Form of Indemnification Agreement between the Registrant and each of its Executive Officers and Directors (incorporated by reference to</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9"/>
              </w:rPr>
            </w:pPr>
            <w:hyperlink r:id="rId186">
              <w:r>
                <w:rPr>
                  <w:rFonts w:ascii="Arial" w:cs="Arial" w:eastAsia="Arial" w:hAnsi="Arial"/>
                  <w:sz w:val="18"/>
                  <w:szCs w:val="18"/>
                  <w:color w:val="0563C1"/>
                  <w:w w:val="99"/>
                </w:rPr>
                <w:t>Exhibit 10.15 to Registrant’s Registration Statement on Form S-1 (File No. 333-232260) filed with the Securities and Exchange</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rPr>
            </w:pPr>
            <w:hyperlink r:id="rId186">
              <w:r>
                <w:rPr>
                  <w:rFonts w:ascii="Arial" w:cs="Arial" w:eastAsia="Arial" w:hAnsi="Arial"/>
                  <w:sz w:val="18"/>
                  <w:szCs w:val="18"/>
                  <w:color w:val="0563C1"/>
                </w:rPr>
                <w:t>Commission on June 21, 2019).</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10.18</w:t>
            </w:r>
            <w:r>
              <w:rPr>
                <w:rFonts w:ascii="Arial" w:cs="Arial" w:eastAsia="Arial" w:hAnsi="Arial"/>
                <w:sz w:val="14"/>
                <w:szCs w:val="14"/>
                <w:color w:val="auto"/>
              </w:rPr>
              <w:t>†</w:t>
            </w:r>
          </w:p>
        </w:tc>
        <w:tc>
          <w:tcPr>
            <w:tcW w:w="10020" w:type="dxa"/>
            <w:vAlign w:val="bottom"/>
            <w:gridSpan w:val="19"/>
          </w:tcPr>
          <w:p>
            <w:pPr>
              <w:spacing w:after="0"/>
              <w:rPr>
                <w:rFonts w:ascii="Arial" w:cs="Arial" w:eastAsia="Arial" w:hAnsi="Arial"/>
                <w:sz w:val="18"/>
                <w:szCs w:val="18"/>
                <w:color w:val="0563C1"/>
                <w:w w:val="96"/>
              </w:rPr>
            </w:pPr>
            <w:hyperlink r:id="rId187">
              <w:r>
                <w:rPr>
                  <w:rFonts w:ascii="Arial" w:cs="Arial" w:eastAsia="Arial" w:hAnsi="Arial"/>
                  <w:sz w:val="18"/>
                  <w:szCs w:val="18"/>
                  <w:color w:val="0563C1"/>
                  <w:w w:val="96"/>
                </w:rPr>
                <w:t>Collaboration and License Agreement, dated as of December 20, 2019, by and between the Registrant and Acceleron Pharma Inc</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2"/>
              </w:rPr>
            </w:pPr>
            <w:hyperlink r:id="rId187">
              <w:r>
                <w:rPr>
                  <w:rFonts w:ascii="Arial" w:cs="Arial" w:eastAsia="Arial" w:hAnsi="Arial"/>
                  <w:sz w:val="18"/>
                  <w:szCs w:val="18"/>
                  <w:color w:val="0563C1"/>
                  <w:w w:val="92"/>
                </w:rPr>
                <w:t>(incorporated by reference to Exhibit 10.17 to the Registrant’s Annual Report on Form 10-K (File No. 001-38978) filed with the Securities</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360" w:type="dxa"/>
            <w:vAlign w:val="bottom"/>
            <w:gridSpan w:val="4"/>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rPr>
            </w:pPr>
            <w:hyperlink r:id="rId187">
              <w:r>
                <w:rPr>
                  <w:rFonts w:ascii="Arial" w:cs="Arial" w:eastAsia="Arial" w:hAnsi="Arial"/>
                  <w:sz w:val="18"/>
                  <w:szCs w:val="18"/>
                  <w:color w:val="0563C1"/>
                </w:rPr>
                <w:t>and Exchange Commission on March 5, 2020).</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2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10.19</w:t>
            </w:r>
            <w:r>
              <w:rPr>
                <w:rFonts w:ascii="Arial" w:cs="Arial" w:eastAsia="Arial" w:hAnsi="Arial"/>
                <w:sz w:val="14"/>
                <w:szCs w:val="14"/>
                <w:color w:val="auto"/>
              </w:rPr>
              <w:t>†</w:t>
            </w:r>
          </w:p>
        </w:tc>
        <w:tc>
          <w:tcPr>
            <w:tcW w:w="10020" w:type="dxa"/>
            <w:vAlign w:val="bottom"/>
            <w:gridSpan w:val="19"/>
          </w:tcPr>
          <w:p>
            <w:pPr>
              <w:spacing w:after="0"/>
              <w:rPr>
                <w:rFonts w:ascii="Arial" w:cs="Arial" w:eastAsia="Arial" w:hAnsi="Arial"/>
                <w:sz w:val="18"/>
                <w:szCs w:val="18"/>
                <w:color w:val="0563C1"/>
                <w:w w:val="94"/>
              </w:rPr>
            </w:pPr>
            <w:hyperlink r:id="rId188">
              <w:r>
                <w:rPr>
                  <w:rFonts w:ascii="Arial" w:cs="Arial" w:eastAsia="Arial" w:hAnsi="Arial"/>
                  <w:sz w:val="18"/>
                  <w:szCs w:val="18"/>
                  <w:color w:val="0563C1"/>
                  <w:w w:val="94"/>
                </w:rPr>
                <w:t>Collaboration and License Agreement, dated as of July 20, 2020, by and between the Registrant and MyoKardia, Inc, a wholly-owned</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80" w:type="dxa"/>
            <w:vAlign w:val="bottom"/>
            <w:gridSpan w:val="3"/>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360" w:type="dxa"/>
            <w:vAlign w:val="bottom"/>
            <w:gridSpan w:val="4"/>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1"/>
              </w:rPr>
            </w:pPr>
            <w:hyperlink r:id="rId188">
              <w:r>
                <w:rPr>
                  <w:rFonts w:ascii="Arial" w:cs="Arial" w:eastAsia="Arial" w:hAnsi="Arial"/>
                  <w:sz w:val="18"/>
                  <w:szCs w:val="18"/>
                  <w:color w:val="0563C1"/>
                  <w:w w:val="91"/>
                </w:rPr>
                <w:t>subsidiary of Bristol Myers Squibb Company (incorporated by reference to Exhibit 10.1 to the Registrant’s Quarterly Report on Form 10-Q</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80" w:type="dxa"/>
            <w:vAlign w:val="bottom"/>
            <w:gridSpan w:val="3"/>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360" w:type="dxa"/>
            <w:vAlign w:val="bottom"/>
            <w:gridSpan w:val="4"/>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rPr>
            </w:pPr>
            <w:hyperlink r:id="rId188">
              <w:r>
                <w:rPr>
                  <w:rFonts w:ascii="Arial" w:cs="Arial" w:eastAsia="Arial" w:hAnsi="Arial"/>
                  <w:sz w:val="18"/>
                  <w:szCs w:val="18"/>
                  <w:color w:val="0563C1"/>
                </w:rPr>
                <w:t>(File No. 001-38978) filed with the Securities and Exchange Commission on November 10, 2020).</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80" w:type="dxa"/>
            <w:vAlign w:val="bottom"/>
            <w:gridSpan w:val="3"/>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10.20</w:t>
            </w:r>
            <w:r>
              <w:rPr>
                <w:rFonts w:ascii="Arial" w:cs="Arial" w:eastAsia="Arial" w:hAnsi="Arial"/>
                <w:sz w:val="14"/>
                <w:szCs w:val="14"/>
                <w:color w:val="auto"/>
              </w:rPr>
              <w:t>†</w:t>
            </w:r>
          </w:p>
        </w:tc>
        <w:tc>
          <w:tcPr>
            <w:tcW w:w="10020" w:type="dxa"/>
            <w:vAlign w:val="bottom"/>
            <w:gridSpan w:val="19"/>
          </w:tcPr>
          <w:p>
            <w:pPr>
              <w:spacing w:after="0"/>
              <w:rPr>
                <w:rFonts w:ascii="Arial" w:cs="Arial" w:eastAsia="Arial" w:hAnsi="Arial"/>
                <w:sz w:val="18"/>
                <w:szCs w:val="18"/>
                <w:color w:val="0563C1"/>
                <w:w w:val="94"/>
              </w:rPr>
            </w:pPr>
            <w:hyperlink r:id="rId189">
              <w:r>
                <w:rPr>
                  <w:rFonts w:ascii="Arial" w:cs="Arial" w:eastAsia="Arial" w:hAnsi="Arial"/>
                  <w:sz w:val="18"/>
                  <w:szCs w:val="18"/>
                  <w:color w:val="0563C1"/>
                  <w:w w:val="94"/>
                </w:rPr>
                <w:t>First Amendment to the Right of Reference and License Agreement, dated as of September 23, 2020, by and among the Registrant,</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80" w:type="dxa"/>
            <w:vAlign w:val="bottom"/>
            <w:gridSpan w:val="3"/>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620" w:type="dxa"/>
            <w:vAlign w:val="bottom"/>
            <w:gridSpan w:val="5"/>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5"/>
              </w:rPr>
            </w:pPr>
            <w:hyperlink r:id="rId189">
              <w:r>
                <w:rPr>
                  <w:rFonts w:ascii="Arial" w:cs="Arial" w:eastAsia="Arial" w:hAnsi="Arial"/>
                  <w:sz w:val="18"/>
                  <w:szCs w:val="18"/>
                  <w:color w:val="0563C1"/>
                  <w:w w:val="95"/>
                </w:rPr>
                <w:t>GlaxoSmithKline Intellectual Property (No. 2) Limited, GlaxoSmithKline LLC and Glaxo Group Limited (incorporated by reference to</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80" w:type="dxa"/>
            <w:vAlign w:val="bottom"/>
            <w:gridSpan w:val="3"/>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820" w:type="dxa"/>
            <w:vAlign w:val="bottom"/>
            <w:gridSpan w:val="7"/>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2"/>
              </w:rPr>
            </w:pPr>
            <w:hyperlink r:id="rId189">
              <w:r>
                <w:rPr>
                  <w:rFonts w:ascii="Arial" w:cs="Arial" w:eastAsia="Arial" w:hAnsi="Arial"/>
                  <w:sz w:val="18"/>
                  <w:szCs w:val="18"/>
                  <w:color w:val="0563C1"/>
                  <w:w w:val="92"/>
                </w:rPr>
                <w:t>Exhibit 10.2 to the Registrant’s Quarterly Report on Form 10-Q (File No. 001-38978) filed with the Securities and Exchange Commission</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80" w:type="dxa"/>
            <w:vAlign w:val="bottom"/>
            <w:gridSpan w:val="3"/>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820" w:type="dxa"/>
            <w:vAlign w:val="bottom"/>
            <w:gridSpan w:val="7"/>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rPr>
            </w:pPr>
            <w:hyperlink r:id="rId189">
              <w:r>
                <w:rPr>
                  <w:rFonts w:ascii="Arial" w:cs="Arial" w:eastAsia="Arial" w:hAnsi="Arial"/>
                  <w:sz w:val="18"/>
                  <w:szCs w:val="18"/>
                  <w:color w:val="0563C1"/>
                </w:rPr>
                <w:t>on November 10, 2020).</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10.21</w:t>
            </w:r>
          </w:p>
        </w:tc>
        <w:tc>
          <w:tcPr>
            <w:tcW w:w="10020" w:type="dxa"/>
            <w:vAlign w:val="bottom"/>
            <w:gridSpan w:val="19"/>
          </w:tcPr>
          <w:p>
            <w:pPr>
              <w:spacing w:after="0"/>
              <w:rPr>
                <w:rFonts w:ascii="Arial" w:cs="Arial" w:eastAsia="Arial" w:hAnsi="Arial"/>
                <w:sz w:val="18"/>
                <w:szCs w:val="18"/>
                <w:color w:val="0563C1"/>
                <w:w w:val="89"/>
              </w:rPr>
            </w:pPr>
            <w:hyperlink r:id="rId190">
              <w:r>
                <w:rPr>
                  <w:rFonts w:ascii="Arial" w:cs="Arial" w:eastAsia="Arial" w:hAnsi="Arial"/>
                  <w:sz w:val="18"/>
                  <w:szCs w:val="18"/>
                  <w:color w:val="0563C1"/>
                  <w:w w:val="89"/>
                </w:rPr>
                <w:t>Securities Purchase Agreement, dated June 9, 2020, by and among the Company and the other parties thereto (incorporated by reference to</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340" w:type="dxa"/>
            <w:vAlign w:val="bottom"/>
            <w:gridSpan w:val="4"/>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820" w:type="dxa"/>
            <w:vAlign w:val="bottom"/>
            <w:gridSpan w:val="7"/>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2"/>
              </w:rPr>
            </w:pPr>
            <w:hyperlink r:id="rId190">
              <w:r>
                <w:rPr>
                  <w:rFonts w:ascii="Arial" w:cs="Arial" w:eastAsia="Arial" w:hAnsi="Arial"/>
                  <w:sz w:val="18"/>
                  <w:szCs w:val="18"/>
                  <w:color w:val="0563C1"/>
                  <w:w w:val="92"/>
                </w:rPr>
                <w:t>Exhibit 10.1 of the Company’s Current Report on Form 8-K (File No. 001-38978) filed with the Securities and Exchange Commission on</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340" w:type="dxa"/>
            <w:vAlign w:val="bottom"/>
            <w:gridSpan w:val="4"/>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820" w:type="dxa"/>
            <w:vAlign w:val="bottom"/>
            <w:gridSpan w:val="7"/>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rPr>
            </w:pPr>
            <w:hyperlink r:id="rId190">
              <w:r>
                <w:rPr>
                  <w:rFonts w:ascii="Arial" w:cs="Arial" w:eastAsia="Arial" w:hAnsi="Arial"/>
                  <w:sz w:val="18"/>
                  <w:szCs w:val="18"/>
                  <w:color w:val="0563C1"/>
                </w:rPr>
                <w:t>June 10, 2020).</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10.22</w:t>
            </w:r>
          </w:p>
        </w:tc>
        <w:tc>
          <w:tcPr>
            <w:tcW w:w="10020" w:type="dxa"/>
            <w:vAlign w:val="bottom"/>
            <w:gridSpan w:val="19"/>
          </w:tcPr>
          <w:p>
            <w:pPr>
              <w:spacing w:after="0"/>
              <w:rPr>
                <w:rFonts w:ascii="Arial" w:cs="Arial" w:eastAsia="Arial" w:hAnsi="Arial"/>
                <w:sz w:val="18"/>
                <w:szCs w:val="18"/>
                <w:color w:val="0563C1"/>
                <w:w w:val="89"/>
              </w:rPr>
            </w:pPr>
            <w:hyperlink r:id="rId191">
              <w:r>
                <w:rPr>
                  <w:rFonts w:ascii="Arial" w:cs="Arial" w:eastAsia="Arial" w:hAnsi="Arial"/>
                  <w:sz w:val="18"/>
                  <w:szCs w:val="18"/>
                  <w:color w:val="0563C1"/>
                  <w:w w:val="89"/>
                </w:rPr>
                <w:t>Registration Rights Agreement, dated June 9, 2020, by and among the Company and the other parties thereto (incorporated by reference to</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gridSpan w:val="6"/>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820" w:type="dxa"/>
            <w:vAlign w:val="bottom"/>
            <w:gridSpan w:val="7"/>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w w:val="92"/>
              </w:rPr>
            </w:pPr>
            <w:hyperlink r:id="rId191">
              <w:r>
                <w:rPr>
                  <w:rFonts w:ascii="Arial" w:cs="Arial" w:eastAsia="Arial" w:hAnsi="Arial"/>
                  <w:sz w:val="18"/>
                  <w:szCs w:val="18"/>
                  <w:color w:val="0563C1"/>
                  <w:w w:val="92"/>
                </w:rPr>
                <w:t>Exhibit 10.2 of the Company’s Current Report on Form 8-K (File No. 001-38978) filed with the Securities and Exchange Commission on</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gridSpan w:val="6"/>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2820" w:type="dxa"/>
            <w:vAlign w:val="bottom"/>
            <w:gridSpan w:val="7"/>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563C1"/>
              </w:rPr>
            </w:pPr>
            <w:hyperlink r:id="rId191">
              <w:r>
                <w:rPr>
                  <w:rFonts w:ascii="Arial" w:cs="Arial" w:eastAsia="Arial" w:hAnsi="Arial"/>
                  <w:sz w:val="18"/>
                  <w:szCs w:val="18"/>
                  <w:color w:val="0563C1"/>
                </w:rPr>
                <w:t>June 10, 2020).</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21.1</w:t>
            </w:r>
          </w:p>
        </w:tc>
        <w:tc>
          <w:tcPr>
            <w:tcW w:w="10020" w:type="dxa"/>
            <w:vAlign w:val="bottom"/>
            <w:gridSpan w:val="19"/>
          </w:tcPr>
          <w:p>
            <w:pPr>
              <w:spacing w:after="0"/>
              <w:rPr>
                <w:rFonts w:ascii="Arial" w:cs="Arial" w:eastAsia="Arial" w:hAnsi="Arial"/>
                <w:sz w:val="18"/>
                <w:szCs w:val="18"/>
                <w:color w:val="0000FF"/>
                <w:w w:val="95"/>
              </w:rPr>
            </w:pPr>
            <w:hyperlink r:id="rId192">
              <w:r>
                <w:rPr>
                  <w:rFonts w:ascii="Arial" w:cs="Arial" w:eastAsia="Arial" w:hAnsi="Arial"/>
                  <w:sz w:val="18"/>
                  <w:szCs w:val="18"/>
                  <w:color w:val="0000FF"/>
                  <w:w w:val="95"/>
                </w:rPr>
                <w:t>Subsidiary of the Registrant (incorporated by reference to Exhibit 21.1 to the Registrant’s Annual Report on Form 10-K filed with the</w:t>
              </w:r>
            </w:hyperlink>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2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Securities and Exchange Commission on March 4, 2021).</w:t>
              </w:r>
            </w:hyperlink>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23.1*</w:t>
            </w:r>
          </w:p>
        </w:tc>
        <w:tc>
          <w:tcPr>
            <w:tcW w:w="10020" w:type="dxa"/>
            <w:vAlign w:val="bottom"/>
            <w:gridSpan w:val="19"/>
          </w:tcPr>
          <w:p>
            <w:pPr>
              <w:spacing w:after="0"/>
              <w:rPr>
                <w:sz w:val="20"/>
                <w:szCs w:val="20"/>
                <w:color w:val="auto"/>
              </w:rPr>
            </w:pPr>
            <w:r>
              <w:rPr>
                <w:rFonts w:ascii="Arial" w:cs="Arial" w:eastAsia="Arial" w:hAnsi="Arial"/>
                <w:sz w:val="18"/>
                <w:szCs w:val="18"/>
                <w:color w:val="0000FF"/>
              </w:rPr>
              <w:t>Consent of Ernst &amp; Young LLP, independent registered public accounting firm.</w:t>
            </w:r>
          </w:p>
        </w:tc>
        <w:tc>
          <w:tcPr>
            <w:tcW w:w="60" w:type="dxa"/>
            <w:vAlign w:val="bottom"/>
          </w:tcPr>
          <w:p>
            <w:pPr>
              <w:spacing w:after="0"/>
              <w:rPr>
                <w:sz w:val="19"/>
                <w:szCs w:val="19"/>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120" w:type="dxa"/>
            <w:vAlign w:val="bottom"/>
          </w:tcPr>
          <w:p>
            <w:pPr>
              <w:ind w:left="100"/>
              <w:spacing w:after="0"/>
              <w:rPr>
                <w:sz w:val="20"/>
                <w:szCs w:val="20"/>
                <w:color w:val="auto"/>
              </w:rPr>
            </w:pPr>
            <w:r>
              <w:rPr>
                <w:rFonts w:ascii="Arial" w:cs="Arial" w:eastAsia="Arial" w:hAnsi="Arial"/>
                <w:sz w:val="18"/>
                <w:szCs w:val="18"/>
                <w:color w:val="auto"/>
              </w:rPr>
              <w:t>31.1*</w:t>
            </w:r>
          </w:p>
        </w:tc>
        <w:tc>
          <w:tcPr>
            <w:tcW w:w="10020" w:type="dxa"/>
            <w:vAlign w:val="bottom"/>
            <w:gridSpan w:val="19"/>
          </w:tcPr>
          <w:p>
            <w:pPr>
              <w:spacing w:after="0"/>
              <w:rPr>
                <w:sz w:val="20"/>
                <w:szCs w:val="20"/>
                <w:color w:val="auto"/>
              </w:rPr>
            </w:pPr>
            <w:r>
              <w:rPr>
                <w:rFonts w:ascii="Arial" w:cs="Arial" w:eastAsia="Arial" w:hAnsi="Arial"/>
                <w:sz w:val="18"/>
                <w:szCs w:val="18"/>
                <w:color w:val="0000FF"/>
                <w:w w:val="91"/>
              </w:rPr>
              <w:t>Certification of Principal Executive Officer and Principal Financial Officer Pursuant to Rules 13a-14(a) and 15d-14(a) under the Securities</w:t>
            </w:r>
          </w:p>
        </w:tc>
        <w:tc>
          <w:tcPr>
            <w:tcW w:w="6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ind w:left="100"/>
              <w:spacing w:after="0"/>
              <w:rPr>
                <w:sz w:val="20"/>
                <w:szCs w:val="20"/>
                <w:color w:val="auto"/>
              </w:rPr>
            </w:pPr>
            <w:r>
              <w:rPr>
                <w:rFonts w:ascii="Arial" w:cs="Arial" w:eastAsia="Arial" w:hAnsi="Arial"/>
                <w:sz w:val="18"/>
                <w:szCs w:val="18"/>
                <w:color w:val="auto"/>
              </w:rPr>
              <w:t>32.1+</w:t>
            </w:r>
          </w:p>
        </w:tc>
        <w:tc>
          <w:tcPr>
            <w:tcW w:w="10020" w:type="dxa"/>
            <w:vAlign w:val="bottom"/>
            <w:gridSpan w:val="19"/>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Pursuant to 18 U.S.C. Section 1350, as Adopted Pursuant to</w:t>
            </w:r>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6360" w:type="dxa"/>
            <w:vAlign w:val="bottom"/>
            <w:gridSpan w:val="11"/>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19"/>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c>
          <w:tcPr>
            <w:tcW w:w="60" w:type="dxa"/>
            <w:vAlign w:val="bottom"/>
          </w:tcPr>
          <w:p>
            <w:pPr>
              <w:spacing w:after="0"/>
              <w:rPr>
                <w:sz w:val="22"/>
                <w:szCs w:val="22"/>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60" w:type="dxa"/>
            <w:vAlign w:val="bottom"/>
          </w:tcPr>
          <w:p>
            <w:pPr>
              <w:spacing w:after="0"/>
              <w:rPr>
                <w:sz w:val="21"/>
                <w:szCs w:val="21"/>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0" w:type="dxa"/>
            <w:vAlign w:val="bottom"/>
          </w:tcPr>
          <w:p>
            <w:pPr>
              <w:spacing w:after="0"/>
              <w:rPr>
                <w:sz w:val="21"/>
                <w:szCs w:val="21"/>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0" w:type="dxa"/>
            <w:vAlign w:val="bottom"/>
          </w:tcPr>
          <w:p>
            <w:pPr>
              <w:spacing w:after="0"/>
              <w:rPr>
                <w:sz w:val="21"/>
                <w:szCs w:val="21"/>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0" w:type="dxa"/>
            <w:vAlign w:val="bottom"/>
          </w:tcPr>
          <w:p>
            <w:pPr>
              <w:spacing w:after="0"/>
              <w:rPr>
                <w:sz w:val="21"/>
                <w:szCs w:val="21"/>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512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512" w:hanging="512"/>
        <w:spacing w:after="0"/>
        <w:tabs>
          <w:tab w:leader="none" w:pos="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50" w:lineRule="exact"/>
        <w:rPr>
          <w:sz w:val="20"/>
          <w:szCs w:val="20"/>
          <w:color w:val="auto"/>
        </w:rPr>
      </w:pPr>
    </w:p>
    <w:p>
      <w:pPr>
        <w:ind w:left="512" w:right="580" w:hanging="512"/>
        <w:spacing w:after="0" w:line="266" w:lineRule="auto"/>
        <w:tabs>
          <w:tab w:leader="none" w:pos="512"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ind w:left="512" w:hanging="512"/>
        <w:spacing w:after="0"/>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12" w:hanging="512"/>
        <w:spacing w:after="0"/>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5" w:right="3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3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Fulcrum Therapeutics, Inc.</w:t>
      </w:r>
    </w:p>
    <w:p>
      <w:pPr>
        <w:spacing w:after="0" w:line="185" w:lineRule="exact"/>
        <w:rPr>
          <w:sz w:val="20"/>
          <w:szCs w:val="20"/>
          <w:color w:val="auto"/>
        </w:rPr>
      </w:pPr>
    </w:p>
    <w:p>
      <w:pPr>
        <w:ind w:left="20"/>
        <w:spacing w:after="0"/>
        <w:tabs>
          <w:tab w:leader="none" w:pos="5740" w:val="left"/>
          <w:tab w:leader="none" w:pos="7980" w:val="left"/>
        </w:tabs>
        <w:rPr>
          <w:sz w:val="20"/>
          <w:szCs w:val="20"/>
          <w:color w:val="auto"/>
        </w:rPr>
      </w:pPr>
      <w:r>
        <w:rPr>
          <w:rFonts w:ascii="Arial" w:cs="Arial" w:eastAsia="Arial" w:hAnsi="Arial"/>
          <w:sz w:val="18"/>
          <w:szCs w:val="18"/>
          <w:color w:val="auto"/>
        </w:rPr>
        <w:t>Date: June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Robert J. Gould, Ph.D.</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Interim President and Chief Executive Officer (Principal Executive</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10260"/>
        <w:spacing w:after="0"/>
        <w:rPr>
          <w:sz w:val="20"/>
          <w:szCs w:val="20"/>
          <w:color w:val="auto"/>
        </w:rPr>
      </w:pPr>
      <w:r>
        <w:rPr>
          <w:rFonts w:ascii="Arial" w:cs="Arial" w:eastAsia="Arial" w:hAnsi="Arial"/>
          <w:sz w:val="17"/>
          <w:szCs w:val="17"/>
          <w:b w:val="1"/>
          <w:bCs w:val="1"/>
          <w:color w:val="auto"/>
        </w:rPr>
        <w:t>Exhibit 23.1</w:t>
      </w:r>
    </w:p>
    <w:p>
      <w:pPr>
        <w:spacing w:after="0" w:line="23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760" w:hanging="378"/>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S-8 No. 333-233452) pertaining to the 2016 Stock Incentive Plan, as amended, 2019 Stock Incentive Plan, and 2019 Employee Stock Purchase Plan of Fulcrum Therapeutics, Inc.;</w:t>
      </w:r>
    </w:p>
    <w:p>
      <w:pPr>
        <w:spacing w:after="0" w:line="1"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S-8 No. 333-236910) pertaining to the 2019 Stock Incentive Plan and 2019 Employee Stock Purchase Plan of Fulcrum Therapeutics, Inc.;</w:t>
      </w:r>
    </w:p>
    <w:p>
      <w:pPr>
        <w:ind w:left="760" w:right="16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S-1 No. 333-239353) and related Prospectus of Fulcrum Therapeutics, Inc. (as amended by Form S-3/A No. 333-239353);</w:t>
      </w:r>
    </w:p>
    <w:p>
      <w:pPr>
        <w:ind w:left="76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S-8 No. 333-253862) pertaining to the 2019 Stock Incentive Plan and 2019 Employee Stock Purchase Plan of Fulcrum Therapeutics, Inc.,</w:t>
      </w:r>
    </w:p>
    <w:p>
      <w:pPr>
        <w:ind w:left="76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S-8 No. 333-262356) pertaining to the 2019 Stock Incentive Plan, 2019 Employee Stock Purchase Plan, and Inducement Stock Option Awards (September 2021 – January 2022) of Fulcrum Therapeutics, Inc.,</w:t>
      </w:r>
    </w:p>
    <w:p>
      <w:pPr>
        <w:ind w:left="76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S-8 No. 333-263249) pertaining to 2022 Inducement Stock Incentive Plan, and Inducement Stock Option Award, as amended (February 2022) of Fulcrum Therapeutics, Inc.; and</w:t>
      </w:r>
    </w:p>
    <w:p>
      <w:pPr>
        <w:ind w:left="760" w:hanging="378"/>
        <w:spacing w:after="0" w:line="26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S-8 No. 333-270385) pertaining to the 2019 Stock Incentive Plan, the 2019 Employee Stock Purchase Plan and the 2022 Inducement Stock Incentive Plan.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March 4, 2021, with respect to the consolidated financial statements of Fulcrum Therapeutics, Inc. included in this Annual Report (Form 10-K/A) of Fulcrum Therapeutics, Inc.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ind w:left="102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60" w:right="176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700" w:hanging="183"/>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as amended, of Fulcrum Therapeutics, Inc.;</w:t>
      </w:r>
    </w:p>
    <w:p>
      <w:pPr>
        <w:spacing w:after="0" w:line="117"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517"/>
        <w:spacing w:after="0" w:line="277"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7"/>
        <w:spacing w:after="0" w:line="308" w:lineRule="auto"/>
        <w:tabs>
          <w:tab w:leader="none" w:pos="689"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7"/>
          <w:szCs w:val="17"/>
          <w:color w:val="auto"/>
        </w:rPr>
      </w:pPr>
    </w:p>
    <w:p>
      <w:pPr>
        <w:ind w:left="520" w:right="320" w:firstLine="506"/>
        <w:spacing w:after="0" w:line="263" w:lineRule="auto"/>
        <w:tabs>
          <w:tab w:leader="none" w:pos="12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20" w:firstLine="506"/>
        <w:spacing w:after="0" w:line="263" w:lineRule="auto"/>
        <w:tabs>
          <w:tab w:leader="none" w:pos="12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40" w:firstLine="506"/>
        <w:spacing w:after="0" w:line="342" w:lineRule="auto"/>
        <w:tabs>
          <w:tab w:leader="none" w:pos="12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640" w:firstLine="517"/>
        <w:spacing w:after="0" w:line="277"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520" w:right="460" w:firstLine="506"/>
        <w:spacing w:after="0" w:line="308" w:lineRule="auto"/>
        <w:tabs>
          <w:tab w:leader="none" w:pos="1264"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40" w:firstLine="506"/>
        <w:spacing w:after="0" w:line="277" w:lineRule="auto"/>
        <w:tabs>
          <w:tab w:leader="none" w:pos="127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6700" w:val="left"/>
          <w:tab w:leader="none" w:pos="7180" w:val="left"/>
        </w:tabs>
        <w:rPr>
          <w:sz w:val="20"/>
          <w:szCs w:val="20"/>
          <w:color w:val="auto"/>
        </w:rPr>
      </w:pPr>
      <w:r>
        <w:rPr>
          <w:rFonts w:ascii="Arial" w:cs="Arial" w:eastAsia="Arial" w:hAnsi="Arial"/>
          <w:sz w:val="18"/>
          <w:szCs w:val="18"/>
          <w:color w:val="auto"/>
        </w:rPr>
        <w:t>Date: June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23495</wp:posOffset>
            </wp:positionV>
            <wp:extent cx="25717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Robert J. Gould, Ph.D.</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Interim President and Chief Executive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connection with the Annual Report on Form 10-K, as amended, of Fulcrum Therapeutics, Inc. (the “Company”) for the year ended December 31, 2020, as filed with the Securities and Exchange Commission on the date hereof (the “Report”), the undersigned, Robert J. Gould, Interim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3"/>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5540" w:val="left"/>
          <w:tab w:leader="none" w:pos="6000" w:val="left"/>
        </w:tabs>
        <w:rPr>
          <w:sz w:val="20"/>
          <w:szCs w:val="20"/>
          <w:color w:val="auto"/>
        </w:rPr>
      </w:pPr>
      <w:r>
        <w:rPr>
          <w:rFonts w:ascii="Arial" w:cs="Arial" w:eastAsia="Arial" w:hAnsi="Arial"/>
          <w:sz w:val="18"/>
          <w:szCs w:val="18"/>
          <w:color w:val="auto"/>
        </w:rPr>
        <w:t>Date: June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8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4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Robert J. Gould, Ph.D.</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Interim President and Chief Executive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164" Type="http://schemas.openxmlformats.org/officeDocument/2006/relationships/hyperlink" Target="https://www.sec.gov/Archives/edgar/data/0001680581/000104746919004324/a2239321zex-3_1.htm" TargetMode="External"/><Relationship Id="rId165" Type="http://schemas.openxmlformats.org/officeDocument/2006/relationships/hyperlink" Target="https://www.sec.gov/Archives/edgar/data/0001680581/000104746919004324/a2239321zex-3_2.htm" TargetMode="External"/><Relationship Id="rId166" Type="http://schemas.openxmlformats.org/officeDocument/2006/relationships/hyperlink" Target="https://www.sec.gov/Archives/edgar/data/1680581/000104746919003793/a2239080zex-4_1.htm" TargetMode="External"/><Relationship Id="rId167" Type="http://schemas.openxmlformats.org/officeDocument/2006/relationships/hyperlink" Target="https://www.sec.gov/Archives/edgar/data/1680581/000156459020008951/fulc-ex42_198.htm" TargetMode="External"/><Relationship Id="rId168" Type="http://schemas.openxmlformats.org/officeDocument/2006/relationships/hyperlink" Target="https://www.sec.gov/Archives/edgar/data/1680581/000104746919003793/a2239080zex-10_1.htm" TargetMode="External"/><Relationship Id="rId169" Type="http://schemas.openxmlformats.org/officeDocument/2006/relationships/hyperlink" Target="https://www.sec.gov/Archives/edgar/data/1680581/000104746919003793/a2239080zex-10_2.htm" TargetMode="External"/><Relationship Id="rId170" Type="http://schemas.openxmlformats.org/officeDocument/2006/relationships/hyperlink" Target="https://www.sec.gov/Archives/edgar/data/1680581/000104746919003793/a2239080zex-10_3.htm" TargetMode="External"/><Relationship Id="rId171" Type="http://schemas.openxmlformats.org/officeDocument/2006/relationships/hyperlink" Target="https://www.sec.gov/Archives/edgar/data/1680581/000104746919003793/a2239080zex-10_4.htm" TargetMode="External"/><Relationship Id="rId172" Type="http://schemas.openxmlformats.org/officeDocument/2006/relationships/hyperlink" Target="https://www.sec.gov/Archives/edgar/data/1680581/000104746919003793/a2239080zex-10_5.htm" TargetMode="External"/><Relationship Id="rId173" Type="http://schemas.openxmlformats.org/officeDocument/2006/relationships/hyperlink" Target="https://www.sec.gov/Archives/edgar/data/0001680581/000104746919004014/a2239182zex-10_6.htm" TargetMode="External"/><Relationship Id="rId174" Type="http://schemas.openxmlformats.org/officeDocument/2006/relationships/hyperlink" Target="https://www.sec.gov/Archives/edgar/data/0001680581/000104746919004014/a2239182zex-10_7.htm" TargetMode="External"/><Relationship Id="rId175" Type="http://schemas.openxmlformats.org/officeDocument/2006/relationships/hyperlink" Target="https://www.sec.gov/Archives/edgar/data/0001680581/000104746919004014/a2239182zex-10_8.htm" TargetMode="External"/><Relationship Id="rId176" Type="http://schemas.openxmlformats.org/officeDocument/2006/relationships/hyperlink" Target="https://www.sec.gov/Archives/edgar/data/1680581/000156459021010715/fulc-ex109_280.htm" TargetMode="External"/><Relationship Id="rId177" Type="http://schemas.openxmlformats.org/officeDocument/2006/relationships/hyperlink" Target="https://www.sec.gov/Archives/edgar/data/1680581/000104746919003793/a2239080zex-10_10.htm" TargetMode="External"/><Relationship Id="rId178" Type="http://schemas.openxmlformats.org/officeDocument/2006/relationships/hyperlink" Target="https://www.sec.gov/Archives/edgar/data/1680581/000104746919003793/a2239080zex-10_11.htm" TargetMode="External"/><Relationship Id="rId179" Type="http://schemas.openxmlformats.org/officeDocument/2006/relationships/hyperlink" Target="https://www.sec.gov/Archives/edgar/data/0001680581/000104746919004014/a2239182zex-10_12.htm" TargetMode="External"/><Relationship Id="rId180" Type="http://schemas.openxmlformats.org/officeDocument/2006/relationships/hyperlink" Target="https://www.sec.gov/Archives/edgar/data/0001680581/000104746919004158/a2239256zex-10_13.htm" TargetMode="External"/><Relationship Id="rId181" Type="http://schemas.openxmlformats.org/officeDocument/2006/relationships/hyperlink" Target="https://www.sec.gov/Archives/edgar/data/0001680581/000104746919004158/a2239256zex-10_14.htm" TargetMode="External"/><Relationship Id="rId184" Type="http://schemas.openxmlformats.org/officeDocument/2006/relationships/hyperlink" Target="https://www.sec.gov/Archives/edgar/data/1680581/000156459020024866/fulc-ex101_13.htm" TargetMode="External"/><Relationship Id="rId185" Type="http://schemas.openxmlformats.org/officeDocument/2006/relationships/hyperlink" Target="https://www.sec.gov/Archives/edgar/data/1680581/000156459021010715/fulc-ex1016_279.htm" TargetMode="External"/><Relationship Id="rId186" Type="http://schemas.openxmlformats.org/officeDocument/2006/relationships/hyperlink" Target="https://www.sec.gov/Archives/edgar/data/0001680581/000104746919003793/a2239080zex-10_15.htm" TargetMode="External"/><Relationship Id="rId187" Type="http://schemas.openxmlformats.org/officeDocument/2006/relationships/hyperlink" Target="https://www.sec.gov/Archives/edgar/data/1680581/000156459020008951/fulc-ex1017_693.htm" TargetMode="External"/><Relationship Id="rId188" Type="http://schemas.openxmlformats.org/officeDocument/2006/relationships/hyperlink" Target="https://www.sec.gov/Archives/edgar/data/1680581/000156459020052732/fulc-ex101_12.htm" TargetMode="External"/><Relationship Id="rId189" Type="http://schemas.openxmlformats.org/officeDocument/2006/relationships/hyperlink" Target="https://www.sec.gov/Archives/edgar/data/1680581/000156459020052732/fulc-ex102_13.htm" TargetMode="External"/><Relationship Id="rId190" Type="http://schemas.openxmlformats.org/officeDocument/2006/relationships/hyperlink" Target="https://www.sec.gov/Archives/edgar/data/1680581/000119312520165696/d857108dex101.htm" TargetMode="External"/><Relationship Id="rId191" Type="http://schemas.openxmlformats.org/officeDocument/2006/relationships/hyperlink" Target="https://www.sec.gov/Archives/edgar/data/1680581/000119312520165696/d857108dex102.htm" TargetMode="External"/><Relationship Id="rId192" Type="http://schemas.openxmlformats.org/officeDocument/2006/relationships/hyperlink" Target="https://www.sec.gov/Archives/edgar/data/1680581/000156459021010715/fulc-ex211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2023-06-23T16:38:53Z</dcterms:created>
  <dcterms:modified xsi:type="dcterms:W3CDTF">2023-06-23T16:38:53Z</dcterms:modified>
</cp:coreProperties>
</file>