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Sapir Alex</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FULCRUM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LANDSDOWNE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Fulcrum Therapeutics, Inc.</w:t>
              </w:r>
            </w:hyperlink>
            <w:r>
              <w:rPr/>
              <w:t xml:space="preserve"> [ </w:t>
            </w:r>
            <w:r>
              <w:rPr>
                <w:rFonts w:ascii="Times;serif" w:hAnsi="Times;serif"/>
                <w:color w:val="0000FF"/>
                <w:sz w:val="24"/>
                <w:shd w:fill="FFFFFF" w:val="clear"/>
              </w:rPr>
              <w:t>FULC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10.72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was granted on February 2, 2026 and is scheduled to vest in equal quarterly installments over four years beginning on the vesting commencement date of January 1, 2026, subject to the reporting person's continued service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&amp; Chief Executive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 Tourangeau as attorney-in-fact for Alex Sapir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9415" TargetMode="External"/><Relationship Id="rId5" Type="http://schemas.openxmlformats.org/officeDocument/2006/relationships/hyperlink" Target="http://www.sec.gov/cgi-bin/browse-edgar?action=getcompany&amp;CIK=0001680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623</Words>
  <Characters>3390</Characters>
  <CharactersWithSpaces>3948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