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820" w:right="1580" w:hanging="3812"/>
        <w:spacing w:after="0" w:line="407" w:lineRule="auto"/>
        <w:tabs>
          <w:tab w:leader="none" w:pos="51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-418465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5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34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-7620</wp:posOffset>
            </wp:positionV>
            <wp:extent cx="1237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616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20" w:type="dxa"/>
            <w:vAlign w:val="bottom"/>
          </w:tcPr>
          <w:p>
            <w:pPr>
              <w:spacing w:after="0"/>
              <w:rPr>
                <w:sz w:val="20"/>
                <w:szCs w:val="20"/>
                <w:color w:val="auto"/>
              </w:rPr>
            </w:pPr>
          </w:p>
        </w:tc>
      </w:tr>
      <w:tr>
        <w:trPr>
          <w:trHeight w:val="94"/>
        </w:trPr>
        <w:tc>
          <w:tcPr>
            <w:tcW w:w="28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308"/>
        </w:trPr>
        <w:tc>
          <w:tcPr>
            <w:tcW w:w="616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Delaware</w:t>
            </w:r>
          </w:p>
        </w:tc>
        <w:tc>
          <w:tcPr>
            <w:tcW w:w="122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6160" w:type="dxa"/>
            <w:vAlign w:val="bottom"/>
            <w:gridSpan w:val="3"/>
          </w:tcPr>
          <w:p>
            <w:pPr>
              <w:jc w:val="center"/>
              <w:ind w:right="37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6160" w:type="dxa"/>
            <w:vAlign w:val="bottom"/>
            <w:gridSpan w:val="3"/>
          </w:tcPr>
          <w:p>
            <w:pPr>
              <w:jc w:val="center"/>
              <w:ind w:right="3760"/>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616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8"/>
              </w:rPr>
              <w:t>26 Landsdowne Street</w:t>
            </w:r>
          </w:p>
        </w:tc>
        <w:tc>
          <w:tcPr>
            <w:tcW w:w="1220" w:type="dxa"/>
            <w:vAlign w:val="bottom"/>
          </w:tcPr>
          <w:p>
            <w:pPr>
              <w:spacing w:after="0"/>
              <w:rPr>
                <w:sz w:val="18"/>
                <w:szCs w:val="18"/>
                <w:color w:val="auto"/>
              </w:rPr>
            </w:pPr>
          </w:p>
        </w:tc>
      </w:tr>
      <w:tr>
        <w:trPr>
          <w:trHeight w:val="212"/>
        </w:trPr>
        <w:tc>
          <w:tcPr>
            <w:tcW w:w="616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88"/>
              </w:rPr>
              <w:t>Cambridge, Massachusetts</w:t>
            </w:r>
          </w:p>
        </w:tc>
        <w:tc>
          <w:tcPr>
            <w:tcW w:w="122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616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Common stock, par value $0.001 per share</w:t>
            </w: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FULC</w:t>
            </w:r>
          </w:p>
        </w:tc>
        <w:tc>
          <w:tcPr>
            <w:tcW w:w="12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Nasdaq Global Market</w:t>
            </w:r>
          </w:p>
        </w:tc>
      </w:tr>
    </w:tbl>
    <w:p>
      <w:pPr>
        <w:spacing w:after="0" w:line="90" w:lineRule="exact"/>
        <w:rPr>
          <w:sz w:val="24"/>
          <w:szCs w:val="24"/>
          <w:color w:val="auto"/>
        </w:rPr>
      </w:pPr>
    </w:p>
    <w:p>
      <w:pPr>
        <w:ind w:right="80" w:firstLine="51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ind w:right="400" w:firstLine="510"/>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196" w:lineRule="exact"/>
        <w:tabs>
          <w:tab w:leader="none" w:pos="8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260" w:firstLine="51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1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5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100" w:type="dxa"/>
            <w:vAlign w:val="bottom"/>
          </w:tcPr>
          <w:p>
            <w:pPr>
              <w:spacing w:after="0"/>
              <w:rPr>
                <w:sz w:val="20"/>
                <w:szCs w:val="20"/>
                <w:color w:val="auto"/>
              </w:rPr>
            </w:pPr>
            <w:r>
              <w:rPr>
                <w:rFonts w:ascii="Arial" w:cs="Arial" w:eastAsia="Arial" w:hAnsi="Arial"/>
                <w:sz w:val="17"/>
                <w:szCs w:val="17"/>
                <w:color w:val="auto"/>
              </w:rPr>
              <w:t>Non-accelerated filer</w:t>
            </w:r>
          </w:p>
        </w:tc>
        <w:tc>
          <w:tcPr>
            <w:tcW w:w="35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1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5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88" w:lineRule="exact"/>
        <w:rPr>
          <w:sz w:val="24"/>
          <w:szCs w:val="24"/>
          <w:color w:val="auto"/>
        </w:rPr>
      </w:pPr>
    </w:p>
    <w:p>
      <w:pPr>
        <w:jc w:val="both"/>
        <w:ind w:right="20" w:firstLine="51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6" w:lineRule="exact"/>
        <w:rPr>
          <w:sz w:val="24"/>
          <w:szCs w:val="24"/>
          <w:color w:val="auto"/>
        </w:rPr>
      </w:pPr>
    </w:p>
    <w:p>
      <w:pPr>
        <w:ind w:left="520" w:right="156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8, 2020, the registrant had 23,373,212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section and include, among other things:</w:t>
      </w:r>
    </w:p>
    <w:p>
      <w:pPr>
        <w:spacing w:after="0" w:line="86"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Phase 2b and Phase 2 open label clinical trials of losmapimod;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planned Phase 1 clinical trial of FTX-6058;</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novel coronavirus, or COVID-19, pandemic on our business and operations and our future financial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and any other product candidates, including in combination with other drugs and therapies;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and our ability to submit applications for, obtain and maintain regulatory approvals for losmapimod and other product candidates;</w:t>
      </w:r>
    </w:p>
    <w:p>
      <w:pPr>
        <w:spacing w:after="0" w:line="140" w:lineRule="exact"/>
        <w:rPr>
          <w:rFonts w:ascii="Arial" w:cs="Arial" w:eastAsia="Arial" w:hAnsi="Arial"/>
          <w:sz w:val="16"/>
          <w:szCs w:val="16"/>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collaboration with Acceleron Pharma Inc.;</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225"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ind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2"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920" w:type="dxa"/>
            <w:vAlign w:val="bottom"/>
            <w:vMerge w:val="restart"/>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w:t>
              </w:r>
            </w:hyperlink>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20" w:type="dxa"/>
            <w:vAlign w:val="bottom"/>
            <w:vMerge w:val="continue"/>
          </w:tcPr>
          <w:p>
            <w:pPr>
              <w:spacing w:after="0"/>
              <w:rPr>
                <w:sz w:val="19"/>
                <w:szCs w:val="19"/>
                <w:color w:val="auto"/>
              </w:rPr>
            </w:pPr>
          </w:p>
        </w:tc>
        <w:tc>
          <w:tcPr>
            <w:tcW w:w="99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92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992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March 31, 2020 and December 31,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992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Operations and Comprehensive Loss for the three months ended March 31,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9920" w:type="dxa"/>
            <w:vAlign w:val="bottom"/>
          </w:tcPr>
          <w:p>
            <w:pPr>
              <w:ind w:left="60"/>
              <w:spacing w:after="0"/>
              <w:rPr>
                <w:rFonts w:ascii="Arial" w:cs="Arial" w:eastAsia="Arial" w:hAnsi="Arial"/>
                <w:sz w:val="18"/>
                <w:szCs w:val="18"/>
                <w:u w:val="single" w:color="auto"/>
                <w:color w:val="0000EE"/>
                <w:w w:val="90"/>
              </w:rPr>
            </w:pPr>
            <w:hyperlink w:anchor="page7">
              <w:r>
                <w:rPr>
                  <w:rFonts w:ascii="Arial" w:cs="Arial" w:eastAsia="Arial" w:hAnsi="Arial"/>
                  <w:sz w:val="18"/>
                  <w:szCs w:val="18"/>
                  <w:u w:val="single" w:color="auto"/>
                  <w:color w:val="0000EE"/>
                  <w:w w:val="90"/>
                </w:rPr>
                <w:t>Consolidated Statements of Convertible Preferred Stock and Stockholders’ Equity for the three months ended March 31,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9920" w:type="dxa"/>
            <w:vAlign w:val="bottom"/>
          </w:tcPr>
          <w:p>
            <w:pPr>
              <w:ind w:left="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for the three months ended March 31,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9920" w:type="dxa"/>
            <w:vAlign w:val="bottom"/>
          </w:tcPr>
          <w:p>
            <w:pPr>
              <w:ind w:left="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920" w:type="dxa"/>
            <w:vAlign w:val="bottom"/>
          </w:tcPr>
          <w:p>
            <w:pPr>
              <w:ind w:left="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920" w:type="dxa"/>
            <w:vAlign w:val="bottom"/>
          </w:tcPr>
          <w:p>
            <w:pPr>
              <w:ind w:left="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920" w:type="dxa"/>
            <w:vAlign w:val="bottom"/>
          </w:tcPr>
          <w:p>
            <w:pPr>
              <w:ind w:left="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20" w:type="dxa"/>
            <w:vAlign w:val="bottom"/>
          </w:tcPr>
          <w:p>
            <w:pPr>
              <w:ind w:left="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920" w:type="dxa"/>
            <w:vAlign w:val="bottom"/>
          </w:tcPr>
          <w:p>
            <w:pPr>
              <w:ind w:left="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920" w:type="dxa"/>
            <w:vAlign w:val="bottom"/>
          </w:tcPr>
          <w:p>
            <w:pPr>
              <w:ind w:left="6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920" w:type="dxa"/>
            <w:vAlign w:val="bottom"/>
          </w:tcPr>
          <w:p>
            <w:pPr>
              <w:ind w:left="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rFonts w:ascii="Arial" w:cs="Arial" w:eastAsia="Arial" w:hAnsi="Arial"/>
                <w:sz w:val="18"/>
                <w:szCs w:val="18"/>
                <w:u w:val="single" w:color="auto"/>
                <w:color w:val="0000EE"/>
                <w:w w:val="92"/>
              </w:rPr>
            </w:pPr>
            <w:hyperlink w:anchor="page78">
              <w:r>
                <w:rPr>
                  <w:rFonts w:ascii="Arial" w:cs="Arial" w:eastAsia="Arial" w:hAnsi="Arial"/>
                  <w:sz w:val="18"/>
                  <w:szCs w:val="18"/>
                  <w:u w:val="single" w:color="auto"/>
                  <w:color w:val="0000EE"/>
                  <w:w w:val="92"/>
                </w:rPr>
                <w:t>Signatures</w:t>
              </w:r>
            </w:hyperlink>
          </w:p>
        </w:tc>
        <w:tc>
          <w:tcPr>
            <w:tcW w:w="9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5"/>
        </w:trPr>
        <w:tc>
          <w:tcPr>
            <w:tcW w:w="82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25,379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96,713</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55,828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Unbilled accounts receivable</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2,791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84,323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100,083</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9,362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1,092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94,856</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110,439</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3,937</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5,219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Deferred lease incentive, current portion</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 portion</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4,557</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14,182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rent, excluding current portion</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1,590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lease incentive, excluding current portion</w:t>
            </w:r>
          </w:p>
        </w:tc>
        <w:tc>
          <w:tcPr>
            <w:tcW w:w="280" w:type="dxa"/>
            <w:vAlign w:val="bottom"/>
          </w:tcPr>
          <w:p>
            <w:pPr>
              <w:spacing w:after="0"/>
              <w:rPr>
                <w:sz w:val="19"/>
                <w:szCs w:val="19"/>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3,404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excluding current portion</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5,018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excluding current portion</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24,225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23,286</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w w:val="96"/>
              </w:rPr>
              <w:t>Preferred stock, $0.001 par value; 5,000,000 shares authorized; no shares issued or outstanding</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Common stock, $0.001 par value; 200,000,000 shares authorized; 23,363,199 and 23,335,514 shares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issued as of March 31, 2020 and December 31, 2019, respectively; 22,793,137 and 22,654,444</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outstanding as of March 31, 2020 and December 31, 2019, respectively</w:t>
            </w: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Treasury stock, at cost; no shares as of March 31, 2020 and December 31, 2019</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239,914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237,931</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(169,253)</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(150,801)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70,631</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87,153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94,856</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110,439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14,482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34,629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5,064</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19,546</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37,227</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(18,796)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(37,227)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(18,452)</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(36,843)</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Cumulative convertible preferred stock dividends</w:t>
            </w: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(18,452)</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(39,884)</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used in net loss per share attributable to common</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basic and diluted</w:t>
            </w:r>
          </w:p>
        </w:tc>
        <w:tc>
          <w:tcPr>
            <w:tcW w:w="9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22,719</w:t>
            </w:r>
          </w:p>
        </w:tc>
        <w:tc>
          <w:tcPr>
            <w:tcW w:w="16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Comprehensive loss: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(18,452)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(36,843)</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losses on marketable securities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other comprehensive loss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(18,505)</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5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Series A Convertible</w:t>
            </w:r>
          </w:p>
        </w:tc>
        <w:tc>
          <w:tcPr>
            <w:tcW w:w="1680" w:type="dxa"/>
            <w:vAlign w:val="bottom"/>
            <w:tcBorders>
              <w:right w:val="single" w:sz="8" w:color="auto"/>
            </w:tcBorders>
            <w:gridSpan w:val="4"/>
            <w:vMerge w:val="restart"/>
          </w:tcPr>
          <w:p>
            <w:pPr>
              <w:jc w:val="right"/>
              <w:ind w:right="199"/>
              <w:spacing w:after="0"/>
              <w:rPr>
                <w:sz w:val="20"/>
                <w:szCs w:val="20"/>
                <w:color w:val="auto"/>
              </w:rPr>
            </w:pPr>
            <w:r>
              <w:rPr>
                <w:rFonts w:ascii="Arial" w:cs="Arial" w:eastAsia="Arial" w:hAnsi="Arial"/>
                <w:sz w:val="14"/>
                <w:szCs w:val="14"/>
                <w:b w:val="1"/>
                <w:bCs w:val="1"/>
                <w:color w:val="auto"/>
              </w:rPr>
              <w:t>Series B Convertible</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1680" w:type="dxa"/>
            <w:vAlign w:val="bottom"/>
            <w:tcBorders>
              <w:right w:val="single" w:sz="8" w:color="auto"/>
            </w:tcBorders>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3"/>
              </w:rPr>
              <w:t>Common Stock</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0"/>
              </w:rPr>
              <w:t>Treasury Stock</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other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1680" w:type="dxa"/>
            <w:vAlign w:val="bottom"/>
            <w:tcBorders>
              <w:right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980" w:type="dxa"/>
            <w:vAlign w:val="bottom"/>
            <w:gridSpan w:val="3"/>
            <w:vMerge w:val="continue"/>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60" w:type="dxa"/>
            <w:vAlign w:val="bottom"/>
            <w:tcBorders>
              <w:top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860" w:type="dxa"/>
            <w:vAlign w:val="bottom"/>
            <w:tcBorders>
              <w:top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right w:val="single" w:sz="8" w:color="auto"/>
            </w:tcBorders>
            <w:gridSpan w:val="2"/>
          </w:tcPr>
          <w:p>
            <w:pPr>
              <w:jc w:val="right"/>
              <w:ind w:right="119"/>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90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8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8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78"/>
              </w:rPr>
              <w:t>loss</w:t>
            </w:r>
          </w:p>
        </w:tc>
        <w:tc>
          <w:tcPr>
            <w:tcW w:w="160" w:type="dxa"/>
            <w:vAlign w:val="bottom"/>
          </w:tcPr>
          <w:p>
            <w:pPr>
              <w:spacing w:after="0"/>
              <w:rPr>
                <w:sz w:val="13"/>
                <w:szCs w:val="13"/>
                <w:color w:val="auto"/>
              </w:rPr>
            </w:pPr>
          </w:p>
        </w:tc>
        <w:tc>
          <w:tcPr>
            <w:tcW w:w="8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780" w:type="dxa"/>
            <w:vAlign w:val="bottom"/>
          </w:tcPr>
          <w:p>
            <w:pPr>
              <w:jc w:val="right"/>
              <w:ind w:right="22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0"/>
        </w:trPr>
        <w:tc>
          <w:tcPr>
            <w:tcW w:w="1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w:t>
            </w:r>
          </w:p>
        </w:tc>
        <w:tc>
          <w:tcPr>
            <w:tcW w:w="8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December 31,</w:t>
            </w: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2018</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60,000,000</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5"/>
              </w:rPr>
              <w:t>59,909</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40,000,000</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79,761</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1,587,953</w:t>
            </w: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67,024</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4,452</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(68,124)</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(63,670)</w:t>
            </w:r>
          </w:p>
        </w:tc>
        <w:tc>
          <w:tcPr>
            <w:tcW w:w="0" w:type="dxa"/>
            <w:vAlign w:val="bottom"/>
          </w:tcPr>
          <w:p>
            <w:pPr>
              <w:spacing w:after="0"/>
              <w:rPr>
                <w:sz w:val="1"/>
                <w:szCs w:val="1"/>
                <w:color w:val="auto"/>
              </w:rPr>
            </w:pPr>
          </w:p>
        </w:tc>
      </w:tr>
      <w:tr>
        <w:trPr>
          <w:trHeight w:val="206"/>
        </w:trPr>
        <w:tc>
          <w:tcPr>
            <w:tcW w:w="1220" w:type="dxa"/>
            <w:vAlign w:val="bottom"/>
          </w:tcPr>
          <w:p>
            <w:pPr>
              <w:ind w:left="260"/>
              <w:spacing w:after="0"/>
              <w:rPr>
                <w:sz w:val="20"/>
                <w:szCs w:val="20"/>
                <w:color w:val="auto"/>
              </w:rPr>
            </w:pPr>
            <w:r>
              <w:rPr>
                <w:rFonts w:ascii="Arial" w:cs="Arial" w:eastAsia="Arial" w:hAnsi="Arial"/>
                <w:sz w:val="16"/>
                <w:szCs w:val="16"/>
                <w:color w:val="auto"/>
              </w:rPr>
              <w:t>Issuance of</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Series B</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convertible</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preferred</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stock in</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connection</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with asset</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acquisition,</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net of</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issuance</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260"/>
              <w:spacing w:after="0"/>
              <w:rPr>
                <w:sz w:val="20"/>
                <w:szCs w:val="20"/>
                <w:color w:val="auto"/>
              </w:rPr>
            </w:pPr>
            <w:r>
              <w:rPr>
                <w:rFonts w:ascii="Arial" w:cs="Arial" w:eastAsia="Arial" w:hAnsi="Arial"/>
                <w:sz w:val="16"/>
                <w:szCs w:val="16"/>
                <w:color w:val="auto"/>
              </w:rPr>
              <w:t>costs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7"/>
              </w:rPr>
              <w:t>12,500,000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25,466</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w:t>
            </w: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w:t>
            </w: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134,013</w:t>
            </w: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1220" w:type="dxa"/>
            <w:vAlign w:val="bottom"/>
          </w:tcPr>
          <w:p>
            <w:pPr>
              <w:ind w:left="260"/>
              <w:spacing w:after="0"/>
              <w:rPr>
                <w:sz w:val="20"/>
                <w:szCs w:val="20"/>
                <w:color w:val="auto"/>
              </w:rPr>
            </w:pPr>
            <w:r>
              <w:rPr>
                <w:rFonts w:ascii="Arial" w:cs="Arial" w:eastAsia="Arial" w:hAnsi="Arial"/>
                <w:sz w:val="16"/>
                <w:szCs w:val="16"/>
                <w:color w:val="auto"/>
              </w:rPr>
              <w:t>Repurchase</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of unvested</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restricted</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260"/>
              <w:spacing w:after="0"/>
              <w:rPr>
                <w:sz w:val="20"/>
                <w:szCs w:val="20"/>
                <w:color w:val="auto"/>
              </w:rPr>
            </w:pPr>
            <w:r>
              <w:rPr>
                <w:rFonts w:ascii="Arial" w:cs="Arial" w:eastAsia="Arial" w:hAnsi="Arial"/>
                <w:sz w:val="16"/>
                <w:szCs w:val="16"/>
                <w:color w:val="auto"/>
              </w:rPr>
              <w:t>stock awards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43,922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7"/>
              </w:rPr>
              <w:t>Retirement of</w:t>
            </w: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w:t>
            </w: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(110,946)</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220" w:type="dxa"/>
            <w:vAlign w:val="bottom"/>
          </w:tcPr>
          <w:p>
            <w:pPr>
              <w:ind w:left="260"/>
              <w:spacing w:after="0"/>
              <w:rPr>
                <w:sz w:val="20"/>
                <w:szCs w:val="20"/>
                <w:color w:val="auto"/>
              </w:rPr>
            </w:pPr>
            <w:r>
              <w:rPr>
                <w:rFonts w:ascii="Arial" w:cs="Arial" w:eastAsia="Arial" w:hAnsi="Arial"/>
                <w:sz w:val="16"/>
                <w:szCs w:val="16"/>
                <w:color w:val="auto"/>
              </w:rPr>
              <w:t>Stock-based</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w w:val="94"/>
              </w:rPr>
              <w:t>compensation</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260"/>
              <w:spacing w:after="0"/>
              <w:rPr>
                <w:sz w:val="20"/>
                <w:szCs w:val="20"/>
                <w:color w:val="auto"/>
              </w:rPr>
            </w:pPr>
            <w:r>
              <w:rPr>
                <w:rFonts w:ascii="Arial" w:cs="Arial" w:eastAsia="Arial" w:hAnsi="Arial"/>
                <w:sz w:val="16"/>
                <w:szCs w:val="16"/>
                <w:color w:val="auto"/>
              </w:rPr>
              <w:t>expense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19"/>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(36,843)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(36,843)</w:t>
            </w:r>
          </w:p>
        </w:tc>
        <w:tc>
          <w:tcPr>
            <w:tcW w:w="0" w:type="dxa"/>
            <w:vAlign w:val="bottom"/>
          </w:tcPr>
          <w:p>
            <w:pPr>
              <w:spacing w:after="0"/>
              <w:rPr>
                <w:sz w:val="1"/>
                <w:szCs w:val="1"/>
                <w:color w:val="auto"/>
              </w:rPr>
            </w:pPr>
          </w:p>
        </w:tc>
      </w:tr>
      <w:tr>
        <w:trPr>
          <w:trHeight w:val="200"/>
        </w:trPr>
        <w:tc>
          <w:tcPr>
            <w:tcW w:w="1220" w:type="dxa"/>
            <w:vAlign w:val="bottom"/>
          </w:tcPr>
          <w:p>
            <w:pPr>
              <w:spacing w:after="0"/>
              <w:rPr>
                <w:sz w:val="20"/>
                <w:szCs w:val="20"/>
                <w:color w:val="auto"/>
              </w:rPr>
            </w:pPr>
            <w:r>
              <w:rPr>
                <w:rFonts w:ascii="Arial" w:cs="Arial" w:eastAsia="Arial" w:hAnsi="Arial"/>
                <w:sz w:val="16"/>
                <w:szCs w:val="16"/>
                <w:color w:val="auto"/>
                <w:w w:val="96"/>
              </w:rPr>
              <w:t>Balance at March</w:t>
            </w: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220" w:type="dxa"/>
            <w:vAlign w:val="bottom"/>
          </w:tcPr>
          <w:p>
            <w:pPr>
              <w:spacing w:after="0"/>
              <w:rPr>
                <w:sz w:val="20"/>
                <w:szCs w:val="20"/>
                <w:color w:val="auto"/>
              </w:rPr>
            </w:pPr>
            <w:r>
              <w:rPr>
                <w:rFonts w:ascii="Arial" w:cs="Arial" w:eastAsia="Arial" w:hAnsi="Arial"/>
                <w:sz w:val="16"/>
                <w:szCs w:val="16"/>
                <w:color w:val="auto"/>
              </w:rPr>
              <w:t>31, 2019</w:t>
            </w:r>
          </w:p>
        </w:tc>
        <w:tc>
          <w:tcPr>
            <w:tcW w:w="860" w:type="dxa"/>
            <w:vAlign w:val="bottom"/>
          </w:tcPr>
          <w:p>
            <w:pPr>
              <w:jc w:val="right"/>
              <w:spacing w:after="0"/>
              <w:rPr>
                <w:sz w:val="20"/>
                <w:szCs w:val="20"/>
                <w:color w:val="auto"/>
              </w:rPr>
            </w:pPr>
            <w:r>
              <w:rPr>
                <w:rFonts w:ascii="Arial" w:cs="Arial" w:eastAsia="Arial" w:hAnsi="Arial"/>
                <w:sz w:val="16"/>
                <w:szCs w:val="16"/>
                <w:color w:val="auto"/>
                <w:w w:val="94"/>
              </w:rPr>
              <w:t>60,000,000</w:t>
            </w:r>
          </w:p>
        </w:tc>
        <w:tc>
          <w:tcPr>
            <w:tcW w:w="140" w:type="dxa"/>
            <w:vAlign w:val="bottom"/>
            <w:gridSpan w:val="2"/>
          </w:tcPr>
          <w:p>
            <w:pPr>
              <w:ind w:left="40"/>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5"/>
              </w:rPr>
              <w:t>59,909</w:t>
            </w:r>
          </w:p>
        </w:tc>
        <w:tc>
          <w:tcPr>
            <w:tcW w:w="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52,500,000</w:t>
            </w:r>
          </w:p>
        </w:tc>
        <w:tc>
          <w:tcPr>
            <w:tcW w:w="1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105,227</w:t>
            </w:r>
          </w:p>
        </w:tc>
        <w:tc>
          <w:tcPr>
            <w:tcW w:w="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1,721,966</w:t>
            </w:r>
          </w:p>
        </w:tc>
        <w:tc>
          <w:tcPr>
            <w:tcW w:w="4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5,278</w:t>
            </w:r>
          </w:p>
        </w:tc>
        <w:tc>
          <w:tcPr>
            <w:tcW w:w="6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(104,967)</w:t>
            </w:r>
          </w:p>
        </w:tc>
        <w:tc>
          <w:tcPr>
            <w:tcW w:w="6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(99,687)</w:t>
            </w:r>
          </w:p>
        </w:tc>
        <w:tc>
          <w:tcPr>
            <w:tcW w:w="0" w:type="dxa"/>
            <w:vAlign w:val="bottom"/>
          </w:tcPr>
          <w:p>
            <w:pPr>
              <w:spacing w:after="0"/>
              <w:rPr>
                <w:sz w:val="1"/>
                <w:szCs w:val="1"/>
                <w:color w:val="auto"/>
              </w:rPr>
            </w:pPr>
          </w:p>
        </w:tc>
      </w:tr>
      <w:tr>
        <w:trPr>
          <w:trHeight w:val="190"/>
        </w:trPr>
        <w:tc>
          <w:tcPr>
            <w:tcW w:w="1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w:t>
            </w:r>
          </w:p>
        </w:tc>
        <w:tc>
          <w:tcPr>
            <w:tcW w:w="86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right w:val="single" w:sz="8" w:color="auto"/>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December 31,</w:t>
            </w: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22,654,444</w:t>
            </w: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23</w:t>
            </w:r>
          </w:p>
        </w:tc>
        <w:tc>
          <w:tcPr>
            <w:tcW w:w="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237,931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(150,801)</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87,153</w:t>
            </w:r>
          </w:p>
        </w:tc>
        <w:tc>
          <w:tcPr>
            <w:tcW w:w="0" w:type="dxa"/>
            <w:vAlign w:val="bottom"/>
          </w:tcPr>
          <w:p>
            <w:pPr>
              <w:spacing w:after="0"/>
              <w:rPr>
                <w:sz w:val="1"/>
                <w:szCs w:val="1"/>
                <w:color w:val="auto"/>
              </w:rPr>
            </w:pPr>
          </w:p>
        </w:tc>
      </w:tr>
      <w:tr>
        <w:trPr>
          <w:trHeight w:val="206"/>
        </w:trPr>
        <w:tc>
          <w:tcPr>
            <w:tcW w:w="1220" w:type="dxa"/>
            <w:vAlign w:val="bottom"/>
          </w:tcPr>
          <w:p>
            <w:pPr>
              <w:ind w:left="260"/>
              <w:spacing w:after="0"/>
              <w:rPr>
                <w:sz w:val="20"/>
                <w:szCs w:val="20"/>
                <w:color w:val="auto"/>
              </w:rPr>
            </w:pPr>
            <w:r>
              <w:rPr>
                <w:rFonts w:ascii="Arial" w:cs="Arial" w:eastAsia="Arial" w:hAnsi="Arial"/>
                <w:sz w:val="16"/>
                <w:szCs w:val="16"/>
                <w:color w:val="auto"/>
              </w:rPr>
              <w:t>Issuance of</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common</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260"/>
              <w:spacing w:after="0"/>
              <w:rPr>
                <w:sz w:val="20"/>
                <w:szCs w:val="20"/>
                <w:color w:val="auto"/>
              </w:rPr>
            </w:pPr>
            <w:r>
              <w:rPr>
                <w:rFonts w:ascii="Arial" w:cs="Arial" w:eastAsia="Arial" w:hAnsi="Arial"/>
                <w:sz w:val="16"/>
                <w:szCs w:val="16"/>
                <w:color w:val="auto"/>
              </w:rPr>
              <w:t>stock</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138,693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9"/>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w:t>
            </w: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 unvested</w:t>
            </w: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w:t>
            </w: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awards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8,787</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220" w:type="dxa"/>
            <w:vAlign w:val="bottom"/>
          </w:tcPr>
          <w:p>
            <w:pPr>
              <w:ind w:left="260"/>
              <w:spacing w:after="0"/>
              <w:rPr>
                <w:sz w:val="20"/>
                <w:szCs w:val="20"/>
                <w:color w:val="auto"/>
              </w:rPr>
            </w:pPr>
            <w:r>
              <w:rPr>
                <w:rFonts w:ascii="Arial" w:cs="Arial" w:eastAsia="Arial" w:hAnsi="Arial"/>
                <w:sz w:val="16"/>
                <w:szCs w:val="16"/>
                <w:color w:val="auto"/>
                <w:w w:val="97"/>
              </w:rPr>
              <w:t>Retirement of</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treasury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260"/>
              <w:spacing w:after="0"/>
              <w:rPr>
                <w:sz w:val="20"/>
                <w:szCs w:val="20"/>
                <w:color w:val="auto"/>
              </w:rPr>
            </w:pPr>
            <w:r>
              <w:rPr>
                <w:rFonts w:ascii="Arial" w:cs="Arial" w:eastAsia="Arial" w:hAnsi="Arial"/>
                <w:sz w:val="16"/>
                <w:szCs w:val="16"/>
                <w:color w:val="auto"/>
              </w:rPr>
              <w:t>shares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w:t>
            </w: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4"/>
              </w:rPr>
              <w:t>compensation</w:t>
            </w: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expense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06"/>
        </w:trPr>
        <w:tc>
          <w:tcPr>
            <w:tcW w:w="1220" w:type="dxa"/>
            <w:vAlign w:val="bottom"/>
          </w:tcPr>
          <w:p>
            <w:pPr>
              <w:ind w:left="260"/>
              <w:spacing w:after="0"/>
              <w:rPr>
                <w:sz w:val="20"/>
                <w:szCs w:val="20"/>
                <w:color w:val="auto"/>
              </w:rPr>
            </w:pPr>
            <w:r>
              <w:rPr>
                <w:rFonts w:ascii="Arial" w:cs="Arial" w:eastAsia="Arial" w:hAnsi="Arial"/>
                <w:sz w:val="16"/>
                <w:szCs w:val="16"/>
                <w:color w:val="auto"/>
              </w:rPr>
              <w:t>Unrealized</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loss on</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60"/>
              <w:spacing w:after="0"/>
              <w:rPr>
                <w:sz w:val="20"/>
                <w:szCs w:val="20"/>
                <w:color w:val="auto"/>
              </w:rPr>
            </w:pPr>
            <w:r>
              <w:rPr>
                <w:rFonts w:ascii="Arial" w:cs="Arial" w:eastAsia="Arial" w:hAnsi="Arial"/>
                <w:sz w:val="16"/>
                <w:szCs w:val="16"/>
                <w:color w:val="auto"/>
              </w:rPr>
              <w:t>marketable</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260"/>
              <w:spacing w:after="0"/>
              <w:rPr>
                <w:sz w:val="20"/>
                <w:szCs w:val="20"/>
                <w:color w:val="auto"/>
              </w:rPr>
            </w:pPr>
            <w:r>
              <w:rPr>
                <w:rFonts w:ascii="Arial" w:cs="Arial" w:eastAsia="Arial" w:hAnsi="Arial"/>
                <w:sz w:val="16"/>
                <w:szCs w:val="16"/>
                <w:color w:val="auto"/>
              </w:rPr>
              <w:t>securities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1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9"/>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(18,452)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(18,452)</w:t>
            </w:r>
          </w:p>
        </w:tc>
        <w:tc>
          <w:tcPr>
            <w:tcW w:w="0" w:type="dxa"/>
            <w:vAlign w:val="bottom"/>
          </w:tcPr>
          <w:p>
            <w:pPr>
              <w:spacing w:after="0"/>
              <w:rPr>
                <w:sz w:val="1"/>
                <w:szCs w:val="1"/>
                <w:color w:val="auto"/>
              </w:rPr>
            </w:pPr>
          </w:p>
        </w:tc>
      </w:tr>
      <w:tr>
        <w:trPr>
          <w:trHeight w:val="200"/>
        </w:trPr>
        <w:tc>
          <w:tcPr>
            <w:tcW w:w="1220" w:type="dxa"/>
            <w:vAlign w:val="bottom"/>
          </w:tcPr>
          <w:p>
            <w:pPr>
              <w:spacing w:after="0"/>
              <w:rPr>
                <w:sz w:val="20"/>
                <w:szCs w:val="20"/>
                <w:color w:val="auto"/>
              </w:rPr>
            </w:pPr>
            <w:r>
              <w:rPr>
                <w:rFonts w:ascii="Arial" w:cs="Arial" w:eastAsia="Arial" w:hAnsi="Arial"/>
                <w:sz w:val="16"/>
                <w:szCs w:val="16"/>
                <w:color w:val="auto"/>
                <w:w w:val="96"/>
              </w:rPr>
              <w:t>Balance at March</w:t>
            </w: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20"/>
                <w:szCs w:val="20"/>
                <w:color w:val="auto"/>
              </w:rPr>
            </w:pPr>
            <w:r>
              <w:rPr>
                <w:rFonts w:ascii="Arial" w:cs="Arial" w:eastAsia="Arial" w:hAnsi="Arial"/>
                <w:sz w:val="16"/>
                <w:szCs w:val="16"/>
                <w:color w:val="auto"/>
              </w:rPr>
              <w:t>31, 2020</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4"/>
              </w:rPr>
              <w:t>22,793,137</w:t>
            </w:r>
          </w:p>
        </w:tc>
        <w:tc>
          <w:tcPr>
            <w:tcW w:w="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23</w:t>
            </w: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239,914</w:t>
            </w:r>
          </w:p>
        </w:tc>
        <w:tc>
          <w:tcPr>
            <w:tcW w:w="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(169,253)</w:t>
            </w:r>
          </w:p>
        </w:tc>
        <w:tc>
          <w:tcPr>
            <w:tcW w:w="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70,631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jc w:val="center"/>
        <w:ind w:left="76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82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(18,452)</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(36,843)</w:t>
            </w:r>
          </w:p>
        </w:tc>
      </w:tr>
      <w:tr>
        <w:trPr>
          <w:trHeight w:val="22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9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504</w:t>
            </w: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1,693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821</w:t>
            </w:r>
          </w:p>
        </w:tc>
      </w:tr>
      <w:tr>
        <w:trPr>
          <w:trHeight w:val="229"/>
        </w:trPr>
        <w:tc>
          <w:tcPr>
            <w:tcW w:w="7820" w:type="dxa"/>
            <w:vAlign w:val="bottom"/>
          </w:tcPr>
          <w:p>
            <w:pPr>
              <w:ind w:left="260"/>
              <w:spacing w:after="0"/>
              <w:rPr>
                <w:sz w:val="20"/>
                <w:szCs w:val="20"/>
                <w:color w:val="auto"/>
              </w:rPr>
            </w:pPr>
            <w:r>
              <w:rPr>
                <w:rFonts w:ascii="Arial" w:cs="Arial" w:eastAsia="Arial" w:hAnsi="Arial"/>
                <w:sz w:val="18"/>
                <w:szCs w:val="18"/>
                <w:color w:val="auto"/>
              </w:rPr>
              <w:t>In-process research and development expenses</w:t>
            </w:r>
          </w:p>
        </w:tc>
        <w:tc>
          <w:tcPr>
            <w:tcW w:w="9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25,591</w:t>
            </w: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amortization of premiums and discounts on marketable securities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Unbilled accounts receivable</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1,233</w:t>
            </w:r>
          </w:p>
        </w:tc>
      </w:tr>
      <w:tr>
        <w:trPr>
          <w:trHeight w:val="229"/>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r>
      <w:tr>
        <w:trPr>
          <w:trHeight w:val="229"/>
        </w:trPr>
        <w:tc>
          <w:tcPr>
            <w:tcW w:w="78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 and deferred lease incentive</w:t>
            </w:r>
          </w:p>
        </w:tc>
        <w:tc>
          <w:tcPr>
            <w:tcW w:w="9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(15,204)</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(9,897)</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82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(55,837)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Maturities of marketable securities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associated with asset acquisition</w:t>
            </w:r>
          </w:p>
        </w:tc>
        <w:tc>
          <w:tcPr>
            <w:tcW w:w="9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(56,404)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Issuance costs associated with issuance of Series B convertible preferred stock</w:t>
            </w:r>
          </w:p>
        </w:tc>
        <w:tc>
          <w:tcPr>
            <w:tcW w:w="9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Principal payments on capital lease obligations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issuance of common stock under benefit plans, net</w:t>
            </w:r>
          </w:p>
        </w:tc>
        <w:tc>
          <w:tcPr>
            <w:tcW w:w="9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286</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9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(71,334)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(10,345)</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97,805</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73,889</w:t>
            </w:r>
          </w:p>
        </w:tc>
      </w:tr>
      <w:tr>
        <w:trPr>
          <w:trHeight w:val="26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26,471</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63,544</w:t>
            </w: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9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2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Acquisition of in process research and development through issuance of stock</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25,500</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purchases unpaid at end of period</w:t>
            </w: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163</w:t>
            </w:r>
          </w:p>
        </w:tc>
        <w:tc>
          <w:tcPr>
            <w:tcW w:w="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Public offering costs unpaid at end of period</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301</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190</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reconciliation of the cash, cash equivalents, and restricted cash balances as of each of the periods shown above: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400" w:type="dxa"/>
            <w:vAlign w:val="bottom"/>
          </w:tcPr>
          <w:p>
            <w:pPr>
              <w:jc w:val="right"/>
              <w:ind w:right="517"/>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25,379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62,452</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1,092</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1,092</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26,471</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63,544</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rare diseases in areas of high unmet medical need.</w:t>
      </w:r>
    </w:p>
    <w:p>
      <w:pPr>
        <w:spacing w:after="0" w:line="170"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5"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March 31, 2020 and the results of its operations and its cash flows for the three months ended March 31, 2020 and 2019. The results for the three months ended March 31, 2020 are not necessarily indicative of results to be expected for the year ending December 31, 2020, any other interim periods, or any future year or period. These consolidated financial statements should be read in conjunction with the Company’s audited consolidated financial statements and the notes thereto for the year ended December 31, 2019 included in the Company’s Annual Report on Form 10-K filed with the Securities and Exchange Commission (the “SEC”) on March 5, 2020 (the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On July 22, 2019, the Company completed an initial public offering (“IPO”) of its common stock and issued and sold 4,500,000 shares of common stock at a public offering price of $16.00 per share, resulting in net proceeds of $63.9 million after deducting underwriting discounts and commissions and estimated offering expenses. Upon the closing of the IPO, all 112,500,000 shares of outstanding preferred stock automatically converted into 16,071,418 shares of common stock.</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July 5, 2019, in connection with the IPO, the Company effected a one-for-seven reverse stock split of the Company’s issued and outstanding shares of common stock and a proportional adjustment to the existing conversion ratios for each of the Company’s outstanding series of preferred stock. All share and per share amounts in the accompanying consolidated financial statements and notes thereto for periods prior to the reverse stock split have been retroactively adjusted to give effect to this reverse stock split, including reclassifying an amount equal to the reduction in par value of common stock to additional paid-in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The Company has incurred recurring losses and negative cash flows from operations since inception and has primarily funded its operations with proceeds from the IPO, issuances of convertible notes and convertible preferred stock, and an upfront payment received from its collaboration and license agreement (the “Acceleron Collaboration Agreement”) with Acceleron Pharma Inc. (“Acceleron”). As of March 31, 2020, the Company had an accumulated deficit of $169.3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260" w:firstLine="510"/>
        <w:spacing w:after="0" w:line="293" w:lineRule="auto"/>
        <w:rPr>
          <w:sz w:val="20"/>
          <w:szCs w:val="20"/>
          <w:color w:val="auto"/>
        </w:rPr>
      </w:pPr>
      <w:r>
        <w:rPr>
          <w:rFonts w:ascii="Arial" w:cs="Arial" w:eastAsia="Arial" w:hAnsi="Arial"/>
          <w:sz w:val="16"/>
          <w:szCs w:val="16"/>
          <w:color w:val="auto"/>
        </w:rPr>
        <w:t>As of the date of issuance of these financial statements, the Company expects that its cash, cash equivalents, and marketable securities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2019 included in the Company’s Annual Report on Form 10-K. There have been no material changes in the Company’s significant accounting policies during the three months ended March 31, 2020, except as noted below with respect to the Company’s accounting policies related to marketable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the fair value of the common stock and convertible preferred stock prior to the completion of the Company’s IPO,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0"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2"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cash equivalents and marketable securities are carried at fair value and are classified according to the fair value hierarchy described above (see Note 3). The cash equivalents and marketable securities are initially valued at the transaction price, and subsequently revalued at the end of each reporting period, utilizing third-party pricing services. The pricing services utilize industry standard valuation models, including both income and market based approaches, to determine fair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Company classifies marketable securities with a remaining maturity when purchased of greater than three months as marketable securities. As of March 31, 2020, the Company’s marketable securities consisted of investments in U.S. Treasury securities, corporate bonds, and commercial paper. Marketable securities are classified as current assets on the consolidated balance sheets if the marketable securities are available to be converted into cash to fund current operations.</w:t>
      </w:r>
    </w:p>
    <w:p>
      <w:pPr>
        <w:spacing w:after="0" w:line="18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Marketable securities are carried at fair value with the unrealized gains and losses included in accumulated other comprehensive loss, which is a component of stockholders’ equity, until such gains and losses are realized. Any premium arising at purchase is amortized to interest expense over the period of the earliest call date, and any discount arising at purchase is accreted to interest income over the life of the instrument. Realized gains and losses are determined using the specific identification method and are included in other income, net.</w:t>
      </w:r>
    </w:p>
    <w:p>
      <w:pPr>
        <w:spacing w:after="0" w:line="18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primarily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6"/>
          <w:szCs w:val="16"/>
          <w:color w:val="auto"/>
        </w:rPr>
        <w:t xml:space="preserve">In March 2017, the FASB issued ASU No. 2017-08, </w:t>
      </w:r>
      <w:r>
        <w:rPr>
          <w:rFonts w:ascii="Arial" w:cs="Arial" w:eastAsia="Arial" w:hAnsi="Arial"/>
          <w:sz w:val="16"/>
          <w:szCs w:val="16"/>
          <w:i w:val="1"/>
          <w:iCs w:val="1"/>
          <w:color w:val="auto"/>
        </w:rPr>
        <w:t>Receivables - Nonrefundable Fees and Other Costs (Subtopic 310-20): Premium Amortization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Purchased Callable Debt Securities </w:t>
      </w:r>
      <w:r>
        <w:rPr>
          <w:rFonts w:ascii="Arial" w:cs="Arial" w:eastAsia="Arial" w:hAnsi="Arial"/>
          <w:sz w:val="16"/>
          <w:szCs w:val="16"/>
          <w:color w:val="auto"/>
        </w:rPr>
        <w:t>(“ASU 2017-08”). This standard amends the amortization period for certain purchased callable debt securities held</w:t>
      </w:r>
      <w:r>
        <w:rPr>
          <w:rFonts w:ascii="Arial" w:cs="Arial" w:eastAsia="Arial" w:hAnsi="Arial"/>
          <w:sz w:val="16"/>
          <w:szCs w:val="16"/>
          <w:i w:val="1"/>
          <w:iCs w:val="1"/>
          <w:color w:val="auto"/>
        </w:rPr>
        <w:t xml:space="preserve"> </w:t>
      </w:r>
      <w:r>
        <w:rPr>
          <w:rFonts w:ascii="Arial" w:cs="Arial" w:eastAsia="Arial" w:hAnsi="Arial"/>
          <w:sz w:val="16"/>
          <w:szCs w:val="16"/>
          <w:color w:val="auto"/>
        </w:rPr>
        <w:t>at a premium by shortening the amortization period to the earliest call date. The new standard became effective for the Company on January 1, 2020. The adoption of this standard did not have a material impact on the Company’s consolidated financial statements or footnote disclosures.</w:t>
      </w:r>
    </w:p>
    <w:p>
      <w:pPr>
        <w:spacing w:after="0" w:line="15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 2017-11”). Part I of the standard applies to entities that issue financial instruments such as warrants, convertible debt 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that contain down-round features. Part II of the standard replaces the indefinite deferral for certain mandatorily redeemable noncontrolling interests and mandatorily redeemable financial instruments of nonpublic entities contained within ASC 480 with a scope exception and does not impact the accounting for these mandatorily redeemable instruments. The new standard became effective for the Company on January 1, 2020 under the extended transition period. The adoption of this standard did not have a material impact on the Company’s consolidated financial statements or footnote disclosures.</w:t>
      </w:r>
    </w:p>
    <w:p>
      <w:pPr>
        <w:spacing w:after="0" w:line="16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 Clarifying the Interaction between Topic 808 and</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The standard clarifies that certain transactions between collaborative arrangement participants should be accounted for as revenue under ASC</w:t>
      </w:r>
      <w:r>
        <w:rPr>
          <w:rFonts w:ascii="Arial" w:cs="Arial" w:eastAsia="Arial" w:hAnsi="Arial"/>
          <w:sz w:val="16"/>
          <w:szCs w:val="16"/>
          <w:i w:val="1"/>
          <w:iCs w:val="1"/>
          <w:color w:val="auto"/>
        </w:rPr>
        <w:t xml:space="preserve"> </w:t>
      </w:r>
      <w:r>
        <w:rPr>
          <w:rFonts w:ascii="Arial" w:cs="Arial" w:eastAsia="Arial" w:hAnsi="Arial"/>
          <w:sz w:val="16"/>
          <w:szCs w:val="16"/>
          <w:color w:val="auto"/>
        </w:rPr>
        <w:t>606 when the collaborative arrangement participant is a customer in the context of a unit of account. The standard amends ASC 808 to refer to the unit-of-account guidance in ASC 606 and requires it to be used only when assessing whether a transaction is in the scope of ASC 606 when an entity is assessing whether the collaborative arrangement or a part of the arrangement is within the scope of ASC 606. The standard 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 The new standard became effective for the Company on January 1, 2020. The adoption of this standard did not have a material impact on the Company’s consolidated financial statements or footnote disclosures.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permits entities to continue applying legacy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including its disclosure requirements, in the comparative periods presented in the year that the entity adopts the new leasing standard. In November 2019, the FASB deferred the effective date of ASU 2018-11 for private companies to fiscal years beginning after December 15, 2020. The new standard will become effective for the Company on January 1, 2021.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standard requires that credit losses be reported using an expected losses model rather than the incurred losses model</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xml:space="preserve"> (“ASU 2019-12”).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March 31, 2020 and December 31, 2019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9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20,585</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20,585</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4,794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4,794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23,302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23,302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28,484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28,484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81,207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20,585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60,622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63"/>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rPr>
              <w:t>Fair Value Measurements at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9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96,713</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96,713</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96,713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96,713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three months ended March 31, 2020.</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Marketable securities consisted of the following as of March 31, 2020 (in thousands):</w:t>
      </w:r>
    </w:p>
    <w:p>
      <w:pPr>
        <w:spacing w:after="0" w:line="257"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Fair Value Measurements at</w:t>
      </w:r>
    </w:p>
    <w:p>
      <w:pPr>
        <w:jc w:val="center"/>
        <w:ind w:left="5700"/>
        <w:spacing w:after="0" w:line="236" w:lineRule="auto"/>
        <w:rPr>
          <w:sz w:val="20"/>
          <w:szCs w:val="20"/>
          <w:color w:val="auto"/>
        </w:rPr>
      </w:pPr>
      <w:r>
        <w:rPr>
          <w:rFonts w:ascii="Arial" w:cs="Arial" w:eastAsia="Arial" w:hAnsi="Arial"/>
          <w:sz w:val="14"/>
          <w:szCs w:val="14"/>
          <w:b w:val="1"/>
          <w:bCs w:val="1"/>
          <w:color w:val="auto"/>
        </w:rPr>
        <w:t>March 31, 2020</w:t>
      </w:r>
    </w:p>
    <w:tbl>
      <w:tblPr>
        <w:tblLayout w:type="fixed"/>
        <w:tblInd w:w="0" w:type="dxa"/>
        <w:tblCellMar>
          <w:top w:w="0" w:type="dxa"/>
          <w:left w:w="0" w:type="dxa"/>
          <w:bottom w:w="0" w:type="dxa"/>
          <w:right w:w="0" w:type="dxa"/>
        </w:tblCellMar>
      </w:tblPr>
      <w:tr>
        <w:trPr>
          <w:trHeight w:val="133"/>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20,585</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20,585</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4,794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23"/>
        </w:trPr>
        <w:tc>
          <w:tcPr>
            <w:tcW w:w="5840" w:type="dxa"/>
            <w:vAlign w:val="bottom"/>
          </w:tcPr>
          <w:p>
            <w:pPr>
              <w:ind w:left="50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25,379</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25,379</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4,017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23,380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23,302</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28,484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28,484</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55,881</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55,828</w:t>
            </w:r>
          </w:p>
        </w:tc>
        <w:tc>
          <w:tcPr>
            <w:tcW w:w="0" w:type="dxa"/>
            <w:vAlign w:val="bottom"/>
          </w:tcPr>
          <w:p>
            <w:pPr>
              <w:spacing w:after="0"/>
              <w:rPr>
                <w:sz w:val="1"/>
                <w:szCs w:val="1"/>
                <w:color w:val="auto"/>
              </w:rPr>
            </w:pPr>
          </w:p>
        </w:tc>
      </w:tr>
      <w:tr>
        <w:trPr>
          <w:trHeight w:val="223"/>
        </w:trPr>
        <w:tc>
          <w:tcPr>
            <w:tcW w:w="5840" w:type="dxa"/>
            <w:vAlign w:val="bottom"/>
          </w:tcPr>
          <w:p>
            <w:pPr>
              <w:ind w:left="500"/>
              <w:spacing w:after="0"/>
              <w:rPr>
                <w:sz w:val="20"/>
                <w:szCs w:val="20"/>
                <w:color w:val="auto"/>
              </w:rPr>
            </w:pPr>
            <w:r>
              <w:rPr>
                <w:rFonts w:ascii="Arial" w:cs="Arial" w:eastAsia="Arial" w:hAnsi="Arial"/>
                <w:sz w:val="18"/>
                <w:szCs w:val="18"/>
                <w:color w:val="auto"/>
              </w:rPr>
              <w:t>Total cash equivalents and marketable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81,260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81,207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hold any marketable securities as of December 31, 2019.</w:t>
      </w:r>
    </w:p>
    <w:p>
      <w:pPr>
        <w:spacing w:after="0" w:line="225"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There were no sales of marketable securities during the three months ended March 31, 2020. As of March 31, 2020, the aggregate fair value of securities that were in an unrealized loss position for less than twelve months was $21.8 million. As of March 31, 2020, no securities were in an unrealized loss position for more than twelve months. The Company determined that it did not hold any securities with any other-than-temporary impairment as of March 31, 2020. As of March 31, 2020, the remaining contractual maturity of all of the Company’s marketable securities is less than one year.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6,327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5,710</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548</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512</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90</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6,210</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13,703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13,152</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9,362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9,205</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for each of the three months ended March 31, 2020 and 2019 was $0.5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35"/>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86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2,796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89"/>
              </w:rPr>
              <w:t>Prepaid sign-on bonuses subject to vesting provisions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Total prepaid expenses and other current assets</w:t>
            </w:r>
          </w:p>
        </w:tc>
        <w:tc>
          <w:tcPr>
            <w:tcW w:w="15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3,370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00" w:type="dxa"/>
            <w:vAlign w:val="bottom"/>
            <w:vMerge w:val="restart"/>
          </w:tcPr>
          <w:p>
            <w:pPr>
              <w:jc w:val="right"/>
              <w:ind w:right="1310"/>
              <w:spacing w:after="0"/>
              <w:rPr>
                <w:sz w:val="20"/>
                <w:szCs w:val="20"/>
                <w:color w:val="auto"/>
              </w:rPr>
            </w:pPr>
            <w:r>
              <w:rPr>
                <w:rFonts w:ascii="Arial" w:cs="Arial" w:eastAsia="Arial" w:hAnsi="Arial"/>
                <w:sz w:val="18"/>
                <w:szCs w:val="18"/>
                <w:color w:val="auto"/>
                <w:w w:val="79"/>
              </w:rPr>
              <w:t>9</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2,250</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Payroll and benefits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2,239</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891</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liability, current portion</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17</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w:t>
            </w: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5,496</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12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As of March 31, 2020 and December 31, 2019, 5,000,000 shares of preferred stock were authorized. No shares of preferred stock were issued or outstanding as of March 31, 2020 and December 31, 2019.</w:t>
      </w:r>
    </w:p>
    <w:p>
      <w:pPr>
        <w:spacing w:after="0" w:line="170" w:lineRule="exact"/>
        <w:rPr>
          <w:sz w:val="20"/>
          <w:szCs w:val="20"/>
          <w:color w:val="auto"/>
        </w:rPr>
      </w:pPr>
    </w:p>
    <w:p>
      <w:pPr>
        <w:ind w:right="540" w:firstLine="510"/>
        <w:spacing w:after="0" w:line="259" w:lineRule="auto"/>
        <w:rPr>
          <w:sz w:val="20"/>
          <w:szCs w:val="20"/>
          <w:color w:val="auto"/>
        </w:rPr>
      </w:pPr>
      <w:r>
        <w:rPr>
          <w:rFonts w:ascii="Arial" w:cs="Arial" w:eastAsia="Arial" w:hAnsi="Arial"/>
          <w:sz w:val="18"/>
          <w:szCs w:val="18"/>
          <w:color w:val="auto"/>
        </w:rPr>
        <w:t>During the three months ended March 31, 2019, the Company issued 12,500,000 shares of Series B convertible preferred stock (the “Series B Preferred Stock”) in connection with the GSK Agreement (Note 11). The rights, privileges, and preferences of the Series B Preferred Stock issued in connection with the GSK Agreement were consistent with the rights, privileges, and preferences of the Series B Preferred Stock issued during prior periods.</w:t>
      </w:r>
    </w:p>
    <w:p>
      <w:pPr>
        <w:spacing w:after="0" w:line="187"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On July 5, 2019, the Company eliminated the gross proceeds threshold of $45.0 million for a firm-commitment underwritten public offering that would result in the automatic conversion of all outstanding shares Series A convertible preferred stock and Series B Preferred Stock (together with the Series A convertible preferred stock, the “Preferred Stock”).</w:t>
      </w:r>
    </w:p>
    <w:p>
      <w:pPr>
        <w:spacing w:after="0" w:line="184"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Upon the completion of the IPO on July 22, 2019, all 112,500,000 shares of outstanding Preferred Stock automatically converted into 16,071,418 shares of common stock. In addition, upon the completion of the IPO, the Company amended and restated its certificate of incorporation to authorize 5,000,000 shares of preferred stock, which shares of preferred stock are currently undesignated.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As of March 31, 2020 and December 31, 2019, the Company’s restated certificate of incorporation authorized the Company to issue 200,000,000 shares of common stock, $0.001 par value per share.</w:t>
      </w:r>
    </w:p>
    <w:p>
      <w:pPr>
        <w:spacing w:after="0" w:line="170"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2020 and December 31, 2019 the Company has reserved for future issuance the following number of shares of common stock:</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16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66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2,832,467</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2,023,828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1,963,790</w:t>
            </w:r>
          </w:p>
        </w:tc>
        <w:tc>
          <w:tcPr>
            <w:tcW w:w="14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1,866,694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Purchase Plan</w:t>
            </w:r>
          </w:p>
        </w:tc>
        <w:tc>
          <w:tcPr>
            <w:tcW w:w="176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485,497</w:t>
            </w:r>
          </w:p>
        </w:tc>
        <w:tc>
          <w:tcPr>
            <w:tcW w:w="140" w:type="dxa"/>
            <w:vAlign w:val="bottom"/>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252,142</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5,281,754</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4,142,664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60" w:type="dxa"/>
            <w:vAlign w:val="bottom"/>
            <w:vMerge w:val="restart"/>
          </w:tcPr>
          <w:p>
            <w:pPr>
              <w:jc w:val="right"/>
              <w:ind w:right="1310"/>
              <w:spacing w:after="0"/>
              <w:rPr>
                <w:sz w:val="20"/>
                <w:szCs w:val="20"/>
                <w:color w:val="auto"/>
              </w:rPr>
            </w:pPr>
            <w:r>
              <w:rPr>
                <w:rFonts w:ascii="Arial" w:cs="Arial" w:eastAsia="Arial" w:hAnsi="Arial"/>
                <w:sz w:val="18"/>
                <w:szCs w:val="18"/>
                <w:color w:val="auto"/>
              </w:rPr>
              <w:t>10</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117"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March 31, 2020, no shares remained available for future issuance under the 2016 Plan. Any options or awards outstanding under the 2016 Plan remain outstanding and 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is 2,017,142 shares, plus the shares of common stock remaining available for issuance under the 2016 Plan as of July 17, 2019. The number of shares reserved shall be annually increased on January 1, 2020 and each January 1 thereafter through January 1, 2029 by the least of (i) 2,000,000 shares, (ii) 4% of the number of shares of the Company’s common stock outstanding on the first day of each such year or (iii) an amount determined by the Company’s board of directors. On January 1, 2020, the number of shares reserved for issuance under the 2019 Plan was increased by 933,420 shares. As of March 31, 2020, there were 1,963,790 shares available for future issuance under the 2019 Plan.</w:t>
      </w:r>
    </w:p>
    <w:p>
      <w:pPr>
        <w:spacing w:after="0" w:line="178"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For financial reporting purposes, the Company performed common stock valuations with the assistance of a third-party specialist as of May 10, 2019, March 15, 2019, November 30, 2018, August 24, 2018, June 1, 2018, December 31, 2017, and December 31, 2016 to determine stock-based compensation expense for restricted stock awards and stock options. Upon completion of the IPO, the fair value of the common stock on the grant date was based on the closing price of the stock on the Nasdaq Global Market on the date of grant.</w:t>
      </w:r>
    </w:p>
    <w:p>
      <w:pPr>
        <w:spacing w:after="0" w:line="187"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The Company may repurchase unvested shares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8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shares of common stock underlying restricted stock awards typically vest over a four-year period. The shares of common stock are recorded in stockholders’ equity as they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stock activity under the 2019 Plan and 2016 Plan since December 31,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Date Fair</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080" w:type="dxa"/>
            <w:vAlign w:val="bottom"/>
            <w:tcBorders>
              <w:bottom w:val="single" w:sz="8" w:color="CFF0FC"/>
            </w:tcBorders>
          </w:tcPr>
          <w:p>
            <w:pPr>
              <w:spacing w:after="0"/>
              <w:rPr>
                <w:sz w:val="14"/>
                <w:szCs w:val="14"/>
                <w:color w:val="auto"/>
              </w:rPr>
            </w:pPr>
          </w:p>
        </w:tc>
        <w:tc>
          <w:tcPr>
            <w:tcW w:w="23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Value</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2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346,423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3.05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232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(77,758)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3.02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(8,787)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3.02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2020</w:t>
            </w:r>
          </w:p>
        </w:tc>
        <w:tc>
          <w:tcPr>
            <w:tcW w:w="23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259,878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3.06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20" w:type="dxa"/>
            <w:vAlign w:val="bottom"/>
            <w:vMerge w:val="restart"/>
          </w:tcPr>
          <w:p>
            <w:pPr>
              <w:jc w:val="right"/>
              <w:ind w:right="1290"/>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5" w:name="page16"/>
    <w:bookmarkEnd w:id="15"/>
    <w:p>
      <w:pPr>
        <w:ind w:right="140" w:firstLine="510"/>
        <w:spacing w:after="0" w:line="277" w:lineRule="auto"/>
        <w:rPr>
          <w:sz w:val="20"/>
          <w:szCs w:val="20"/>
          <w:color w:val="auto"/>
        </w:rPr>
      </w:pPr>
      <w:r>
        <w:rPr>
          <w:rFonts w:ascii="Arial" w:cs="Arial" w:eastAsia="Arial" w:hAnsi="Arial"/>
          <w:sz w:val="18"/>
          <w:szCs w:val="18"/>
          <w:color w:val="auto"/>
        </w:rPr>
        <w:t>Stock options granted by the Company typically vest over a four-year period and have a ten year contractual term. The following table summarizes the Company’s stock option activity under the 2019 Plan and 2016 Plan since December 31, 2019:</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0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2,023,828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9.31</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8.94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2,730,209</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853,281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2,832,467</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6,431,439</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March 31, 2020</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5"/>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ind w:right="39"/>
              <w:spacing w:after="0"/>
              <w:rPr>
                <w:sz w:val="20"/>
                <w:szCs w:val="20"/>
                <w:color w:val="auto"/>
              </w:rPr>
            </w:pPr>
            <w:r>
              <w:rPr>
                <w:rFonts w:ascii="Arial" w:cs="Arial" w:eastAsia="Arial" w:hAnsi="Arial"/>
                <w:sz w:val="18"/>
                <w:szCs w:val="18"/>
                <w:color w:val="auto"/>
              </w:rPr>
              <w:t>1,730,138</w:t>
            </w: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418,971</w:t>
            </w: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 w:firstLine="51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weighted average grant date fair value of stock options granted during the three months ended March 31, 2020 was $11.06 per share. The weighted average grant date fair value of stock options granted during the three months ended March 31, 2019 was $5.56 per share. The total intrinsic value of stock options exercised during the three months ended March 31, 2020 was $0.3 million. No stock options were exercised during the three months ended March 31, 2019. The fair value of stock options granted during the three months ended March 31, 2020 and 2019 under the 2019 Plan and the 2016 Plan has been calculated on the date of grant using the following weighted average assumptions: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w:t>
            </w:r>
          </w:p>
        </w:tc>
        <w:tc>
          <w:tcPr>
            <w:tcW w:w="158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6800" w:type="dxa"/>
            <w:vAlign w:val="bottom"/>
          </w:tcPr>
          <w:p>
            <w:pPr>
              <w:spacing w:after="0"/>
              <w:rPr>
                <w:sz w:val="12"/>
                <w:szCs w:val="12"/>
                <w:color w:val="auto"/>
              </w:rPr>
            </w:pPr>
          </w:p>
        </w:tc>
        <w:tc>
          <w:tcPr>
            <w:tcW w:w="1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5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680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March 31, 2020</w:t>
            </w:r>
          </w:p>
        </w:tc>
        <w:tc>
          <w:tcPr>
            <w:tcW w:w="158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March 31, 2019</w:t>
            </w: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56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6.0</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81.4%</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Outside of Stock Incentive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Company’s restricted stock activity outside of the 2019 Plan and 2016 Plan since December 31, 2019:</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4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334,647</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2020</w:t>
            </w:r>
          </w:p>
        </w:tc>
        <w:tc>
          <w:tcPr>
            <w:tcW w:w="14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310,184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aggregate intrinsic value of all restricted stock awards that vested during the three months ended March 31, 2020 and 2019 was $1.6 million and $1.4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total compensation cost recognized in the statements of operations associated with all stock-based compensation awards granted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is as follows (in thousands):</w:t>
      </w:r>
    </w:p>
    <w:p>
      <w:pPr>
        <w:spacing w:after="0" w:line="243"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5"/>
        </w:trPr>
        <w:tc>
          <w:tcPr>
            <w:tcW w:w="492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406</w:t>
            </w:r>
          </w:p>
        </w:tc>
      </w:tr>
      <w:tr>
        <w:trPr>
          <w:trHeight w:val="229"/>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935</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415</w:t>
            </w: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0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1,693</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821</w:t>
            </w:r>
          </w:p>
        </w:tc>
      </w:tr>
      <w:tr>
        <w:trPr>
          <w:trHeight w:val="20"/>
        </w:trPr>
        <w:tc>
          <w:tcPr>
            <w:tcW w:w="4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As of March 31, 2020, the Company had an aggregate of $19.8 million of unrecognized stock-based compensation expense, which is expected to be recognized over a weighted average period of 2.97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On July 2, 2019, the Company’s stockholders approved the 2019 Employee Stock Purchase Plan (the “ESPP”), which became effective on July 17, 2019. A total of 252,142 shares of common stock were reserved for issuance under the ESPP. In addition, the number of shares of common stock reserved under the ESPP shall be annually increased on January 1, 2020, and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2020, the number of shares reserved for issuance under the 2019 ESPP was increased by 233,355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Acceleron Collaboration Agreement</w:t>
      </w:r>
    </w:p>
    <w:p>
      <w:pPr>
        <w:spacing w:after="0" w:line="121"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61"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Company received a non-refundable upfront payment of $10.0 million in December 2019 upon the execution of the Acceleron Collaboration Agreement. The Company will be entitled to research milestone payments of up to $18.5 million in the aggregate upon achievement of specified research milestones, development milestone payments of up to $202.5 million in 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In addition, the Company will be entitled to tiered royalties ranging from a mid single-digit percentage to a low double-digit percentage 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firstLine="510"/>
        <w:spacing w:after="0" w:line="255" w:lineRule="auto"/>
        <w:rPr>
          <w:sz w:val="20"/>
          <w:szCs w:val="20"/>
          <w:color w:val="auto"/>
        </w:rPr>
      </w:pPr>
      <w:r>
        <w:rPr>
          <w:rFonts w:ascii="Arial" w:cs="Arial" w:eastAsia="Arial" w:hAnsi="Arial"/>
          <w:sz w:val="18"/>
          <w:szCs w:val="18"/>
          <w:color w:val="auto"/>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spacing w:after="0" w:line="192"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assessed the Acceleron Collaboration Agreement and concluded that it represents a contract with a customer within the scope of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57"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spacing w:after="0" w:line="149"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spacing w:after="0" w:line="12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potential medicinal chemistry services were not identified as a promised good or service because the Company is under no obligation to provide those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17" w:lineRule="exact"/>
        <w:rPr>
          <w:sz w:val="20"/>
          <w:szCs w:val="20"/>
          <w:color w:val="auto"/>
        </w:rPr>
      </w:pPr>
    </w:p>
    <w:p>
      <w:pPr>
        <w:ind w:right="160" w:firstLine="510"/>
        <w:spacing w:after="0" w:line="289" w:lineRule="auto"/>
        <w:rPr>
          <w:sz w:val="20"/>
          <w:szCs w:val="20"/>
          <w:color w:val="auto"/>
        </w:rPr>
      </w:pPr>
      <w:r>
        <w:rPr>
          <w:rFonts w:ascii="Arial" w:cs="Arial" w:eastAsia="Arial" w:hAnsi="Arial"/>
          <w:sz w:val="16"/>
          <w:szCs w:val="16"/>
          <w:color w:val="auto"/>
        </w:rPr>
        <w:t>The Company received a non-refundable upfront payment of $10.0 million upon the execution of the Acceleron Collaboration Agreement, which the Company included in the transaction price. Based on the uncertainty associated with the achievement of any research and development milestone payments that the Company is eligible to receive, the Company has constrained the variable consideration associated with those milestone payments and excluded them from the transaction price. As part of its evaluation of constraining the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 The Company also included in the transaction price the expected amount of costs to be reimbursed for the Research Services. 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months ended March 31, 2020.</w:t>
      </w:r>
    </w:p>
    <w:p>
      <w:pPr>
        <w:spacing w:after="0" w:line="166"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Research Services. Changes in estimates of total internal and external costs expected to be incurred are recognized in the period of change as a cumulative catch-up adjustment.</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During the three months ended March 31, 2020, the Company recognized $0.8 million of collaboration revenue associated with the Acceleron Collaboration Agreement. As of December 31, 2019, no Research Services had been performed. For the three months ended March 31, 2019, the Company did not recognize any revenue under the Acceleron Collaboration Agreement as it had not yet entered into the Acceleron Collaboration Agreement. As of March 31, 2020 and December 31, 2019, the Company recorded deferred revenue of $9.6 million and $10.0 million, respectively,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March 31, 2020 and December 31, 2019, respectively. As of March 31, 2020 and December 31, 2019, the Company had not received any milestone, royalty, or cost reimbursement payments under the Acceleron Collaboration Agreement. As of March 31, 2020, the Company recorded unbilled accounts receivable of $0.3 million related to reimbursable Research Services costs under the Acceleron Collaboration Agreement for activities performed during the three months ended March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Asset Acquisition</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Under the GSK Agreement, the Company issued 12,500,000 million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 regulatory milestones, including $2.5 million due upon the initiation of a Phase 2 clinical trial, which was achieved and paid during the third quarter of 2019,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included in the total consideration for the transaction.</w:t>
      </w:r>
    </w:p>
    <w:p>
      <w:pPr>
        <w:spacing w:after="0" w:line="192"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ind w:firstLine="510"/>
        <w:spacing w:after="0" w:line="287"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for the three months ended March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November 2017, the Company entered into a lease agreement for its current corporate headquarters for approximately 28,731 square feet of office and laboratory space in Cambridge, Massachusetts. The lease has a total commitment of $25.1 million over the ten year term, and includes escalating rent payments.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w:t>
      </w:r>
    </w:p>
    <w:p>
      <w:pPr>
        <w:spacing w:after="0" w:line="1"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March 31, 2020 and December 31, 2019. Rent expense associated with this lease for each of the three months ended March 31, 2020 and 2019 was approximately $0.5 million.</w:t>
      </w:r>
    </w:p>
    <w:p>
      <w:pPr>
        <w:spacing w:after="0" w:line="18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March 31, 2020, are as follows (in thousands):</w:t>
      </w:r>
    </w:p>
    <w:p>
      <w:pPr>
        <w:spacing w:after="0" w:line="212"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2020</w:t>
            </w:r>
            <w:r>
              <w:rPr>
                <w:rFonts w:ascii="Arial" w:cs="Arial" w:eastAsia="Arial" w:hAnsi="Arial"/>
                <w:sz w:val="15"/>
                <w:szCs w:val="15"/>
                <w:color w:val="auto"/>
              </w:rPr>
              <w:t>(1)</w:t>
            </w:r>
          </w:p>
        </w:tc>
        <w:tc>
          <w:tcPr>
            <w:tcW w:w="20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2021</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2023</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2,497</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w:t>
            </w: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9,615</w:t>
            </w:r>
          </w:p>
        </w:tc>
      </w:tr>
      <w:tr>
        <w:trPr>
          <w:trHeight w:val="223"/>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6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21,185</w:t>
            </w:r>
          </w:p>
        </w:tc>
      </w:tr>
      <w:tr>
        <w:trPr>
          <w:trHeight w:val="20"/>
        </w:trPr>
        <w:tc>
          <w:tcPr>
            <w:tcW w:w="3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8"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are for the nine months ending December 31,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March 31, 2020, the Company has not exercised its rights to license such technologies.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March 31, 2020 or December 31,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months ended March 31, 2020 and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12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202" w:lineRule="exact"/>
        <w:rPr>
          <w:sz w:val="20"/>
          <w:szCs w:val="20"/>
          <w:color w:val="auto"/>
        </w:rPr>
      </w:pPr>
    </w:p>
    <w:p>
      <w:pPr>
        <w:jc w:val="center"/>
        <w:ind w:left="4280"/>
        <w:spacing w:after="0"/>
        <w:rPr>
          <w:sz w:val="20"/>
          <w:szCs w:val="20"/>
          <w:color w:val="auto"/>
        </w:rPr>
      </w:pPr>
      <w:r>
        <w:rPr>
          <w:rFonts w:ascii="Arial" w:cs="Arial" w:eastAsia="Arial" w:hAnsi="Arial"/>
          <w:sz w:val="14"/>
          <w:szCs w:val="14"/>
          <w:b w:val="1"/>
          <w:bCs w:val="1"/>
          <w:color w:val="auto"/>
        </w:rPr>
        <w:t>Three Months Ended</w:t>
      </w:r>
    </w:p>
    <w:p>
      <w:pPr>
        <w:jc w:val="center"/>
        <w:ind w:left="4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6"/>
        </w:trPr>
        <w:tc>
          <w:tcPr>
            <w:tcW w:w="4400" w:type="dxa"/>
            <w:vAlign w:val="bottom"/>
            <w:tcBorders>
              <w:bottom w:val="single" w:sz="8" w:color="CFF0FC"/>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Stock</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8,571,427</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7,499,991</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2,832,467</w:t>
            </w: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1,528,387</w:t>
            </w: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stock awards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570,062</w:t>
            </w:r>
          </w:p>
        </w:tc>
        <w:tc>
          <w:tcPr>
            <w:tcW w:w="12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1,025,876</w:t>
            </w: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3,402,529</w:t>
            </w:r>
          </w:p>
        </w:tc>
        <w:tc>
          <w:tcPr>
            <w:tcW w:w="1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18,625,681</w:t>
            </w:r>
          </w:p>
        </w:tc>
      </w:tr>
      <w:tr>
        <w:trPr>
          <w:trHeight w:val="20"/>
        </w:trPr>
        <w:tc>
          <w:tcPr>
            <w:tcW w:w="44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During the three months ended March 31, 2019, the Company paid fees to Third Rock Ventures, LLC (“TRV”), an affiliate of one of the Company’s principal stockholders, in exchange for consulting services. During the three months ended March 31, 2020, the Company did not pay fees to TRV in exchange for services. The Company recorded expenses related to such fees of less than $0.1 million during the three months ended March 31, 2019. The Company did not record expenses related to such fees during the three months ended March 31, 2020. As of December 31, 2019, there was less than $0.1 million of amounts due to TRV for such services that were included in accounts payable and accrued expenses. As of March 31, 2020, there were no amounts due to TRV for such services that were included in accounts payable and accrued expenses. Additionally, consultants that provide services to the Company are employees of TRV. The Company has issued an aggregate of 142,284 shares of common stock to these consultants in exchange for their continuing consulting services.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filed with the Securities and Exchange Commission, or SEC, on March 5, 2020.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known as ReDUX4, and a Phase 2 open label clinical trial of losmapimod, our product candidate for FSHD, to evaluate the efficacy and safety of losmapimod in addressing the underlying cause of FSHD. We plan to submit an investigational new drug application, or IND, for FTX-6058, our product candidate for certain hemoglobinopathies, in the second half of 2020. FTX-6058 is a novel upregulator of fetal hemoglobin.</w:t>
      </w:r>
    </w:p>
    <w:p>
      <w:pPr>
        <w:spacing w:after="0" w:line="18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ReDUX4 is a randomized, double-blind, placebo-controlled multicenter international Phase 2b clinical trial in 80 subjects with FSHD to investigate the efficacy and safety of oral administration of losmapimod 15 mg twice per day. The primary endpoint is to evaluate the reduction of DUX4-driven gene expression in affected skeletal muscle biopsies. The original design of ReDUX4 included a muscle biopsy at week 16 during the 24-week treatment period followed by an open label extension. Twelve of the 80 subjects have completed the 24-week treatment period and rolled over to the open label extension portion of the trial.</w:t>
      </w:r>
    </w:p>
    <w:p>
      <w:pPr>
        <w:spacing w:after="0" w:line="18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As a result of the COVID-19 pandemic, we have extended ReDUX4 from 24 to 48 weeks through a protocol amendment to ensure the safety of the subjects and to allow for the opportunity for a biopsy at week 16 as originally intended or at week 36. Approximately 68 subjects who did not complete the original 24-week treatment period remain active in the randomized portion of the trial. We plan to conduct an interim analysis of approximately 25 subjects who completed their 16-week biopsy. The Company expects to report data from this interim analysis in the third quarter of 2020. The extension from 24 to 48 weeks also allows for a longer assessment in a placebo-controlled design of the skeletal muscle MRI secondary endpoint and the various exploratory clinical endpoints, such as reachable workspace, optimized time up and go test for FSHD, muscle function measures and patient reported outcomes. We expect topline data from approximately 80 subjects in ReDUX4 in the first quarter of 2021. We believe that the amendment to the trial provides flexibility to address the challenges presented by the COVID-19 pandemic and supports collection of efficacy and safety data to support continued discussions with health authorities regarding potential registration strategies.</w:t>
      </w:r>
    </w:p>
    <w:p>
      <w:pPr>
        <w:spacing w:after="0" w:line="18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early clinical trials. To date, we have funded our operations primarily through the issuance of common stock in our initial public offering, or IPO, convertible preferred stock and convertible notes, and an upfront payment received under the collaboration and license agreement, or the Acceleron Collaboration Agreement, with Acceleron Pharma Inc., or Acceleron.</w:t>
      </w:r>
    </w:p>
    <w:p>
      <w:pPr>
        <w:spacing w:after="0" w:line="192"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$18.5 million for the three months ended March 31, 2020 and</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$36.8 million for the three months ended March 31, 2019. As of March 31, 2020, we had an accumulated deficit of $169.3 million. We expect our expenses and operating losses will increase substantially over the next several years in connection with our ongoing activities, as we:</w:t>
      </w:r>
    </w:p>
    <w:p>
      <w:pPr>
        <w:spacing w:after="0" w:line="77" w:lineRule="exact"/>
        <w:rPr>
          <w:sz w:val="20"/>
          <w:szCs w:val="20"/>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2b and Phase 2 open label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for a planned Phase 1 clinical trial of FTX-6058;</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300" w:hanging="373"/>
        <w:spacing w:after="0" w:line="308"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As of March 31, 2020, we had $81.2 million in cash, cash equivalents, and marketable securities. We believe that our existing cash, cash equivalents, and marketable securities will enable us to fund our operating expenses and capital expenditure requirements into the third quarter of 2021. We have based this estimate on assumptions that may prove to be wrong, and we could exhaust our available capital resources sooner than we expect. See “— Liquidity and Capital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60" w:firstLine="510"/>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December 2019, we entered into the Acceleron Collaboration Agreement, to identify biological targets to modulate specific pathways associated with a targeted indication within the pulmonary disease space. Under the Acceleron Collaboration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The primary goal of the collaboration is to identify and validate potential biological targets for further research in order to support the development, manufacture and commercialization of product candidates by Acceleron for the targeted indication by leveraging our proprietary product engine.</w:t>
      </w:r>
    </w:p>
    <w:p>
      <w:pPr>
        <w:spacing w:after="0" w:line="17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Under the terms of the Acceleron Collaboration Agreement, we received a $10.0 million upfront payment from Acceleron in December 2019. We are also eligible to receive up to $438.5 million in the aggregate in milestone payments with respect to certain research, developmental, clinical, regulatory and sales-related milestones, and tiered royalty payments based on Acceleron’s (and any of its affiliates’ and sublicensees’) annual worldwide net sales of products directed to any identified targets.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140" w:firstLine="510"/>
        <w:spacing w:after="0" w:line="258" w:lineRule="auto"/>
        <w:rPr>
          <w:sz w:val="20"/>
          <w:szCs w:val="20"/>
          <w:color w:val="auto"/>
        </w:rPr>
      </w:pPr>
      <w:r>
        <w:rPr>
          <w:rFonts w:ascii="Arial" w:cs="Arial" w:eastAsia="Arial" w:hAnsi="Arial"/>
          <w:sz w:val="18"/>
          <w:szCs w:val="18"/>
          <w:color w:val="auto"/>
        </w:rPr>
        <w:t>For the three months ended March 31, 2020, we recognized $0.8 million of collaboration revenue under the Acceleron Collaboration Agreement. For the three months ended March 31, 2019, we did not recognize any collaboration revenue as we had not yet entered into the Acceleron Collaboration Agreement. As of March 31, 2020 and December 31, 2019, we have recorded $9.6 million and $10.0 million, respectively, of deferred revenue associated with the Acceleron Collaboration Agreement, which is classified as either current or net of current portion in our consolidated balance sheets based on the period over which the revenue is expected to be recognized. As of March 31, 2020, we had not received any milestone, royalty, or cost reimbursement payments under the Acceleron Collaboration Agreement. As of March 31, 2020, we recorded unbilled accounts receivable of $0.3 million related to reimbursable research and development costs under the Acceleron Collaboration Agreement for activities performed during the three months ended March 31, 2020.</w:t>
      </w:r>
    </w:p>
    <w:p>
      <w:pPr>
        <w:spacing w:after="0" w:line="191"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auto"/>
        </w:rPr>
        <w:t>In the future, we will generate additional revenue from the Acceleron Collaboration Agreement associated with the $10.0 million upfront payment as we satisfy our performance obligation, and from reimbursement of costs incurred under the Acceleron Collaboration Agreement, and we may generate additional revenue from milestones and royalty payments under the Acceleron Collaboration Agreement. We expect that our revenue will fluctuate from quarter-to-quarter and year-to-year based upon our pattern of performance under the Acceleron Collaboration Agreement and as a result of the timing, amount, and achievement of milestones and reimbursement of costs incurred under the Acceleron Collaboration Agreement.</w:t>
      </w:r>
    </w:p>
    <w:p>
      <w:pPr>
        <w:spacing w:after="0" w:line="16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880" w:right="6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contract manufacturing organizations, or CMOs, and consultants;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in-process research and development, or IPR&amp;D, expenses, which relate to IPR&amp;D acquired as part of an asset acquisition for which there is no alternative future use;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firstLine="510"/>
        <w:spacing w:after="0" w:line="259"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three months ended March 31, 2020 and 2019. Pre-development candidate expenses, unallocated expenses and internal research and development expenses are classified separately. Losmapimod external expenses include IPR&amp;D expenses. We nominated FTX-6058 as a development candidate in the third quarter of 2019.</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FF0FC"/>
            </w:tcBorders>
            <w:vMerge w:val="continue"/>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Losmapimod external expenses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5,619</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27,802</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FTX-6058 external expenses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3,625</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1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3,867</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14,482</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34,629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 including in light of COVID-19;</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U.S. Food and Drug Administration, or FDA, or any comparable foreign regulatory authority;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establish and operate a manufacturing facility, or secure manufacturing supply through relationships with third parties;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25" w:name="page26"/>
    <w:bookmarkEnd w:id="25"/>
    <w:p>
      <w:pPr>
        <w:ind w:firstLine="510"/>
        <w:spacing w:after="0" w:line="289" w:lineRule="auto"/>
        <w:rPr>
          <w:sz w:val="20"/>
          <w:szCs w:val="20"/>
          <w:color w:val="auto"/>
        </w:rPr>
      </w:pPr>
      <w:r>
        <w:rPr>
          <w:rFonts w:ascii="Arial" w:cs="Arial" w:eastAsia="Arial" w:hAnsi="Arial"/>
          <w:sz w:val="16"/>
          <w:szCs w:val="16"/>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and FTX-6058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consists primarily of interest income related to our investments in cash equivalents and marketable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following summarizes our results of operations for the three months ended March 31, 2020 and 2019, along with the changes in those items in dollars: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14,482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34,629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5,064</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19,546</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37,227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17,641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ind w:right="340" w:firstLine="510"/>
        <w:spacing w:after="0" w:line="259" w:lineRule="auto"/>
        <w:rPr>
          <w:sz w:val="20"/>
          <w:szCs w:val="20"/>
          <w:color w:val="auto"/>
        </w:rPr>
      </w:pPr>
      <w:r>
        <w:rPr>
          <w:rFonts w:ascii="Arial" w:cs="Arial" w:eastAsia="Arial" w:hAnsi="Arial"/>
          <w:sz w:val="18"/>
          <w:szCs w:val="18"/>
          <w:color w:val="auto"/>
        </w:rPr>
        <w:t>Collaboration revenue was $0.8 million for the three months ended March 31, 2020 under the Acceleron Collaboration Agreement. We did not record any collaboration revenue during the three months ended March 31, 2019. We recognize revenue under the Acceleron Collaboration Agreement based on our pattern of performance related to the identified performance obligation, which is the period over which we will perform research services under the Acceleron Collaboration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Research and development expense decreased by $20.1 million from $34.6 million for the three months ended March 31, 2019 to $14.5 million for the three months ended March 31, 2020. The decrease in research and development expense was primarily attributable to a $25.6 million decrease in IPR&amp;D expenses associated with the recognition of the fair value attributable to the right of reference and license agreement with GSK during the three months ended March 31, 2019, partially offset by increases in research and development expenses as a result of the following:</w:t>
      </w:r>
    </w:p>
    <w:p>
      <w:pPr>
        <w:spacing w:after="0" w:line="49"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$2.1 million in increased costs for external clinical activities as we advanced losmapimod into Phase 2b and Phase 2 open label clinical trials;</w:t>
      </w:r>
    </w:p>
    <w:p>
      <w:pPr>
        <w:spacing w:after="0" w:line="140" w:lineRule="exact"/>
        <w:rPr>
          <w:rFonts w:ascii="Arial" w:cs="Arial" w:eastAsia="Arial" w:hAnsi="Arial"/>
          <w:sz w:val="16"/>
          <w:szCs w:val="16"/>
          <w:color w:val="auto"/>
        </w:rPr>
      </w:pPr>
    </w:p>
    <w:p>
      <w:pPr>
        <w:ind w:left="880" w:right="58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 million in increased manufacturing costs associated with the production of losmapimod and FTX-6058 to support our ongoing and planned clinical trials;</w:t>
      </w:r>
    </w:p>
    <w:p>
      <w:pPr>
        <w:spacing w:after="0" w:line="62"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million in increased personnel-related costs due to increased headcount, including $0.4 million of increased stock-based compensation expense;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$0.9 million in increased costs for IND-enabling studies for FTX-6058.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General and administrative expenses increased by $2.5 million from $2.6 million for the three months ended March 31, 2019 to $5.1 million for the three months ended March 31, 2020. The increase in general and administrative expenses was primarily attributable to the following:</w:t>
      </w:r>
    </w:p>
    <w:p>
      <w:pPr>
        <w:spacing w:after="0" w:line="38" w:lineRule="exact"/>
        <w:rPr>
          <w:sz w:val="20"/>
          <w:szCs w:val="20"/>
          <w:color w:val="auto"/>
        </w:rPr>
      </w:pPr>
    </w:p>
    <w:p>
      <w:pPr>
        <w:ind w:left="880" w:right="60" w:hanging="373"/>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$1.2 million in increased personnel-related costs, primarily due to increased general and administrative headcount to support the growth of our research and development organization, including $0.5 million of increased stock-based compensation expense; and</w:t>
      </w:r>
    </w:p>
    <w:p>
      <w:pPr>
        <w:spacing w:after="0" w:line="38" w:lineRule="exact"/>
        <w:rPr>
          <w:rFonts w:ascii="Arial" w:cs="Arial" w:eastAsia="Arial" w:hAnsi="Arial"/>
          <w:sz w:val="17"/>
          <w:szCs w:val="17"/>
          <w:color w:val="auto"/>
        </w:rPr>
      </w:pPr>
    </w:p>
    <w:p>
      <w:pPr>
        <w:ind w:left="880" w:right="54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million in increased consulting and professional fees, including for legal services, insurance premiums, market research, recruiting, accounting, and tax.</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Other income, net decreased by less than $0.1 million from $0.4 million for the three months ended March 31, 2019 to $0.3 million for the three months ended March 31, 2020. The decrease in other income, net was primarily attributable to a decrease in investment income on our cash, cash equivalents, and marketable securities as a result of an overall decreased rate of return.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Through March 31, 2020, we have primarily funded our operations with aggregate gross proceeds of $222.0 million from the issuance of common stock in our IPO, convertible preferred stock and convertible notes, and an upfront payment received under the Acceleron Collaboration Agreement. As of March 31, 2020, we had cash, cash equivalents, and marketable securities of $81.2 million. On July 22, 2019, we completed an IPO of our common stock and issued and sold 4,500,000 shares of common stock at a public offering price of $16.00 per share, resulting in net proceeds of $63.9 million after deducting underwriting discounts and commissions and estimated offering expenses.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three months ended March 31, 2020 and 2019:</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(9,897)</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(71,334)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(10,345)</w:t>
            </w: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Net cash used in operating activities was $15.2 million during the three months ended March 31, 2020 compared to net cash used in operating activities of $9.9 million during the three months ended March 31, 2019. The increase in net cash used in operating activities of $5.3 million was primarily due to increased personnel-related costs, increased research and development costs as we continue to advance our lead programs, and increased general and administrative costs associated with operating as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Net cash used in investing activities was $56.4 million during the three months ended March 31, 2020 compared to net cash used in investing activities of $0.4 million during the three months ended March 31, 2019. The increase in net cash used in investing activities of $56.0 million was primarily due to net purchases of marketable securities during the three months ended March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Net cash provided by financing activities was $0.3 million during the three months ended March 31, 2020 compared to net cash used in financing activities of less than $0.1 million during the three months ended March 31, 2019. The increase in net cash provided by financing activities of $0.3 million was primarily due to an increase in proceeds from stock option exercises.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associated with operating as a public company. As a result, we expect to incur substantial operating losses and negative operating cash flows for the foreseeable future.</w:t>
      </w:r>
    </w:p>
    <w:p>
      <w:pPr>
        <w:spacing w:after="0" w:line="18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March 31, 2020 will enable us to fund our operating expenses and capital expenditure requirements into the third quarter of 2021. However, we have based this estimate on assumptions that may prove to be wrong and we could exhaust our capital resources sooner than we expect.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2b and Phase 2 open label clinical trials of losmapimod;</w:t>
      </w:r>
    </w:p>
    <w:p>
      <w:pPr>
        <w:spacing w:after="0" w:line="117" w:lineRule="exact"/>
        <w:rPr>
          <w:rFonts w:ascii="Arial" w:cs="Arial" w:eastAsia="Arial" w:hAnsi="Arial"/>
          <w:sz w:val="18"/>
          <w:szCs w:val="18"/>
          <w:color w:val="auto"/>
        </w:rPr>
      </w:pPr>
    </w:p>
    <w:p>
      <w:pPr>
        <w:ind w:left="880" w:right="52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1 clinical trial of FTX-6058;</w:t>
      </w:r>
    </w:p>
    <w:p>
      <w:pPr>
        <w:ind w:left="880" w:hanging="373"/>
        <w:spacing w:after="0" w:line="233" w:lineRule="auto"/>
        <w:tabs>
          <w:tab w:leader="none" w:pos="8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impact of the COVID-19 pandemic on our business and operations;</w:t>
      </w:r>
    </w:p>
    <w:p>
      <w:pPr>
        <w:spacing w:after="0" w:line="109" w:lineRule="exact"/>
        <w:rPr>
          <w:rFonts w:ascii="Arial" w:cs="Arial" w:eastAsia="Arial" w:hAnsi="Arial"/>
          <w:sz w:val="29"/>
          <w:szCs w:val="29"/>
          <w:color w:val="auto"/>
          <w:vertAlign w:val="superscript"/>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8" w:name="page29"/>
    <w:bookmarkEnd w:id="28"/>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our collaboration with Acceleron;</w:t>
      </w:r>
    </w:p>
    <w:p>
      <w:pPr>
        <w:spacing w:after="0" w:line="117" w:lineRule="exact"/>
        <w:rPr>
          <w:rFonts w:ascii="Arial" w:cs="Arial" w:eastAsia="Arial" w:hAnsi="Arial"/>
          <w:sz w:val="18"/>
          <w:szCs w:val="18"/>
          <w:color w:val="auto"/>
        </w:rPr>
      </w:pPr>
    </w:p>
    <w:p>
      <w:pPr>
        <w:ind w:left="880" w:right="6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880" w:right="84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color w:val="auto"/>
        </w:rPr>
        <w:t>During the three months ended March 31, 2020, there have been no material changes to our contractual obligations and commitments outside the ordinary course of business from those described under the heading “Management’s Discussion and Analysis of Financial Condition and Results of Operations – Contractual Obligations” in our Annual Report on Form 10-K filed with the SEC on March 5,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March 31, 2020, there were no material changes to our critical accounting policies from those described in our Annual Report on Form 10-K filed with the SEC on March 5,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As of March 31, 2020, we had cash, cash equivalents, and marketable securities of $81.2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88"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March 31, 2020, we had minimal or no liabilities denominated in foreign currencies.</w:t>
      </w:r>
    </w:p>
    <w:p>
      <w:pPr>
        <w:spacing w:after="0" w:line="18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months ended March 31, 2020 and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Operating Officer (our principal executive officer and principal financial officer, respectively), evaluated the effectiveness of our disclosure controls and procedures as of March 31,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2020, our Chief Executive Officer and Chief Operating Officer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Since inception, we have incurred significant operating losses. Our net loss was $82.7 million for the year ended December 31, 2019 and $18.5 million for the three months ended March 31, 2020. As of March 31, 2020, we had an accumulated deficit of $169.3 million. To date, we have funded our operations primarily through the issuance of common stock in our initial public offering, or IPO, convertible preferred stock and convertible notes, and an upfront payment received under the collaboration and license agreement with Acceleron Pharma Inc., or Acceleron.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70" w:lineRule="exact"/>
        <w:rPr>
          <w:sz w:val="20"/>
          <w:szCs w:val="20"/>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2b and Phase 2 open label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prepare for a planned Phase 1 clinical trial of FTX-6058;</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300" w:hanging="373"/>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160" w:firstLine="510"/>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8" w:lineRule="exact"/>
        <w:rPr>
          <w:sz w:val="20"/>
          <w:szCs w:val="20"/>
          <w:color w:val="auto"/>
        </w:rPr>
      </w:pPr>
    </w:p>
    <w:p>
      <w:pPr>
        <w:ind w:left="880" w:right="36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23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expect to devote substantial financial resources to our ongoing and planned activities, particularly as we continue our Phase 2b and Phase 2 open label clinical trials of losmapimod and prepare for a planned Phase 1 clinical trial of FTX-6058, and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costs and results of our ongoing Phase 2b and Phase 2 open label clinical trials of losmapimod;</w:t>
      </w:r>
    </w:p>
    <w:p>
      <w:pPr>
        <w:spacing w:after="0" w:line="117" w:lineRule="exact"/>
        <w:rPr>
          <w:rFonts w:ascii="Arial" w:cs="Arial" w:eastAsia="Arial" w:hAnsi="Arial"/>
          <w:sz w:val="18"/>
          <w:szCs w:val="18"/>
          <w:color w:val="auto"/>
        </w:rPr>
      </w:pPr>
    </w:p>
    <w:p>
      <w:pPr>
        <w:ind w:left="880" w:right="52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product candidates, including our planned Phase 1 clinical trial of FTX-6058;</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collaboration with Acceleron;</w:t>
      </w:r>
    </w:p>
    <w:p>
      <w:pPr>
        <w:spacing w:after="0" w:line="117" w:lineRule="exact"/>
        <w:rPr>
          <w:rFonts w:ascii="Arial" w:cs="Arial" w:eastAsia="Arial" w:hAnsi="Arial"/>
          <w:sz w:val="18"/>
          <w:szCs w:val="18"/>
          <w:color w:val="auto"/>
        </w:rPr>
      </w:pPr>
    </w:p>
    <w:p>
      <w:pPr>
        <w:ind w:left="880" w:right="64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880" w:right="82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ind w:right="140" w:firstLine="510"/>
        <w:spacing w:after="0" w:line="301" w:lineRule="auto"/>
        <w:rPr>
          <w:sz w:val="20"/>
          <w:szCs w:val="20"/>
          <w:color w:val="auto"/>
        </w:rPr>
      </w:pPr>
      <w:r>
        <w:rPr>
          <w:rFonts w:ascii="Arial" w:cs="Arial" w:eastAsia="Arial" w:hAnsi="Arial"/>
          <w:sz w:val="16"/>
          <w:szCs w:val="16"/>
          <w:color w:val="auto"/>
        </w:rPr>
        <w:t>As of March 31, 2020, we had cash, cash equivalents, and marketable securities of approximately $81.2 million. We believe that our cash, cash equivalents, and marketable securities as of March 31, 2020 will enable us to fund our operating expenses and capital expenditure requirements into the third quarter of 2021.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5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stockholders to evaluate the success of our business to date and to assess our future viability.</w:t>
      </w:r>
    </w:p>
    <w:p>
      <w:pPr>
        <w:spacing w:after="0" w:line="15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commenced activities in 2015 and are an early-stage company. Our operations to date have been limited to organizing and staffing our company, business planning, raising capital, developing our technology, identifying drug targets and potential product candidates, undertaking preclinical studies and conducting early-stage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6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340"/>
        <w:spacing w:after="0" w:line="259" w:lineRule="auto"/>
        <w:rPr>
          <w:sz w:val="20"/>
          <w:szCs w:val="20"/>
          <w:color w:val="auto"/>
        </w:rPr>
      </w:pPr>
      <w:r>
        <w:rPr>
          <w:rFonts w:ascii="Arial" w:cs="Arial" w:eastAsia="Arial" w:hAnsi="Arial"/>
          <w:sz w:val="18"/>
          <w:szCs w:val="18"/>
          <w:b w:val="1"/>
          <w:bCs w:val="1"/>
          <w:i w:val="1"/>
          <w:iCs w:val="1"/>
          <w:color w:val="auto"/>
        </w:rPr>
        <w:t>The COVID-19 pandemic, which began in late 2019 and has spread worldwide, may affect our ability to initiate and complete current or future preclinical studies or clinical trials, disrupt regulatory activities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7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COVID-19 pandemic, which began in December 2019 and has spread worldwide, has caused many governments to implement measures to slow the spread of the outbreak through quarantines, travel restrictions, heightened border scrutiny,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9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and our contract manufacturing organizations, or CMOs, and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and API used in the manufacturing of our product candidates, and laboratory supplies for our current and future preclinical studies and clinical trials, in each case, for which there may be shortages because of ongoing efforts to address the outbreak. We and our CMOs and CROs, may face disruptions related to our planned and ongoing clinical trials or future clinical trials arising from delays in IND-enabling studies, manufacturing disruptions, and the ability to obtain necessary institutional review board or other necessary site approvals, as well as other delays at clinical trial sites. For example, in the wake of COVID-19, the clinical trial sites for our Phase 2b clinical trial are temporarily postponing trial-related activities, impacting our clinical trial execution plans. We may also face difficulties recruiting or retaining patients for our planned and ongoing clinical trials if patients are affected by the virus or are fearful of visiting or traveling to clinical trial sites because of the outbreak. The response to the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w:t>
      </w:r>
    </w:p>
    <w:p>
      <w:pPr>
        <w:spacing w:after="0" w:line="17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the event of a continuation of shelter-in-place orders and/or other mandated local travel restrictions, our employees conducting research and development activities may not be able to access our research space, and our core activities may be significant limited or curtailed, possibly for an extended period of time.</w:t>
      </w:r>
    </w:p>
    <w:p>
      <w:pPr>
        <w:spacing w:after="0" w:line="184"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significantly impact economies worldwide, which could result in adverse effects on our business and operations. We cannot be certain what the overall impact of the COVID-19 pandemic will be on our business and it has the potential to adversely affect our business, financial condition, results of operations and prospects.</w:t>
      </w:r>
    </w:p>
    <w:p>
      <w:pPr>
        <w:spacing w:after="0" w:line="29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In the past, we have identified conditions and events that raise substantial doubt about our ability to continue as a going concern and it is possible that we may identify conditions and events in the future that raise substantial doubt about our ability to continue as a going concern.</w:t>
      </w:r>
    </w:p>
    <w:p>
      <w:pPr>
        <w:spacing w:after="0" w:line="16"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Previously, we have identified conditions and events that raised substantial doubt about our ability to continue as a going concern, and our independent registered public accounting firm’s report on our consolidated financial statements as of and for the year ended December 31, 2018 that was issued prior to our IPO included a going concern uncertainty paragraph. With the completion of our IPO, we believe that our existing cash, cash equivalents, and marketable securities as of March 31, 2020 will enable us to fund our operating expenses and capital expenditure requirements into the third quarter of 2021. However, we have based this estimate on assumptions that may prove to be wrong, and we could exhaust our available capital resources sooner than we expect. In the future, if we are unable to obtain sufficient funding to support our operations, we could be forced to delay, reduce or eliminate all of our research and development programs, product portfolio expansion or commercialization efforts, and our financial condition and results of operations will be materially and adversely affected and we may be unable to continue as a going concern. In the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Recent changes in tax law may adversely affect our business or financial condition. On December 22, 2017, the U.S. government enacted the Tax Cuts and Jobs Act, or the TJCA, which significantly reformed the U.S. Internal Revenue Code of 1986, as amended, or the Code. The TCJA,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net operating losses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6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part of Congress’ response to the COVID-19 pandemic, the Families First Coronavirus Response Act, or FFCR Act, was enacted on March 18, 2020, and the Coronavirus Aid, Relief, and Economic Security Act, or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TCJA.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9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Regulatory guidance under the TCJA,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our company. In addition, it is uncertain if and to what extent various states will conform to the TCJA, the FFCR Act or the CARES Act.</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62"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As of December 31, 2019, we had federal and state net operating loss carryforwards of $111.6 million and $111.1 million, respectively, which begin to expire in 2035. Approximately $80.6 million of the federal net operating losses can be carried forward indefinitely. As of December 31, 2019, we also had federal and state research and development tax credit carryforwards of $2.8 million and $2.4 million, respectively, which begin to expire in 2035 and 2030, respectively. These net operating loss and tax credit carryforwards could expire unused and be unavailable to offset future income tax liabilities.</w:t>
      </w:r>
    </w:p>
    <w:p>
      <w:pPr>
        <w:spacing w:after="0" w:line="15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12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177"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above in “Changes in tax laws or in their implementation or interpretation may adversely affect our business and financial condition,” the TCJA,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We are early in our development efforts, and we only have one product candidate in clinical trials. Our other product candidate recently completed IND-enabling studies. If we are unable to commercialize our product candidates or experience significant delays in doing so, our business will be materially harmed.</w:t>
      </w:r>
    </w:p>
    <w:p>
      <w:pPr>
        <w:spacing w:after="0" w:line="76"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are early in our development efforts, and we have advanced only one candidate into clinical trials, losmapimod for the treatment of facioscapulohumeral muscular dystrophy, or FSHD. FTX-6058, our other product candidate, recently completed IND-enabling studies.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70"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allowance by the FDA or other regulatory agencies of the INDs, clinical trial applications, or CTAs, or other regulatory filings for losmapimod, FTX-6058 and future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those subject to our collaboration with Acceleron, advance any of these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7" w:name="page38"/>
    <w:bookmarkEnd w:id="37"/>
    <w:p>
      <w:pPr>
        <w:ind w:right="6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have one product candidate in clinical development and one product candidate that recently completed IND-enabling studies.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begun or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78"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6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February 2019, we entered into a right of reference and license agreement, or the GSK Agreement,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3,500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8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880" w:right="24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80" w:right="82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ind w:left="880" w:right="3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880" w:right="340" w:hanging="373"/>
        <w:spacing w:after="0" w:line="342"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880" w:right="80" w:hanging="373"/>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5" w:lineRule="exact"/>
        <w:rPr>
          <w:rFonts w:ascii="Arial" w:cs="Arial" w:eastAsia="Arial" w:hAnsi="Arial"/>
          <w:sz w:val="18"/>
          <w:szCs w:val="18"/>
          <w:color w:val="auto"/>
        </w:rPr>
      </w:pPr>
    </w:p>
    <w:p>
      <w:pPr>
        <w:ind w:left="880" w:right="100" w:hanging="373"/>
        <w:spacing w:after="0" w:line="308"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88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880" w:right="400" w:hanging="373"/>
        <w:spacing w:after="0" w:line="342"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880" w:right="22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880" w:right="6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62"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global instability, including political instability or instability from an outbreak of pandemic or contagious disease, such as the COVID-19 pandemic, in or around the countries in which we conduct our clinical trials, could delay the commencement or rate of completion of our clinical trials; and</w:t>
      </w:r>
    </w:p>
    <w:p>
      <w:pPr>
        <w:spacing w:after="0" w:line="75"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70"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For example, in the wake of COVID-19, the clinical trial sites for our Phase 2b clinical trial are temporarily postponing trial-related activities, impacting our clinical trial execution plans.</w:t>
      </w:r>
    </w:p>
    <w:p>
      <w:pPr>
        <w:spacing w:after="0" w:line="170"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9" w:name="page40"/>
    <w:bookmarkEnd w:id="39"/>
    <w:p>
      <w:pPr>
        <w:ind w:right="40" w:firstLine="510"/>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7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74"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300" w:firstLine="510"/>
        <w:spacing w:after="0" w:line="257"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2"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8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6" w:lineRule="exact"/>
        <w:rPr>
          <w:sz w:val="20"/>
          <w:szCs w:val="20"/>
          <w:color w:val="auto"/>
        </w:rPr>
      </w:pPr>
    </w:p>
    <w:p>
      <w:pPr>
        <w:ind w:right="320" w:firstLine="510"/>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34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disorders, hemoglobinopathies and central nervous system diseases.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7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are conducting Phase 2b and Phase 2 open label clinical trials of losmapimod in patients with FSHD in Europe and currently plan to conduct additional clinical trials for our product candidates at sites outside the United States, and the FDA may not accept data from trials conducted in such locations.</w:t>
      </w:r>
    </w:p>
    <w:p>
      <w:pPr>
        <w:spacing w:after="0" w:line="7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are currently conducting Phase 2b and Phase 2 open label clinical trials of losmapimod in patients with FSHD in Europe, and we plan to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7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ind w:left="88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 with physicians and payors to better understand the commercial landscape and to assist in our commercial planning.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8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3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880" w:right="10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3" w:name="page44"/>
    <w:bookmarkEnd w:id="43"/>
    <w:p>
      <w:pPr>
        <w:ind w:right="120" w:firstLine="51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For example, we are aware of several product candidates in clinical development that could be competitive with product candidates that we may successfully develop and commercialize. bluebird bio, Inc., Aruvant Sciences, Inc., EpiDestiny, Inc., or EpiDestiny (in collaboration with Novo Nordisk A/S), Imara, Inc. and Sangamo Therapeutics Inc., or Sangamo (in collaboration with Bioverativ Inc.), are developing therapeutic approaches for patients with sickle cell disease, or SCD. Acceleron (in collaboration with Celgene Corp.), Bellicum Pharmaceuticals, Inc., Kiadis Pharma, EpiDestiny (in collaboration with Novo Nordisk A/S), Orchard Therapeutics plc, Sangamo (in collaboration with Bioverativ, Inc.) and CRISPR Therapeutics AG (in collaboration with Vertex Pharmaceuticals, Inc.) are developing therapeutic approaches for patients with ß-thalassemia.</w:t>
      </w:r>
    </w:p>
    <w:p>
      <w:pPr>
        <w:spacing w:after="0" w:line="16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78"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4" w:name="page45"/>
    <w:bookmarkEnd w:id="44"/>
    <w:p>
      <w:pPr>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4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7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target patient populations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7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expect to rely on third parties to manufacture clinical supplies of our product candidates and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7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7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6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79"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17"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6" w:name="page47"/>
    <w:bookmarkEnd w:id="46"/>
    <w:p>
      <w:pPr>
        <w:ind w:left="880" w:hanging="373"/>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trade protection measures, import or export licensing requirements or other restrictive actions by U.S. or foreign governments;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33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6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currently rely on third-party clinical research organizations to conduct our ongoing Phase 2b and Phase 2 open label clinical trials of losmapimod and plan to rely on third-party clinical research organizations or third-party research collaboratives to conduct our planned clinical trials. We do not plan to independently conduct clinical trials 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92"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95"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7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jc w:val="both"/>
        <w:ind w:right="60"/>
        <w:spacing w:after="0" w:line="340" w:lineRule="auto"/>
        <w:rPr>
          <w:sz w:val="20"/>
          <w:szCs w:val="20"/>
          <w:color w:val="auto"/>
        </w:rPr>
      </w:pPr>
      <w:r>
        <w:rPr>
          <w:rFonts w:ascii="Arial" w:cs="Arial" w:eastAsia="Arial" w:hAnsi="Arial"/>
          <w:sz w:val="15"/>
          <w:szCs w:val="15"/>
          <w:b w:val="1"/>
          <w:bCs w:val="1"/>
          <w:i w:val="1"/>
          <w:iCs w:val="1"/>
          <w:color w:val="auto"/>
        </w:rPr>
        <w:t>We plan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23"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do not have any manufacturing facilities. Although we believe we have obtained sufficient losmapimod tablets from GSK to complete our ongoing Phase 2 clinical trials and that we have received a sufficient quantity of losmapimod API to complete further clinical trials in FSHD, we cannot be sure we have correctly estimated our drug product and API requirements or that such drug product or API will not expire before we want to use it. We have also engaged a contract manufacturing organization to prepare our own API and to manufacture losmapimod tablets. While we believe that we have all the necessary information from GSK to enable any required technology transfer to a contract manufacturing organization, there can be no assurances that we will be able to effect such transfer in a timely manner.</w:t>
      </w:r>
    </w:p>
    <w:p>
      <w:pPr>
        <w:spacing w:after="0" w:line="19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expect to rely on third parties for the manufacture of FTX-6058 and any future product candidates for preclinical and clinical testing, as well as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also expect to rely on third-party manufacturers or third-party collaborators for the manufacture of commercial supply of any other product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79"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8" w:name="page49"/>
    <w:bookmarkEnd w:id="48"/>
    <w:p>
      <w:pPr>
        <w:ind w:right="60" w:firstLine="510"/>
        <w:spacing w:after="0" w:line="25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8"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24"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57" w:lineRule="exact"/>
        <w:rPr>
          <w:sz w:val="20"/>
          <w:szCs w:val="20"/>
          <w:color w:val="auto"/>
        </w:rPr>
      </w:pPr>
    </w:p>
    <w:p>
      <w:pPr>
        <w:ind w:right="42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5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7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December 2019, we entered into a collaboration and license agreement with Acceleron to identify biological targets to modulate specific pathways associated with a targeted indication within the pulmonary disease space.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5"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Collaborations that we enter into, including our collaboration with Acceleron, may not be successful, and any success will depend heavily on the efforts and activities of such collaborators. Collaborations pose a number of risks, including the following:</w:t>
      </w:r>
    </w:p>
    <w:p>
      <w:pPr>
        <w:spacing w:after="0" w:line="62" w:lineRule="exact"/>
        <w:rPr>
          <w:sz w:val="20"/>
          <w:szCs w:val="20"/>
          <w:color w:val="auto"/>
        </w:rPr>
      </w:pPr>
    </w:p>
    <w:p>
      <w:pPr>
        <w:ind w:left="880" w:right="88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880" w:right="26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880" w:right="100" w:hanging="373"/>
        <w:spacing w:after="0" w:line="286"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57" w:lineRule="exact"/>
        <w:rPr>
          <w:rFonts w:ascii="Arial" w:cs="Arial" w:eastAsia="Arial" w:hAnsi="Arial"/>
          <w:sz w:val="17"/>
          <w:szCs w:val="17"/>
          <w:color w:val="auto"/>
        </w:rPr>
      </w:pPr>
    </w:p>
    <w:p>
      <w:pPr>
        <w:ind w:left="880" w:right="560" w:hanging="373"/>
        <w:spacing w:after="0" w:line="308"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880" w:right="12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5" w:lineRule="exact"/>
        <w:rPr>
          <w:rFonts w:ascii="Arial" w:cs="Arial" w:eastAsia="Arial" w:hAnsi="Arial"/>
          <w:sz w:val="18"/>
          <w:szCs w:val="18"/>
          <w:color w:val="auto"/>
        </w:rPr>
      </w:pPr>
    </w:p>
    <w:p>
      <w:pPr>
        <w:ind w:left="880" w:right="54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9" w:name="page50"/>
    <w:bookmarkEnd w:id="49"/>
    <w:p>
      <w:pPr>
        <w:ind w:left="880" w:right="20" w:hanging="373"/>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880" w:right="18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880" w:hanging="373"/>
        <w:spacing w:after="0" w:line="259"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880" w:right="14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92"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6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For some of our product candidates, we may decide to collaborate with pharmaceutical or biotechnology companies for the development and potential commercialization of those product candidates. For example, in December 2019, we entered into a collaboration and license agreement with Acceleron to identify biological targets to modulate specific pathways associated with a targeted indication within the pulmonary disease space.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right="120" w:firstLine="510"/>
        <w:spacing w:after="0" w:line="253" w:lineRule="auto"/>
        <w:rPr>
          <w:sz w:val="20"/>
          <w:szCs w:val="20"/>
          <w:color w:val="auto"/>
        </w:rPr>
      </w:pPr>
      <w:r>
        <w:rPr>
          <w:rFonts w:ascii="Arial" w:cs="Arial" w:eastAsia="Arial" w:hAnsi="Arial"/>
          <w:sz w:val="18"/>
          <w:szCs w:val="18"/>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We are also restricted under our collaboration with Acceleron from, directly or indirectly, researching, developing, manufacturing, commercializing, using or otherwise exploiting any compound or product for the treatment, prophylaxis, or diagnosis of a targeted indication within the pulmonary disease space, other than for Acceleron, while we are performing the research activities pursuant to the research plan and for a specified period thereafter. Additionally, we are restricted under our collaboration with Acceleron from researching, developing, manufacturing, commercializing, using, or otherwise exploiting any compound or product for the treatment, prophylaxis, or diagnosis of a targeted indication within the pulmonary disease space that is directed against certain specified biological targets identified by us in the performance of the research activities while we are performing the research activities pursuant to the research plan and for a specified period thereafter.</w:t>
      </w:r>
    </w:p>
    <w:p>
      <w:pPr>
        <w:spacing w:after="0" w:line="196"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24"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4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2"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100" w:firstLine="510"/>
        <w:spacing w:after="0" w:line="269" w:lineRule="auto"/>
        <w:rPr>
          <w:sz w:val="20"/>
          <w:szCs w:val="20"/>
          <w:color w:val="auto"/>
        </w:rPr>
      </w:pPr>
      <w:r>
        <w:rPr>
          <w:rFonts w:ascii="Arial" w:cs="Arial" w:eastAsia="Arial" w:hAnsi="Arial"/>
          <w:sz w:val="17"/>
          <w:szCs w:val="17"/>
          <w:color w:val="auto"/>
        </w:rPr>
        <w:t>Currently, our patent portfolio related to FTX-6058 is in early stages and comprises one owned PCT application. We have no issued patents related to FTX-6058 or our SCD or ß-thalassemia programs. In order to continue to pursue protection based on the PCT application, we will need to nationalize this application into corresponding foreign applications and/or U.S. non-provisional patent applications prior to the expiration deadline of the PCT application.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We own one patent covering the use of losmapimod for the treatment of patients with FSHD and we own one patent covering the use of other clinical-stage p38 inhibitors for the treatment of patients with FSHD. In addition, our owned patents and patent applications pertaining to losmapimod are not to the composition but, rather, are directed to certain methods of treating FSHD. We cannot be certain that our pending patent applications related to the losmapimod program will be granted. Even if such patent applications issue as patents, they will not prevent third parties from commercializing losmapimod for other indications.</w:t>
      </w:r>
    </w:p>
    <w:p>
      <w:pPr>
        <w:spacing w:after="0" w:line="185"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180" w:firstLine="510"/>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86"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44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7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9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right="100" w:firstLine="51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66"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firstLine="510"/>
        <w:spacing w:after="0" w:line="287"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6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7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right="3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66"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4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ind w:firstLine="510"/>
        <w:spacing w:after="0" w:line="255"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9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hanging="373"/>
        <w:spacing w:after="0" w:line="263"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28"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880" w:right="840" w:hanging="373"/>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left="880" w:right="38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17"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 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0" w:name="page61"/>
    <w:bookmarkEnd w:id="60"/>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62"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The FDA and EMA have granted orphan drug designation to losmapimod for the treatment of FSHD. We may seek orphan drug designation for our other current and future product candidates.</w:t>
      </w:r>
    </w:p>
    <w:p>
      <w:pPr>
        <w:spacing w:after="0" w:line="15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6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117"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95"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ind w:right="20"/>
        <w:spacing w:after="0" w:line="263" w:lineRule="auto"/>
        <w:rPr>
          <w:sz w:val="20"/>
          <w:szCs w:val="20"/>
          <w:color w:val="auto"/>
        </w:rPr>
      </w:pPr>
      <w:r>
        <w:rPr>
          <w:rFonts w:ascii="Arial" w:cs="Arial" w:eastAsia="Arial" w:hAnsi="Arial"/>
          <w:sz w:val="18"/>
          <w:szCs w:val="18"/>
          <w:b w:val="1"/>
          <w:bCs w:val="1"/>
          <w:i w:val="1"/>
          <w:iCs w:val="1"/>
          <w:color w:val="auto"/>
        </w:rPr>
        <w:t>Even if the FDA agrees that we may pursue an accelerated approval NDA submission, that does not guarantee that the NDA will receive an accelerated approval, or a complete response letter, nor does submission of an accelerated approval NDA ensure that the product candidate will receive a faster development or regulatory review process.</w:t>
      </w:r>
    </w:p>
    <w:p>
      <w:pPr>
        <w:spacing w:after="0" w:line="76"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(i.e., an intermediate clinical endpoint). The FDA or other applicable regulatory agency makes the determination regarding whether a biomarker efficacy endpoint is reasonably likely to predict long-term clinical benefit.</w:t>
      </w:r>
    </w:p>
    <w:p>
      <w:pPr>
        <w:spacing w:after="0" w:line="16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one or more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9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firstLine="510"/>
        <w:spacing w:after="0" w:line="291"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 clinical trials, marketing authorization, commercial sales and distribution of pharmaceutical products is derived from European Union directives and regulations, Brexit could materially impact the regulatory regime that applies to products and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27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jc w:val="both"/>
        <w:ind w:right="520" w:firstLine="510"/>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65"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3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requiring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7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87" w:lineRule="exact"/>
        <w:rPr>
          <w:sz w:val="20"/>
          <w:szCs w:val="20"/>
          <w:color w:val="auto"/>
        </w:rPr>
      </w:pPr>
    </w:p>
    <w:p>
      <w:pPr>
        <w:ind w:left="880" w:right="100" w:hanging="373"/>
        <w:spacing w:after="0" w:line="259"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880" w:right="80" w:hanging="373"/>
        <w:spacing w:after="0" w:line="25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$11,181 and a maximum of $22,363 per false claim;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left="880" w:right="6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880" w:right="160" w:hanging="373"/>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62" w:lineRule="exact"/>
        <w:rPr>
          <w:rFonts w:ascii="Arial" w:cs="Arial" w:eastAsia="Arial" w:hAnsi="Arial"/>
          <w:sz w:val="18"/>
          <w:szCs w:val="18"/>
          <w:color w:val="auto"/>
        </w:rPr>
      </w:pPr>
    </w:p>
    <w:p>
      <w:pPr>
        <w:ind w:left="880" w:right="380" w:hanging="373"/>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4"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8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100" w:firstLine="510"/>
        <w:spacing w:after="0" w:line="269"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which went into effect on January 1, 2020, is creating similar risks and obligations as those created by the GDPR, though the California Consumer Privacy Act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8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7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6"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6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77" w:lineRule="exact"/>
        <w:rPr>
          <w:sz w:val="20"/>
          <w:szCs w:val="20"/>
          <w:color w:val="auto"/>
        </w:rPr>
      </w:pPr>
    </w:p>
    <w:p>
      <w:pPr>
        <w:ind w:right="360" w:firstLine="510"/>
        <w:spacing w:after="0" w:line="311"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may obtain for any of our product candidates that are approved for sale, are the following:</w:t>
      </w:r>
    </w:p>
    <w:p>
      <w:pPr>
        <w:spacing w:after="0" w:line="41" w:lineRule="exact"/>
        <w:rPr>
          <w:sz w:val="20"/>
          <w:szCs w:val="20"/>
          <w:color w:val="auto"/>
        </w:rPr>
      </w:pPr>
    </w:p>
    <w:p>
      <w:pPr>
        <w:ind w:left="880" w:right="60" w:hanging="373"/>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70% point-of-sale discounts off negotiated prices;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2029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8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Since the enactment of the ACA, there have been, and continue to be, numerous legal challenges and Congressional actions to repeal and replace provisions of the law. For example, with enactment of the TCJA, which was signed by President Trump on December 22, 2017, Congress repealed the “individual mandate.” The repeal of this provision, which requires most Americans to carry a minimal level of health insurance, will become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may consider other legislation to replace elements of the ACA during the next Congressional session.</w:t>
      </w:r>
    </w:p>
    <w:p>
      <w:pPr>
        <w:spacing w:after="0" w:line="16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Centers for Medicare &amp; Medicaid Services, or CMS, has recently proposed regulations that would give states greater flexibility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setting benchmarks for insurers in the individual and small group marketplaces, which may have the effect of relaxing the essential health benefits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ACA for plans sold through such marketplaces. Further, on June 14, 2018, U.S. Court of Appeals for the Federal Circuit ruled that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government was not required to pay more than $12 billion in ACA risk corridor payments to third-party payors who argued were owed to them.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decision is under review by the U.S. Supreme Court during its current term. The full effects of this gap in reimbursement on third-party payors, the viability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ACA marketplace, providers, and potentially our business, are not yet known. On November 30, 2018, CMS announced a proposed rule that would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amend the Medicare Advantage and Medicare Part D prescription drug benefit regulations to reduce out of pocket costs for plan enrollees and allow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Medicare plans to negotiate lower rates for certain drugs. Among other things, the proposed rule changes would allow Medicare Advantage plans to use pre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authorization (PA) and step therapy (ST) for six protected classes of drugs, with certain exceptions; permit plans to implement PA and ST in Medicare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 B drugs; and change the definition of “negotiated prices” as well as add a definition of “price concession” in the regulations. It is unclear whether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proposed changes will be accepted, and if so, what effect such changes will have on our business. Litigation and legislation over the ACA are likely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continue, with unpredictable and uncertain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firstLine="510"/>
        <w:spacing w:after="0" w:line="269" w:lineRule="auto"/>
        <w:rPr>
          <w:sz w:val="20"/>
          <w:szCs w:val="20"/>
          <w:color w:val="auto"/>
        </w:rPr>
      </w:pPr>
      <w:r>
        <w:rPr>
          <w:rFonts w:ascii="Arial" w:cs="Arial" w:eastAsia="Arial" w:hAnsi="Arial"/>
          <w:sz w:val="17"/>
          <w:szCs w:val="17"/>
          <w:color w:val="auto"/>
        </w:rPr>
        <w:t>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thereafter represented to the Court of Appeals considering this judgment that it does not oppose the lower court’s ruling. On July 10, 2019, the Court of Appeals for the Fifth Circuit heard oral argument in this case. In those arguments, the Trump administration argued in support of upholding the lower court decision.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January 21, 2020, the U.S. Supreme Court declined to review this decision on an expedited basis. On March 2, 2020, that court agreed to hear this case. Litigation and legislation over the ACA are likely to continue, with unpredictable and uncertain results.</w:t>
      </w:r>
    </w:p>
    <w:p>
      <w:pPr>
        <w:spacing w:after="0" w:line="18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costs of prescription pharmaceuticals have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 continues to press for further drug price control measures that could be enacted during the annual budget process or in other future legislation.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In addition, on December 23, 2019, the Trump Administration published a proposed rulemaking that, if finalized, would allow states or certain other non-federal government entities to submit importation program proposals to FDA for review and approval. Applicants would be required to demonstrate their importation plans pose no additional risk to public health and safety and will result in significant cost savings for consumers. At the same time, FDA issued draft guidance that would allow manufacturers to import their own FDA-approved drugs that are authorized for sale in other countries (multi-market approved products).</w:t>
      </w:r>
    </w:p>
    <w:p>
      <w:pPr>
        <w:spacing w:after="0" w:line="190"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62"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81" w:lineRule="exact"/>
        <w:rPr>
          <w:sz w:val="20"/>
          <w:szCs w:val="20"/>
          <w:color w:val="auto"/>
        </w:rPr>
      </w:pPr>
    </w:p>
    <w:p>
      <w:pPr>
        <w:jc w:val="both"/>
        <w:ind w:right="160" w:firstLine="510"/>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63"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ind w:right="40" w:firstLine="510"/>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74"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7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all matters submitted to stockholders for approval.</w:t>
      </w:r>
    </w:p>
    <w:p>
      <w:pPr>
        <w:spacing w:after="0" w:line="6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As of May 8, 2020, our executive officers and directors and our stockholders who owned more than 5% of our outstanding common stock in the aggregate owned shares representing approximately 67.4% of our capital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jc w:val="both"/>
        <w:ind w:right="32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right="140" w:firstLine="510"/>
        <w:spacing w:after="0" w:line="259" w:lineRule="auto"/>
        <w:rPr>
          <w:sz w:val="20"/>
          <w:szCs w:val="20"/>
          <w:color w:val="auto"/>
        </w:rPr>
      </w:pPr>
      <w:r>
        <w:rPr>
          <w:rFonts w:ascii="Arial" w:cs="Arial" w:eastAsia="Arial" w:hAnsi="Arial"/>
          <w:sz w:val="18"/>
          <w:szCs w:val="18"/>
          <w:color w:val="auto"/>
        </w:rPr>
        <w:t>Our shares of common stock began trading on the Nasdaq Global Market on July 18, 2019.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their shares without depressing the market price for the shares, or at all.</w:t>
      </w:r>
    </w:p>
    <w:p>
      <w:pPr>
        <w:spacing w:after="0" w:line="29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6"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129"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880" w:right="900" w:hanging="373"/>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or developments in preclinical studies and clinical trials of our product candidates or those of our competitors or potential collaborators;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880" w:right="300" w:hanging="373"/>
        <w:spacing w:after="0" w:line="308"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6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IPO continue to hold a substantial number of shares of our common stock. If such persons sell, or indicate an intention to sell, substantial amounts of our common stock in the public market, the trading price of our common stock could decline.</w:t>
      </w:r>
    </w:p>
    <w:p>
      <w:pPr>
        <w:spacing w:after="0" w:line="187"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 In August 2019, we filed a registration statement registering all shares of common stock that we may issue under our equity compensation plans. These shares can be freely sold in the public market upon issuance, subject to volume limitations applicable to affiliates.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4" w:lineRule="exact"/>
        <w:rPr>
          <w:sz w:val="20"/>
          <w:szCs w:val="20"/>
          <w:color w:val="auto"/>
        </w:rPr>
      </w:pPr>
    </w:p>
    <w:p>
      <w:pPr>
        <w:ind w:left="880" w:hanging="373"/>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880" w:right="580" w:hanging="373"/>
        <w:spacing w:after="0" w:line="263"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right="40" w:firstLine="510"/>
        <w:spacing w:after="0" w:line="287" w:lineRule="auto"/>
        <w:rPr>
          <w:sz w:val="20"/>
          <w:szCs w:val="20"/>
          <w:color w:val="auto"/>
        </w:rPr>
      </w:pPr>
      <w:r>
        <w:rPr>
          <w:rFonts w:ascii="Arial" w:cs="Arial" w:eastAsia="Arial" w:hAnsi="Arial"/>
          <w:sz w:val="16"/>
          <w:szCs w:val="16"/>
          <w:color w:val="auto"/>
        </w:rPr>
        <w:t>Pursuant to Section 404 of the Sarbanes-Oxley Act of 2002, or Section 404, we will be required to furnish a report by our management on our internal control over financial reporting beginning with our Annual Report on Form 10-K for the year ending December 31, 2020.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8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6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92"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of 1933, as amended, or the Securities Exchange Act of 1934, as amended.</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117" w:lineRule="exact"/>
        <w:rPr>
          <w:sz w:val="20"/>
          <w:szCs w:val="20"/>
          <w:color w:val="auto"/>
        </w:rPr>
      </w:pPr>
    </w:p>
    <w:p>
      <w:pPr>
        <w:jc w:val="both"/>
        <w:ind w:right="120" w:firstLine="510"/>
        <w:spacing w:after="0" w:line="287" w:lineRule="auto"/>
        <w:rPr>
          <w:sz w:val="20"/>
          <w:szCs w:val="20"/>
          <w:color w:val="auto"/>
        </w:rPr>
      </w:pPr>
      <w:r>
        <w:rPr>
          <w:rFonts w:ascii="Arial" w:cs="Arial" w:eastAsia="Arial" w:hAnsi="Arial"/>
          <w:sz w:val="16"/>
          <w:szCs w:val="16"/>
          <w:color w:val="auto"/>
        </w:rPr>
        <w:t>On July 22, 2019, we completed our IPO, pursuant to which we issued and sold 4,500,000 shares of our common stock at a public offering price of $16.00 per share. The offer and sale of all of the shares of our common stock in our IPO were registered under the Securities Act pursuant to a registration statement on Form S-1 (File No. 333-232260), which was declared effective by the Securities and Exchange Commission, or SEC, on July 17, 2019.</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Morgan Stanley &amp; Co. LLC, BofA Securities, Inc. and SVB Leerink LLC. acted as joint book-running managers for our IPO. The IPO commenced on July 17, 2019 and terminated without the sale of the 675,000 shares registered for potential issuance upon exercise of the underwriters’ option to purchase additional shares in the IPO.</w:t>
      </w:r>
    </w:p>
    <w:p>
      <w:pPr>
        <w:spacing w:after="0" w:line="190"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We received aggregate gross proceeds from our IPO of $72.0 million, or aggregate net proceeds of $63.9 million after deducting underwriting discounts and commissions and estimated offering expenses payable by us. None of the underwriting discounts and commissions or offering expenses were incurred or paid to directors or officers of ours or their associates or to persons owning 10% or more of our common stock or to any of our affiliates.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20" w:firstLine="510"/>
        <w:spacing w:after="0" w:line="259" w:lineRule="auto"/>
        <w:rPr>
          <w:sz w:val="20"/>
          <w:szCs w:val="20"/>
          <w:color w:val="auto"/>
        </w:rPr>
      </w:pPr>
      <w:r>
        <w:rPr>
          <w:rFonts w:ascii="Arial" w:cs="Arial" w:eastAsia="Arial" w:hAnsi="Arial"/>
          <w:sz w:val="18"/>
          <w:szCs w:val="18"/>
          <w:color w:val="auto"/>
        </w:rPr>
        <w:t>We had not used any of the net proceeds from the IPO as of March 31, 2020 as we have continued to fund operations from proceeds received through our preferred stock financings. We have invested the unused net proceeds from the offering in cash equivalents and marketable securities. There has been no material change in our planned use of the net proceeds from our IPO as described in our final prospectus filed pursuant to Rule 424(b)(4) under the Securities Act with the SEC on July 18,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5"/>
              </w:rPr>
              <w:t>(c) Total Number</w:t>
            </w:r>
          </w:p>
        </w:tc>
        <w:tc>
          <w:tcPr>
            <w:tcW w:w="100" w:type="dxa"/>
            <w:vAlign w:val="bottom"/>
          </w:tcPr>
          <w:p>
            <w:pPr>
              <w:spacing w:after="0"/>
              <w:rPr>
                <w:sz w:val="11"/>
                <w:szCs w:val="11"/>
                <w:color w:val="auto"/>
              </w:rPr>
            </w:pPr>
          </w:p>
        </w:tc>
        <w:tc>
          <w:tcPr>
            <w:tcW w:w="1260" w:type="dxa"/>
            <w:vAlign w:val="bottom"/>
          </w:tcPr>
          <w:p>
            <w:pPr>
              <w:jc w:val="center"/>
              <w:ind w:right="101"/>
              <w:spacing w:after="0" w:line="133" w:lineRule="exact"/>
              <w:rPr>
                <w:sz w:val="20"/>
                <w:szCs w:val="20"/>
                <w:color w:val="auto"/>
              </w:rPr>
            </w:pPr>
            <w:r>
              <w:rPr>
                <w:rFonts w:ascii="Arial" w:cs="Arial" w:eastAsia="Arial" w:hAnsi="Arial"/>
                <w:sz w:val="14"/>
                <w:szCs w:val="14"/>
                <w:b w:val="1"/>
                <w:bCs w:val="1"/>
                <w:color w:val="auto"/>
                <w:w w:val="96"/>
              </w:rPr>
              <w:t>(d) Approximate</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5"/>
              </w:rPr>
              <w:t>(a) 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2"/>
                <w:szCs w:val="12"/>
                <w:color w:val="auto"/>
              </w:rPr>
            </w:pPr>
          </w:p>
        </w:tc>
        <w:tc>
          <w:tcPr>
            <w:tcW w:w="12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 Average</w:t>
            </w: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2"/>
                <w:szCs w:val="12"/>
                <w:color w:val="auto"/>
              </w:rPr>
            </w:pPr>
          </w:p>
        </w:tc>
        <w:tc>
          <w:tcPr>
            <w:tcW w:w="12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2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Price Paid</w:t>
            </w: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2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5780" w:type="dxa"/>
            <w:vAlign w:val="bottom"/>
            <w:gridSpan w:val="3"/>
            <w:vMerge w:val="continue"/>
          </w:tcPr>
          <w:p>
            <w:pPr>
              <w:spacing w:after="0"/>
              <w:rPr>
                <w:sz w:val="14"/>
                <w:szCs w:val="14"/>
                <w:color w:val="auto"/>
              </w:rPr>
            </w:pPr>
          </w:p>
        </w:tc>
        <w:tc>
          <w:tcPr>
            <w:tcW w:w="120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Purchased(1)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4"/>
                <w:szCs w:val="14"/>
                <w:color w:val="auto"/>
              </w:rPr>
            </w:pPr>
          </w:p>
        </w:tc>
        <w:tc>
          <w:tcPr>
            <w:tcW w:w="126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January 1, 2020 through January 31, 2020</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4,982</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0.07</w:t>
            </w:r>
          </w:p>
        </w:tc>
        <w:tc>
          <w:tcPr>
            <w:tcW w:w="1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3"/>
          </w:tcPr>
          <w:p>
            <w:pPr>
              <w:spacing w:after="0"/>
              <w:rPr>
                <w:sz w:val="20"/>
                <w:szCs w:val="20"/>
                <w:color w:val="auto"/>
              </w:rPr>
            </w:pPr>
            <w:r>
              <w:rPr>
                <w:rFonts w:ascii="Arial" w:cs="Arial" w:eastAsia="Arial" w:hAnsi="Arial"/>
                <w:sz w:val="18"/>
                <w:szCs w:val="18"/>
                <w:color w:val="auto"/>
              </w:rPr>
              <w:t>February 1, 2020 through February 29, 2020</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3,805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March 1, 2020 through March 31, 2020</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8,787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38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shares of unvested common stock that were repurchased by us from certain former employees upon termination of employment in accordance with the terms of the applicable employee's restricted stock agreement. We repurchased the shares from the former employees at the original purchase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2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00" w:type="dxa"/>
            <w:vAlign w:val="bottom"/>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20" w:type="dxa"/>
            <w:vAlign w:val="bottom"/>
            <w:gridSpan w:val="8"/>
          </w:tcPr>
          <w:p>
            <w:pPr>
              <w:spacing w:after="0"/>
              <w:rPr>
                <w:rFonts w:ascii="Arial" w:cs="Arial" w:eastAsia="Arial" w:hAnsi="Arial"/>
                <w:sz w:val="18"/>
                <w:szCs w:val="18"/>
                <w:color w:val="0000EE"/>
              </w:rPr>
            </w:pPr>
            <w:hyperlink w:anchor="page79">
              <w:r>
                <w:rPr>
                  <w:rFonts w:ascii="Arial" w:cs="Arial" w:eastAsia="Arial" w:hAnsi="Arial"/>
                  <w:sz w:val="18"/>
                  <w:szCs w:val="18"/>
                  <w:u w:val="single" w:color="auto"/>
                  <w:color w:val="0000EE"/>
                </w:rPr>
                <w:t>Employment Agreement, dated July 18, 2019, by and between the Registrant and Owen Wallace</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190"/>
        </w:trPr>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6"/>
                <w:szCs w:val="16"/>
                <w:color w:val="auto"/>
              </w:rPr>
            </w:pPr>
          </w:p>
        </w:tc>
        <w:tc>
          <w:tcPr>
            <w:tcW w:w="1028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Pursuant to Section 302 of the Sarbanes-Oxley Act of 2002.</w:t>
              </w:r>
            </w:hyperlink>
          </w:p>
        </w:tc>
        <w:tc>
          <w:tcPr>
            <w:tcW w:w="60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340" w:type="dxa"/>
            <w:vAlign w:val="bottom"/>
            <w:gridSpan w:val="9"/>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Pursuant to Section 302 of the Sarbanes-Oxley Act of 2002.</w:t>
              </w:r>
            </w:hyperlink>
          </w:p>
        </w:tc>
        <w:tc>
          <w:tcPr>
            <w:tcW w:w="5900" w:type="dxa"/>
            <w:vAlign w:val="bottom"/>
            <w:tcBorders>
              <w:top w:val="single" w:sz="8" w:color="0000EE"/>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3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Act of 2002.</w:t>
              </w:r>
            </w:hyperlink>
          </w:p>
        </w:tc>
        <w:tc>
          <w:tcPr>
            <w:tcW w:w="9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of 2002.</w:t>
              </w:r>
            </w:hyperlink>
          </w:p>
        </w:tc>
        <w:tc>
          <w:tcPr>
            <w:tcW w:w="97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1"/>
                <w:szCs w:val="21"/>
                <w:color w:val="auto"/>
              </w:rPr>
            </w:pPr>
          </w:p>
        </w:tc>
        <w:tc>
          <w:tcPr>
            <w:tcW w:w="103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103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103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103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103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0"/>
                <w:szCs w:val="20"/>
                <w:color w:val="auto"/>
              </w:rPr>
            </w:pPr>
          </w:p>
        </w:tc>
        <w:tc>
          <w:tcPr>
            <w:tcW w:w="103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49"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7860" w:type="dxa"/>
            <w:vAlign w:val="bottom"/>
            <w:gridSpan w:val="2"/>
          </w:tcPr>
          <w:p>
            <w:pPr>
              <w:ind w:left="1920"/>
              <w:spacing w:after="0"/>
              <w:rPr>
                <w:sz w:val="20"/>
                <w:szCs w:val="20"/>
                <w:color w:val="auto"/>
              </w:rPr>
            </w:pPr>
            <w:r>
              <w:rPr>
                <w:rFonts w:ascii="Arial" w:cs="Arial" w:eastAsia="Arial" w:hAnsi="Arial"/>
                <w:sz w:val="18"/>
                <w:szCs w:val="18"/>
                <w:color w:val="auto"/>
              </w:rPr>
              <w:t>FULCRUM THERAPEUTICS, INC.</w:t>
            </w:r>
          </w:p>
        </w:tc>
      </w:tr>
      <w:tr>
        <w:trPr>
          <w:trHeight w:val="459"/>
        </w:trPr>
        <w:tc>
          <w:tcPr>
            <w:tcW w:w="3380" w:type="dxa"/>
            <w:vAlign w:val="bottom"/>
          </w:tcPr>
          <w:p>
            <w:pPr>
              <w:spacing w:after="0"/>
              <w:rPr>
                <w:sz w:val="20"/>
                <w:szCs w:val="20"/>
                <w:color w:val="auto"/>
              </w:rPr>
            </w:pPr>
            <w:r>
              <w:rPr>
                <w:rFonts w:ascii="Arial" w:cs="Arial" w:eastAsia="Arial" w:hAnsi="Arial"/>
                <w:sz w:val="18"/>
                <w:szCs w:val="18"/>
                <w:color w:val="auto"/>
              </w:rPr>
              <w:t>Date: May 13, 2020</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J. Gould</w:t>
            </w:r>
          </w:p>
        </w:tc>
      </w:tr>
      <w:tr>
        <w:trPr>
          <w:trHeight w:val="222"/>
        </w:trPr>
        <w:tc>
          <w:tcPr>
            <w:tcW w:w="3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0"/>
              </w:rPr>
              <w:t>Robert J. Gould, Ph.D.</w:t>
            </w:r>
          </w:p>
        </w:tc>
      </w:tr>
      <w:tr>
        <w:trPr>
          <w:trHeight w:val="230"/>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President, Director</w:t>
            </w:r>
          </w:p>
        </w:tc>
      </w:tr>
      <w:tr>
        <w:trPr>
          <w:trHeight w:val="459"/>
        </w:trPr>
        <w:tc>
          <w:tcPr>
            <w:tcW w:w="3380" w:type="dxa"/>
            <w:vAlign w:val="bottom"/>
          </w:tcPr>
          <w:p>
            <w:pPr>
              <w:spacing w:after="0"/>
              <w:rPr>
                <w:sz w:val="20"/>
                <w:szCs w:val="20"/>
                <w:color w:val="auto"/>
              </w:rPr>
            </w:pPr>
            <w:r>
              <w:rPr>
                <w:rFonts w:ascii="Arial" w:cs="Arial" w:eastAsia="Arial" w:hAnsi="Arial"/>
                <w:sz w:val="18"/>
                <w:szCs w:val="18"/>
                <w:color w:val="auto"/>
              </w:rPr>
              <w:t>Date: May 13, 2020</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Bryan Stuart</w:t>
            </w:r>
          </w:p>
        </w:tc>
      </w:tr>
      <w:tr>
        <w:trPr>
          <w:trHeight w:val="224"/>
        </w:trPr>
        <w:tc>
          <w:tcPr>
            <w:tcW w:w="3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Bryan Stuart</w:t>
            </w:r>
          </w:p>
        </w:tc>
      </w:tr>
    </w:tbl>
    <w:p>
      <w:pPr>
        <w:ind w:left="6520"/>
        <w:spacing w:after="0"/>
        <w:rPr>
          <w:sz w:val="20"/>
          <w:szCs w:val="20"/>
          <w:color w:val="auto"/>
        </w:rPr>
      </w:pPr>
      <w:r>
        <w:rPr>
          <w:rFonts w:ascii="Arial" w:cs="Arial" w:eastAsia="Arial" w:hAnsi="Arial"/>
          <w:sz w:val="18"/>
          <w:szCs w:val="18"/>
          <w:color w:val="auto"/>
        </w:rPr>
        <w:t>Chief Operating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88" w:lineRule="exact"/>
        <w:rPr>
          <w:sz w:val="20"/>
          <w:szCs w:val="20"/>
          <w:color w:val="auto"/>
        </w:rPr>
      </w:pPr>
    </w:p>
    <w:p>
      <w:pPr>
        <w:ind w:right="220" w:firstLine="864"/>
        <w:spacing w:after="0" w:line="328" w:lineRule="auto"/>
        <w:rPr>
          <w:sz w:val="20"/>
          <w:szCs w:val="20"/>
          <w:color w:val="auto"/>
        </w:rPr>
      </w:pPr>
      <w:r>
        <w:rPr>
          <w:rFonts w:ascii="Arial" w:cs="Arial" w:eastAsia="Arial" w:hAnsi="Arial"/>
          <w:sz w:val="19"/>
          <w:szCs w:val="19"/>
          <w:color w:val="auto"/>
        </w:rPr>
        <w:t>THIS EMPLOYMENT AGREEMENT (the “Agreement”), is made as of July 18, 2019 (the “Effective Date”) by and between Fulcrum Therapeutics, Inc. (the “Company”), and Owen B. Wallace (the “Executive”) (together, the “Parties”).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WHEREAS, the Company desires to continue to employ the Executive as its Chief Scientific Officer; and</w:t>
      </w:r>
    </w:p>
    <w:p>
      <w:pPr>
        <w:spacing w:after="0" w:line="206" w:lineRule="exact"/>
        <w:rPr>
          <w:sz w:val="20"/>
          <w:szCs w:val="20"/>
          <w:color w:val="auto"/>
        </w:rPr>
      </w:pPr>
    </w:p>
    <w:p>
      <w:pPr>
        <w:ind w:right="720" w:firstLine="864"/>
        <w:spacing w:after="0" w:line="250" w:lineRule="auto"/>
        <w:rPr>
          <w:sz w:val="20"/>
          <w:szCs w:val="20"/>
          <w:color w:val="auto"/>
        </w:rPr>
      </w:pPr>
      <w:r>
        <w:rPr>
          <w:rFonts w:ascii="Arial" w:cs="Arial" w:eastAsia="Arial" w:hAnsi="Arial"/>
          <w:sz w:val="22"/>
          <w:szCs w:val="22"/>
          <w:color w:val="auto"/>
        </w:rPr>
        <w:t>WHEREAS, the Company and the Executive are party to a letter agreement dated March 9, 2017 (the “Existing Agreement”) and desire to amend and restate the Existing Agreement in its entirety; and</w:t>
      </w:r>
    </w:p>
    <w:p>
      <w:pPr>
        <w:spacing w:after="0" w:line="175" w:lineRule="exact"/>
        <w:rPr>
          <w:sz w:val="20"/>
          <w:szCs w:val="20"/>
          <w:color w:val="auto"/>
        </w:rPr>
      </w:pPr>
    </w:p>
    <w:p>
      <w:pPr>
        <w:ind w:right="320" w:firstLine="864"/>
        <w:spacing w:after="0" w:line="250" w:lineRule="auto"/>
        <w:rPr>
          <w:sz w:val="20"/>
          <w:szCs w:val="20"/>
          <w:color w:val="auto"/>
        </w:rPr>
      </w:pPr>
      <w:r>
        <w:rPr>
          <w:rFonts w:ascii="Arial" w:cs="Arial" w:eastAsia="Arial" w:hAnsi="Arial"/>
          <w:sz w:val="22"/>
          <w:szCs w:val="22"/>
          <w:color w:val="auto"/>
        </w:rPr>
        <w:t>WHEREAS, the Executive has agreed to accept such continued employment on the terms and conditions set forth in this Agreement;</w:t>
      </w:r>
    </w:p>
    <w:p>
      <w:pPr>
        <w:spacing w:after="0" w:line="175" w:lineRule="exact"/>
        <w:rPr>
          <w:sz w:val="20"/>
          <w:szCs w:val="20"/>
          <w:color w:val="auto"/>
        </w:rPr>
      </w:pPr>
    </w:p>
    <w:p>
      <w:pPr>
        <w:ind w:right="220" w:firstLine="864"/>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of the Parties herein contained, the Parties hereto agree as follows:</w:t>
      </w:r>
    </w:p>
    <w:p>
      <w:pPr>
        <w:spacing w:after="0" w:line="175" w:lineRule="exact"/>
        <w:rPr>
          <w:sz w:val="20"/>
          <w:szCs w:val="20"/>
          <w:color w:val="auto"/>
        </w:rPr>
      </w:pPr>
    </w:p>
    <w:p>
      <w:pPr>
        <w:jc w:val="both"/>
        <w:ind w:right="540" w:firstLine="8"/>
        <w:spacing w:after="0"/>
        <w:tabs>
          <w:tab w:leader="none" w:pos="216"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Agreement</w:t>
      </w:r>
      <w:r>
        <w:rPr>
          <w:rFonts w:ascii="Arial" w:cs="Arial" w:eastAsia="Arial" w:hAnsi="Arial"/>
          <w:sz w:val="22"/>
          <w:szCs w:val="22"/>
          <w:color w:val="auto"/>
        </w:rPr>
        <w:t>. This Agreement shall be effective as of the Effective Date. Following the Effective Date, the Executive shall</w:t>
      </w:r>
      <w:r>
        <w:rPr>
          <w:rFonts w:ascii="Arial" w:cs="Arial" w:eastAsia="Arial" w:hAnsi="Arial"/>
          <w:sz w:val="22"/>
          <w:szCs w:val="22"/>
          <w:i w:val="1"/>
          <w:iCs w:val="1"/>
          <w:color w:val="auto"/>
        </w:rPr>
        <w:t xml:space="preserve"> </w:t>
      </w:r>
      <w:r>
        <w:rPr>
          <w:rFonts w:ascii="Arial" w:cs="Arial" w:eastAsia="Arial" w:hAnsi="Arial"/>
          <w:sz w:val="22"/>
          <w:szCs w:val="22"/>
          <w:color w:val="auto"/>
        </w:rPr>
        <w:t>continue to be an employee of the Company until such employment relationship is terminated in accordance with Section 7 hereof (the “Term of Employment”).</w:t>
      </w:r>
    </w:p>
    <w:p>
      <w:pPr>
        <w:spacing w:after="0" w:line="186" w:lineRule="exact"/>
        <w:rPr>
          <w:rFonts w:ascii="Arial" w:cs="Arial" w:eastAsia="Arial" w:hAnsi="Arial"/>
          <w:sz w:val="22"/>
          <w:szCs w:val="22"/>
          <w:color w:val="auto"/>
        </w:rPr>
      </w:pPr>
    </w:p>
    <w:p>
      <w:pPr>
        <w:ind w:right="180" w:firstLine="8"/>
        <w:spacing w:after="0" w:line="328" w:lineRule="auto"/>
        <w:tabs>
          <w:tab w:leader="none" w:pos="216"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Position</w:t>
      </w:r>
      <w:r>
        <w:rPr>
          <w:rFonts w:ascii="Arial" w:cs="Arial" w:eastAsia="Arial" w:hAnsi="Arial"/>
          <w:sz w:val="19"/>
          <w:szCs w:val="19"/>
          <w:color w:val="auto"/>
        </w:rPr>
        <w:t>. During the Term of Employment, the Executive shall serve as Chief Scientific Officer of the Company, working out</w:t>
      </w:r>
      <w:r>
        <w:rPr>
          <w:rFonts w:ascii="Arial" w:cs="Arial" w:eastAsia="Arial" w:hAnsi="Arial"/>
          <w:sz w:val="19"/>
          <w:szCs w:val="19"/>
          <w:i w:val="1"/>
          <w:iCs w:val="1"/>
          <w:color w:val="auto"/>
        </w:rPr>
        <w:t xml:space="preserve"> </w:t>
      </w:r>
      <w:r>
        <w:rPr>
          <w:rFonts w:ascii="Arial" w:cs="Arial" w:eastAsia="Arial" w:hAnsi="Arial"/>
          <w:sz w:val="19"/>
          <w:szCs w:val="19"/>
          <w:color w:val="auto"/>
        </w:rPr>
        <w:t>of the Company’s office in Cambridge, Massachusetts, and travelling as reasonably required by the Executive’s job duties.</w:t>
      </w:r>
    </w:p>
    <w:p>
      <w:pPr>
        <w:spacing w:after="0" w:line="104" w:lineRule="exact"/>
        <w:rPr>
          <w:rFonts w:ascii="Arial" w:cs="Arial" w:eastAsia="Arial" w:hAnsi="Arial"/>
          <w:sz w:val="19"/>
          <w:szCs w:val="19"/>
          <w:color w:val="auto"/>
        </w:rPr>
      </w:pPr>
    </w:p>
    <w:p>
      <w:pPr>
        <w:ind w:right="40" w:firstLine="8"/>
        <w:spacing w:after="0" w:line="273" w:lineRule="auto"/>
        <w:tabs>
          <w:tab w:leader="none" w:pos="216"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Scope of Employment</w:t>
      </w:r>
      <w:r>
        <w:rPr>
          <w:rFonts w:ascii="Arial" w:cs="Arial" w:eastAsia="Arial" w:hAnsi="Arial"/>
          <w:sz w:val="19"/>
          <w:szCs w:val="19"/>
          <w:color w:val="auto"/>
        </w:rPr>
        <w:t>. During the Term of Employment, the Executive shall be responsible for the performance of those duties</w:t>
      </w:r>
      <w:r>
        <w:rPr>
          <w:rFonts w:ascii="Arial" w:cs="Arial" w:eastAsia="Arial" w:hAnsi="Arial"/>
          <w:sz w:val="19"/>
          <w:szCs w:val="19"/>
          <w:i w:val="1"/>
          <w:iCs w:val="1"/>
          <w:color w:val="auto"/>
        </w:rPr>
        <w:t xml:space="preserve"> </w:t>
      </w:r>
      <w:r>
        <w:rPr>
          <w:rFonts w:ascii="Arial" w:cs="Arial" w:eastAsia="Arial" w:hAnsi="Arial"/>
          <w:sz w:val="19"/>
          <w:szCs w:val="19"/>
          <w:color w:val="auto"/>
        </w:rPr>
        <w:t>consistent with the Executive’s position as Chief Scientific Officer. The Executive shall report to the President and the Chief Executive Officer of the Company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(the “Board”); provided, however, that the Executive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ind w:left="-8" w:right="500" w:firstLine="8"/>
        <w:spacing w:after="0" w:line="250" w:lineRule="auto"/>
        <w:tabs>
          <w:tab w:leader="none" w:pos="208"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Compensation</w:t>
      </w:r>
      <w:r>
        <w:rPr>
          <w:rFonts w:ascii="Arial" w:cs="Arial" w:eastAsia="Arial" w:hAnsi="Arial"/>
          <w:sz w:val="22"/>
          <w:szCs w:val="22"/>
          <w:color w:val="auto"/>
        </w:rPr>
        <w:t>. As full compensation for all services rendered by the Executive to the Company and any affiliate thereof,</w:t>
      </w:r>
      <w:r>
        <w:rPr>
          <w:rFonts w:ascii="Arial" w:cs="Arial" w:eastAsia="Arial" w:hAnsi="Arial"/>
          <w:sz w:val="22"/>
          <w:szCs w:val="22"/>
          <w:i w:val="1"/>
          <w:iCs w:val="1"/>
          <w:color w:val="auto"/>
        </w:rPr>
        <w:t xml:space="preserve"> </w:t>
      </w:r>
      <w:r>
        <w:rPr>
          <w:rFonts w:ascii="Arial" w:cs="Arial" w:eastAsia="Arial" w:hAnsi="Arial"/>
          <w:sz w:val="22"/>
          <w:szCs w:val="22"/>
          <w:color w:val="auto"/>
        </w:rPr>
        <w:t>during the Term of Employment, the Company will provide to the Executive the following:</w:t>
      </w:r>
    </w:p>
    <w:p>
      <w:pPr>
        <w:spacing w:after="0" w:line="174" w:lineRule="exact"/>
        <w:rPr>
          <w:rFonts w:ascii="Arial" w:cs="Arial" w:eastAsia="Arial" w:hAnsi="Arial"/>
          <w:sz w:val="22"/>
          <w:szCs w:val="22"/>
          <w:color w:val="auto"/>
        </w:rPr>
      </w:pPr>
    </w:p>
    <w:p>
      <w:pPr>
        <w:ind w:left="-8" w:right="340" w:firstLine="872"/>
        <w:spacing w:after="0" w:line="236" w:lineRule="auto"/>
        <w:tabs>
          <w:tab w:leader="none" w:pos="1149" w:val="left"/>
        </w:tabs>
        <w:numPr>
          <w:ilvl w:val="1"/>
          <w:numId w:val="49"/>
        </w:numPr>
        <w:rPr>
          <w:rFonts w:ascii="Arial" w:cs="Arial" w:eastAsia="Arial" w:hAnsi="Arial"/>
          <w:sz w:val="22"/>
          <w:szCs w:val="22"/>
          <w:color w:val="auto"/>
        </w:rPr>
      </w:pPr>
      <w:r>
        <w:rPr>
          <w:rFonts w:ascii="Arial" w:cs="Arial" w:eastAsia="Arial" w:hAnsi="Arial"/>
          <w:sz w:val="22"/>
          <w:szCs w:val="22"/>
          <w:i w:val="1"/>
          <w:iCs w:val="1"/>
          <w:color w:val="auto"/>
        </w:rPr>
        <w:t>Base Salary</w:t>
      </w:r>
      <w:r>
        <w:rPr>
          <w:rFonts w:ascii="Arial" w:cs="Arial" w:eastAsia="Arial" w:hAnsi="Arial"/>
          <w:sz w:val="22"/>
          <w:szCs w:val="22"/>
          <w:color w:val="auto"/>
        </w:rPr>
        <w:t>. Effective as of the date on which the registration statement relating to the Company’s initial public</w:t>
      </w:r>
      <w:r>
        <w:rPr>
          <w:rFonts w:ascii="Arial" w:cs="Arial" w:eastAsia="Arial" w:hAnsi="Arial"/>
          <w:sz w:val="22"/>
          <w:szCs w:val="22"/>
          <w:i w:val="1"/>
          <w:iCs w:val="1"/>
          <w:color w:val="auto"/>
        </w:rPr>
        <w:t xml:space="preserve"> </w:t>
      </w:r>
      <w:r>
        <w:rPr>
          <w:rFonts w:ascii="Arial" w:cs="Arial" w:eastAsia="Arial" w:hAnsi="Arial"/>
          <w:sz w:val="22"/>
          <w:szCs w:val="22"/>
          <w:color w:val="auto"/>
        </w:rPr>
        <w:t>offering is effective, the Executive shall receive a base salary at the annualized rate of $400,000 (the “Base Salary”). The Executive’s Base Salary shall be paid in equal installments in accordance with the Company’s regularly established payroll procedures. The Executive’s Base Salary will be reviewed on an annual or more frequent basis by the Board and is subject to change in the discretion of the Board.</w:t>
      </w:r>
    </w:p>
    <w:p>
      <w:pPr>
        <w:spacing w:after="0" w:line="187" w:lineRule="exact"/>
        <w:rPr>
          <w:rFonts w:ascii="Arial" w:cs="Arial" w:eastAsia="Arial" w:hAnsi="Arial"/>
          <w:sz w:val="22"/>
          <w:szCs w:val="22"/>
          <w:color w:val="auto"/>
        </w:rPr>
      </w:pPr>
    </w:p>
    <w:p>
      <w:pPr>
        <w:ind w:left="-8" w:firstLine="872"/>
        <w:spacing w:after="0" w:line="271" w:lineRule="auto"/>
        <w:tabs>
          <w:tab w:leader="none" w:pos="1161" w:val="left"/>
        </w:tabs>
        <w:numPr>
          <w:ilvl w:val="1"/>
          <w:numId w:val="49"/>
        </w:numPr>
        <w:rPr>
          <w:rFonts w:ascii="Arial" w:cs="Arial" w:eastAsia="Arial" w:hAnsi="Arial"/>
          <w:sz w:val="19"/>
          <w:szCs w:val="19"/>
          <w:color w:val="auto"/>
        </w:rPr>
      </w:pPr>
      <w:r>
        <w:rPr>
          <w:rFonts w:ascii="Arial" w:cs="Arial" w:eastAsia="Arial" w:hAnsi="Arial"/>
          <w:sz w:val="19"/>
          <w:szCs w:val="19"/>
          <w:i w:val="1"/>
          <w:iCs w:val="1"/>
          <w:color w:val="auto"/>
        </w:rPr>
        <w:t>Annual Discretionary Bonus</w:t>
      </w:r>
      <w:r>
        <w:rPr>
          <w:rFonts w:ascii="Arial" w:cs="Arial" w:eastAsia="Arial" w:hAnsi="Arial"/>
          <w:sz w:val="19"/>
          <w:szCs w:val="19"/>
          <w:color w:val="auto"/>
        </w:rPr>
        <w:t>. Effective as of the Effective Date, the Executive will be eligible to earn an annual</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bonus of up to 30% 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8" w:right="160" w:firstLine="872"/>
        <w:spacing w:after="0" w:line="250" w:lineRule="auto"/>
        <w:tabs>
          <w:tab w:leader="none" w:pos="1149" w:val="left"/>
        </w:tabs>
        <w:numPr>
          <w:ilvl w:val="1"/>
          <w:numId w:val="49"/>
        </w:numPr>
        <w:rPr>
          <w:rFonts w:ascii="Arial" w:cs="Arial" w:eastAsia="Arial" w:hAnsi="Arial"/>
          <w:sz w:val="22"/>
          <w:szCs w:val="22"/>
          <w:color w:val="auto"/>
        </w:rPr>
      </w:pPr>
      <w:r>
        <w:rPr>
          <w:rFonts w:ascii="Arial" w:cs="Arial" w:eastAsia="Arial" w:hAnsi="Arial"/>
          <w:sz w:val="22"/>
          <w:szCs w:val="22"/>
          <w:i w:val="1"/>
          <w:iCs w:val="1"/>
          <w:color w:val="auto"/>
        </w:rPr>
        <w:t>Equity Award</w:t>
      </w:r>
      <w:r>
        <w:rPr>
          <w:rFonts w:ascii="Arial" w:cs="Arial" w:eastAsia="Arial" w:hAnsi="Arial"/>
          <w:sz w:val="22"/>
          <w:szCs w:val="22"/>
          <w:color w:val="auto"/>
        </w:rPr>
        <w:t>. The Executive will be eligible to receive equity awards, if any, at such times and on such terms and</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conditions as the Board shall, in its sole discretion, determine.</w:t>
      </w:r>
    </w:p>
    <w:p>
      <w:pPr>
        <w:spacing w:after="0" w:line="174" w:lineRule="exact"/>
        <w:rPr>
          <w:rFonts w:ascii="Arial" w:cs="Arial" w:eastAsia="Arial" w:hAnsi="Arial"/>
          <w:sz w:val="22"/>
          <w:szCs w:val="22"/>
          <w:color w:val="auto"/>
        </w:rPr>
      </w:pPr>
    </w:p>
    <w:p>
      <w:pPr>
        <w:ind w:left="-8" w:right="360" w:firstLine="872"/>
        <w:spacing w:after="0" w:line="250" w:lineRule="auto"/>
        <w:tabs>
          <w:tab w:leader="none" w:pos="1161" w:val="left"/>
        </w:tabs>
        <w:numPr>
          <w:ilvl w:val="1"/>
          <w:numId w:val="49"/>
        </w:numPr>
        <w:rPr>
          <w:rFonts w:ascii="Arial" w:cs="Arial" w:eastAsia="Arial" w:hAnsi="Arial"/>
          <w:sz w:val="22"/>
          <w:szCs w:val="22"/>
          <w:color w:val="auto"/>
        </w:rPr>
      </w:pPr>
      <w:r>
        <w:rPr>
          <w:rFonts w:ascii="Arial" w:cs="Arial" w:eastAsia="Arial" w:hAnsi="Arial"/>
          <w:sz w:val="22"/>
          <w:szCs w:val="22"/>
          <w:i w:val="1"/>
          <w:iCs w:val="1"/>
          <w:color w:val="auto"/>
        </w:rPr>
        <w:t>Paid Time Off</w:t>
      </w:r>
      <w:r>
        <w:rPr>
          <w:rFonts w:ascii="Arial" w:cs="Arial" w:eastAsia="Arial" w:hAnsi="Arial"/>
          <w:sz w:val="22"/>
          <w:szCs w:val="22"/>
          <w:color w:val="auto"/>
        </w:rPr>
        <w:t>. The Executive shall be entitled to paid time off, vacation time plus sick time, consistent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policies.</w:t>
      </w:r>
    </w:p>
    <w:p>
      <w:pPr>
        <w:spacing w:after="0" w:line="174" w:lineRule="exact"/>
        <w:rPr>
          <w:rFonts w:ascii="Arial" w:cs="Arial" w:eastAsia="Arial" w:hAnsi="Arial"/>
          <w:sz w:val="22"/>
          <w:szCs w:val="22"/>
          <w:color w:val="auto"/>
        </w:rPr>
      </w:pPr>
    </w:p>
    <w:p>
      <w:pPr>
        <w:ind w:left="-8" w:right="60" w:firstLine="872"/>
        <w:spacing w:after="0" w:line="236" w:lineRule="auto"/>
        <w:tabs>
          <w:tab w:leader="none" w:pos="1149" w:val="left"/>
        </w:tabs>
        <w:numPr>
          <w:ilvl w:val="1"/>
          <w:numId w:val="49"/>
        </w:numPr>
        <w:rPr>
          <w:rFonts w:ascii="Arial" w:cs="Arial" w:eastAsia="Arial" w:hAnsi="Arial"/>
          <w:sz w:val="22"/>
          <w:szCs w:val="22"/>
          <w:color w:val="auto"/>
        </w:rPr>
      </w:pPr>
      <w:r>
        <w:rPr>
          <w:rFonts w:ascii="Arial" w:cs="Arial" w:eastAsia="Arial" w:hAnsi="Arial"/>
          <w:sz w:val="22"/>
          <w:szCs w:val="22"/>
          <w:i w:val="1"/>
          <w:iCs w:val="1"/>
          <w:color w:val="auto"/>
        </w:rPr>
        <w:t>Benefits</w:t>
      </w:r>
      <w:r>
        <w:rPr>
          <w:rFonts w:ascii="Arial" w:cs="Arial" w:eastAsia="Arial" w:hAnsi="Arial"/>
          <w:sz w:val="22"/>
          <w:szCs w:val="22"/>
          <w:color w:val="auto"/>
        </w:rPr>
        <w:t>. Subject to eligibility requirements and the Company’s polices, the Executive shall have the right, on the</w:t>
      </w:r>
      <w:r>
        <w:rPr>
          <w:rFonts w:ascii="Arial" w:cs="Arial" w:eastAsia="Arial" w:hAnsi="Arial"/>
          <w:sz w:val="22"/>
          <w:szCs w:val="22"/>
          <w:i w:val="1"/>
          <w:iCs w:val="1"/>
          <w:color w:val="auto"/>
        </w:rPr>
        <w:t xml:space="preserve"> </w:t>
      </w:r>
      <w:r>
        <w:rPr>
          <w:rFonts w:ascii="Arial" w:cs="Arial" w:eastAsia="Arial" w:hAnsi="Arial"/>
          <w:sz w:val="22"/>
          <w:szCs w:val="22"/>
          <w:color w:val="auto"/>
        </w:rPr>
        <w:t>same basis as other similarly-situated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w:t>
      </w:r>
    </w:p>
    <w:p>
      <w:pPr>
        <w:spacing w:after="0" w:line="187" w:lineRule="exact"/>
        <w:rPr>
          <w:rFonts w:ascii="Arial" w:cs="Arial" w:eastAsia="Arial" w:hAnsi="Arial"/>
          <w:sz w:val="22"/>
          <w:szCs w:val="22"/>
          <w:color w:val="auto"/>
        </w:rPr>
      </w:pPr>
    </w:p>
    <w:p>
      <w:pPr>
        <w:ind w:left="1132" w:hanging="268"/>
        <w:spacing w:after="0"/>
        <w:tabs>
          <w:tab w:leader="none" w:pos="1132" w:val="left"/>
        </w:tabs>
        <w:numPr>
          <w:ilvl w:val="1"/>
          <w:numId w:val="49"/>
        </w:numPr>
        <w:rPr>
          <w:rFonts w:ascii="Arial" w:cs="Arial" w:eastAsia="Arial" w:hAnsi="Arial"/>
          <w:sz w:val="19"/>
          <w:szCs w:val="19"/>
          <w:color w:val="auto"/>
        </w:rPr>
      </w:pPr>
      <w:r>
        <w:rPr>
          <w:rFonts w:ascii="Arial" w:cs="Arial" w:eastAsia="Arial" w:hAnsi="Arial"/>
          <w:sz w:val="19"/>
          <w:szCs w:val="19"/>
          <w:i w:val="1"/>
          <w:iCs w:val="1"/>
          <w:color w:val="auto"/>
        </w:rPr>
        <w:t>Withholdings</w:t>
      </w:r>
      <w:r>
        <w:rPr>
          <w:rFonts w:ascii="Arial" w:cs="Arial" w:eastAsia="Arial" w:hAnsi="Arial"/>
          <w:sz w:val="19"/>
          <w:szCs w:val="19"/>
          <w:color w:val="auto"/>
        </w:rPr>
        <w:t>. All compensation payable to the Executive shall be subject to applicable taxes and withholdings.</w:t>
      </w:r>
    </w:p>
    <w:p>
      <w:pPr>
        <w:spacing w:after="0" w:line="241"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28" w:top="361" w:right="399" w:bottom="1440" w:gutter="0" w:footer="0" w:header="0"/>
        </w:sectPr>
      </w:pPr>
    </w:p>
    <w:bookmarkStart w:id="80" w:name="page81"/>
    <w:bookmarkEnd w:id="80"/>
    <w:p>
      <w:pPr>
        <w:ind w:left="-8" w:right="120" w:firstLine="8"/>
        <w:spacing w:after="0" w:line="250" w:lineRule="auto"/>
        <w:tabs>
          <w:tab w:leader="none" w:pos="208"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Expenses</w:t>
      </w:r>
      <w:r>
        <w:rPr>
          <w:rFonts w:ascii="Arial" w:cs="Arial" w:eastAsia="Arial" w:hAnsi="Arial"/>
          <w:sz w:val="22"/>
          <w:szCs w:val="22"/>
          <w:color w:val="auto"/>
        </w:rPr>
        <w:t>. The Executive will be reimbursed for his actual, necessary and reasonable business expenses pursuant to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policy, subject to the provisions of Section 3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74" w:lineRule="exact"/>
        <w:rPr>
          <w:rFonts w:ascii="Arial" w:cs="Arial" w:eastAsia="Arial" w:hAnsi="Arial"/>
          <w:sz w:val="22"/>
          <w:szCs w:val="22"/>
          <w:color w:val="auto"/>
        </w:rPr>
      </w:pPr>
    </w:p>
    <w:p>
      <w:pPr>
        <w:ind w:left="-8" w:right="180" w:firstLine="8"/>
        <w:spacing w:after="0" w:line="328" w:lineRule="auto"/>
        <w:tabs>
          <w:tab w:leader="none" w:pos="208" w:val="left"/>
        </w:tabs>
        <w:numPr>
          <w:ilvl w:val="0"/>
          <w:numId w:val="50"/>
        </w:numPr>
        <w:rPr>
          <w:rFonts w:ascii="Arial" w:cs="Arial" w:eastAsia="Arial" w:hAnsi="Arial"/>
          <w:sz w:val="19"/>
          <w:szCs w:val="19"/>
          <w:color w:val="auto"/>
        </w:rPr>
      </w:pPr>
      <w:r>
        <w:rPr>
          <w:rFonts w:ascii="Arial" w:cs="Arial" w:eastAsia="Arial" w:hAnsi="Arial"/>
          <w:sz w:val="19"/>
          <w:szCs w:val="19"/>
          <w:i w:val="1"/>
          <w:iCs w:val="1"/>
          <w:color w:val="auto"/>
        </w:rPr>
        <w:t>Restrictive Covenants Agreement</w:t>
      </w:r>
      <w:r>
        <w:rPr>
          <w:rFonts w:ascii="Arial" w:cs="Arial" w:eastAsia="Arial" w:hAnsi="Arial"/>
          <w:sz w:val="19"/>
          <w:szCs w:val="19"/>
          <w:color w:val="auto"/>
        </w:rPr>
        <w:t>. The Executive hereby acknowledges that in connection with entering into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Executive shall be required to enter into a new Employee Confidentiality and Assignment Agreement with the Company.</w:t>
      </w:r>
    </w:p>
    <w:p>
      <w:pPr>
        <w:spacing w:after="0" w:line="104" w:lineRule="exact"/>
        <w:rPr>
          <w:rFonts w:ascii="Arial" w:cs="Arial" w:eastAsia="Arial" w:hAnsi="Arial"/>
          <w:sz w:val="19"/>
          <w:szCs w:val="19"/>
          <w:color w:val="auto"/>
        </w:rPr>
      </w:pPr>
    </w:p>
    <w:p>
      <w:pPr>
        <w:ind w:left="-8" w:firstLine="8"/>
        <w:spacing w:after="0" w:line="250" w:lineRule="auto"/>
        <w:tabs>
          <w:tab w:leader="none" w:pos="208"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Employment Termination</w:t>
      </w:r>
      <w:r>
        <w:rPr>
          <w:rFonts w:ascii="Arial" w:cs="Arial" w:eastAsia="Arial" w:hAnsi="Arial"/>
          <w:sz w:val="22"/>
          <w:szCs w:val="22"/>
          <w:color w:val="auto"/>
        </w:rPr>
        <w:t>. This Agreement and the employment of the Executive shall terminate upon the occurrence of any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following:</w:t>
      </w:r>
    </w:p>
    <w:p>
      <w:pPr>
        <w:spacing w:after="0" w:line="174" w:lineRule="exact"/>
        <w:rPr>
          <w:rFonts w:ascii="Arial" w:cs="Arial" w:eastAsia="Arial" w:hAnsi="Arial"/>
          <w:sz w:val="22"/>
          <w:szCs w:val="22"/>
          <w:color w:val="auto"/>
        </w:rPr>
      </w:pPr>
    </w:p>
    <w:p>
      <w:pPr>
        <w:ind w:left="-8" w:right="260" w:firstLine="872"/>
        <w:spacing w:after="0" w:line="287" w:lineRule="auto"/>
        <w:tabs>
          <w:tab w:leader="none" w:pos="1149" w:val="left"/>
        </w:tabs>
        <w:numPr>
          <w:ilvl w:val="2"/>
          <w:numId w:val="50"/>
        </w:numPr>
        <w:rPr>
          <w:rFonts w:ascii="Arial" w:cs="Arial" w:eastAsia="Arial" w:hAnsi="Arial"/>
          <w:sz w:val="19"/>
          <w:szCs w:val="19"/>
          <w:color w:val="auto"/>
        </w:rPr>
      </w:pPr>
      <w:r>
        <w:rPr>
          <w:rFonts w:ascii="Arial" w:cs="Arial" w:eastAsia="Arial" w:hAnsi="Arial"/>
          <w:sz w:val="19"/>
          <w:szCs w:val="19"/>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42" w:lineRule="exact"/>
        <w:rPr>
          <w:rFonts w:ascii="Arial" w:cs="Arial" w:eastAsia="Arial" w:hAnsi="Arial"/>
          <w:sz w:val="19"/>
          <w:szCs w:val="19"/>
          <w:color w:val="auto"/>
        </w:rPr>
      </w:pPr>
    </w:p>
    <w:p>
      <w:pPr>
        <w:ind w:left="-8" w:right="240" w:firstLine="872"/>
        <w:spacing w:after="0" w:line="250" w:lineRule="auto"/>
        <w:tabs>
          <w:tab w:leader="none" w:pos="1161" w:val="left"/>
        </w:tabs>
        <w:numPr>
          <w:ilvl w:val="2"/>
          <w:numId w:val="50"/>
        </w:numPr>
        <w:rPr>
          <w:rFonts w:ascii="Arial" w:cs="Arial" w:eastAsia="Arial" w:hAnsi="Arial"/>
          <w:sz w:val="22"/>
          <w:szCs w:val="22"/>
          <w:color w:val="auto"/>
        </w:rPr>
      </w:pPr>
      <w:r>
        <w:rPr>
          <w:rFonts w:ascii="Arial" w:cs="Arial" w:eastAsia="Arial" w:hAnsi="Arial"/>
          <w:sz w:val="22"/>
          <w:szCs w:val="22"/>
          <w:color w:val="auto"/>
        </w:rPr>
        <w:t>At the election of the Company, with or without “Cause” (as defined below), immediately upon written notice by the Company to the Executive. As used in this Agreement, “Cause” shall mean:</w:t>
      </w:r>
    </w:p>
    <w:p>
      <w:pPr>
        <w:spacing w:after="0" w:line="174" w:lineRule="exact"/>
        <w:rPr>
          <w:rFonts w:ascii="Arial" w:cs="Arial" w:eastAsia="Arial" w:hAnsi="Arial"/>
          <w:sz w:val="22"/>
          <w:szCs w:val="22"/>
          <w:color w:val="auto"/>
        </w:rPr>
      </w:pPr>
    </w:p>
    <w:p>
      <w:pPr>
        <w:ind w:left="1692" w:right="60" w:hanging="842"/>
        <w:spacing w:after="0" w:line="297" w:lineRule="auto"/>
        <w:tabs>
          <w:tab w:leader="none" w:pos="1692" w:val="left"/>
        </w:tabs>
        <w:numPr>
          <w:ilvl w:val="1"/>
          <w:numId w:val="50"/>
        </w:numPr>
        <w:rPr>
          <w:rFonts w:ascii="Arial" w:cs="Arial" w:eastAsia="Arial" w:hAnsi="Arial"/>
          <w:sz w:val="19"/>
          <w:szCs w:val="19"/>
          <w:color w:val="auto"/>
        </w:rPr>
      </w:pPr>
      <w:r>
        <w:rPr>
          <w:rFonts w:ascii="Arial" w:cs="Arial" w:eastAsia="Arial" w:hAnsi="Arial"/>
          <w:sz w:val="19"/>
          <w:szCs w:val="19"/>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33" w:lineRule="exact"/>
        <w:rPr>
          <w:rFonts w:ascii="Arial" w:cs="Arial" w:eastAsia="Arial" w:hAnsi="Arial"/>
          <w:sz w:val="19"/>
          <w:szCs w:val="19"/>
          <w:color w:val="auto"/>
        </w:rPr>
      </w:pPr>
    </w:p>
    <w:p>
      <w:pPr>
        <w:ind w:left="1692" w:right="60" w:hanging="842"/>
        <w:spacing w:after="0" w:line="250" w:lineRule="auto"/>
        <w:tabs>
          <w:tab w:leader="none" w:pos="1692" w:val="left"/>
        </w:tabs>
        <w:numPr>
          <w:ilvl w:val="1"/>
          <w:numId w:val="50"/>
        </w:numPr>
        <w:rPr>
          <w:rFonts w:ascii="Arial" w:cs="Arial" w:eastAsia="Arial" w:hAnsi="Arial"/>
          <w:sz w:val="22"/>
          <w:szCs w:val="22"/>
          <w:color w:val="auto"/>
        </w:rPr>
      </w:pPr>
      <w:r>
        <w:rPr>
          <w:rFonts w:ascii="Arial" w:cs="Arial" w:eastAsia="Arial" w:hAnsi="Arial"/>
          <w:sz w:val="22"/>
          <w:szCs w:val="22"/>
          <w:color w:val="auto"/>
        </w:rPr>
        <w:t>Executive’s conviction of (A) a felony or (B) any misdemeanor involving moral turpitude, deceit, dishonesty or fraud;</w:t>
      </w:r>
    </w:p>
    <w:p>
      <w:pPr>
        <w:spacing w:after="0" w:line="174" w:lineRule="exact"/>
        <w:rPr>
          <w:rFonts w:ascii="Arial" w:cs="Arial" w:eastAsia="Arial" w:hAnsi="Arial"/>
          <w:sz w:val="22"/>
          <w:szCs w:val="22"/>
          <w:color w:val="auto"/>
        </w:rPr>
      </w:pPr>
    </w:p>
    <w:p>
      <w:pPr>
        <w:ind w:left="1692" w:right="60" w:hanging="842"/>
        <w:spacing w:after="0" w:line="236" w:lineRule="auto"/>
        <w:tabs>
          <w:tab w:leader="none" w:pos="1692" w:val="left"/>
        </w:tabs>
        <w:numPr>
          <w:ilvl w:val="1"/>
          <w:numId w:val="50"/>
        </w:numPr>
        <w:rPr>
          <w:rFonts w:ascii="Arial" w:cs="Arial" w:eastAsia="Arial" w:hAnsi="Arial"/>
          <w:sz w:val="22"/>
          <w:szCs w:val="22"/>
          <w:color w:val="auto"/>
        </w:rPr>
      </w:pPr>
      <w:r>
        <w:rPr>
          <w:rFonts w:ascii="Arial" w:cs="Arial" w:eastAsia="Arial" w:hAnsi="Arial"/>
          <w:sz w:val="22"/>
          <w:szCs w:val="22"/>
          <w:color w:val="auto"/>
        </w:rPr>
        <w:t>Executive’s gross negligence, willful misconduct or insubordination with respect to the Company that results in or is reasonably anticipated to result in material harm to the Company, provided, however, that the Executive shall have a period of not less than ten (10) days to cure any curable act or omission constituting Cause described in this Section 7(b)(iii) following the Company’s delivery to the Executive of written notice of such act or omission; or</w:t>
      </w:r>
    </w:p>
    <w:p>
      <w:pPr>
        <w:spacing w:after="0" w:line="187" w:lineRule="exact"/>
        <w:rPr>
          <w:rFonts w:ascii="Arial" w:cs="Arial" w:eastAsia="Arial" w:hAnsi="Arial"/>
          <w:sz w:val="22"/>
          <w:szCs w:val="22"/>
          <w:color w:val="auto"/>
        </w:rPr>
      </w:pPr>
    </w:p>
    <w:p>
      <w:pPr>
        <w:ind w:left="1692" w:right="40" w:hanging="842"/>
        <w:spacing w:after="0" w:line="250" w:lineRule="auto"/>
        <w:tabs>
          <w:tab w:leader="none" w:pos="1692" w:val="left"/>
        </w:tabs>
        <w:numPr>
          <w:ilvl w:val="1"/>
          <w:numId w:val="50"/>
        </w:numPr>
        <w:rPr>
          <w:rFonts w:ascii="Arial" w:cs="Arial" w:eastAsia="Arial" w:hAnsi="Arial"/>
          <w:sz w:val="22"/>
          <w:szCs w:val="22"/>
          <w:color w:val="auto"/>
        </w:rPr>
      </w:pPr>
      <w:r>
        <w:rPr>
          <w:rFonts w:ascii="Arial" w:cs="Arial" w:eastAsia="Arial" w:hAnsi="Arial"/>
          <w:sz w:val="22"/>
          <w:szCs w:val="22"/>
          <w:color w:val="auto"/>
        </w:rPr>
        <w:t>Executive’s material violation of any provision of any agreement(s) between the Executive and the Company relating to nonsolicitation, nondisclosure and/or assignment of inventions.</w:t>
      </w:r>
    </w:p>
    <w:p>
      <w:pPr>
        <w:spacing w:after="0" w:line="391"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28" w:top="361" w:right="399" w:bottom="1440" w:gutter="0" w:footer="0" w:header="0"/>
        </w:sectPr>
      </w:pPr>
    </w:p>
    <w:bookmarkStart w:id="81" w:name="page82"/>
    <w:bookmarkEnd w:id="81"/>
    <w:p>
      <w:pPr>
        <w:ind w:right="160" w:firstLine="872"/>
        <w:spacing w:after="0" w:line="297" w:lineRule="auto"/>
        <w:tabs>
          <w:tab w:leader="none" w:pos="1157" w:val="left"/>
        </w:tabs>
        <w:numPr>
          <w:ilvl w:val="1"/>
          <w:numId w:val="51"/>
        </w:numPr>
        <w:rPr>
          <w:rFonts w:ascii="Arial" w:cs="Arial" w:eastAsia="Arial" w:hAnsi="Arial"/>
          <w:sz w:val="19"/>
          <w:szCs w:val="19"/>
          <w:color w:val="auto"/>
        </w:rPr>
      </w:pPr>
      <w:r>
        <w:rPr>
          <w:rFonts w:ascii="Arial" w:cs="Arial" w:eastAsia="Arial" w:hAnsi="Arial"/>
          <w:sz w:val="19"/>
          <w:szCs w:val="19"/>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133" w:lineRule="exact"/>
        <w:rPr>
          <w:rFonts w:ascii="Arial" w:cs="Arial" w:eastAsia="Arial" w:hAnsi="Arial"/>
          <w:sz w:val="19"/>
          <w:szCs w:val="19"/>
          <w:color w:val="auto"/>
        </w:rPr>
      </w:pPr>
    </w:p>
    <w:p>
      <w:pPr>
        <w:ind w:left="1700" w:right="160" w:hanging="842"/>
        <w:spacing w:after="0"/>
        <w:tabs>
          <w:tab w:leader="none" w:pos="17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material diminution of the Executive’s base compensation, other than in connection with, and substantially proportionate to, reductions by the Company of the base compensation of all or substantially all senior executives of the Company;</w:t>
      </w:r>
    </w:p>
    <w:p>
      <w:pPr>
        <w:spacing w:after="0" w:line="186" w:lineRule="exact"/>
        <w:rPr>
          <w:rFonts w:ascii="Arial" w:cs="Arial" w:eastAsia="Arial" w:hAnsi="Arial"/>
          <w:sz w:val="22"/>
          <w:szCs w:val="22"/>
          <w:color w:val="auto"/>
        </w:rPr>
      </w:pPr>
    </w:p>
    <w:p>
      <w:pPr>
        <w:ind w:left="1700" w:hanging="842"/>
        <w:spacing w:after="0"/>
        <w:tabs>
          <w:tab w:leader="none" w:pos="17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material diminution in the Executive’s duties, authority or responsibilities;</w:t>
      </w:r>
    </w:p>
    <w:p>
      <w:pPr>
        <w:spacing w:after="0" w:line="206" w:lineRule="exact"/>
        <w:rPr>
          <w:rFonts w:ascii="Arial" w:cs="Arial" w:eastAsia="Arial" w:hAnsi="Arial"/>
          <w:sz w:val="22"/>
          <w:szCs w:val="22"/>
          <w:color w:val="auto"/>
        </w:rPr>
      </w:pPr>
    </w:p>
    <w:p>
      <w:pPr>
        <w:ind w:left="1700" w:right="80" w:hanging="842"/>
        <w:spacing w:after="0" w:line="250" w:lineRule="auto"/>
        <w:tabs>
          <w:tab w:leader="none" w:pos="17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Company’s requiring Executive to relocate Executive’s primary office more than fifty (50) miles from the Executive’s then-current primary office; or</w:t>
      </w:r>
    </w:p>
    <w:p>
      <w:pPr>
        <w:spacing w:after="0" w:line="175" w:lineRule="exact"/>
        <w:rPr>
          <w:sz w:val="20"/>
          <w:szCs w:val="20"/>
          <w:color w:val="auto"/>
        </w:rPr>
      </w:pPr>
    </w:p>
    <w:p>
      <w:pPr>
        <w:ind w:left="1700" w:right="300" w:hanging="842"/>
        <w:spacing w:after="0" w:line="250" w:lineRule="auto"/>
        <w:tabs>
          <w:tab w:leader="none" w:pos="17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material breach of this Agreement or any other agreement between the Company and the Executive by the Company not otherwise covered by this paragraph;</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85"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Effect of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00" w:firstLine="872"/>
        <w:spacing w:after="0" w:line="272" w:lineRule="auto"/>
        <w:tabs>
          <w:tab w:leader="none" w:pos="1207" w:val="left"/>
        </w:tabs>
        <w:numPr>
          <w:ilvl w:val="1"/>
          <w:numId w:val="54"/>
        </w:numPr>
        <w:rPr>
          <w:rFonts w:ascii="Arial" w:cs="Arial" w:eastAsia="Arial" w:hAnsi="Arial"/>
          <w:sz w:val="19"/>
          <w:szCs w:val="19"/>
          <w:color w:val="auto"/>
        </w:rPr>
      </w:pPr>
      <w:r>
        <w:rPr>
          <w:rFonts w:ascii="Arial" w:cs="Arial" w:eastAsia="Arial" w:hAnsi="Arial"/>
          <w:sz w:val="19"/>
          <w:szCs w:val="19"/>
          <w:i w:val="1"/>
          <w:iCs w:val="1"/>
          <w:color w:val="auto"/>
        </w:rPr>
        <w:t>All Terminations Other Than by the Company Without Cause or by the Executive With Good Reason</w:t>
      </w:r>
      <w:r>
        <w:rPr>
          <w:rFonts w:ascii="Arial" w:cs="Arial" w:eastAsia="Arial" w:hAnsi="Arial"/>
          <w:sz w:val="19"/>
          <w:szCs w:val="19"/>
          <w:color w:val="auto"/>
        </w:rPr>
        <w:t>. If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employment is 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60" w:lineRule="exact"/>
        <w:rPr>
          <w:rFonts w:ascii="Arial" w:cs="Arial" w:eastAsia="Arial" w:hAnsi="Arial"/>
          <w:sz w:val="19"/>
          <w:szCs w:val="19"/>
          <w:color w:val="auto"/>
        </w:rPr>
      </w:pPr>
    </w:p>
    <w:p>
      <w:pPr>
        <w:ind w:right="80" w:firstLine="872"/>
        <w:spacing w:after="0"/>
        <w:tabs>
          <w:tab w:leader="none" w:pos="1169" w:val="left"/>
        </w:tabs>
        <w:numPr>
          <w:ilvl w:val="1"/>
          <w:numId w:val="54"/>
        </w:numPr>
        <w:rPr>
          <w:rFonts w:ascii="Arial" w:cs="Arial" w:eastAsia="Arial" w:hAnsi="Arial"/>
          <w:sz w:val="22"/>
          <w:szCs w:val="22"/>
          <w:color w:val="auto"/>
        </w:rPr>
      </w:pPr>
      <w:r>
        <w:rPr>
          <w:rFonts w:ascii="Arial" w:cs="Arial" w:eastAsia="Arial" w:hAnsi="Arial"/>
          <w:sz w:val="22"/>
          <w:szCs w:val="22"/>
          <w:i w:val="1"/>
          <w:iCs w:val="1"/>
          <w:color w:val="auto"/>
        </w:rPr>
        <w:t xml:space="preserve">Termination by the Company Without Cause or by the Executive With Good Reason Prior to or More Than Twelve Months Following a Change in Control. </w:t>
      </w:r>
      <w:r>
        <w:rPr>
          <w:rFonts w:ascii="Arial" w:cs="Arial" w:eastAsia="Arial" w:hAnsi="Arial"/>
          <w:sz w:val="22"/>
          <w:szCs w:val="22"/>
          <w:color w:val="auto"/>
        </w:rPr>
        <w:t>If the Executive’s employment is terminated by the Company without Cause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7(b) or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2" w:name="page83"/>
    <w:bookmarkEnd w:id="82"/>
    <w:p>
      <w:pPr>
        <w:spacing w:after="0"/>
        <w:rPr>
          <w:sz w:val="20"/>
          <w:szCs w:val="20"/>
          <w:color w:val="auto"/>
        </w:rPr>
      </w:pPr>
      <w:r>
        <w:rPr>
          <w:rFonts w:ascii="Arial" w:cs="Arial" w:eastAsia="Arial" w:hAnsi="Arial"/>
          <w:sz w:val="19"/>
          <w:szCs w:val="19"/>
          <w:color w:val="auto"/>
        </w:rPr>
        <w:t>Executive with Good Reason pursuant to Section 7(c) (in either case, a “Qualifying Termination”) prior to or more than twelve</w:t>
      </w:r>
    </w:p>
    <w:p>
      <w:pPr>
        <w:spacing w:after="0" w:line="43" w:lineRule="exact"/>
        <w:rPr>
          <w:sz w:val="20"/>
          <w:szCs w:val="20"/>
          <w:color w:val="auto"/>
        </w:rPr>
      </w:pPr>
    </w:p>
    <w:p>
      <w:pPr>
        <w:ind w:right="60" w:firstLine="8"/>
        <w:spacing w:after="0" w:line="272" w:lineRule="auto"/>
        <w:tabs>
          <w:tab w:leader="none" w:pos="414"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months following a Change in Control (as defined below), the Executive shall be entitled to the Accrued Obligations. In addition, and subject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conditions of Section 8(d), the Company shall: (i) continue to pay to the Executive, in accordance with the Company’s regularly established payroll procedures, the Executive’s Base Salary for a period of twelve (12) months and (ii)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161" w:lineRule="exact"/>
        <w:rPr>
          <w:rFonts w:ascii="Arial" w:cs="Arial" w:eastAsia="Arial" w:hAnsi="Arial"/>
          <w:sz w:val="19"/>
          <w:szCs w:val="19"/>
          <w:color w:val="auto"/>
        </w:rPr>
      </w:pPr>
    </w:p>
    <w:p>
      <w:pPr>
        <w:ind w:right="60" w:firstLine="872"/>
        <w:spacing w:after="0" w:line="271" w:lineRule="auto"/>
        <w:tabs>
          <w:tab w:leader="none" w:pos="1157" w:val="left"/>
        </w:tabs>
        <w:numPr>
          <w:ilvl w:val="1"/>
          <w:numId w:val="55"/>
        </w:numPr>
        <w:rPr>
          <w:rFonts w:ascii="Arial" w:cs="Arial" w:eastAsia="Arial" w:hAnsi="Arial"/>
          <w:sz w:val="19"/>
          <w:szCs w:val="19"/>
          <w:color w:val="auto"/>
        </w:rPr>
      </w:pPr>
      <w:r>
        <w:rPr>
          <w:rFonts w:ascii="Arial" w:cs="Arial" w:eastAsia="Arial" w:hAnsi="Arial"/>
          <w:sz w:val="19"/>
          <w:szCs w:val="19"/>
          <w:i w:val="1"/>
          <w:iCs w:val="1"/>
          <w:color w:val="auto"/>
        </w:rPr>
        <w:t xml:space="preserve">Termination by the Company Without Cause or by the Executive With Good Reason Within Twelve Months Following a Change in Control. </w:t>
      </w:r>
      <w:r>
        <w:rPr>
          <w:rFonts w:ascii="Arial" w:cs="Arial" w:eastAsia="Arial" w:hAnsi="Arial"/>
          <w:sz w:val="19"/>
          <w:szCs w:val="19"/>
          <w:color w:val="auto"/>
        </w:rPr>
        <w:t>If a Qualifying Termination occurs within twelve (12) months following a Change in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then the Executive shall be entitled to the Accrued Obligations. In addition, and subject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conditions of Section 8(d), the Company shall: (i) continue to pay to the Executive, in accordance with the Company’s regularly established payroll procedures, the Executive’s Base Salary (or, if higher, the Executive’s Base Salary in effect immediately prior to the Change in Control) for a period of twelve (12)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non-forfeitable as of the termination date (collectively, the “Change in Control Severance Benefits”).</w:t>
      </w:r>
    </w:p>
    <w:p>
      <w:pPr>
        <w:spacing w:after="0" w:line="160" w:lineRule="exact"/>
        <w:rPr>
          <w:rFonts w:ascii="Arial" w:cs="Arial" w:eastAsia="Arial" w:hAnsi="Arial"/>
          <w:sz w:val="19"/>
          <w:szCs w:val="19"/>
          <w:color w:val="auto"/>
        </w:rPr>
      </w:pPr>
    </w:p>
    <w:p>
      <w:pPr>
        <w:ind w:firstLine="872"/>
        <w:spacing w:after="0" w:line="245" w:lineRule="auto"/>
        <w:tabs>
          <w:tab w:leader="none" w:pos="1169" w:val="left"/>
        </w:tabs>
        <w:numPr>
          <w:ilvl w:val="1"/>
          <w:numId w:val="55"/>
        </w:numPr>
        <w:rPr>
          <w:rFonts w:ascii="Arial" w:cs="Arial" w:eastAsia="Arial" w:hAnsi="Arial"/>
          <w:sz w:val="21"/>
          <w:szCs w:val="21"/>
          <w:color w:val="auto"/>
        </w:rPr>
      </w:pPr>
      <w:r>
        <w:rPr>
          <w:rFonts w:ascii="Arial" w:cs="Arial" w:eastAsia="Arial" w:hAnsi="Arial"/>
          <w:sz w:val="21"/>
          <w:szCs w:val="21"/>
          <w:i w:val="1"/>
          <w:iCs w:val="1"/>
          <w:color w:val="auto"/>
        </w:rPr>
        <w:t>Release</w:t>
      </w:r>
      <w:r>
        <w:rPr>
          <w:rFonts w:ascii="Arial" w:cs="Arial" w:eastAsia="Arial" w:hAnsi="Arial"/>
          <w:sz w:val="21"/>
          <w:szCs w:val="21"/>
          <w:color w:val="auto"/>
        </w:rPr>
        <w:t>. As a condition of the Executive’s receipt of the Severance Benefits or the Change in Control Severance</w:t>
      </w:r>
      <w:r>
        <w:rPr>
          <w:rFonts w:ascii="Arial" w:cs="Arial" w:eastAsia="Arial" w:hAnsi="Arial"/>
          <w:sz w:val="21"/>
          <w:szCs w:val="21"/>
          <w:i w:val="1"/>
          <w:iCs w:val="1"/>
          <w:color w:val="auto"/>
        </w:rPr>
        <w:t xml:space="preserve"> </w:t>
      </w:r>
      <w:r>
        <w:rPr>
          <w:rFonts w:ascii="Arial" w:cs="Arial" w:eastAsia="Arial" w:hAnsi="Arial"/>
          <w:sz w:val="21"/>
          <w:szCs w:val="21"/>
          <w:color w:val="auto"/>
        </w:rPr>
        <w:t>Benefits, as applicable, the 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3" w:name="page84"/>
    <w:bookmarkEnd w:id="83"/>
    <w:p>
      <w:pPr>
        <w:ind w:right="220"/>
        <w:spacing w:after="0" w:line="238" w:lineRule="auto"/>
        <w:rPr>
          <w:sz w:val="20"/>
          <w:szCs w:val="20"/>
          <w:color w:val="auto"/>
        </w:rPr>
      </w:pPr>
      <w:r>
        <w:rPr>
          <w:rFonts w:ascii="Arial" w:cs="Arial" w:eastAsia="Arial" w:hAnsi="Arial"/>
          <w:sz w:val="22"/>
          <w:szCs w:val="22"/>
          <w:color w:val="auto"/>
        </w:rPr>
        <w:t>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185" w:lineRule="exact"/>
        <w:rPr>
          <w:sz w:val="20"/>
          <w:szCs w:val="20"/>
          <w:color w:val="auto"/>
        </w:rPr>
      </w:pPr>
    </w:p>
    <w:p>
      <w:pPr>
        <w:ind w:firstLine="872"/>
        <w:spacing w:after="0" w:line="269" w:lineRule="auto"/>
        <w:tabs>
          <w:tab w:leader="none" w:pos="1157"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Change in Control Definition</w:t>
      </w:r>
      <w:r>
        <w:rPr>
          <w:rFonts w:ascii="Arial" w:cs="Arial" w:eastAsia="Arial" w:hAnsi="Arial"/>
          <w:sz w:val="19"/>
          <w:szCs w:val="19"/>
          <w:color w:val="auto"/>
        </w:rPr>
        <w:t>. For purposes of this Agreement, “Change in Control” shall mean the occurrence of</w:t>
      </w:r>
      <w:r>
        <w:rPr>
          <w:rFonts w:ascii="Arial" w:cs="Arial" w:eastAsia="Arial" w:hAnsi="Arial"/>
          <w:sz w:val="19"/>
          <w:szCs w:val="19"/>
          <w:i w:val="1"/>
          <w:iCs w:val="1"/>
          <w:color w:val="auto"/>
        </w:rPr>
        <w:t xml:space="preserve"> </w:t>
      </w:r>
      <w:r>
        <w:rPr>
          <w:rFonts w:ascii="Arial" w:cs="Arial" w:eastAsia="Arial" w:hAnsi="Arial"/>
          <w:sz w:val="19"/>
          <w:szCs w:val="19"/>
          <w:color w:val="auto"/>
        </w:rPr>
        <w:t>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4" w:name="page85"/>
    <w:bookmarkEnd w:id="84"/>
    <w:p>
      <w:pPr>
        <w:ind w:right="20"/>
        <w:spacing w:after="0" w:line="279" w:lineRule="auto"/>
        <w:rPr>
          <w:sz w:val="20"/>
          <w:szCs w:val="20"/>
          <w:color w:val="auto"/>
        </w:rPr>
      </w:pPr>
      <w:r>
        <w:rPr>
          <w:rFonts w:ascii="Arial" w:cs="Arial" w:eastAsia="Arial" w:hAnsi="Arial"/>
          <w:sz w:val="19"/>
          <w:szCs w:val="19"/>
          <w:color w:val="auto"/>
        </w:rPr>
        <w:t>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150" w:lineRule="exact"/>
        <w:rPr>
          <w:sz w:val="20"/>
          <w:szCs w:val="20"/>
          <w:color w:val="auto"/>
        </w:rPr>
      </w:pPr>
    </w:p>
    <w:p>
      <w:pPr>
        <w:ind w:right="140" w:firstLine="8"/>
        <w:spacing w:after="0" w:line="297" w:lineRule="auto"/>
        <w:tabs>
          <w:tab w:leader="none" w:pos="216" w:val="left"/>
        </w:tabs>
        <w:numPr>
          <w:ilvl w:val="0"/>
          <w:numId w:val="57"/>
        </w:numPr>
        <w:rPr>
          <w:rFonts w:ascii="Arial" w:cs="Arial" w:eastAsia="Arial" w:hAnsi="Arial"/>
          <w:sz w:val="19"/>
          <w:szCs w:val="19"/>
          <w:color w:val="auto"/>
        </w:rPr>
      </w:pPr>
      <w:r>
        <w:rPr>
          <w:rFonts w:ascii="Arial" w:cs="Arial" w:eastAsia="Arial" w:hAnsi="Arial"/>
          <w:sz w:val="19"/>
          <w:szCs w:val="19"/>
          <w:i w:val="1"/>
          <w:iCs w:val="1"/>
          <w:color w:val="auto"/>
        </w:rPr>
        <w:t>Absence of Restrictions</w:t>
      </w:r>
      <w:r>
        <w:rPr>
          <w:rFonts w:ascii="Arial" w:cs="Arial" w:eastAsia="Arial" w:hAnsi="Arial"/>
          <w:sz w:val="19"/>
          <w:szCs w:val="19"/>
          <w:color w:val="auto"/>
        </w:rPr>
        <w:t>. The Executive represents and warrants that the Executive is not bound by any employment contracts,</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133" w:lineRule="exact"/>
        <w:rPr>
          <w:rFonts w:ascii="Arial" w:cs="Arial" w:eastAsia="Arial" w:hAnsi="Arial"/>
          <w:sz w:val="19"/>
          <w:szCs w:val="19"/>
          <w:color w:val="auto"/>
        </w:rPr>
      </w:pPr>
    </w:p>
    <w:p>
      <w:pPr>
        <w:ind w:right="220" w:firstLine="8"/>
        <w:spacing w:after="0" w:line="238" w:lineRule="auto"/>
        <w:tabs>
          <w:tab w:leader="none" w:pos="324"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Notice</w:t>
      </w:r>
      <w:r>
        <w:rPr>
          <w:rFonts w:ascii="Arial" w:cs="Arial" w:eastAsia="Arial" w:hAnsi="Arial"/>
          <w:sz w:val="22"/>
          <w:szCs w:val="22"/>
          <w:color w:val="auto"/>
        </w:rPr>
        <w:t>. Any notice delivered under this Agreement shall be deemed duly delivered three (3) business days after it is sent by</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To Executive: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At the address set forth in the Executive’s personnel file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To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Fulcrum Therapeutics, Inc.</w:t>
      </w:r>
    </w:p>
    <w:p>
      <w:pPr>
        <w:ind w:left="880"/>
        <w:spacing w:after="0" w:line="238" w:lineRule="auto"/>
        <w:rPr>
          <w:sz w:val="20"/>
          <w:szCs w:val="20"/>
          <w:color w:val="auto"/>
        </w:rPr>
      </w:pPr>
      <w:r>
        <w:rPr>
          <w:rFonts w:ascii="Arial" w:cs="Arial" w:eastAsia="Arial" w:hAnsi="Arial"/>
          <w:sz w:val="22"/>
          <w:szCs w:val="22"/>
          <w:color w:val="auto"/>
        </w:rPr>
        <w:t>26 Landsdowne Street, 5</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880"/>
        <w:spacing w:after="0"/>
        <w:rPr>
          <w:sz w:val="20"/>
          <w:szCs w:val="20"/>
          <w:color w:val="auto"/>
        </w:rPr>
      </w:pPr>
      <w:r>
        <w:rPr>
          <w:rFonts w:ascii="Arial" w:cs="Arial" w:eastAsia="Arial" w:hAnsi="Arial"/>
          <w:sz w:val="22"/>
          <w:szCs w:val="22"/>
          <w:color w:val="auto"/>
        </w:rPr>
        <w:t>Cambridge, MA 02139</w:t>
      </w:r>
    </w:p>
    <w:p>
      <w:pPr>
        <w:spacing w:after="0" w:line="188"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Either Party may change the address to which notices are to be delivered by giving notice of such change to the other Party in the manner set forth in this Section 10.</w:t>
      </w:r>
    </w:p>
    <w:p>
      <w:pPr>
        <w:spacing w:after="0" w:line="175" w:lineRule="exact"/>
        <w:rPr>
          <w:sz w:val="20"/>
          <w:szCs w:val="20"/>
          <w:color w:val="auto"/>
        </w:rPr>
      </w:pPr>
    </w:p>
    <w:p>
      <w:pPr>
        <w:ind w:firstLine="8"/>
        <w:spacing w:after="0" w:line="234" w:lineRule="auto"/>
        <w:tabs>
          <w:tab w:leader="none" w:pos="316"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Applicable Law; Jury Trial Waiver</w:t>
      </w:r>
      <w:r>
        <w:rPr>
          <w:rFonts w:ascii="Arial" w:cs="Arial" w:eastAsia="Arial" w:hAnsi="Arial"/>
          <w:sz w:val="22"/>
          <w:szCs w:val="22"/>
          <w:color w:val="auto"/>
        </w:rPr>
        <w:t>. This Agreement shall be governed by and construed in accordance with the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5" w:name="page86"/>
    <w:bookmarkEnd w:id="85"/>
    <w:p>
      <w:pPr>
        <w:ind w:left="-8" w:right="140" w:firstLine="8"/>
        <w:spacing w:after="0" w:line="238" w:lineRule="auto"/>
        <w:tabs>
          <w:tab w:leader="none" w:pos="316"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Successors and Assigns</w:t>
      </w:r>
      <w:r>
        <w:rPr>
          <w:rFonts w:ascii="Arial" w:cs="Arial" w:eastAsia="Arial" w:hAnsi="Arial"/>
          <w:sz w:val="22"/>
          <w:szCs w:val="22"/>
          <w:color w:val="auto"/>
        </w:rPr>
        <w:t>. This Agreement shall be binding upon and inure to the benefit of both Parties and their respective</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184" w:lineRule="exact"/>
        <w:rPr>
          <w:rFonts w:ascii="Arial" w:cs="Arial" w:eastAsia="Arial" w:hAnsi="Arial"/>
          <w:sz w:val="22"/>
          <w:szCs w:val="22"/>
          <w:color w:val="auto"/>
        </w:rPr>
      </w:pPr>
    </w:p>
    <w:p>
      <w:pPr>
        <w:ind w:left="-8" w:firstLine="8"/>
        <w:spacing w:after="0"/>
        <w:tabs>
          <w:tab w:leader="none" w:pos="316"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At-Will Employment</w:t>
      </w:r>
      <w:r>
        <w:rPr>
          <w:rFonts w:ascii="Arial" w:cs="Arial" w:eastAsia="Arial" w:hAnsi="Arial"/>
          <w:sz w:val="22"/>
          <w:szCs w:val="22"/>
          <w:color w:val="auto"/>
        </w:rPr>
        <w:t>. During the Term of Employment, the Executive will continue to be an at-will employee of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which means that, notwithstanding any other provision set forth herein, the employment relationship can be terminated by either Party for any reason, at any time, with or without prior notice and with or without Cause.</w:t>
      </w:r>
    </w:p>
    <w:p>
      <w:pPr>
        <w:spacing w:after="0" w:line="186" w:lineRule="exact"/>
        <w:rPr>
          <w:rFonts w:ascii="Arial" w:cs="Arial" w:eastAsia="Arial" w:hAnsi="Arial"/>
          <w:sz w:val="22"/>
          <w:szCs w:val="22"/>
          <w:color w:val="auto"/>
        </w:rPr>
      </w:pPr>
    </w:p>
    <w:p>
      <w:pPr>
        <w:ind w:left="-8" w:right="20" w:firstLine="8"/>
        <w:spacing w:after="0" w:line="238" w:lineRule="auto"/>
        <w:tabs>
          <w:tab w:leader="none" w:pos="316"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Acknowledgment</w:t>
      </w:r>
      <w:r>
        <w:rPr>
          <w:rFonts w:ascii="Arial" w:cs="Arial" w:eastAsia="Arial" w:hAnsi="Arial"/>
          <w:sz w:val="22"/>
          <w:szCs w:val="22"/>
          <w:color w:val="auto"/>
        </w:rPr>
        <w:t>. The Executive states and represents that the Executive has had an opportunity to fully discuss and review</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84" w:lineRule="exact"/>
        <w:rPr>
          <w:rFonts w:ascii="Arial" w:cs="Arial" w:eastAsia="Arial" w:hAnsi="Arial"/>
          <w:sz w:val="22"/>
          <w:szCs w:val="22"/>
          <w:color w:val="auto"/>
        </w:rPr>
      </w:pPr>
    </w:p>
    <w:p>
      <w:pPr>
        <w:ind w:left="-8" w:right="140" w:firstLine="8"/>
        <w:spacing w:after="0" w:line="236" w:lineRule="auto"/>
        <w:tabs>
          <w:tab w:leader="none" w:pos="316"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No Oral Modification, Waiver, Cancellation or Discharge</w:t>
      </w:r>
      <w:r>
        <w:rPr>
          <w:rFonts w:ascii="Arial" w:cs="Arial" w:eastAsia="Arial" w:hAnsi="Arial"/>
          <w:sz w:val="22"/>
          <w:szCs w:val="22"/>
          <w:color w:val="auto"/>
        </w:rPr>
        <w:t>. This Agreement may be amended or modified only by a written</w:t>
      </w:r>
      <w:r>
        <w:rPr>
          <w:rFonts w:ascii="Arial" w:cs="Arial" w:eastAsia="Arial" w:hAnsi="Arial"/>
          <w:sz w:val="22"/>
          <w:szCs w:val="22"/>
          <w:i w:val="1"/>
          <w:iCs w:val="1"/>
          <w:color w:val="auto"/>
        </w:rPr>
        <w:t xml:space="preserve"> </w:t>
      </w:r>
      <w:r>
        <w:rPr>
          <w:rFonts w:ascii="Arial" w:cs="Arial" w:eastAsia="Arial" w:hAnsi="Arial"/>
          <w:sz w:val="22"/>
          <w:szCs w:val="22"/>
          <w:color w:val="auto"/>
        </w:rPr>
        <w:t>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87" w:lineRule="exact"/>
        <w:rPr>
          <w:rFonts w:ascii="Arial" w:cs="Arial" w:eastAsia="Arial" w:hAnsi="Arial"/>
          <w:sz w:val="22"/>
          <w:szCs w:val="22"/>
          <w:color w:val="auto"/>
        </w:rPr>
      </w:pPr>
    </w:p>
    <w:p>
      <w:pPr>
        <w:jc w:val="both"/>
        <w:ind w:left="-8" w:right="60" w:firstLine="8"/>
        <w:spacing w:after="0" w:line="238" w:lineRule="auto"/>
        <w:tabs>
          <w:tab w:leader="none" w:pos="316"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Captions and Pronouns</w:t>
      </w:r>
      <w:r>
        <w:rPr>
          <w:rFonts w:ascii="Arial" w:cs="Arial" w:eastAsia="Arial" w:hAnsi="Arial"/>
          <w:sz w:val="22"/>
          <w:szCs w:val="22"/>
          <w:color w:val="auto"/>
        </w:rPr>
        <w:t>. The captions of the sections of this Agreement are for convenience of reference only and in no way</w:t>
      </w:r>
      <w:r>
        <w:rPr>
          <w:rFonts w:ascii="Arial" w:cs="Arial" w:eastAsia="Arial" w:hAnsi="Arial"/>
          <w:sz w:val="22"/>
          <w:szCs w:val="22"/>
          <w:i w:val="1"/>
          <w:iCs w:val="1"/>
          <w:color w:val="auto"/>
        </w:rPr>
        <w:t xml:space="preserve"> </w:t>
      </w:r>
      <w:r>
        <w:rPr>
          <w:rFonts w:ascii="Arial" w:cs="Arial" w:eastAsia="Arial" w:hAnsi="Arial"/>
          <w:sz w:val="22"/>
          <w:szCs w:val="22"/>
          <w:color w:val="auto"/>
        </w:rPr>
        <w:t>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84" w:lineRule="exact"/>
        <w:rPr>
          <w:rFonts w:ascii="Arial" w:cs="Arial" w:eastAsia="Arial" w:hAnsi="Arial"/>
          <w:sz w:val="22"/>
          <w:szCs w:val="22"/>
          <w:color w:val="auto"/>
        </w:rPr>
      </w:pPr>
    </w:p>
    <w:p>
      <w:pPr>
        <w:ind w:left="-8" w:right="120" w:firstLine="8"/>
        <w:spacing w:after="0" w:line="238" w:lineRule="auto"/>
        <w:tabs>
          <w:tab w:leader="none" w:pos="316"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Interpretation</w:t>
      </w:r>
      <w:r>
        <w:rPr>
          <w:rFonts w:ascii="Arial" w:cs="Arial" w:eastAsia="Arial" w:hAnsi="Arial"/>
          <w:sz w:val="22"/>
          <w:szCs w:val="22"/>
          <w:color w:val="auto"/>
        </w:rPr>
        <w:t>. The Parties agree that this Agreement will be construed without regard to any presumption or rule requiring</w:t>
      </w:r>
      <w:r>
        <w:rPr>
          <w:rFonts w:ascii="Arial" w:cs="Arial" w:eastAsia="Arial" w:hAnsi="Arial"/>
          <w:sz w:val="22"/>
          <w:szCs w:val="22"/>
          <w:i w:val="1"/>
          <w:iCs w:val="1"/>
          <w:color w:val="auto"/>
        </w:rPr>
        <w:t xml:space="preserve"> </w:t>
      </w:r>
      <w:r>
        <w:rPr>
          <w:rFonts w:ascii="Arial" w:cs="Arial" w:eastAsia="Arial" w:hAnsi="Arial"/>
          <w:sz w:val="22"/>
          <w:szCs w:val="22"/>
          <w:color w:val="auto"/>
        </w:rPr>
        <w:t>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84" w:lineRule="exact"/>
        <w:rPr>
          <w:rFonts w:ascii="Arial" w:cs="Arial" w:eastAsia="Arial" w:hAnsi="Arial"/>
          <w:sz w:val="22"/>
          <w:szCs w:val="22"/>
          <w:color w:val="auto"/>
        </w:rPr>
      </w:pPr>
    </w:p>
    <w:p>
      <w:pPr>
        <w:ind w:left="-8" w:right="100" w:firstLine="8"/>
        <w:spacing w:after="0" w:line="277" w:lineRule="auto"/>
        <w:tabs>
          <w:tab w:leader="none" w:pos="316" w:val="left"/>
        </w:tabs>
        <w:numPr>
          <w:ilvl w:val="0"/>
          <w:numId w:val="59"/>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Each provision of this Agreement must be interpreted in such manner as to be effective and valid under</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5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361" w:right="339" w:bottom="1440" w:gutter="0" w:footer="0" w:header="0"/>
        </w:sectPr>
      </w:pPr>
    </w:p>
    <w:bookmarkStart w:id="86" w:name="page87"/>
    <w:bookmarkEnd w:id="86"/>
    <w:p>
      <w:pPr>
        <w:ind w:left="-8" w:firstLine="8"/>
        <w:spacing w:after="0"/>
        <w:tabs>
          <w:tab w:leader="none" w:pos="316" w:val="left"/>
        </w:tabs>
        <w:numPr>
          <w:ilvl w:val="0"/>
          <w:numId w:val="60"/>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constitutes the entire agreement between the Parties and supersedes all prior agreements</w:t>
      </w:r>
      <w:r>
        <w:rPr>
          <w:rFonts w:ascii="Arial" w:cs="Arial" w:eastAsia="Arial" w:hAnsi="Arial"/>
          <w:sz w:val="22"/>
          <w:szCs w:val="22"/>
          <w:i w:val="1"/>
          <w:iCs w:val="1"/>
          <w:color w:val="auto"/>
        </w:rPr>
        <w:t xml:space="preserve"> </w:t>
      </w:r>
      <w:r>
        <w:rPr>
          <w:rFonts w:ascii="Arial" w:cs="Arial" w:eastAsia="Arial" w:hAnsi="Arial"/>
          <w:sz w:val="22"/>
          <w:szCs w:val="22"/>
          <w:color w:val="auto"/>
        </w:rPr>
        <w:t>and understandings, whether written or oral, relating to the subject matter of this Agreement, including, without limitation, the Existing Agreement.</w:t>
      </w:r>
    </w:p>
    <w:p>
      <w:pPr>
        <w:spacing w:after="0" w:line="200" w:lineRule="exact"/>
        <w:rPr>
          <w:sz w:val="20"/>
          <w:szCs w:val="20"/>
          <w:color w:val="auto"/>
        </w:rPr>
      </w:pPr>
    </w:p>
    <w:p>
      <w:pPr>
        <w:spacing w:after="0" w:line="229"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[Signatures on Page Following]</w:t>
      </w:r>
    </w:p>
    <w:p>
      <w:pPr>
        <w:spacing w:after="0" w:line="206"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12"/>
          </w:cols>
          <w:pgMar w:left="328" w:top="361" w:right="559" w:bottom="1440" w:gutter="0" w:footer="0" w:header="0"/>
        </w:sectPr>
      </w:pPr>
    </w:p>
    <w:bookmarkStart w:id="87" w:name="page88"/>
    <w:bookmarkEnd w:id="87"/>
    <w:p>
      <w:pPr>
        <w:spacing w:after="0"/>
        <w:rPr>
          <w:sz w:val="20"/>
          <w:szCs w:val="20"/>
          <w:color w:val="auto"/>
        </w:rPr>
      </w:pPr>
      <w:r>
        <w:rPr>
          <w:rFonts w:ascii="Arial" w:cs="Arial" w:eastAsia="Arial" w:hAnsi="Arial"/>
          <w:sz w:val="19"/>
          <w:szCs w:val="19"/>
          <w:color w:val="auto"/>
        </w:rPr>
        <w:t>IN WITNESS WHEREOF, the Parties hereto have executed this Agreement as of the day and year set forth above.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740" w:type="dxa"/>
            <w:vAlign w:val="bottom"/>
          </w:tcPr>
          <w:p>
            <w:pPr>
              <w:ind w:left="220"/>
              <w:spacing w:after="0"/>
              <w:rPr>
                <w:sz w:val="20"/>
                <w:szCs w:val="20"/>
                <w:color w:val="auto"/>
              </w:rPr>
            </w:pPr>
            <w:r>
              <w:rPr>
                <w:rFonts w:ascii="Arial" w:cs="Arial" w:eastAsia="Arial" w:hAnsi="Arial"/>
                <w:sz w:val="22"/>
                <w:szCs w:val="22"/>
                <w:color w:val="auto"/>
              </w:rPr>
              <w:t>By:</w:t>
            </w:r>
          </w:p>
        </w:tc>
        <w:tc>
          <w:tcPr>
            <w:tcW w:w="3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J. Gould</w:t>
            </w:r>
          </w:p>
        </w:tc>
      </w:tr>
      <w:tr>
        <w:trPr>
          <w:trHeight w:val="480"/>
        </w:trPr>
        <w:tc>
          <w:tcPr>
            <w:tcW w:w="1740" w:type="dxa"/>
            <w:vAlign w:val="bottom"/>
          </w:tcPr>
          <w:p>
            <w:pPr>
              <w:ind w:left="220"/>
              <w:spacing w:after="0"/>
              <w:rPr>
                <w:sz w:val="20"/>
                <w:szCs w:val="20"/>
                <w:color w:val="auto"/>
              </w:rPr>
            </w:pPr>
            <w:r>
              <w:rPr>
                <w:rFonts w:ascii="Arial" w:cs="Arial" w:eastAsia="Arial" w:hAnsi="Arial"/>
                <w:sz w:val="22"/>
                <w:szCs w:val="22"/>
                <w:color w:val="auto"/>
              </w:rPr>
              <w:t>Name:</w:t>
            </w:r>
          </w:p>
        </w:tc>
        <w:tc>
          <w:tcPr>
            <w:tcW w:w="3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Robert J. Gould</w:t>
            </w:r>
          </w:p>
        </w:tc>
      </w:tr>
      <w:tr>
        <w:trPr>
          <w:trHeight w:val="479"/>
        </w:trPr>
        <w:tc>
          <w:tcPr>
            <w:tcW w:w="1740" w:type="dxa"/>
            <w:vAlign w:val="bottom"/>
          </w:tcPr>
          <w:p>
            <w:pPr>
              <w:ind w:left="220"/>
              <w:spacing w:after="0"/>
              <w:rPr>
                <w:sz w:val="20"/>
                <w:szCs w:val="20"/>
                <w:color w:val="auto"/>
              </w:rPr>
            </w:pPr>
            <w:r>
              <w:rPr>
                <w:rFonts w:ascii="Arial" w:cs="Arial" w:eastAsia="Arial" w:hAnsi="Arial"/>
                <w:sz w:val="22"/>
                <w:szCs w:val="22"/>
                <w:color w:val="auto"/>
              </w:rPr>
              <w:t>Title:</w:t>
            </w:r>
          </w:p>
        </w:tc>
        <w:tc>
          <w:tcPr>
            <w:tcW w:w="3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Pres. &amp; CEO</w:t>
            </w:r>
          </w:p>
        </w:tc>
      </w:tr>
      <w:tr>
        <w:trPr>
          <w:trHeight w:val="490"/>
        </w:trPr>
        <w:tc>
          <w:tcPr>
            <w:tcW w:w="1740" w:type="dxa"/>
            <w:vAlign w:val="bottom"/>
          </w:tcPr>
          <w:p>
            <w:pPr>
              <w:spacing w:after="0"/>
              <w:rPr>
                <w:sz w:val="20"/>
                <w:szCs w:val="20"/>
                <w:color w:val="auto"/>
              </w:rPr>
            </w:pPr>
            <w:r>
              <w:rPr>
                <w:rFonts w:ascii="Arial" w:cs="Arial" w:eastAsia="Arial" w:hAnsi="Arial"/>
                <w:sz w:val="22"/>
                <w:szCs w:val="22"/>
                <w:color w:val="auto"/>
              </w:rPr>
              <w:t>EXECUTIVE:</w:t>
            </w:r>
          </w:p>
        </w:tc>
        <w:tc>
          <w:tcPr>
            <w:tcW w:w="3160" w:type="dxa"/>
            <w:vAlign w:val="bottom"/>
          </w:tcPr>
          <w:p>
            <w:pPr>
              <w:spacing w:after="0"/>
              <w:rPr>
                <w:sz w:val="24"/>
                <w:szCs w:val="24"/>
                <w:color w:val="auto"/>
              </w:rPr>
            </w:pPr>
          </w:p>
        </w:tc>
      </w:tr>
      <w:tr>
        <w:trPr>
          <w:trHeight w:val="476"/>
        </w:trPr>
        <w:tc>
          <w:tcPr>
            <w:tcW w:w="1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Owen Wallace</w:t>
            </w:r>
          </w:p>
        </w:tc>
        <w:tc>
          <w:tcPr>
            <w:tcW w:w="3160" w:type="dxa"/>
            <w:vAlign w:val="bottom"/>
            <w:tcBorders>
              <w:bottom w:val="single" w:sz="8" w:color="auto"/>
            </w:tcBorders>
          </w:tcPr>
          <w:p>
            <w:pPr>
              <w:spacing w:after="0"/>
              <w:rPr>
                <w:sz w:val="24"/>
                <w:szCs w:val="24"/>
                <w:color w:val="auto"/>
              </w:rPr>
            </w:pPr>
          </w:p>
        </w:tc>
      </w:tr>
      <w:tr>
        <w:trPr>
          <w:trHeight w:val="268"/>
        </w:trPr>
        <w:tc>
          <w:tcPr>
            <w:tcW w:w="1740" w:type="dxa"/>
            <w:vAlign w:val="bottom"/>
          </w:tcPr>
          <w:p>
            <w:pPr>
              <w:spacing w:after="0"/>
              <w:rPr>
                <w:sz w:val="20"/>
                <w:szCs w:val="20"/>
                <w:color w:val="auto"/>
              </w:rPr>
            </w:pPr>
            <w:r>
              <w:rPr>
                <w:rFonts w:ascii="Arial" w:cs="Arial" w:eastAsia="Arial" w:hAnsi="Arial"/>
                <w:sz w:val="22"/>
                <w:szCs w:val="22"/>
                <w:color w:val="auto"/>
              </w:rPr>
              <w:t>Owen Wallace</w:t>
            </w:r>
          </w:p>
        </w:tc>
        <w:tc>
          <w:tcPr>
            <w:tcW w:w="3160" w:type="dxa"/>
            <w:vAlign w:val="bottom"/>
          </w:tcPr>
          <w:p>
            <w:pPr>
              <w:spacing w:after="0"/>
              <w:rPr>
                <w:sz w:val="23"/>
                <w:szCs w:val="23"/>
                <w:color w:val="auto"/>
              </w:rPr>
            </w:pPr>
          </w:p>
        </w:tc>
      </w:tr>
    </w:tbl>
    <w:p>
      <w:pPr>
        <w:spacing w:after="0" w:line="200" w:lineRule="exact"/>
        <w:rPr>
          <w:sz w:val="20"/>
          <w:szCs w:val="20"/>
          <w:color w:val="auto"/>
        </w:rPr>
      </w:pP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Subject to Section 409A</w:t>
      </w:r>
    </w:p>
    <w:p>
      <w:pPr>
        <w:spacing w:after="0" w:line="212" w:lineRule="exact"/>
        <w:rPr>
          <w:sz w:val="20"/>
          <w:szCs w:val="20"/>
          <w:color w:val="auto"/>
        </w:rPr>
      </w:pPr>
    </w:p>
    <w:p>
      <w:pPr>
        <w:ind w:left="-40" w:right="440" w:firstLine="872"/>
        <w:spacing w:after="0" w:line="252" w:lineRule="auto"/>
        <w:tabs>
          <w:tab w:leader="none" w:pos="1634" w:val="left"/>
        </w:tabs>
        <w:numPr>
          <w:ilvl w:val="0"/>
          <w:numId w:val="61"/>
        </w:numPr>
        <w:rPr>
          <w:rFonts w:ascii="Arial" w:cs="Arial" w:eastAsia="Arial" w:hAnsi="Arial"/>
          <w:sz w:val="21"/>
          <w:szCs w:val="21"/>
          <w:color w:val="auto"/>
        </w:rPr>
      </w:pPr>
      <w:r>
        <w:rPr>
          <w:rFonts w:ascii="Arial" w:cs="Arial" w:eastAsia="Arial" w:hAnsi="Arial"/>
          <w:sz w:val="21"/>
          <w:szCs w:val="21"/>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173" w:lineRule="exact"/>
        <w:rPr>
          <w:rFonts w:ascii="Arial" w:cs="Arial" w:eastAsia="Arial" w:hAnsi="Arial"/>
          <w:sz w:val="21"/>
          <w:szCs w:val="21"/>
          <w:color w:val="auto"/>
        </w:rPr>
      </w:pPr>
    </w:p>
    <w:p>
      <w:pPr>
        <w:ind w:left="840" w:right="180" w:firstLine="789"/>
        <w:spacing w:after="0" w:line="276" w:lineRule="auto"/>
        <w:tabs>
          <w:tab w:leader="none" w:pos="2525" w:val="left"/>
        </w:tabs>
        <w:numPr>
          <w:ilvl w:val="1"/>
          <w:numId w:val="61"/>
        </w:numPr>
        <w:rPr>
          <w:rFonts w:ascii="Arial" w:cs="Arial" w:eastAsia="Arial" w:hAnsi="Arial"/>
          <w:sz w:val="19"/>
          <w:szCs w:val="19"/>
          <w:color w:val="auto"/>
        </w:rPr>
      </w:pPr>
      <w:r>
        <w:rPr>
          <w:rFonts w:ascii="Arial" w:cs="Arial" w:eastAsia="Arial" w:hAnsi="Arial"/>
          <w:sz w:val="19"/>
          <w:szCs w:val="19"/>
          <w:color w:val="auto"/>
        </w:rPr>
        <w:t>It is intended that each installment of the severance payments provided under the Agreement shall be treated as a separate “payment” for purposes of Section 409A of the Internal Revenue Code (“Section</w:t>
      </w:r>
    </w:p>
    <w:p>
      <w:pPr>
        <w:spacing w:after="0" w:line="1" w:lineRule="exact"/>
        <w:rPr>
          <w:rFonts w:ascii="Arial" w:cs="Arial" w:eastAsia="Arial" w:hAnsi="Arial"/>
          <w:sz w:val="19"/>
          <w:szCs w:val="19"/>
          <w:color w:val="auto"/>
        </w:rPr>
      </w:pPr>
    </w:p>
    <w:p>
      <w:pPr>
        <w:ind w:left="840" w:right="380"/>
        <w:spacing w:after="0" w:line="236" w:lineRule="auto"/>
        <w:rPr>
          <w:rFonts w:ascii="Arial" w:cs="Arial" w:eastAsia="Arial" w:hAnsi="Arial"/>
          <w:sz w:val="19"/>
          <w:szCs w:val="19"/>
          <w:color w:val="auto"/>
        </w:rPr>
      </w:pPr>
      <w:r>
        <w:rPr>
          <w:rFonts w:ascii="Arial" w:cs="Arial" w:eastAsia="Arial" w:hAnsi="Arial"/>
          <w:sz w:val="22"/>
          <w:szCs w:val="22"/>
          <w:color w:val="auto"/>
        </w:rPr>
        <w:t>409A”). Neither the Company nor the Executive shall have the right to accelerate or defer the delivery of any such payments except to the extent specifically permitted or required by Section 409A.</w:t>
      </w:r>
    </w:p>
    <w:p>
      <w:pPr>
        <w:spacing w:after="0" w:line="186" w:lineRule="exact"/>
        <w:rPr>
          <w:rFonts w:ascii="Arial" w:cs="Arial" w:eastAsia="Arial" w:hAnsi="Arial"/>
          <w:sz w:val="19"/>
          <w:szCs w:val="19"/>
          <w:color w:val="auto"/>
        </w:rPr>
      </w:pPr>
    </w:p>
    <w:p>
      <w:pPr>
        <w:ind w:left="840" w:right="180" w:firstLine="789"/>
        <w:spacing w:after="0"/>
        <w:tabs>
          <w:tab w:leader="none" w:pos="2537" w:val="left"/>
        </w:tabs>
        <w:numPr>
          <w:ilvl w:val="1"/>
          <w:numId w:val="61"/>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186" w:lineRule="exact"/>
        <w:rPr>
          <w:rFonts w:ascii="Arial" w:cs="Arial" w:eastAsia="Arial" w:hAnsi="Arial"/>
          <w:sz w:val="22"/>
          <w:szCs w:val="22"/>
          <w:color w:val="auto"/>
        </w:rPr>
      </w:pPr>
    </w:p>
    <w:p>
      <w:pPr>
        <w:ind w:left="840" w:right="60" w:firstLine="789"/>
        <w:spacing w:after="0" w:line="250" w:lineRule="auto"/>
        <w:tabs>
          <w:tab w:leader="none" w:pos="2525" w:val="left"/>
        </w:tabs>
        <w:numPr>
          <w:ilvl w:val="1"/>
          <w:numId w:val="61"/>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a “specified employee” (within the meaning of Section 409A), then:</w:t>
      </w:r>
    </w:p>
    <w:p>
      <w:pPr>
        <w:spacing w:after="0" w:line="174" w:lineRule="exact"/>
        <w:rPr>
          <w:rFonts w:ascii="Arial" w:cs="Arial" w:eastAsia="Arial" w:hAnsi="Arial"/>
          <w:sz w:val="22"/>
          <w:szCs w:val="22"/>
          <w:color w:val="auto"/>
        </w:rPr>
      </w:pPr>
    </w:p>
    <w:p>
      <w:pPr>
        <w:ind w:left="2120" w:hanging="438"/>
        <w:spacing w:after="0" w:line="235" w:lineRule="auto"/>
        <w:tabs>
          <w:tab w:leader="none" w:pos="2120" w:val="left"/>
        </w:tabs>
        <w:numPr>
          <w:ilvl w:val="2"/>
          <w:numId w:val="61"/>
        </w:numPr>
        <w:rPr>
          <w:rFonts w:ascii="Arial" w:cs="Arial" w:eastAsia="Arial" w:hAnsi="Arial"/>
          <w:sz w:val="22"/>
          <w:szCs w:val="22"/>
          <w:color w:val="auto"/>
        </w:rPr>
      </w:pPr>
      <w:r>
        <w:rPr>
          <w:rFonts w:ascii="Arial" w:cs="Arial" w:eastAsia="Arial" w:hAnsi="Arial"/>
          <w:sz w:val="22"/>
          <w:szCs w:val="22"/>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187" w:lineRule="exact"/>
        <w:rPr>
          <w:rFonts w:ascii="Arial" w:cs="Arial" w:eastAsia="Arial" w:hAnsi="Arial"/>
          <w:sz w:val="22"/>
          <w:szCs w:val="22"/>
          <w:color w:val="auto"/>
        </w:rPr>
      </w:pPr>
    </w:p>
    <w:p>
      <w:pPr>
        <w:ind w:left="2120" w:right="60" w:hanging="438"/>
        <w:spacing w:after="0" w:line="273" w:lineRule="auto"/>
        <w:tabs>
          <w:tab w:leader="none" w:pos="2120" w:val="left"/>
        </w:tabs>
        <w:numPr>
          <w:ilvl w:val="2"/>
          <w:numId w:val="61"/>
        </w:numPr>
        <w:rPr>
          <w:rFonts w:ascii="Arial" w:cs="Arial" w:eastAsia="Arial" w:hAnsi="Arial"/>
          <w:sz w:val="19"/>
          <w:szCs w:val="19"/>
          <w:color w:val="auto"/>
        </w:rPr>
      </w:pPr>
      <w:r>
        <w:rPr>
          <w:rFonts w:ascii="Arial" w:cs="Arial" w:eastAsia="Arial" w:hAnsi="Arial"/>
          <w:sz w:val="19"/>
          <w:szCs w:val="19"/>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 Treasury Regulation 1.409A-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229870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60" w:top="355" w:right="379" w:bottom="1440" w:gutter="0" w:footer="0" w:header="0"/>
        </w:sectPr>
      </w:pPr>
    </w:p>
    <w:bookmarkStart w:id="89" w:name="page90"/>
    <w:bookmarkEnd w:id="89"/>
    <w:p>
      <w:pPr>
        <w:ind w:left="2160" w:right="200"/>
        <w:spacing w:after="0" w:line="238" w:lineRule="auto"/>
        <w:rPr>
          <w:sz w:val="20"/>
          <w:szCs w:val="20"/>
          <w:color w:val="auto"/>
        </w:rPr>
      </w:pPr>
      <w:r>
        <w:rPr>
          <w:rFonts w:ascii="Arial" w:cs="Arial" w:eastAsia="Arial" w:hAnsi="Arial"/>
          <w:sz w:val="22"/>
          <w:szCs w:val="22"/>
          <w:color w:val="auto"/>
        </w:rPr>
        <w:t>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185" w:lineRule="exact"/>
        <w:rPr>
          <w:sz w:val="20"/>
          <w:szCs w:val="20"/>
          <w:color w:val="auto"/>
        </w:rPr>
      </w:pPr>
    </w:p>
    <w:p>
      <w:pPr>
        <w:ind w:right="40" w:firstLine="872"/>
        <w:spacing w:after="0" w:line="252" w:lineRule="auto"/>
        <w:tabs>
          <w:tab w:leader="none" w:pos="1674"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173" w:lineRule="exact"/>
        <w:rPr>
          <w:rFonts w:ascii="Arial" w:cs="Arial" w:eastAsia="Arial" w:hAnsi="Arial"/>
          <w:sz w:val="21"/>
          <w:szCs w:val="21"/>
          <w:color w:val="auto"/>
        </w:rPr>
      </w:pPr>
    </w:p>
    <w:p>
      <w:pPr>
        <w:ind w:right="60" w:firstLine="872"/>
        <w:spacing w:after="0" w:line="277" w:lineRule="auto"/>
        <w:tabs>
          <w:tab w:leader="none" w:pos="1674" w:val="left"/>
        </w:tabs>
        <w:numPr>
          <w:ilvl w:val="0"/>
          <w:numId w:val="62"/>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51" w:lineRule="exact"/>
        <w:rPr>
          <w:rFonts w:ascii="Arial" w:cs="Arial" w:eastAsia="Arial" w:hAnsi="Arial"/>
          <w:sz w:val="19"/>
          <w:szCs w:val="19"/>
          <w:color w:val="auto"/>
        </w:rPr>
      </w:pPr>
    </w:p>
    <w:p>
      <w:pPr>
        <w:ind w:firstLine="872"/>
        <w:spacing w:after="0" w:line="297" w:lineRule="auto"/>
        <w:tabs>
          <w:tab w:leader="none" w:pos="1674"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33" w:lineRule="exact"/>
        <w:rPr>
          <w:rFonts w:ascii="Arial" w:cs="Arial" w:eastAsia="Arial" w:hAnsi="Arial"/>
          <w:sz w:val="19"/>
          <w:szCs w:val="19"/>
          <w:color w:val="auto"/>
        </w:rPr>
      </w:pPr>
    </w:p>
    <w:p>
      <w:pPr>
        <w:ind w:left="1680" w:hanging="808"/>
        <w:spacing w:after="0"/>
        <w:tabs>
          <w:tab w:leader="none" w:pos="16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Agreement is intended to comply with, or be exempt from, Section 409A and shall be interpreted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[Remainder of page intentionally left blank.]</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80"/>
          </w:cols>
          <w:pgMar w:left="320" w:top="361" w:right="39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Robert J. Gould, certify that:</w:t>
      </w:r>
    </w:p>
    <w:p>
      <w:pPr>
        <w:spacing w:after="0" w:line="117" w:lineRule="exact"/>
        <w:rPr>
          <w:sz w:val="20"/>
          <w:szCs w:val="20"/>
          <w:color w:val="auto"/>
        </w:rPr>
      </w:pPr>
    </w:p>
    <w:p>
      <w:pPr>
        <w:ind w:left="800" w:hanging="182"/>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60" w:firstLine="618"/>
        <w:spacing w:after="0" w:line="277" w:lineRule="auto"/>
        <w:tabs>
          <w:tab w:leader="none" w:pos="7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40" w:hanging="245"/>
        <w:spacing w:after="0"/>
        <w:tabs>
          <w:tab w:leader="none" w:pos="14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Date: May 13, 2020</w:t>
            </w:r>
          </w:p>
        </w:tc>
        <w:tc>
          <w:tcPr>
            <w:tcW w:w="7140" w:type="dxa"/>
            <w:vAlign w:val="bottom"/>
            <w:gridSpan w:val="2"/>
          </w:tcPr>
          <w:p>
            <w:pPr>
              <w:ind w:left="2660"/>
              <w:spacing w:after="0"/>
              <w:rPr>
                <w:sz w:val="20"/>
                <w:szCs w:val="20"/>
                <w:color w:val="auto"/>
              </w:rPr>
            </w:pPr>
            <w:r>
              <w:rPr>
                <w:rFonts w:ascii="Arial" w:cs="Arial" w:eastAsia="Arial" w:hAnsi="Arial"/>
                <w:sz w:val="18"/>
                <w:szCs w:val="18"/>
                <w:color w:val="auto"/>
              </w:rPr>
              <w:t>By: /s/ Robert J. Gould</w:t>
            </w:r>
          </w:p>
        </w:tc>
      </w:tr>
      <w:tr>
        <w:trPr>
          <w:trHeight w:val="195"/>
        </w:trPr>
        <w:tc>
          <w:tcPr>
            <w:tcW w:w="4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J. Gould, Ph.D.</w:t>
            </w:r>
          </w:p>
        </w:tc>
      </w:tr>
      <w:tr>
        <w:trPr>
          <w:trHeight w:val="216"/>
        </w:trPr>
        <w:tc>
          <w:tcPr>
            <w:tcW w:w="4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Bryan Stuart, certify that:</w:t>
      </w:r>
    </w:p>
    <w:p>
      <w:pPr>
        <w:spacing w:after="0" w:line="117" w:lineRule="exact"/>
        <w:rPr>
          <w:sz w:val="20"/>
          <w:szCs w:val="20"/>
          <w:color w:val="auto"/>
        </w:rPr>
      </w:pPr>
    </w:p>
    <w:p>
      <w:pPr>
        <w:ind w:left="800" w:hanging="182"/>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60" w:firstLine="618"/>
        <w:spacing w:after="0" w:line="277" w:lineRule="auto"/>
        <w:tabs>
          <w:tab w:leader="none" w:pos="7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40" w:hanging="245"/>
        <w:spacing w:after="0"/>
        <w:tabs>
          <w:tab w:leader="none" w:pos="14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Date: May 13, 2020</w:t>
            </w:r>
          </w:p>
        </w:tc>
        <w:tc>
          <w:tcPr>
            <w:tcW w:w="7140" w:type="dxa"/>
            <w:vAlign w:val="bottom"/>
            <w:gridSpan w:val="2"/>
          </w:tcPr>
          <w:p>
            <w:pPr>
              <w:ind w:left="2660"/>
              <w:spacing w:after="0"/>
              <w:rPr>
                <w:sz w:val="20"/>
                <w:szCs w:val="20"/>
                <w:color w:val="auto"/>
              </w:rPr>
            </w:pPr>
            <w:r>
              <w:rPr>
                <w:rFonts w:ascii="Arial" w:cs="Arial" w:eastAsia="Arial" w:hAnsi="Arial"/>
                <w:sz w:val="18"/>
                <w:szCs w:val="18"/>
                <w:color w:val="auto"/>
              </w:rPr>
              <w:t>By: /s/ Bryan Stuart</w:t>
            </w:r>
          </w:p>
        </w:tc>
      </w:tr>
      <w:tr>
        <w:trPr>
          <w:trHeight w:val="195"/>
        </w:trPr>
        <w:tc>
          <w:tcPr>
            <w:tcW w:w="4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Bryan Stuart</w:t>
            </w:r>
          </w:p>
        </w:tc>
      </w:tr>
      <w:tr>
        <w:trPr>
          <w:trHeight w:val="216"/>
        </w:trPr>
        <w:tc>
          <w:tcPr>
            <w:tcW w:w="4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30"/>
        </w:trPr>
        <w:tc>
          <w:tcPr>
            <w:tcW w:w="4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March 31, 2020, as filed with the Securities and Exchange Commission on the date hereof (the “Report”), the undersigned, Robert J. Gould,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J. Gould,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March 31, 2020, as filed with the Securities and Exchange Commission on the date hereof (the “Report”), the undersigned, Bryan Stuart, Chief Operating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Operating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4"/>
    </w:lvl>
    <w:lvl w:ilvl="1">
      <w:lvlJc w:val="left"/>
      <w:lvlText w:val="(%2)"/>
      <w:numFmt w:val="lowerLetter"/>
      <w:start w:val="1"/>
    </w:lvl>
  </w:abstractNum>
  <w:abstractNum w:abstractNumId="49">
    <w:nsid w:val="235BA861"/>
    <w:multiLevelType w:val="hybridMultilevel"/>
    <w:lvl w:ilvl="0">
      <w:lvlJc w:val="left"/>
      <w:lvlText w:val="%1."/>
      <w:numFmt w:val="decimal"/>
      <w:start w:val="5"/>
    </w:lvl>
    <w:lvl w:ilvl="1">
      <w:lvlJc w:val="left"/>
      <w:lvlText w:val="(%2)"/>
      <w:numFmt w:val="lowerRoman"/>
    </w:lvl>
    <w:lvl w:ilvl="2">
      <w:lvlJc w:val="left"/>
      <w:lvlText w:val="(%3)"/>
      <w:numFmt w:val="lowerLetter"/>
      <w:start w:val="1"/>
    </w:lvl>
  </w:abstractNum>
  <w:abstractNum w:abstractNumId="50">
    <w:nsid w:val="47398C89"/>
    <w:multiLevelType w:val="hybridMultilevel"/>
    <w:lvl w:ilvl="0">
      <w:lvlJc w:val="left"/>
      <w:lvlText w:val="%1"/>
      <w:numFmt w:val="lowerRoman"/>
      <w:start w:val="1"/>
    </w:lvl>
    <w:lvl w:ilvl="1">
      <w:lvlJc w:val="left"/>
      <w:lvlText w:val="(%2)"/>
      <w:numFmt w:val="lowerLetter"/>
      <w:start w:val="3"/>
    </w:lvl>
  </w:abstractNum>
  <w:abstractNum w:abstractNumId="51">
    <w:nsid w:val="354FE9F9"/>
    <w:multiLevelType w:val="hybridMultilevel"/>
    <w:lvl w:ilvl="0">
      <w:lvlJc w:val="left"/>
      <w:lvlText w:val="(%1)"/>
      <w:numFmt w:val="lowerRoman"/>
      <w:start w:val="1"/>
    </w:lvl>
    <w:lvl w:ilvl="1">
      <w:lvlJc w:val="left"/>
      <w:lvlText w:val="%2"/>
      <w:numFmt w:val="lowerLetter"/>
      <w:start w:val="1"/>
    </w:lvl>
  </w:abstractNum>
  <w:abstractNum w:abstractNumId="52">
    <w:nsid w:val="15B5AF5C"/>
    <w:multiLevelType w:val="hybridMultilevel"/>
    <w:lvl w:ilvl="0">
      <w:lvlJc w:val="left"/>
      <w:lvlText w:val="(%1)"/>
      <w:numFmt w:val="lowerRoman"/>
      <w:start w:val="3"/>
    </w:lvl>
  </w:abstractNum>
  <w:abstractNum w:abstractNumId="53">
    <w:nsid w:val="741226BB"/>
    <w:multiLevelType w:val="hybridMultilevel"/>
    <w:lvl w:ilvl="0">
      <w:lvlJc w:val="left"/>
      <w:lvlText w:val="%1."/>
      <w:numFmt w:val="decimal"/>
      <w:start w:val="8"/>
    </w:lvl>
    <w:lvl w:ilvl="1">
      <w:lvlJc w:val="left"/>
      <w:lvlText w:val="(%2)"/>
      <w:numFmt w:val="lowerLetter"/>
      <w:start w:val="1"/>
    </w:lvl>
  </w:abstractNum>
  <w:abstractNum w:abstractNumId="54">
    <w:nsid w:val="D34B6A8"/>
    <w:multiLevelType w:val="hybridMultilevel"/>
    <w:lvl w:ilvl="0">
      <w:lvlJc w:val="left"/>
      <w:lvlText w:val="(%1)"/>
      <w:numFmt w:val="decimal"/>
      <w:start w:val="12"/>
    </w:lvl>
    <w:lvl w:ilvl="1">
      <w:lvlJc w:val="left"/>
      <w:lvlText w:val="(%2)"/>
      <w:numFmt w:val="lowerLetter"/>
      <w:start w:val="3"/>
    </w:lvl>
  </w:abstractNum>
  <w:abstractNum w:abstractNumId="55">
    <w:nsid w:val="10233C99"/>
    <w:multiLevelType w:val="hybridMultilevel"/>
    <w:lvl w:ilvl="0">
      <w:lvlJc w:val="left"/>
      <w:lvlText w:val="(%1)"/>
      <w:numFmt w:val="lowerLetter"/>
      <w:start w:val="5"/>
    </w:lvl>
  </w:abstractNum>
  <w:abstractNum w:abstractNumId="56">
    <w:nsid w:val="3F6AB60F"/>
    <w:multiLevelType w:val="hybridMultilevel"/>
    <w:lvl w:ilvl="0">
      <w:lvlJc w:val="left"/>
      <w:lvlText w:val="%1."/>
      <w:numFmt w:val="decimal"/>
      <w:start w:val="9"/>
    </w:lvl>
  </w:abstractNum>
  <w:abstractNum w:abstractNumId="57">
    <w:nsid w:val="61574095"/>
    <w:multiLevelType w:val="hybridMultilevel"/>
    <w:lvl w:ilvl="0">
      <w:lvlJc w:val="left"/>
      <w:lvlText w:val="%1."/>
      <w:numFmt w:val="decimal"/>
      <w:start w:val="11"/>
    </w:lvl>
  </w:abstractNum>
  <w:abstractNum w:abstractNumId="58">
    <w:nsid w:val="7E0C57B1"/>
    <w:multiLevelType w:val="hybridMultilevel"/>
    <w:lvl w:ilvl="0">
      <w:lvlJc w:val="left"/>
      <w:lvlText w:val="%1."/>
      <w:numFmt w:val="decimal"/>
      <w:start w:val="12"/>
    </w:lvl>
  </w:abstractNum>
  <w:abstractNum w:abstractNumId="59">
    <w:nsid w:val="77AE35EB"/>
    <w:multiLevelType w:val="hybridMultilevel"/>
    <w:lvl w:ilvl="0">
      <w:lvlJc w:val="left"/>
      <w:lvlText w:val="%1."/>
      <w:numFmt w:val="decimal"/>
      <w:start w:val="19"/>
    </w:lvl>
  </w:abstractNum>
  <w:abstractNum w:abstractNumId="60">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1">
    <w:nsid w:val="310C50B3"/>
    <w:multiLevelType w:val="hybridMultilevel"/>
    <w:lvl w:ilvl="0">
      <w:lvlJc w:val="left"/>
      <w:lvlText w:val="%1."/>
      <w:numFmt w:val="decimal"/>
      <w:start w:val="2"/>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2020-05-13T08:03:59Z</dcterms:created>
  <dcterms:modified xsi:type="dcterms:W3CDTF">2020-05-13T08:03:59Z</dcterms:modified>
</cp:coreProperties>
</file>