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960" w:type="dxa"/>
            <w:vAlign w:val="bottom"/>
          </w:tcPr>
          <w:p>
            <w:pPr>
              <w:jc w:val="center"/>
              <w:ind w:right="64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001-38978</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47-4839948</w:t>
            </w:r>
          </w:p>
        </w:tc>
      </w:tr>
      <w:tr>
        <w:trPr>
          <w:trHeight w:val="163"/>
        </w:trPr>
        <w:tc>
          <w:tcPr>
            <w:tcW w:w="2960" w:type="dxa"/>
            <w:vAlign w:val="bottom"/>
          </w:tcPr>
          <w:p>
            <w:pPr>
              <w:jc w:val="center"/>
              <w:ind w:right="621"/>
              <w:spacing w:after="0"/>
              <w:rPr>
                <w:sz w:val="20"/>
                <w:szCs w:val="20"/>
                <w:color w:val="auto"/>
              </w:rPr>
            </w:pPr>
            <w:r>
              <w:rPr>
                <w:rFonts w:ascii="Arial" w:cs="Arial" w:eastAsia="Arial" w:hAnsi="Arial"/>
                <w:sz w:val="13"/>
                <w:szCs w:val="13"/>
                <w:b w:val="1"/>
                <w:bCs w:val="1"/>
                <w:color w:val="auto"/>
                <w:w w:val="94"/>
              </w:rPr>
              <w:t>(State or other jurisdiction</w:t>
            </w:r>
          </w:p>
        </w:tc>
        <w:tc>
          <w:tcPr>
            <w:tcW w:w="32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2960" w:type="dxa"/>
            <w:vAlign w:val="bottom"/>
          </w:tcPr>
          <w:p>
            <w:pPr>
              <w:jc w:val="center"/>
              <w:ind w:right="64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2960" w:type="dxa"/>
            <w:vAlign w:val="bottom"/>
          </w:tcPr>
          <w:p>
            <w:pPr>
              <w:jc w:val="center"/>
              <w:ind w:right="641"/>
              <w:spacing w:after="0"/>
              <w:rPr>
                <w:sz w:val="20"/>
                <w:szCs w:val="20"/>
                <w:color w:val="auto"/>
              </w:rPr>
            </w:pPr>
            <w:r>
              <w:rPr>
                <w:rFonts w:ascii="Arial" w:cs="Arial" w:eastAsia="Arial" w:hAnsi="Arial"/>
                <w:sz w:val="18"/>
                <w:szCs w:val="18"/>
                <w:b w:val="1"/>
                <w:bCs w:val="1"/>
                <w:color w:val="auto"/>
                <w:w w:val="90"/>
              </w:rPr>
              <w:t>26 Landsdowne Street</w:t>
            </w: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2960" w:type="dxa"/>
            <w:vAlign w:val="bottom"/>
          </w:tcPr>
          <w:p>
            <w:pPr>
              <w:jc w:val="center"/>
              <w:ind w:right="641"/>
              <w:spacing w:after="0"/>
              <w:rPr>
                <w:sz w:val="20"/>
                <w:szCs w:val="20"/>
                <w:color w:val="auto"/>
              </w:rPr>
            </w:pPr>
            <w:r>
              <w:rPr>
                <w:rFonts w:ascii="Arial" w:cs="Arial" w:eastAsia="Arial" w:hAnsi="Arial"/>
                <w:sz w:val="18"/>
                <w:szCs w:val="18"/>
                <w:b w:val="1"/>
                <w:bCs w:val="1"/>
                <w:color w:val="auto"/>
                <w:w w:val="89"/>
              </w:rPr>
              <w:t>Cambridge, Massachusetts</w:t>
            </w:r>
          </w:p>
        </w:tc>
        <w:tc>
          <w:tcPr>
            <w:tcW w:w="326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02139</w:t>
            </w:r>
          </w:p>
        </w:tc>
      </w:tr>
      <w:tr>
        <w:trPr>
          <w:trHeight w:val="188"/>
        </w:trPr>
        <w:tc>
          <w:tcPr>
            <w:tcW w:w="2960" w:type="dxa"/>
            <w:vAlign w:val="bottom"/>
          </w:tcPr>
          <w:p>
            <w:pPr>
              <w:jc w:val="center"/>
              <w:ind w:right="64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6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FULC</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August 3, 2023, Fulcrum Therapeutics, Inc., or Fulcrum, announced its financial results for the quarter ended June 30, 2023.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 or Certain Officers; Election of Directors; Appointment of Certain Officers; Compensatory Arrangements of Certain Officers.</w:t>
      </w:r>
    </w:p>
    <w:p>
      <w:pPr>
        <w:spacing w:after="0" w:line="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2, 2023, Fulcrum’s board of directors, or the Board, appointed Alan A. Musso as Fulcrum’s chief financial officer and treasurer, effective August 7, 2023. Mr. Musso will also succeed Mr. Sapir, Fulcrum’s president and chief executive officer, as principal financial officer, effective August 7, 2023.</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Musso, 61, served as chief financial officer of ReViral Ltd. (acquired by Pfizer Inc.), from October 2019 until September 2022. ReViral was a privately held, clinical-stage biopharmaceutical company focused on discovering, developing, and commercializing novel antiviral therapeutics that target respiratory syncytial virus. From September 2018 to September 2019, he served as the chief financial officer of Peloton Therapeutics, Inc., or Peloton (acquired by Merck &amp; Co., Inc.). Prior to its acquisition, Peloton was a clinical-stage biopharmaceutical company focused on oncology drug discovery and development, including small molecule therapies for patients with cancer and other debilitating or life-threatening conditions. Earlier in his career Mr. Musso was the chief financial officer and treasurer of Bellicum Pharmaceuticals, Inc., a public biotechnology company focused on discovering and developing novel, controllable cellular immunotherapies for various forms of cancer, and prior to that, Mr. Musso served in various positions at Targacept, Inc., a public biopharmaceutical company, including as senior vice president of finance and administration, chief financial officer and treasurer, and assistant secretary. Mr. Musso has over 25 years of biotechnology and pharmaceutical industry experience in both large and emerging growth companies. Mr. Musso received his B.S. in accounting from Saint Mary’s College of California and his graduate degree from the Thunderbird School of Global Management.</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August 2, 2023, Mr. Musso entered into an employment agreement with Fulcrum that governs his employment beginning August 7, 2023. Under his employment agreement, Mr. Musso will be entitled to an annual base salary of $450,000 and an initial annual target performance bonus of up to 40% of his then annual base salary based upon the Board’s assessment of Mr. Musso’s performance and Fulcrum’s attainment of targeted goals as set by the Board in its sole and absolute discretion. The employment agreement also provides for up to $75,000 annual cash allowance for housing expenses.</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and as contemplated by his employment agreement, effective August 7, 2023, the Board granted Mr. Musso a non-statutory option to purchase 432,800 shares of Fulcrum’s common stock and a performance-based non-statutory option to purchase 61,822 shares of Fulcrum’s common stock, each with an exercise price per share equal to the fair market value on the grant date. Both options will be granted pursuant to Fulcrum’s 2022 Inducement Stock Incentive Plan, as amended, as an inducement material to Mr. Musso’s entry into employment with Fulcrum in accordance with Nasdaq Listing Rule 5635(c)(4). The stock option to purchase 432,800 shares of Fulcrum’s common stock will vest as to 25% of the underlying shares on the first anniversary of the grant date and as to an additional 6.25% of the shares in equal quarterly installments over the 12 successive quarters thereafter subject to Mr. Musso continuing to be an “eligible participant” (as defined in such plan) through each applicable vesting date. The performance-based stock option will fully vest six months from the grant date, subject to Mr. Musso continuing to be an “eligible participant” (as defined in such plan) through the vesting date and achievement of certain pre-defined performance objectives pertaining to financial and investor relations goals. If Mr. Musso fails to achieve all performance objectives within six months of the grant date, the performance-based stock option will be forfeited in its entirety.</w:t>
      </w:r>
    </w:p>
    <w:p>
      <w:pPr>
        <w:spacing w:after="0" w:line="1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Mr. Musso’s employment agreement also provides for severance benefits. In the event of the termination of Mr. Musso’s employment by Fulcrum without cause, or by him for good reason, prior to or more than 12 months following a “change in control” (as such terms are defined in his employment agreement) and such termination occurs after Mr. Musso has completed at least 12 months of employment for Fulcrum, Mr. Musso is entitled to his base salary that has accrued and to which he is entitled as of the termination date and other accrued benefits, collectively, the accrued obligations. In addition, he is entitled to (1) continued payment of his then-current base salary, in accordance with Fulcrum’s regular payroll procedures (not less frequently than monthly), for a period of nine months, (2) a lump sum payment equal to 100% of his target bonus for the year in which his termination occurs and (3) provided he is eligible for and timely elects to continue receiving group medical coverage under COBRA and the subsidy would not result in the violation of nondiscrimination requirements of applicable law, payment by Fulcrum of the portion of such coverage premiums it pays for similarly situated, active employees who receive the same type of coverage, for a period of up to nine months following his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In the event of the termination of Mr. Musso’s employment by Fulcrum without cause, or by him for good reason, within 12 months following a “change in control” (as such terms are defined in his employment agreement), Mr. Musso is entitled to the accrued obligations. In addition, he is entitled to (1) continued payment of his then-current base salary (or, if higher, his base salary in effect immediately prior to the change in control), in accordance with Fulcrum’s regular payroll procedures (not less frequently than monthly), for a period of 12 months, (2) a lump sum payment equal to 100% of his target bonus for the year in which his</w:t>
      </w:r>
      <w:r>
        <w:rPr>
          <w:rFonts w:ascii="Arial" w:cs="Arial" w:eastAsia="Arial" w:hAnsi="Arial"/>
          <w:sz w:val="14"/>
          <w:szCs w:val="14"/>
          <w:color w:val="auto"/>
        </w:rPr>
        <w:t>[SMC1]</w:t>
      </w:r>
      <w:r>
        <w:rPr>
          <w:rFonts w:ascii="Arial" w:cs="Arial" w:eastAsia="Arial" w:hAnsi="Arial"/>
          <w:sz w:val="18"/>
          <w:szCs w:val="18"/>
          <w:color w:val="auto"/>
        </w:rPr>
        <w:t xml:space="preserve"> termination occurs or, if higher, his target bonus immediately prior to the change in control, (3) provided he is eligible for and timely elects to continue receiving group medical coverage under COBRA and the subsidy would not result in the violation of nondiscrimination requirements of applicable law, payment by Fulcrum of the portion of such coverage premiums it pays for similarly-situated, active employees who receive the same type of coverage, for a period of up to 12 months following his date of termination, and (4) full vesting acceleration of his then-unvested equity awards that vest solely based on the passage of time, such that his time-based equity awards become fully exercisable and non-forfeitable as of the termination date.</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pursuant to Fulcrum’s standard form of indemnification agreement Mr. Musso will enter into in connection with his employment as chief financial officer, the form of which was filed with the Securities and Exchange Commission as Exhibit 10.15 to Fulcrum’s Registration Statement on Form S-1 (File No. 333-232260) filed on June 21, 2019, Fulcrum may be required, among other things, to indemnify Mr. Musso for certain expenses (including attorneys’ fees), judgments, fines and settlement amounts actually and reasonably incurred by him in any action or proceeding arising out of his service as an officer or director of Fulcrum.</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foregoing description of Mr. Musso’s employment agreement does not purport to be complete and is qualified in its entirety by reference to the complete text of such agreement, a copy of which Fulcrum intends to file as an exhibit to its Quarterly Report on Form 10-Q for the three months ending September 30,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78"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issued August 3, 2023, announcing financial results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-10160</wp:posOffset>
            </wp:positionV>
            <wp:extent cx="5283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320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Alex C. Sapir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6306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60" w:right="1080"/>
        <w:spacing w:after="0" w:line="443" w:lineRule="auto"/>
        <w:rPr>
          <w:sz w:val="20"/>
          <w:szCs w:val="20"/>
          <w:color w:val="auto"/>
        </w:rPr>
      </w:pPr>
      <w:r>
        <w:rPr>
          <w:rFonts w:ascii="Arial" w:cs="Arial" w:eastAsia="Arial" w:hAnsi="Arial"/>
          <w:sz w:val="25"/>
          <w:szCs w:val="25"/>
          <w:b w:val="1"/>
          <w:bCs w:val="1"/>
          <w:color w:val="auto"/>
        </w:rPr>
        <w:t>Fulcrum Therapeutics Announces Recent Business Highlights and Financial Results for Second Quarter 2023</w:t>
      </w:r>
    </w:p>
    <w:p>
      <w:pPr>
        <w:jc w:val="center"/>
        <w:ind w:right="-59"/>
        <w:spacing w:after="0"/>
        <w:rPr>
          <w:sz w:val="20"/>
          <w:szCs w:val="20"/>
          <w:color w:val="auto"/>
        </w:rPr>
      </w:pPr>
      <w:r>
        <w:rPr>
          <w:rFonts w:ascii="Arial" w:cs="Arial" w:eastAsia="Arial" w:hAnsi="Arial"/>
          <w:sz w:val="18"/>
          <w:szCs w:val="18"/>
          <w:i w:val="1"/>
          <w:iCs w:val="1"/>
          <w:color w:val="auto"/>
        </w:rPr>
        <w:t>― Screening closed for the Phase 3 REACH pivotal trial of losmapimod in facioscapulohumeral muscular dystrophy (FSHD)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Expect to report topline data for REACH in the fourth quarter of 2024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 Interactions continue with the U.S. Food and Drug Administration (FDA) to resolve clinical hold for FTX-6058 in sickle cell disease (SCD) ―</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Alan A. Musso appointed as chief financial officer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Conference call and webcast scheduled for 8:00 a.m. ET today ―</w:t>
      </w:r>
    </w:p>
    <w:p>
      <w:pPr>
        <w:spacing w:after="0" w:line="338"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b w:val="1"/>
          <w:bCs w:val="1"/>
          <w:color w:val="auto"/>
        </w:rPr>
        <w:t xml:space="preserve">CAMBRIDGE, Mass., – August 3, 2023 </w:t>
      </w:r>
      <w:r>
        <w:rPr>
          <w:rFonts w:ascii="Arial" w:cs="Arial" w:eastAsia="Arial" w:hAnsi="Arial"/>
          <w:sz w:val="18"/>
          <w:szCs w:val="18"/>
          <w:color w:val="auto"/>
        </w:rPr>
        <w:t>– Fulcrum Therapeutics, Inc.</w:t>
      </w:r>
      <w:r>
        <w:rPr>
          <w:rFonts w:ascii="Arial" w:cs="Arial" w:eastAsia="Arial" w:hAnsi="Arial"/>
          <w:sz w:val="18"/>
          <w:szCs w:val="18"/>
          <w:b w:val="1"/>
          <w:bCs w:val="1"/>
          <w:color w:val="auto"/>
        </w:rPr>
        <w:t xml:space="preserve"> </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(Nasdaq: FULC), a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improving the lives of patients with genetically defined rare diseases, today reported financial results for the second quarter of 2023 and provided a business update.</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encouraged by the continued progress in the first half of 2023 and look forward to continuing to execute on our key priorities for our clinical programs,” said Alex C. Sapir, Fulcrum’s president and chief executive officer. “We closed screening for the Phase 3 REACH trial of losmapimod, and we expect to report topline data in the fourth quarter of 2024. This marks a critical milestone that brings us one step closer to potentially delivering the first FDA-approved therapy for the treatment of FSHD. In parallel, we continue to work diligently with the FDA to resolve the clinical hold for FTX-6058 as soon as possible.”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337" w:lineRule="exact"/>
        <w:rPr>
          <w:sz w:val="20"/>
          <w:szCs w:val="20"/>
          <w:color w:val="auto"/>
        </w:rPr>
      </w:pPr>
    </w:p>
    <w:p>
      <w:pPr>
        <w:ind w:left="1020" w:right="20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Screening is closed in the REACH Phase 3 pivotal trial evaluating losmapimod in FSHD at sites in the United States, Canada, and Europe. Fulcrum expects to complete enrollment in the third quarter of 2023 and expects to report topline data in the fourth quarter of 2024.</w:t>
      </w:r>
    </w:p>
    <w:p>
      <w:pPr>
        <w:spacing w:after="0" w:line="15" w:lineRule="exact"/>
        <w:rPr>
          <w:rFonts w:ascii="Arial" w:cs="Arial" w:eastAsia="Arial" w:hAnsi="Arial"/>
          <w:sz w:val="16"/>
          <w:szCs w:val="16"/>
          <w:color w:val="auto"/>
        </w:rPr>
      </w:pPr>
    </w:p>
    <w:p>
      <w:pPr>
        <w:jc w:val="both"/>
        <w:ind w:left="1020" w:right="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partnership with the FSHD Society, Fulcrum announced the launch of Project Mercury, a new global coalition to accelerate the delivery of new therapies for FSHD by uniting and mobilizing multiple sectors of the FSHD community, including advocates, patients, industry leaders, researchers, and clinicians. Fulcrum is the global and sustaining sponsor of Project Mercury.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Interactions with the FDA to resolve the clinical hold for FTX-6058 are ongoing.</w:t>
      </w:r>
    </w:p>
    <w:p>
      <w:pPr>
        <w:spacing w:after="0" w:line="117" w:lineRule="exact"/>
        <w:rPr>
          <w:rFonts w:ascii="Arial" w:cs="Arial" w:eastAsia="Arial" w:hAnsi="Arial"/>
          <w:sz w:val="18"/>
          <w:szCs w:val="18"/>
          <w:color w:val="auto"/>
        </w:rPr>
      </w:pPr>
    </w:p>
    <w:p>
      <w:pPr>
        <w:ind w:left="1020" w:right="20" w:hanging="503"/>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Obtained an exclusive global license from CAMP4 Therapeutics Corp. (CAMP4) to acquire intellectual property arising from CAMP4’s pre-clinical research program in Diamond-Blackfan Anemia (DBA). Under the terms of the agreement, Fulcrum will advance the discovery, development, and commercialization of novel therapeutic agents against an undisclosed target for the potential treatment of DBA.</w:t>
      </w:r>
    </w:p>
    <w:p>
      <w:pPr>
        <w:spacing w:after="0" w:line="40" w:lineRule="exact"/>
        <w:rPr>
          <w:rFonts w:ascii="Arial" w:cs="Arial" w:eastAsia="Arial" w:hAnsi="Arial"/>
          <w:sz w:val="16"/>
          <w:szCs w:val="16"/>
          <w:color w:val="auto"/>
        </w:rPr>
      </w:pPr>
    </w:p>
    <w:p>
      <w:pPr>
        <w:ind w:left="1020" w:right="120" w:hanging="503"/>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Alex C. Sapir appointed as president and chief executive officer and member of Fulcrum’s board of directors, effective July 1, 2023. Robert J. Gould, Ph.D., transitioned from his role as interim chief executive officer and president and will continue to serve as a member of the board of directors. In addition, Dr. Gould will serve as chair of the science and technology committee.</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Alan A. Musso appointed as chief financial officer effective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Second Quarter 2023 Financial Results</w:t>
      </w:r>
    </w:p>
    <w:p>
      <w:pPr>
        <w:spacing w:after="0" w:line="117" w:lineRule="exact"/>
        <w:rPr>
          <w:sz w:val="20"/>
          <w:szCs w:val="20"/>
          <w:color w:val="auto"/>
        </w:rPr>
      </w:pPr>
    </w:p>
    <w:p>
      <w:pPr>
        <w:ind w:left="1020" w:right="40" w:hanging="503"/>
        <w:spacing w:after="0" w:line="28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2023, cash, cash equivalents, and marketable securities were $278.2 million, as compared to $202.9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2022.</w:t>
      </w:r>
    </w:p>
    <w:p>
      <w:pPr>
        <w:spacing w:after="0" w:line="53" w:lineRule="exact"/>
        <w:rPr>
          <w:rFonts w:ascii="Arial" w:cs="Arial" w:eastAsia="Arial" w:hAnsi="Arial"/>
          <w:sz w:val="18"/>
          <w:szCs w:val="18"/>
          <w:color w:val="auto"/>
        </w:rPr>
      </w:pPr>
    </w:p>
    <w:p>
      <w:pPr>
        <w:ind w:left="1020" w:right="140" w:hanging="503"/>
        <w:spacing w:after="0" w:line="28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 was $0.9 million for the second quarter of 2023 as compared to $1.9 million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2022.</w:t>
      </w:r>
    </w:p>
    <w:p>
      <w:pPr>
        <w:spacing w:after="0" w:line="53" w:lineRule="exact"/>
        <w:rPr>
          <w:rFonts w:ascii="Arial" w:cs="Arial" w:eastAsia="Arial" w:hAnsi="Arial"/>
          <w:sz w:val="18"/>
          <w:szCs w:val="18"/>
          <w:color w:val="auto"/>
        </w:rPr>
      </w:pPr>
    </w:p>
    <w:p>
      <w:pPr>
        <w:ind w:left="1020" w:right="20" w:hanging="503"/>
        <w:spacing w:after="0" w:line="31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$17.8 million for the second quarter of 2023 as compared to $25.0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2022. The decrease of $7.2 million was primarily associated with a $5.0 million milestone achieved during the second quarter of 2022 due to GlaxoSmithKline plc upon the initiation of REACH and decreased costs for FTX-6058 as a result of the clinical hold.</w:t>
      </w:r>
    </w:p>
    <w:p>
      <w:pPr>
        <w:spacing w:after="0" w:line="33" w:lineRule="exact"/>
        <w:rPr>
          <w:rFonts w:ascii="Arial" w:cs="Arial" w:eastAsia="Arial" w:hAnsi="Arial"/>
          <w:sz w:val="16"/>
          <w:szCs w:val="16"/>
          <w:color w:val="auto"/>
        </w:rPr>
      </w:pPr>
    </w:p>
    <w:p>
      <w:pPr>
        <w:ind w:left="1020" w:right="20" w:hanging="503"/>
        <w:spacing w:after="0" w:line="28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$10.3 million for the second quarter of 2023 as compared to $11.1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2022. The decrease of $0.8 million was primarily due to decreased professional services costs.</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was $23.8 million for the second quarter of 2023 as compared to $34.1 million for the second quarter of 2022.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Guidance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Fulcrum expects that its existing cash, cash equivalents, and marketable securities will be sufficient to fund its operating expenses and capital expenditure requirements into mid-2025.</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Fulcrum Therapeutics, Inc. will host a conference call and webcast today at 8:00 a.m. ET to review the second quarter and 2023 recent business highlights and financial results. Individuals may register for the conference call by clicking the link here. Once registered participants will receive dial-in details and a unique pin which will allow them to access the call. The webcast will be accessible through the Investor Relations section of Fulcrum’s website at www.fulcrumtx.com or by clicking here. Following the live webcast, an archived replay will also be available for 90 days.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which is currently under a full clinical hold issued by the U.S. Food and Drug Administration. The company’s proprietary product engine, FulcrumSeek™, identifies drug targets that can modulate gene expression to treat the known root cause of gene mis-expression. For more information, visit www.fulcrumtx.com and follow us on Twitter </w:t>
      </w:r>
      <w:r>
        <w:rPr>
          <w:rFonts w:ascii="Arial" w:cs="Arial" w:eastAsia="Arial" w:hAnsi="Arial"/>
          <w:sz w:val="17"/>
          <w:szCs w:val="17"/>
          <w:b w:val="1"/>
          <w:bCs w:val="1"/>
          <w:color w:val="auto"/>
        </w:rPr>
        <w:t>@FulcrumTx</w:t>
      </w:r>
      <w:r>
        <w:rPr>
          <w:rFonts w:ascii="Arial" w:cs="Arial" w:eastAsia="Arial" w:hAnsi="Arial"/>
          <w:sz w:val="17"/>
          <w:szCs w:val="17"/>
          <w:color w:val="auto"/>
        </w:rPr>
        <w:t xml:space="preserve"> and </w:t>
      </w:r>
      <w:r>
        <w:rPr>
          <w:rFonts w:ascii="Arial" w:cs="Arial" w:eastAsia="Arial" w:hAnsi="Arial"/>
          <w:sz w:val="17"/>
          <w:szCs w:val="17"/>
          <w:b w:val="1"/>
          <w:bCs w:val="1"/>
          <w:color w:val="auto"/>
        </w:rPr>
        <w:t>LinkedIn</w:t>
      </w:r>
      <w:r>
        <w:rPr>
          <w:rFonts w:ascii="Arial" w:cs="Arial" w:eastAsia="Arial" w:hAnsi="Arial"/>
          <w:sz w:val="17"/>
          <w:szCs w:val="17"/>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FTX-6058 is an investigational oral small-molecule inhibitor of Embryonic Ectoderm Development (EED) that was discovered using FulcrumSeek™, Fulcrum’s proprietary discovery engine. Inhibition of EED leads to potent downregulation of key fetal globin repressors, including BCL11A, thereby causing an increase in fetal hemoglobin (HbF). FTX-6058 is being developed for the treatment of sickle cell disease (SCD) and other hemoglobinopathies. Initial data in SCD demonstrated proof-of-concept and achieved absolute levels of HbF increases associated with potential overall patient benefit. Through the March 2023 data cutoff date, FTX-6058 has been generally well-tolerated in people with SCD with up to three months of exposure with no serious treatment-emergent adverse events reported. FTX-6058 has been granted U.S. Food and Drug Administration (FDA) Fast Track designation and Orphan Drug Designation for the treatment of SCD. FTX-6058 is currently under a full clinical hold issued by the FDA.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4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slowed disease progression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 Orphan Drug Designation for the treatment of FSHD. Losmapimod is currently being evaluated in a Phase 3 multi-center randomized, double-blind, placebo-controlled, 48-week parallel-group study in people with FSHD (NCT05397470).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FSHD</w:t>
      </w:r>
    </w:p>
    <w:p>
      <w:pPr>
        <w:spacing w:after="0" w:line="4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16,000 to 38,000 in the United States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completion of enrollment in REACH and timing of topline data; Fulcrum’s ability to deliver an FDA-approved therapy for FSHD patients; the clinical hold on FTX-6058, including Fulcrum’s interactions with the FDA and ability to resolve such hold; Fulcrum’s activities under its recent license agreement with CAMP4;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resolving the clinical hold on FTX-6058 and responding to FDA’s requests;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FTX-6058 (if resumed) and any other product candidates; obtaining, maintaining or protecting intellectual property rights related to its product candidates; managing expenses; managing executive and employee turnover, including integrating a new CEO and CFO;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278,164</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202,921</w:t>
            </w:r>
          </w:p>
        </w:tc>
        <w:tc>
          <w:tcPr>
            <w:tcW w:w="140" w:type="dxa"/>
            <w:vAlign w:val="bottom"/>
            <w:shd w:val="clear" w:color="auto" w:fill="CFF0FC"/>
          </w:tcPr>
          <w:p>
            <w:pPr>
              <w:spacing w:after="0"/>
              <w:rPr>
                <w:sz w:val="20"/>
                <w:szCs w:val="20"/>
                <w:color w:val="auto"/>
              </w:rPr>
            </w:pPr>
          </w:p>
        </w:tc>
      </w:tr>
      <w:tr>
        <w:trPr>
          <w:trHeight w:val="243"/>
        </w:trPr>
        <w:tc>
          <w:tcPr>
            <w:tcW w:w="7600" w:type="dxa"/>
            <w:vAlign w:val="bottom"/>
          </w:tcPr>
          <w:p>
            <w:pPr>
              <w:ind w:left="20"/>
              <w:spacing w:after="0" w:line="243"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268,143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190,794</w:t>
            </w:r>
          </w:p>
        </w:tc>
        <w:tc>
          <w:tcPr>
            <w:tcW w:w="14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300,332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226,685</w:t>
            </w:r>
          </w:p>
        </w:tc>
        <w:tc>
          <w:tcPr>
            <w:tcW w:w="140" w:type="dxa"/>
            <w:vAlign w:val="bottom"/>
            <w:shd w:val="clear" w:color="auto" w:fill="CFF0FC"/>
          </w:tcPr>
          <w:p>
            <w:pPr>
              <w:spacing w:after="0"/>
              <w:rPr>
                <w:sz w:val="21"/>
                <w:szCs w:val="2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275,428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198,942</w:t>
            </w:r>
          </w:p>
        </w:tc>
        <w:tc>
          <w:tcPr>
            <w:tcW w:w="140" w:type="dxa"/>
            <w:vAlign w:val="bottom"/>
          </w:tcPr>
          <w:p>
            <w:pPr>
              <w:spacing w:after="0"/>
              <w:rPr>
                <w:sz w:val="20"/>
                <w:szCs w:val="20"/>
                <w:color w:val="auto"/>
              </w:rPr>
            </w:pPr>
          </w:p>
        </w:tc>
      </w:tr>
    </w:tbl>
    <w:p>
      <w:pPr>
        <w:spacing w:after="0" w:line="39"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Fulcrum defines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34,564</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42,850</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21,843</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w:t>
            </w:r>
          </w:p>
        </w:tc>
        <w:tc>
          <w:tcPr>
            <w:tcW w:w="140" w:type="dxa"/>
            <w:vAlign w:val="bottom"/>
          </w:tcPr>
          <w:p>
            <w:pPr>
              <w:spacing w:after="0"/>
              <w:rPr>
                <w:sz w:val="20"/>
                <w:szCs w:val="20"/>
                <w:color w:val="auto"/>
              </w:rPr>
            </w:pPr>
          </w:p>
        </w:tc>
      </w:tr>
      <w:tr>
        <w:trPr>
          <w:trHeight w:val="23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28,172</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36,117</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64,707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(27,292 )</w:t>
            </w:r>
          </w:p>
        </w:tc>
        <w:tc>
          <w:tcPr>
            <w:tcW w:w="2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(34,235 )</w:t>
            </w:r>
          </w:p>
        </w:tc>
        <w:tc>
          <w:tcPr>
            <w:tcW w:w="26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(55,232 )</w:t>
            </w:r>
          </w:p>
        </w:tc>
        <w:tc>
          <w:tcPr>
            <w:tcW w:w="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(60,233 )</w:t>
            </w:r>
          </w:p>
        </w:tc>
      </w:tr>
      <w:tr>
        <w:trPr>
          <w:trHeight w:val="24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(23,783 )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(34,070 )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(48,562 )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(59,998 )</w:t>
            </w: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61,794</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60,764</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40,768</w:t>
            </w:r>
          </w:p>
        </w:tc>
        <w:tc>
          <w:tcPr>
            <w:tcW w:w="14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-864870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-864870</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-864870</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-864870</wp:posOffset>
            </wp:positionV>
            <wp:extent cx="857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-548005</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-548005</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-548005</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-548005</wp:posOffset>
            </wp:positionV>
            <wp:extent cx="8572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-205105</wp:posOffset>
            </wp:positionV>
            <wp:extent cx="282892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8925" cy="2057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Calabrese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917-680-5608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Dee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dsmith@fulcrumtx.com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202-746-1324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2023-08-03T06:15:03Z</dcterms:created>
  <dcterms:modified xsi:type="dcterms:W3CDTF">2023-08-03T06:15:03Z</dcterms:modified>
</cp:coreProperties>
</file>