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5"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5315585</wp:posOffset>
            </wp:positionH>
            <wp:positionV relativeFrom="paragraph">
              <wp:posOffset>-610870</wp:posOffset>
            </wp:positionV>
            <wp:extent cx="8255" cy="611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150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-619125</wp:posOffset>
            </wp:positionV>
            <wp:extent cx="8255"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976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-594360</wp:posOffset>
            </wp:positionV>
            <wp:extent cx="1264285" cy="5702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7023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29210</wp:posOffset>
            </wp:positionV>
            <wp:extent cx="6967220" cy="1760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602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80" w:space="260"/>
            <w:col w:w="8540"/>
          </w:cols>
          <w:pgMar w:left="460" w:top="222" w:right="359" w:bottom="115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Cadavid Diego</w:t>
        </w:r>
      </w:hyperlink>
    </w:p>
    <w:p>
      <w:pPr>
        <w:spacing w:after="0" w:line="30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FULCRUM THERAPEUTICS, INC.</w:t>
      </w:r>
    </w:p>
    <w:p>
      <w:pPr>
        <w:spacing w:after="0" w:line="76"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26 LANDSDOWNE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115"/>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Fulcrum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FULC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06/04/2020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5" w:right="600" w:hanging="5"/>
        <w:spacing w:after="0" w:line="239"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tbl>
      <w:tblPr>
        <w:tblLayout w:type="fixed"/>
        <w:tblInd w:w="185"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65"/>
        <w:spacing w:after="0"/>
        <w:rPr>
          <w:sz w:val="20"/>
          <w:szCs w:val="20"/>
          <w:color w:val="auto"/>
        </w:rPr>
      </w:pPr>
      <w:r>
        <w:rPr>
          <w:rFonts w:ascii="Arial" w:cs="Arial" w:eastAsia="Arial" w:hAnsi="Arial"/>
          <w:sz w:val="17"/>
          <w:szCs w:val="17"/>
          <w:color w:val="0000FF"/>
        </w:rPr>
        <w:t>SVP Clinical Development</w:t>
      </w:r>
    </w:p>
    <w:p>
      <w:pPr>
        <w:spacing w:after="0" w:line="391" w:lineRule="exact"/>
        <w:rPr>
          <w:sz w:val="24"/>
          <w:szCs w:val="24"/>
          <w:color w:val="auto"/>
        </w:rPr>
      </w:pPr>
    </w:p>
    <w:p>
      <w:pPr>
        <w:sectPr>
          <w:pgSz w:w="11900" w:h="16838" w:orient="portrait"/>
          <w:cols w:equalWidth="0" w:num="3">
            <w:col w:w="3180" w:space="720"/>
            <w:col w:w="3115" w:space="720"/>
            <w:col w:w="3345"/>
          </w:cols>
          <w:pgMar w:left="460" w:top="222" w:right="359" w:bottom="1151"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540" w:type="dxa"/>
            <w:vAlign w:val="bottom"/>
            <w:gridSpan w:val="6"/>
          </w:tcPr>
          <w:p>
            <w:pPr>
              <w:jc w:val="center"/>
              <w:spacing w:after="0" w:line="144"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2"/>
          </w:tcPr>
          <w:p>
            <w:pPr>
              <w:ind w:left="44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3160" w:type="dxa"/>
            <w:vAlign w:val="bottom"/>
            <w:gridSpan w:val="11"/>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CAMBRIDGE   MA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02139</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16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920" w:type="dxa"/>
            <w:vAlign w:val="bottom"/>
            <w:gridSpan w:val="8"/>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92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180" w:type="dxa"/>
            <w:vAlign w:val="bottom"/>
            <w:tcBorders>
              <w:bottom w:val="single" w:sz="8" w:color="2C2C2C"/>
            </w:tcBorders>
            <w:gridSpan w:val="8"/>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2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jc w:val="center"/>
              <w:ind w:left="37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370"/>
              <w:spacing w:after="0"/>
              <w:rPr>
                <w:sz w:val="20"/>
                <w:szCs w:val="20"/>
                <w:color w:val="auto"/>
              </w:rPr>
            </w:pPr>
            <w:r>
              <w:rPr>
                <w:rFonts w:ascii="Arial" w:cs="Arial" w:eastAsia="Arial" w:hAnsi="Arial"/>
                <w:sz w:val="17"/>
                <w:szCs w:val="17"/>
                <w:color w:val="0000FF"/>
                <w:w w:val="89"/>
              </w:rPr>
              <w:t>06/04/2020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226</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ind w:left="109"/>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4.83</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right"/>
              <w:ind w:right="320"/>
              <w:spacing w:after="0"/>
              <w:rPr>
                <w:sz w:val="20"/>
                <w:szCs w:val="20"/>
                <w:color w:val="auto"/>
              </w:rPr>
            </w:pPr>
            <w:r>
              <w:rPr>
                <w:rFonts w:ascii="Arial" w:cs="Arial" w:eastAsia="Arial" w:hAnsi="Arial"/>
                <w:sz w:val="17"/>
                <w:szCs w:val="17"/>
                <w:color w:val="0000FF"/>
              </w:rPr>
              <w:t>67,011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370"/>
              <w:spacing w:after="0"/>
              <w:rPr>
                <w:sz w:val="20"/>
                <w:szCs w:val="20"/>
                <w:color w:val="auto"/>
              </w:rPr>
            </w:pPr>
            <w:r>
              <w:rPr>
                <w:rFonts w:ascii="Arial" w:cs="Arial" w:eastAsia="Arial" w:hAnsi="Arial"/>
                <w:sz w:val="17"/>
                <w:szCs w:val="17"/>
                <w:color w:val="0000FF"/>
                <w:w w:val="89"/>
              </w:rPr>
              <w:t>06/04/2020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226</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20.0498</w:t>
            </w:r>
            <w:r>
              <w:rPr>
                <w:rFonts w:ascii="Arial" w:cs="Arial" w:eastAsia="Arial" w:hAnsi="Arial"/>
                <w:sz w:val="21"/>
                <w:szCs w:val="21"/>
                <w:color w:val="008000"/>
                <w:w w:val="86"/>
                <w:vertAlign w:val="superscript"/>
              </w:rPr>
              <w:t>(2)</w:t>
            </w:r>
          </w:p>
        </w:tc>
        <w:tc>
          <w:tcPr>
            <w:tcW w:w="1200" w:type="dxa"/>
            <w:vAlign w:val="bottom"/>
            <w:tcBorders>
              <w:bottom w:val="single" w:sz="8" w:color="2C2C2C"/>
            </w:tcBorders>
            <w:gridSpan w:val="3"/>
          </w:tcPr>
          <w:p>
            <w:pPr>
              <w:jc w:val="right"/>
              <w:ind w:right="300"/>
              <w:spacing w:after="0"/>
              <w:rPr>
                <w:sz w:val="20"/>
                <w:szCs w:val="20"/>
                <w:color w:val="auto"/>
              </w:rPr>
            </w:pPr>
            <w:r>
              <w:rPr>
                <w:rFonts w:ascii="Arial" w:cs="Arial" w:eastAsia="Arial" w:hAnsi="Arial"/>
                <w:sz w:val="17"/>
                <w:szCs w:val="17"/>
                <w:color w:val="0000FF"/>
              </w:rPr>
              <w:t>66,785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370"/>
              <w:spacing w:after="0"/>
              <w:rPr>
                <w:sz w:val="20"/>
                <w:szCs w:val="20"/>
                <w:color w:val="auto"/>
              </w:rPr>
            </w:pPr>
            <w:r>
              <w:rPr>
                <w:rFonts w:ascii="Arial" w:cs="Arial" w:eastAsia="Arial" w:hAnsi="Arial"/>
                <w:sz w:val="17"/>
                <w:szCs w:val="17"/>
                <w:color w:val="0000FF"/>
                <w:w w:val="89"/>
              </w:rPr>
              <w:t>06/05/2020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451</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center"/>
              <w:ind w:left="109"/>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4.83</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right"/>
              <w:ind w:right="300"/>
              <w:spacing w:after="0"/>
              <w:rPr>
                <w:sz w:val="20"/>
                <w:szCs w:val="20"/>
                <w:color w:val="auto"/>
              </w:rPr>
            </w:pPr>
            <w:r>
              <w:rPr>
                <w:rFonts w:ascii="Arial" w:cs="Arial" w:eastAsia="Arial" w:hAnsi="Arial"/>
                <w:sz w:val="17"/>
                <w:szCs w:val="17"/>
                <w:color w:val="0000FF"/>
              </w:rPr>
              <w:t>67,236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jc w:val="center"/>
              <w:ind w:left="370"/>
              <w:spacing w:after="0"/>
              <w:rPr>
                <w:sz w:val="20"/>
                <w:szCs w:val="20"/>
                <w:color w:val="auto"/>
              </w:rPr>
            </w:pPr>
            <w:r>
              <w:rPr>
                <w:rFonts w:ascii="Arial" w:cs="Arial" w:eastAsia="Arial" w:hAnsi="Arial"/>
                <w:sz w:val="17"/>
                <w:szCs w:val="17"/>
                <w:color w:val="0000FF"/>
                <w:w w:val="89"/>
              </w:rPr>
              <w:t>06/05/2020</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4"/>
              </w:rPr>
              <w:t>451</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20.1791</w:t>
            </w:r>
            <w:r>
              <w:rPr>
                <w:rFonts w:ascii="Arial" w:cs="Arial" w:eastAsia="Arial" w:hAnsi="Arial"/>
                <w:sz w:val="21"/>
                <w:szCs w:val="21"/>
                <w:color w:val="008000"/>
                <w:w w:val="86"/>
                <w:vertAlign w:val="superscript"/>
              </w:rPr>
              <w:t>(3)</w:t>
            </w:r>
          </w:p>
        </w:tc>
        <w:tc>
          <w:tcPr>
            <w:tcW w:w="1200" w:type="dxa"/>
            <w:vAlign w:val="bottom"/>
            <w:tcBorders>
              <w:bottom w:val="single" w:sz="8" w:color="2C2C2C"/>
            </w:tcBorders>
            <w:gridSpan w:val="3"/>
          </w:tcPr>
          <w:p>
            <w:pPr>
              <w:jc w:val="right"/>
              <w:ind w:right="300"/>
              <w:spacing w:after="0"/>
              <w:rPr>
                <w:sz w:val="20"/>
                <w:szCs w:val="20"/>
                <w:color w:val="auto"/>
              </w:rPr>
            </w:pPr>
            <w:r>
              <w:rPr>
                <w:rFonts w:ascii="Arial" w:cs="Arial" w:eastAsia="Arial" w:hAnsi="Arial"/>
                <w:sz w:val="17"/>
                <w:szCs w:val="17"/>
                <w:color w:val="0000FF"/>
              </w:rPr>
              <w:t>66,785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380" w:type="dxa"/>
            <w:vAlign w:val="bottom"/>
            <w:gridSpan w:val="9"/>
          </w:tcPr>
          <w:p>
            <w:pPr>
              <w:jc w:val="center"/>
              <w:ind w:left="57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4.83</w:t>
            </w:r>
          </w:p>
        </w:tc>
        <w:tc>
          <w:tcPr>
            <w:tcW w:w="1040" w:type="dxa"/>
            <w:vAlign w:val="bottom"/>
            <w:vMerge w:val="restart"/>
          </w:tcPr>
          <w:p>
            <w:pPr>
              <w:jc w:val="right"/>
              <w:ind w:right="132"/>
              <w:spacing w:after="0"/>
              <w:rPr>
                <w:sz w:val="20"/>
                <w:szCs w:val="20"/>
                <w:color w:val="auto"/>
              </w:rPr>
            </w:pPr>
            <w:r>
              <w:rPr>
                <w:rFonts w:ascii="Arial" w:cs="Arial" w:eastAsia="Arial" w:hAnsi="Arial"/>
                <w:sz w:val="13"/>
                <w:szCs w:val="13"/>
                <w:color w:val="0000FF"/>
              </w:rPr>
              <w:t>06/04/2020</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restart"/>
          </w:tcPr>
          <w:p>
            <w:pPr>
              <w:ind w:left="20"/>
              <w:spacing w:after="0" w:line="270"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420" w:type="dxa"/>
            <w:vAlign w:val="bottom"/>
          </w:tcPr>
          <w:p>
            <w:pPr>
              <w:spacing w:after="0"/>
              <w:rPr>
                <w:sz w:val="12"/>
                <w:szCs w:val="12"/>
                <w:color w:val="auto"/>
              </w:rPr>
            </w:pPr>
          </w:p>
        </w:tc>
        <w:tc>
          <w:tcPr>
            <w:tcW w:w="660" w:type="dxa"/>
            <w:vAlign w:val="bottom"/>
            <w:vMerge w:val="restart"/>
          </w:tcPr>
          <w:p>
            <w:pPr>
              <w:ind w:left="420"/>
              <w:spacing w:after="0"/>
              <w:rPr>
                <w:sz w:val="20"/>
                <w:szCs w:val="20"/>
                <w:color w:val="auto"/>
              </w:rPr>
            </w:pPr>
            <w:r>
              <w:rPr>
                <w:rFonts w:ascii="Arial" w:cs="Arial" w:eastAsia="Arial" w:hAnsi="Arial"/>
                <w:sz w:val="13"/>
                <w:szCs w:val="13"/>
                <w:color w:val="0000FF"/>
              </w:rPr>
              <w:t>226</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0000FF"/>
                <w:w w:val="89"/>
              </w:rPr>
              <w:t>07/10/2028</w:t>
            </w:r>
          </w:p>
        </w:tc>
        <w:tc>
          <w:tcPr>
            <w:tcW w:w="560" w:type="dxa"/>
            <w:vAlign w:val="bottom"/>
          </w:tcPr>
          <w:p>
            <w:pPr>
              <w:ind w:left="60"/>
              <w:spacing w:after="0" w:line="143" w:lineRule="exact"/>
              <w:rPr>
                <w:sz w:val="20"/>
                <w:szCs w:val="20"/>
                <w:color w:val="auto"/>
              </w:rPr>
            </w:pPr>
            <w:r>
              <w:rPr>
                <w:rFonts w:ascii="Arial" w:cs="Arial" w:eastAsia="Arial" w:hAnsi="Arial"/>
                <w:sz w:val="13"/>
                <w:szCs w:val="13"/>
                <w:color w:val="0000FF"/>
                <w:w w:val="90"/>
              </w:rPr>
              <w:t>Common</w:t>
            </w:r>
          </w:p>
        </w:tc>
        <w:tc>
          <w:tcPr>
            <w:tcW w:w="620" w:type="dxa"/>
            <w:vAlign w:val="bottom"/>
            <w:vMerge w:val="restart"/>
          </w:tcPr>
          <w:p>
            <w:pPr>
              <w:ind w:left="220"/>
              <w:spacing w:after="0"/>
              <w:rPr>
                <w:sz w:val="20"/>
                <w:szCs w:val="20"/>
                <w:color w:val="auto"/>
              </w:rPr>
            </w:pPr>
            <w:r>
              <w:rPr>
                <w:rFonts w:ascii="Arial" w:cs="Arial" w:eastAsia="Arial" w:hAnsi="Arial"/>
                <w:sz w:val="17"/>
                <w:szCs w:val="17"/>
                <w:color w:val="0000FF"/>
              </w:rPr>
              <w:t>226</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20" w:type="dxa"/>
            <w:vAlign w:val="bottom"/>
            <w:vMerge w:val="restart"/>
          </w:tcPr>
          <w:p>
            <w:pPr>
              <w:ind w:left="240"/>
              <w:spacing w:after="0"/>
              <w:rPr>
                <w:sz w:val="20"/>
                <w:szCs w:val="20"/>
                <w:color w:val="auto"/>
              </w:rPr>
            </w:pPr>
            <w:r>
              <w:rPr>
                <w:rFonts w:ascii="Arial" w:cs="Arial" w:eastAsia="Arial" w:hAnsi="Arial"/>
                <w:sz w:val="13"/>
                <w:szCs w:val="13"/>
                <w:color w:val="0000FF"/>
                <w:w w:val="90"/>
              </w:rPr>
              <w:t>14,588</w:t>
            </w:r>
          </w:p>
        </w:tc>
        <w:tc>
          <w:tcPr>
            <w:tcW w:w="26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560" w:type="dxa"/>
            <w:vAlign w:val="bottom"/>
          </w:tcPr>
          <w:p>
            <w:pPr>
              <w:ind w:left="1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4.83</w:t>
            </w:r>
          </w:p>
        </w:tc>
        <w:tc>
          <w:tcPr>
            <w:tcW w:w="1040" w:type="dxa"/>
            <w:vAlign w:val="bottom"/>
            <w:vMerge w:val="restart"/>
          </w:tcPr>
          <w:p>
            <w:pPr>
              <w:jc w:val="right"/>
              <w:ind w:right="132"/>
              <w:spacing w:after="0"/>
              <w:rPr>
                <w:sz w:val="20"/>
                <w:szCs w:val="20"/>
                <w:color w:val="auto"/>
              </w:rPr>
            </w:pPr>
            <w:r>
              <w:rPr>
                <w:rFonts w:ascii="Arial" w:cs="Arial" w:eastAsia="Arial" w:hAnsi="Arial"/>
                <w:sz w:val="13"/>
                <w:szCs w:val="13"/>
                <w:color w:val="0000FF"/>
              </w:rPr>
              <w:t>06/05/2020</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vMerge w:val="restart"/>
          </w:tcPr>
          <w:p>
            <w:pPr>
              <w:ind w:left="20"/>
              <w:spacing w:after="0" w:line="270"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420" w:type="dxa"/>
            <w:vAlign w:val="bottom"/>
          </w:tcPr>
          <w:p>
            <w:pPr>
              <w:spacing w:after="0"/>
              <w:rPr>
                <w:sz w:val="12"/>
                <w:szCs w:val="12"/>
                <w:color w:val="auto"/>
              </w:rPr>
            </w:pPr>
          </w:p>
        </w:tc>
        <w:tc>
          <w:tcPr>
            <w:tcW w:w="660" w:type="dxa"/>
            <w:vAlign w:val="bottom"/>
            <w:vMerge w:val="restart"/>
          </w:tcPr>
          <w:p>
            <w:pPr>
              <w:ind w:left="420"/>
              <w:spacing w:after="0"/>
              <w:rPr>
                <w:sz w:val="20"/>
                <w:szCs w:val="20"/>
                <w:color w:val="auto"/>
              </w:rPr>
            </w:pPr>
            <w:r>
              <w:rPr>
                <w:rFonts w:ascii="Arial" w:cs="Arial" w:eastAsia="Arial" w:hAnsi="Arial"/>
                <w:sz w:val="13"/>
                <w:szCs w:val="13"/>
                <w:color w:val="0000FF"/>
              </w:rPr>
              <w:t>451</w:t>
            </w: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(4)</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0000FF"/>
                <w:w w:val="89"/>
              </w:rPr>
              <w:t>07/10/2028</w:t>
            </w:r>
          </w:p>
        </w:tc>
        <w:tc>
          <w:tcPr>
            <w:tcW w:w="560" w:type="dxa"/>
            <w:vAlign w:val="bottom"/>
          </w:tcPr>
          <w:p>
            <w:pPr>
              <w:ind w:left="60"/>
              <w:spacing w:after="0" w:line="143" w:lineRule="exact"/>
              <w:rPr>
                <w:sz w:val="20"/>
                <w:szCs w:val="20"/>
                <w:color w:val="auto"/>
              </w:rPr>
            </w:pPr>
            <w:r>
              <w:rPr>
                <w:rFonts w:ascii="Arial" w:cs="Arial" w:eastAsia="Arial" w:hAnsi="Arial"/>
                <w:sz w:val="13"/>
                <w:szCs w:val="13"/>
                <w:color w:val="0000FF"/>
                <w:w w:val="90"/>
              </w:rPr>
              <w:t>Common</w:t>
            </w:r>
          </w:p>
        </w:tc>
        <w:tc>
          <w:tcPr>
            <w:tcW w:w="620" w:type="dxa"/>
            <w:vAlign w:val="bottom"/>
            <w:vMerge w:val="restart"/>
          </w:tcPr>
          <w:p>
            <w:pPr>
              <w:ind w:left="220"/>
              <w:spacing w:after="0"/>
              <w:rPr>
                <w:sz w:val="20"/>
                <w:szCs w:val="20"/>
                <w:color w:val="auto"/>
              </w:rPr>
            </w:pPr>
            <w:r>
              <w:rPr>
                <w:rFonts w:ascii="Arial" w:cs="Arial" w:eastAsia="Arial" w:hAnsi="Arial"/>
                <w:sz w:val="17"/>
                <w:szCs w:val="17"/>
                <w:color w:val="0000FF"/>
              </w:rPr>
              <w:t>451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20" w:type="dxa"/>
            <w:vAlign w:val="bottom"/>
            <w:vMerge w:val="restart"/>
          </w:tcPr>
          <w:p>
            <w:pPr>
              <w:ind w:left="240"/>
              <w:spacing w:after="0"/>
              <w:rPr>
                <w:sz w:val="20"/>
                <w:szCs w:val="20"/>
                <w:color w:val="auto"/>
              </w:rPr>
            </w:pPr>
            <w:r>
              <w:rPr>
                <w:rFonts w:ascii="Arial" w:cs="Arial" w:eastAsia="Arial" w:hAnsi="Arial"/>
                <w:sz w:val="13"/>
                <w:szCs w:val="13"/>
                <w:color w:val="0000FF"/>
                <w:w w:val="90"/>
              </w:rPr>
              <w:t>14,137</w:t>
            </w:r>
          </w:p>
        </w:tc>
        <w:tc>
          <w:tcPr>
            <w:tcW w:w="260" w:type="dxa"/>
            <w:vAlign w:val="bottom"/>
          </w:tcPr>
          <w:p>
            <w:pPr>
              <w:spacing w:after="0"/>
              <w:rPr>
                <w:sz w:val="12"/>
                <w:szCs w:val="12"/>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62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-4248150</wp:posOffset>
            </wp:positionV>
            <wp:extent cx="7033260" cy="43884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438848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in this Form 4 were effected pursuant to a Rule 10b5-1 trading plan adopted by the reporting person on December 19, 2019.</w:t>
      </w:r>
    </w:p>
    <w:p>
      <w:pPr>
        <w:spacing w:after="0" w:line="45" w:lineRule="exact"/>
        <w:rPr>
          <w:rFonts w:ascii="Arial" w:cs="Arial" w:eastAsia="Arial" w:hAnsi="Arial"/>
          <w:sz w:val="13"/>
          <w:szCs w:val="13"/>
          <w:color w:val="008000"/>
        </w:rPr>
      </w:pPr>
    </w:p>
    <w:p>
      <w:pPr>
        <w:ind w:left="40" w:right="20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$20.01 to $20.10, inclusive. The reporting person undertakes to provide to Fulcrum Therapeutics, Inc., any security holder of Fulcrum Therapeutics, Inc. or the staff of the Securities and Exchange Commission, upon request, full information regarding the number of shares sold at each separate price within the range set forth in this footnote (2) to this Form 4.</w:t>
      </w:r>
    </w:p>
    <w:p>
      <w:pPr>
        <w:spacing w:after="0" w:line="31" w:lineRule="exact"/>
        <w:rPr>
          <w:rFonts w:ascii="Arial" w:cs="Arial" w:eastAsia="Arial" w:hAnsi="Arial"/>
          <w:sz w:val="13"/>
          <w:szCs w:val="13"/>
          <w:color w:val="008000"/>
        </w:rPr>
      </w:pPr>
    </w:p>
    <w:p>
      <w:pPr>
        <w:ind w:left="40" w:right="200" w:firstLine="3"/>
        <w:spacing w:after="0" w:line="241"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$20.04 to $20.31, inclusive. The reporting person undertakes to provide to Fulcrum Therapeutics, Inc., any security holder of Fulcrum Therapeutics, Inc. or the staff of the Securities and Exchange Commission, upon request, full information regarding the number of shares sold at each separate price within the range set forth in this footnote (3)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underlying the option are scheduled to vest in equal quarterly installments from July 16, 2018 through July 15, 2022.</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8" w:lineRule="auto"/>
        <w:rPr>
          <w:sz w:val="20"/>
          <w:szCs w:val="20"/>
          <w:color w:val="auto"/>
        </w:rPr>
      </w:pPr>
      <w:r>
        <w:rPr>
          <w:rFonts w:ascii="Arial" w:cs="Arial" w:eastAsia="Arial" w:hAnsi="Arial"/>
          <w:sz w:val="17"/>
          <w:szCs w:val="17"/>
          <w:color w:val="0000FF"/>
        </w:rPr>
        <w:t xml:space="preserve">/s/ Peter Thomson, as attorney- </w:t>
      </w:r>
      <w:r>
        <w:rPr>
          <w:rFonts w:ascii="Arial" w:cs="Arial" w:eastAsia="Arial" w:hAnsi="Arial"/>
          <w:sz w:val="33"/>
          <w:szCs w:val="33"/>
          <w:color w:val="0000FF"/>
          <w:vertAlign w:val="subscript"/>
        </w:rPr>
        <w:t>06/08/2020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398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985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 for Diego Cadavid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11068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0680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95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39"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1"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15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8713" TargetMode="External"/><Relationship Id="rId14"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2020-06-08T15:18:46Z</dcterms:created>
  <dcterms:modified xsi:type="dcterms:W3CDTF">2020-06-08T15:18:46Z</dcterms:modified>
</cp:coreProperties>
</file>