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48260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Fulcrum Therapeutics,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001-38978</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47-4839948</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26 Landsdowne Street</w:t>
      </w:r>
    </w:p>
    <w:p>
      <w:pPr>
        <w:spacing w:after="0" w:line="1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02139</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651-8851</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FULC</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6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both"/>
        <w:ind w:left="640" w:right="739"/>
        <w:spacing w:after="0" w:line="286" w:lineRule="auto"/>
        <w:rPr>
          <w:sz w:val="20"/>
          <w:szCs w:val="20"/>
          <w:color w:val="auto"/>
        </w:rPr>
      </w:pPr>
      <w:r>
        <w:rPr>
          <w:rFonts w:ascii="Times New Roman" w:cs="Times New Roman" w:eastAsia="Times New Roman" w:hAnsi="Times New Roman"/>
          <w:sz w:val="12"/>
          <w:szCs w:val="12"/>
          <w:color w:val="auto"/>
        </w:rPr>
        <w:t>Although it has not yet finalized its full financial results for the fourth quarter and fiscal year ended December 31, 2024, Fulcrum Therapeutics, Inc., or Fulcrum, published an updated corporate presentation on its Website on January 13, 2025, which is attached as Exhibit 99.1 hereto, announcing that it expects to report that it had approximately $240 million of cash, cash equivalents and marketable securities as of December 31, 2024.</w:t>
      </w:r>
    </w:p>
    <w:p>
      <w:pPr>
        <w:spacing w:after="0" w:line="113" w:lineRule="exact"/>
        <w:rPr>
          <w:sz w:val="20"/>
          <w:szCs w:val="20"/>
          <w:color w:val="auto"/>
        </w:rPr>
      </w:pPr>
    </w:p>
    <w:p>
      <w:pPr>
        <w:ind w:left="640" w:right="799"/>
        <w:spacing w:after="0" w:line="286" w:lineRule="auto"/>
        <w:rPr>
          <w:sz w:val="20"/>
          <w:szCs w:val="20"/>
          <w:color w:val="auto"/>
        </w:rPr>
      </w:pPr>
      <w:r>
        <w:rPr>
          <w:rFonts w:ascii="Times New Roman" w:cs="Times New Roman" w:eastAsia="Times New Roman" w:hAnsi="Times New Roman"/>
          <w:sz w:val="12"/>
          <w:szCs w:val="12"/>
          <w:color w:val="auto"/>
        </w:rPr>
        <w:t>The information contained in this Item 2.02 of, and in Exhibit 99.1 attached to, this current report on Form 8-K is unaudited and preliminary and does not present all information necessary for an understanding of Fulcrum’s financial condition as of December 31, 2024. The audit of Fulcrum’s consolidated financial statements for the year ended December 31, 2024 is ongoing and could result in changes to the information set forth above.</w:t>
      </w:r>
    </w:p>
    <w:p>
      <w:pPr>
        <w:spacing w:after="0" w:line="113" w:lineRule="exact"/>
        <w:rPr>
          <w:sz w:val="20"/>
          <w:szCs w:val="20"/>
          <w:color w:val="auto"/>
        </w:rPr>
      </w:pPr>
    </w:p>
    <w:p>
      <w:pPr>
        <w:ind w:left="640" w:right="679"/>
        <w:spacing w:after="0" w:line="286" w:lineRule="auto"/>
        <w:rPr>
          <w:sz w:val="20"/>
          <w:szCs w:val="20"/>
          <w:color w:val="auto"/>
        </w:rPr>
      </w:pPr>
      <w:r>
        <w:rPr>
          <w:rFonts w:ascii="Times New Roman" w:cs="Times New Roman" w:eastAsia="Times New Roman" w:hAnsi="Times New Roman"/>
          <w:sz w:val="12"/>
          <w:szCs w:val="12"/>
          <w:color w:val="auto"/>
        </w:rPr>
        <w:t>The information in this Item 2.02, and in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On January 13, 2025, Fulcrum published an updated corporate presentation on its website. Fulcrum is furnishing as Exhibit 99.1 to this current report on Form 8-K a copy of the slides from such presentation, which updated information is incorporated by reference herein.</w:t>
      </w:r>
    </w:p>
    <w:p>
      <w:pPr>
        <w:spacing w:after="0" w:line="122" w:lineRule="exact"/>
        <w:rPr>
          <w:sz w:val="20"/>
          <w:szCs w:val="20"/>
          <w:color w:val="auto"/>
        </w:rPr>
      </w:pPr>
    </w:p>
    <w:p>
      <w:pPr>
        <w:ind w:left="640" w:right="679"/>
        <w:spacing w:after="0" w:line="286" w:lineRule="auto"/>
        <w:rPr>
          <w:sz w:val="20"/>
          <w:szCs w:val="20"/>
          <w:color w:val="auto"/>
        </w:rPr>
      </w:pPr>
      <w:r>
        <w:rPr>
          <w:rFonts w:ascii="Times New Roman" w:cs="Times New Roman" w:eastAsia="Times New Roman" w:hAnsi="Times New Roman"/>
          <w:sz w:val="12"/>
          <w:szCs w:val="12"/>
          <w:color w:val="auto"/>
        </w:rPr>
        <w:t>The information in this Item 2.02, and in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9" w:lineRule="exact"/>
        <w:rPr>
          <w:sz w:val="20"/>
          <w:szCs w:val="20"/>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exhibit is furnished herewith:</w:t>
      </w:r>
    </w:p>
    <w:p>
      <w:pPr>
        <w:sectPr>
          <w:pgSz w:w="11900" w:h="16838" w:orient="portrait"/>
          <w:cols w:equalWidth="0" w:num="1">
            <w:col w:w="9019"/>
          </w:cols>
          <w:pgMar w:left="1440" w:top="248" w:right="1440" w:bottom="1440" w:gutter="0" w:footer="0" w:header="0"/>
        </w:sectPr>
      </w:pP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3959"/>
        <w:spacing w:after="0"/>
        <w:rPr>
          <w:sz w:val="20"/>
          <w:szCs w:val="20"/>
          <w:color w:val="auto"/>
        </w:rPr>
      </w:pPr>
      <w:r>
        <w:rPr>
          <w:rFonts w:ascii="Times New Roman" w:cs="Times New Roman" w:eastAsia="Times New Roman" w:hAnsi="Times New Roman"/>
          <w:sz w:val="10"/>
          <w:szCs w:val="10"/>
          <w:b w:val="1"/>
          <w:bCs w:val="1"/>
          <w:color w:val="auto"/>
        </w:rPr>
        <w:t>Description</w:t>
      </w:r>
    </w:p>
    <w:p>
      <w:pPr>
        <w:spacing w:after="0" w:line="68" w:lineRule="exact"/>
        <w:rPr>
          <w:sz w:val="20"/>
          <w:szCs w:val="20"/>
          <w:color w:val="auto"/>
        </w:rPr>
      </w:pPr>
    </w:p>
    <w:p>
      <w:pPr>
        <w:sectPr>
          <w:pgSz w:w="11900" w:h="16838" w:orient="portrait"/>
          <w:cols w:equalWidth="0" w:num="2">
            <w:col w:w="3840" w:space="720"/>
            <w:col w:w="4459"/>
          </w:cols>
          <w:pgMar w:left="1440" w:top="248" w:right="1440" w:bottom="1440" w:gutter="0" w:footer="0" w:header="0"/>
          <w:type w:val="continuous"/>
        </w:sect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 dated January 13,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ectPr>
          <w:pgSz w:w="11900" w:h="16838" w:orient="portrait"/>
          <w:cols w:equalWidth="0" w:num="1">
            <w:col w:w="9019"/>
          </w:cols>
          <w:pgMar w:left="1440" w:top="248" w:right="1440"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FULCRUM THERAPEUTICS,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Name: Alex C. Sapir</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Title: President and Chief Executive Officer</w:t>
      </w:r>
    </w:p>
    <w:p>
      <w:pPr>
        <w:sectPr>
          <w:pgSz w:w="11900" w:h="16838" w:orient="portrait"/>
          <w:cols w:equalWidth="0" w:num="1">
            <w:col w:w="9019"/>
          </w:cols>
          <w:pgMar w:left="1440" w:top="24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2025-01-13T06:40:53Z</dcterms:created>
  <dcterms:modified xsi:type="dcterms:W3CDTF">2025-01-13T06:40:53Z</dcterms:modified>
</cp:coreProperties>
</file>