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Oltmans Curtis Gale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FULCRUM THERAPEUTICS,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26 LANDSDOWNE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CAMBRIDGE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02139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Fulcrum Therapeutics, Inc.</w:t>
              </w:r>
            </w:hyperlink>
            <w:r>
              <w:rPr/>
              <w:t xml:space="preserve"> [ </w:t>
            </w:r>
            <w:r>
              <w:rPr>
                <w:rFonts w:ascii="Times;serif" w:hAnsi="Times;serif"/>
                <w:color w:val="0000FF"/>
                <w:sz w:val="24"/>
                <w:highlight w:val="white"/>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Legal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04/26/2023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254" w:type="dxa"/>
        <w:jc w:val="left"/>
        <w:tblInd w:w="0" w:type="dxa"/>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2.58</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04/26/2023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127,500</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04/25/2033</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127,500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127,500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stock options were granted to the reporting person under the Fulcrum 2019 Stock Incentive Plan (the "Plan") as part of an executive retention program and will vest 25% on the first anniversary of the grant date. The remainder of the shares underlying the grant shall vest in equal quarterly installments over the following three years, such that the options will be vested in full on the four-year anniversary of the grant date, and subject to the reporting person's continuing to be an "Eligible Participant" (as defined in the Plan) on each such vesting date.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Curt Oltmans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14982" TargetMode="External"/><Relationship Id="rId4" Type="http://schemas.openxmlformats.org/officeDocument/2006/relationships/hyperlink" Target="http://www.sec.gov/cgi-bin/browse-edgar?action=getcompany&amp;CIK=00016805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624</Words>
  <CharactersWithSpaces>3926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