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right="2220" w:firstLine="8"/>
        <w:spacing w:after="0" w:line="287" w:lineRule="auto"/>
        <w:tabs>
          <w:tab w:leader="none" w:pos="20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w:t>
      </w:r>
    </w:p>
    <w:p>
      <w:pPr>
        <w:spacing w:after="0" w:line="33" w:lineRule="exact"/>
        <w:rPr>
          <w:sz w:val="24"/>
          <w:szCs w:val="24"/>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7" w:lineRule="exact"/>
        <w:rPr>
          <w:sz w:val="24"/>
          <w:szCs w:val="24"/>
          <w:color w:val="auto"/>
        </w:rPr>
      </w:pPr>
    </w:p>
    <w:tbl>
      <w:tblPr>
        <w:tblLayout w:type="fixed"/>
        <w:tblInd w:w="24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47-4839948</w:t>
            </w:r>
          </w:p>
        </w:tc>
      </w:tr>
    </w:tbl>
    <w:p>
      <w:pPr>
        <w:spacing w:after="0" w:line="1" w:lineRule="exact"/>
        <w:rPr>
          <w:sz w:val="24"/>
          <w:szCs w:val="24"/>
          <w:color w:val="auto"/>
        </w:rPr>
      </w:pPr>
    </w:p>
    <w:p>
      <w:pPr>
        <w:sectPr>
          <w:pgSz w:w="11900" w:h="16838" w:orient="portrait"/>
          <w:cols w:equalWidth="0" w:num="1">
            <w:col w:w="11240"/>
          </w:cols>
          <w:pgMar w:left="320" w:top="1440" w:right="339" w:bottom="1440" w:gutter="0" w:footer="0" w:header="0"/>
        </w:sectPr>
      </w:pP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12"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b w:val="1"/>
          <w:bCs w:val="1"/>
          <w:color w:val="auto"/>
        </w:rPr>
        <w:t>Cambridge, Massachusetts</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9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26"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59" w:lineRule="exact"/>
        <w:rPr>
          <w:sz w:val="24"/>
          <w:szCs w:val="24"/>
          <w:color w:val="auto"/>
        </w:rPr>
      </w:pPr>
    </w:p>
    <w:p>
      <w:pPr>
        <w:ind w:right="400"/>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80"/>
        <w:spacing w:after="0" w:line="20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40"/>
        <w:spacing w:after="0" w:line="24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46"/>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2" w:lineRule="exact"/>
        <w:rPr>
          <w:sz w:val="24"/>
          <w:szCs w:val="24"/>
          <w:color w:val="auto"/>
        </w:rPr>
      </w:pPr>
    </w:p>
    <w:p>
      <w:pPr>
        <w:ind w:right="600"/>
        <w:spacing w:after="0" w:line="211"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20"/>
        <w:spacing w:after="0" w:line="17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ind w:right="100"/>
        <w:spacing w:after="0" w:line="176"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ind w:right="200"/>
        <w:spacing w:after="0" w:line="191"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5"/>
          <w:szCs w:val="15"/>
          <w:color w:val="auto"/>
        </w:rPr>
        <w:t>As of June 30, 2025,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30, 2025, was approximately $296,079,672.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registrant’s common stock outstanding as of February 17, 2026 was 66,600,209.</w:t>
      </w:r>
    </w:p>
    <w:p>
      <w:pPr>
        <w:spacing w:after="0" w:line="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5"/>
          <w:szCs w:val="15"/>
          <w:color w:val="auto"/>
        </w:rPr>
        <w:t>The registrant intends to file a definitive proxy statement pursuant to Regulation 14A relating to the 2026 Annual Meeting of Stockholders within 120 days of the end of the registrant’s fiscal year ended December 31, 2025. Portions of such definitive proxy statement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3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this Annual Report on Form 10-K,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Annual Report on Form 10-K are the property of Fulcrum Therapeutics, Inc. This Annual Report on Form 10-K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which reflect our current views with respect to, among other things, our operations and financial performance.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development of pociredir, including interactions with regulatory authorities and future clinical trials;</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pociredir and any other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(including planned investigational new drug, or IND, application filings) and our research and development programs;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exclusive global license agreement with CAMP4 Therapeutics Corp., or CAMP4;</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acquire or develop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including uncertainty resulting from changes in the administration, shifts in government policy and the evolving regulatory environment;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 and</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pandemics or other geopolitical events or prolonged government shutdowns on our business and operations, including our clinical trials and development plans, as well as our future financial results.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68" w:lineRule="exact"/>
        <w:rPr>
          <w:sz w:val="20"/>
          <w:szCs w:val="20"/>
          <w:color w:val="auto"/>
        </w:rPr>
      </w:pPr>
    </w:p>
    <w:p>
      <w:pPr>
        <w:ind w:left="900" w:right="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$74.9 million for the year ended December 31, 2025 and $9.7 million for the year ended December 31, 2024. We expect to incur losses over the next several years and may never achieve or maintain profitability. As of December 31, 2025, we had an accumulated deficit of $594.3 million.</w:t>
      </w:r>
    </w:p>
    <w:p>
      <w:pPr>
        <w:spacing w:after="0" w:line="67"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 of pociredir and continue research and development and initiate additional clinical trials of, and seek regulatory approval for, pociredir and other product candidates.</w:t>
      </w:r>
    </w:p>
    <w:p>
      <w:pPr>
        <w:spacing w:after="0" w:line="71" w:lineRule="exact"/>
        <w:rPr>
          <w:rFonts w:ascii="Times New Roman" w:cs="Times New Roman" w:eastAsia="Times New Roman" w:hAnsi="Times New Roman"/>
          <w:sz w:val="18"/>
          <w:szCs w:val="18"/>
          <w:color w:val="auto"/>
        </w:rPr>
      </w:pPr>
    </w:p>
    <w:p>
      <w:pPr>
        <w:ind w:left="900" w:right="20" w:hanging="383"/>
        <w:spacing w:after="0" w:line="31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early in our development efforts, and we only have one product candidate in clinical trials. If we are unable to complete clinical development of and commercialize our product candidates or experience significant delays in doing so, our business will be materially harmed.</w:t>
      </w:r>
    </w:p>
    <w:p>
      <w:pPr>
        <w:spacing w:after="0" w:line="31" w:lineRule="exact"/>
        <w:rPr>
          <w:rFonts w:ascii="Times New Roman" w:cs="Times New Roman" w:eastAsia="Times New Roman" w:hAnsi="Times New Roman"/>
          <w:sz w:val="17"/>
          <w:szCs w:val="17"/>
          <w:color w:val="auto"/>
        </w:rPr>
      </w:pPr>
    </w:p>
    <w:p>
      <w:pPr>
        <w:ind w:left="9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67" w:lineRule="exact"/>
        <w:rPr>
          <w:rFonts w:ascii="Times New Roman" w:cs="Times New Roman" w:eastAsia="Times New Roman" w:hAnsi="Times New Roman"/>
          <w:sz w:val="18"/>
          <w:szCs w:val="18"/>
          <w:color w:val="auto"/>
        </w:rPr>
      </w:pPr>
    </w:p>
    <w:p>
      <w:pPr>
        <w:ind w:left="900" w:right="580" w:hanging="383"/>
        <w:spacing w:after="0" w:line="312"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31" w:lineRule="exact"/>
        <w:rPr>
          <w:rFonts w:ascii="Times New Roman" w:cs="Times New Roman" w:eastAsia="Times New Roman" w:hAnsi="Times New Roman"/>
          <w:sz w:val="17"/>
          <w:szCs w:val="17"/>
          <w:color w:val="auto"/>
        </w:rPr>
      </w:pPr>
    </w:p>
    <w:p>
      <w:pPr>
        <w:ind w:left="900" w:right="38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 or to in-license or acquire additional product candidates.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 w:name="page6"/>
    <w:bookmarkEnd w:id="5"/>
    <w:p>
      <w:pPr>
        <w:ind w:left="383" w:right="4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3" w:right="12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67" w:lineRule="exact"/>
        <w:rPr>
          <w:rFonts w:ascii="Times New Roman" w:cs="Times New Roman" w:eastAsia="Times New Roman" w:hAnsi="Times New Roman"/>
          <w:sz w:val="18"/>
          <w:szCs w:val="18"/>
          <w:color w:val="auto"/>
        </w:rPr>
      </w:pPr>
    </w:p>
    <w:p>
      <w:pPr>
        <w:ind w:left="383" w:right="28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3" w:lineRule="exact"/>
        <w:rPr>
          <w:rFonts w:ascii="Times New Roman" w:cs="Times New Roman" w:eastAsia="Times New Roman" w:hAnsi="Times New Roman"/>
          <w:sz w:val="18"/>
          <w:szCs w:val="18"/>
          <w:color w:val="auto"/>
        </w:rPr>
      </w:pPr>
    </w:p>
    <w:p>
      <w:pPr>
        <w:ind w:left="383" w:hanging="383"/>
        <w:spacing w:after="0" w:line="289" w:lineRule="auto"/>
        <w:tabs>
          <w:tab w:leader="none" w:pos="38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and may in the future enter into, collaborations and license agreements with third parties for the discovery, development or commercialization of product candidates. If our collaborations are not successful or we are not able to develop product candidates that we license-in, we may not be able to capitalize on the market potential of these product candidates and our business could be adversely affected.</w:t>
      </w:r>
    </w:p>
    <w:p>
      <w:pPr>
        <w:spacing w:after="0" w:line="49" w:lineRule="exact"/>
        <w:rPr>
          <w:rFonts w:ascii="Times New Roman" w:cs="Times New Roman" w:eastAsia="Times New Roman" w:hAnsi="Times New Roman"/>
          <w:sz w:val="17"/>
          <w:szCs w:val="17"/>
          <w:color w:val="auto"/>
        </w:rPr>
      </w:pPr>
    </w:p>
    <w:p>
      <w:pPr>
        <w:ind w:left="383" w:right="40" w:hanging="383"/>
        <w:spacing w:after="0" w:line="289" w:lineRule="auto"/>
        <w:tabs>
          <w:tab w:leader="none" w:pos="38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9" w:lineRule="exact"/>
        <w:rPr>
          <w:rFonts w:ascii="Times New Roman" w:cs="Times New Roman" w:eastAsia="Times New Roman" w:hAnsi="Times New Roman"/>
          <w:sz w:val="17"/>
          <w:szCs w:val="17"/>
          <w:color w:val="auto"/>
        </w:rPr>
      </w:pPr>
    </w:p>
    <w:p>
      <w:pPr>
        <w:ind w:left="383" w:right="40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67" w:lineRule="exact"/>
        <w:rPr>
          <w:rFonts w:ascii="Times New Roman" w:cs="Times New Roman" w:eastAsia="Times New Roman" w:hAnsi="Times New Roman"/>
          <w:sz w:val="18"/>
          <w:szCs w:val="18"/>
          <w:color w:val="auto"/>
        </w:rPr>
      </w:pPr>
    </w:p>
    <w:p>
      <w:pPr>
        <w:ind w:left="383" w:right="220" w:hanging="383"/>
        <w:spacing w:after="0" w:line="261"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both ex-U.S and domestically, or changes in U.S. economic policy announced by the current administration. These events may adversely impact the U.S. economy and/or economies worldwide, which could result in adverse effects on our business and operations.</w:t>
      </w:r>
    </w:p>
    <w:p>
      <w:pPr>
        <w:spacing w:after="0" w:line="200" w:lineRule="exact"/>
        <w:rPr>
          <w:sz w:val="20"/>
          <w:szCs w:val="20"/>
          <w:color w:val="auto"/>
        </w:rPr>
      </w:pPr>
    </w:p>
    <w:p>
      <w:pPr>
        <w:spacing w:after="0" w:line="304"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201" w:right="419" w:bottom="1440" w:gutter="0" w:footer="0" w:header="0"/>
        </w:sectPr>
      </w:pPr>
    </w:p>
    <w:bookmarkStart w:id="6" w:name="page7"/>
    <w:bookmarkEnd w:id="6"/>
    <w:p>
      <w:pPr>
        <w:ind w:left="57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w:t>
      </w:r>
    </w:p>
    <w:p>
      <w:pPr>
        <w:spacing w:after="0" w:line="5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lead product candidate, pociredir, is an oral small molecule designed to induce fetal hemoglobin, or HbF, and is in clinical development for the treatment of sickle cell disease, or SCD. We completed dosing in the PIONEER trial, a Phase 1b clinical trial evaluating pociredir in adults with SCD. The PIONEER trial included 12 mg and 20 mg once-daily dose cohorts, and evaluated subjects over a 12-week treatment period. We have reported clinical data demonstrating clinically relevant HbF induction, including progression toward pan-cellular distribution, and improvements in markers of hemolysis and anemia. We are currently activating sites in an open-label extension trial to evaluate longer-term safety and pharmacodynamic, or PD, durability in patients who completed the PIONEER trial. We plan to provide details regarding the design of the next trial in the second quarter of 2026 following receipt of meeting minutes from our End-of-Phase meeting with the FDA. Pending feedback from the FDA, we plan to initiate a potential registration-enabling trial in the second half of 2026.</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product candidates, we have developed a discovery approach that we use to identify and validate cellular drug targets that may modulate gene expression to treat the root causes of genetically defined rare diseases. Our discovery approach led to the identification of pociredir for SCD, as well as other drug candidates. We are applying our discovery capabilities to explore additional mechanisms that may complement pociredir’s mechanism of action to induce HbF for the potential treatment of SCD. We also presented preclinical data for FTX-6274, an oral EED inhibitor candidate, at the European Society for Medical Oncology (ESMO) Congress 2025, demonstrating tumor growth inhibition in preclinical prostate cancer models.</w:t>
      </w:r>
    </w:p>
    <w:p>
      <w:pPr>
        <w:spacing w:after="0" w:line="7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Based on results from IND-enabling studies, we have decided not to advance our program for bone marrow failure syndromes into clinical development and will focus our resources on advancing pociredir and our core benign hematology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Using our discovery approach, we have generated a pipeline of potentially disease-modifying therapies that are designed to address the known root causes of rare genetic diseases. The following chart summarizes key information about our pipeline of clinical stage and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-22225</wp:posOffset>
            </wp:positionV>
            <wp:extent cx="5760720" cy="1817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Through our focus on the development of small molecules, including our product candidate for the treatment of SCD, our aim is to address unmet need in patients with genetically defined rare diseases that are debilitating and, in the case of SCD, life-threatening. The key components of our strategy include:</w:t>
      </w:r>
    </w:p>
    <w:p>
      <w:pPr>
        <w:spacing w:after="0" w:line="64" w:lineRule="exact"/>
        <w:rPr>
          <w:sz w:val="20"/>
          <w:szCs w:val="20"/>
          <w:color w:val="auto"/>
        </w:rPr>
      </w:pPr>
    </w:p>
    <w:p>
      <w:pPr>
        <w:ind w:left="900" w:right="20" w:hanging="368"/>
        <w:spacing w:after="0" w:line="259"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pociredir for the treatment of SCD. </w:t>
      </w:r>
      <w:r>
        <w:rPr>
          <w:rFonts w:ascii="Times New Roman" w:cs="Times New Roman" w:eastAsia="Times New Roman" w:hAnsi="Times New Roman"/>
          <w:sz w:val="18"/>
          <w:szCs w:val="18"/>
          <w:color w:val="auto"/>
        </w:rPr>
        <w:t>We aim to rapidly complete the clinical development of pociredir for the treatment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SCD to support regulatory approval. We have completed dosing in the Phase 1b PIONEER trial, and plan to engage with regulators (both FDA and the European Medicines Agency, or EMA) on our next trial. We plan to provide details regarding the design of the next trial in the second quarter of 2026 following receipt of meeting minutes from our End-of-Phase meeting with the FDA. Pending feedback from the FDA, we plan to initiate a potential registration-enabling trial in the second half of 2026.</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left="900" w:right="20" w:hanging="368"/>
        <w:spacing w:after="0" w:line="259"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apply our discovery efforts including pursuing in-licensing or acquisition opportunities to grow our portfolio of product candidates for the treatment of genetically defined rare diseases. </w:t>
      </w:r>
      <w:r>
        <w:rPr>
          <w:rFonts w:ascii="Times New Roman" w:cs="Times New Roman" w:eastAsia="Times New Roman" w:hAnsi="Times New Roman"/>
          <w:sz w:val="18"/>
          <w:szCs w:val="18"/>
          <w:color w:val="auto"/>
        </w:rPr>
        <w:t>We have developed a discovery approach that we use to identify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validate cellular drug targets that may modulate gene expression to treat known root causes of genetically defined rare diseases, with a primary focus on hematology diseases. We also seek to explore opportunities to acquire or in-license complementary technologies or therapies, such as our exclusive global license agreement with CAMP4.</w:t>
      </w:r>
    </w:p>
    <w:p>
      <w:pPr>
        <w:spacing w:after="0" w:line="71" w:lineRule="exact"/>
        <w:rPr>
          <w:rFonts w:ascii="Times New Roman" w:cs="Times New Roman" w:eastAsia="Times New Roman" w:hAnsi="Times New Roman"/>
          <w:sz w:val="18"/>
          <w:szCs w:val="18"/>
          <w:color w:val="auto"/>
        </w:rPr>
      </w:pPr>
    </w:p>
    <w:p>
      <w:pPr>
        <w:jc w:val="both"/>
        <w:ind w:left="900" w:right="400" w:hanging="368"/>
        <w:spacing w:after="0" w:line="26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commercial potential of our product candidates. </w:t>
      </w:r>
      <w:r>
        <w:rPr>
          <w:rFonts w:ascii="Times New Roman" w:cs="Times New Roman" w:eastAsia="Times New Roman" w:hAnsi="Times New Roman"/>
          <w:sz w:val="18"/>
          <w:szCs w:val="18"/>
          <w:color w:val="auto"/>
        </w:rPr>
        <w:t>We have retained all rights to our lead product candidate, and we plan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commercialize any approved product for such rare genetically defined diseases using a targeted commercial infrastructure. We may in the future pursue commercialization partnerships for certain product candidates and/or markets outside the United States.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Pociredir</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are developing pociredir, which is designed to elevate the level of HbF for the treatment of people with SCD. We also believe that people with some types of ß-thalassemia may benefit from treatment with pociredir.</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completed dosing in a Phase 1b clinical trial that evaluated pociredir in adults with SCD, including in 12 mg and 20 mg once-daily dose cohorts. Clinical data reported to date demonstrated clinically relevant HbF induction, including progression toward pan-cellular distribution, and improvements in markers of hemolysis and anemia. We are currently activating sites in an open-label extension trial to evaluate longer-term safety and PD durability in patients who completed the PIONEER trial. We plan to provide details regarding the design of the next trial in the second quarter of 2026 following receipt of meeting minutes from our End-of-Phase meeting with the FDA. Pending feedback from the FDA, we plan to initiate a potential registration-enabling trial in the second half of 2026. We also plan to engage with the EMA in mid-2026 to obtain protocol assistance and feedback on the design of the next trial.</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Pociredir has received orphan drug designation and fast track designation from the FDA for the treatment of SCD.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Sickle Cell Disease</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Sickle cell disease is a genetic disorder of red blood cells, or RBCs. The root cause of SCD is a mutant hemoglobin that polymerizes in low oxygen conditions. This polymerization leads to the abnormal sickle shape of RBCs and ultimately results in hemolysis and vascular injury that causes major morbidities and significantly limits lifespan in people with SCD. People with SCD typically suffer from serious clinical consequences, which may include vaso-occlusive crises, or VOCs, anemia, pain, infections, stroke, heart disease, pulmonary hypertension, kidney failure, liver disease and reduced life expectancy. According to a study published by the Journal of the American Medical Association, approximately 32.5% of adults with SCD were hospitalized three or more times per year due to pain crises. SCD is reported to shorten life expectancy by approximately 20 to 30 years. People with SCD are primarily treated by hematologists.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where newborn screening for SCD is mandatory, the estimated prevalence is approximately 100,000 individuals. In Europe, the estimated prevalence is approximately 50,000 individuals. According to the World Health Organization, the global incidence is estimated to be approximately 300,000 births annually. SCD is most prevalent in Africa and the Middle East.</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Several approved therapies for SCD are intended to reduce VOCs or other complications of SCD, and gene therapies have been approved for certain patients with severe SCD. Despite ongoing efforts to develop and commercialize treatments for SCD, there remains a high unmet need for additional therapies, including small molecule oral therapies designed to increase HbF levels. See “—Competition” for a more comprehensive description of the competitive landscape in SCD.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SCD Biology</w:t>
      </w:r>
    </w:p>
    <w:p>
      <w:pPr>
        <w:spacing w:after="0" w:line="11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SCD is caused by a mutation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This gene encodes a protein that is a key component of hemoglobin, the protein complex responsible for oxygen transport in the body. Hemoglobin in adults is a complex of four proteins, two hemoglobin ß-subunits and two hemoglobin α-subunits. In people with SCD, hemoglobin is composed of two mutant ß-subunits and two α-subunits, resulting in the formation of sickle hemoglobin, or HbS, which can polymerize under low-oxygen conditions and cause RBCs to become sickle-shaped. These sickle-shaped cells are much less flexible than healthy cells and can block blood vessels (vaso-occlusion) or rupture (hemolysis), leading to pain, anemia, irreversible organ damage or even death.</w:t>
      </w:r>
    </w:p>
    <w:p>
      <w:pPr>
        <w:spacing w:after="0" w:line="7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During fetal development, the major form of hemoglobin is HbF. Similar to hemoglobin in adults, HbF is also a complex of four proteins, two α-subunits and two γ-subunits. Shortly after birth, the genes encoding the γ-subunits, the </w:t>
      </w:r>
      <w:r>
        <w:rPr>
          <w:rFonts w:ascii="Times New Roman" w:cs="Times New Roman" w:eastAsia="Times New Roman" w:hAnsi="Times New Roman"/>
          <w:sz w:val="18"/>
          <w:szCs w:val="18"/>
          <w:i w:val="1"/>
          <w:iCs w:val="1"/>
          <w:color w:val="auto"/>
        </w:rPr>
        <w:t>HBG1</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 w:name="page9"/>
    <w:bookmarkEnd w:id="8"/>
    <w:p>
      <w:pPr>
        <w:ind w:right="60" w:firstLine="45"/>
        <w:spacing w:after="0" w:line="284"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HBG2</w:t>
      </w:r>
      <w:r>
        <w:rPr>
          <w:rFonts w:ascii="Times New Roman" w:cs="Times New Roman" w:eastAsia="Times New Roman" w:hAnsi="Times New Roman"/>
          <w:sz w:val="18"/>
          <w:szCs w:val="18"/>
          <w:color w:val="auto"/>
        </w:rPr>
        <w:t xml:space="preserve"> genes, are silenced and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is activated. As described above, SCD is caused by a mutation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that gives rise to mutated ß-subunits.</w:t>
      </w:r>
    </w:p>
    <w:p>
      <w:pPr>
        <w:spacing w:after="0" w:line="5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small subset of individuals with the sickle cell mutation continue to produce high levels of HbF due to inheritance of additional genetic mutations, which is called Hereditary Persistence of HbF, or HPFH. Individuals with elevated HbF exhibit minimal clinical manifestations of SCD. A recent analysis demonstrated that each 1% increase in HbF levels has been associated with a 4%-8% annualized reduction in VOCs. Additionally, higher HbF levels, including levels around 20%, have been associated in published real-world analyses with substantially reduced rates of VOCs.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Approach to Treat SCD</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approach to treat SCD was to identify a drug mechanism that induces expression of HbF. Pociredir is designed to address the key underlying disease biology of SCD through this mechanism of action.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the Drug Target for SCD</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conducted target identification and validation activities using human umbilical cord blood-derived erythroid progenitor 2, or HUDEP2, cells as a model system to study HbF reactivation. HUDEP2 cells are immature RBCs. Screening of small molecule and CRISPR libraries identified polycomb repressive complex 2, or PRC2, as a regulator of HbF expression. Follow-on validation studies demonstrated that inhibition of components of PRC2 was associated with increased HbF production. We also observed that inhibition of these components did not adversely affect important cell health markers.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Mechanism of Action of Pociredir</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Pociredir is designed to bind to the EED protein, a component of PRC2, and inhibit the transcriptional silencing activity of PRC2. In preclinical studies, inhibition of EED has been associated with reduced expression of key fetal globin repressors, including BCL11A, resulting in increased expression of the fetal globin genes </w:t>
      </w:r>
      <w:r>
        <w:rPr>
          <w:rFonts w:ascii="Times New Roman" w:cs="Times New Roman" w:eastAsia="Times New Roman" w:hAnsi="Times New Roman"/>
          <w:sz w:val="18"/>
          <w:szCs w:val="18"/>
          <w:i w:val="1"/>
          <w:iCs w:val="1"/>
          <w:color w:val="auto"/>
        </w:rPr>
        <w:t>HBG1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HBG2</w:t>
      </w:r>
      <w:r>
        <w:rPr>
          <w:rFonts w:ascii="Times New Roman" w:cs="Times New Roman" w:eastAsia="Times New Roman" w:hAnsi="Times New Roman"/>
          <w:sz w:val="18"/>
          <w:szCs w:val="18"/>
          <w:color w:val="auto"/>
        </w:rPr>
        <w:t xml:space="preserve"> and increased HbF production. The PRC2 complex also includes EZH2. There are approved products in the EZH2 class of medications and their approved labeling outlines safety risks, including an increased risk of hematologic malignancies.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of Pociredir</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preclinical studies, pociredir increased expression of fetal globin genes and HbF production in cellular and animal models, with minimal adverse effects on important cellular health markers. In primary human CD34+ cells and in a transgenic mouse model of SCD, pociredir treatment resulted in increased HbF and F-cell levels. These studies provided translational support for clinical evaluation of pociredir in SCD.</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comparative preclinical studies, pociredir demonstrated greater HbF induction than hydroxyurea, and combination treatment with pociredir and hydroxyurea resulted in additive effects on HbF induction. Hydroxyurea is a commonly used therapy for SCD. As part of our pociredir development program, we have conducted numerous non-clinical toxicology studies, including studies conducted under good laboratory practice, or GLP. These toxicology studies have included repeat-dose maximum tolerated dose and dose range finding studies; 28-day, 13-week, 17-week, and 26-week studies in rats; and 28-day, 13-week, and 39-week studies in dogs.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1b (PIONEER)</w:t>
      </w:r>
    </w:p>
    <w:p>
      <w:pPr>
        <w:spacing w:after="0" w:line="119"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We have completed dosing in PIONEER, a Phase 1b open-label dose-escalation clinical trial that evaluated pociredir in adults with SCD across multiple once-daily dose cohorts, including 2 mg, 6 mg, 12 mg and 20 mg. Subjects were evaluated over a 12-week treatment period. The trial enrolled adult patients with SCD, a history of VOCs and other measures of disease severity.</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Clinical data from the 12 mg and initial 20 mg dose cohorts presented in 2025 demonstrated dose-dependent increases in HbF and improvements in markers of hemolysis and erythropoiesis. The 20 mg cohort enrolled adults with severe SCD. As of the December 23, 2025 data cutoff, all 12 evaluable patients in the 20 mg cohort completed the 12-week treatment period and are included in the PD analysis set. One patient discontinued on Day 1 due to an unrelated Grade 5 serious adverse event and is excluded from the PD analysis set but included in the safety analysis set. Five patients remained in the 4-week follow-up period as of the data cutoff. We plan to report additional data from the 20 mg cohort, including through the 4-week follow-up period, at a future medical conference.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In February 2026, we announced updated 20 mg cohort results from the PIONEER trial as of the December 23, 2025 data cut off date showing:</w:t>
      </w:r>
    </w:p>
    <w:p>
      <w:pPr>
        <w:spacing w:after="0" w:line="117" w:lineRule="exact"/>
        <w:rPr>
          <w:sz w:val="20"/>
          <w:szCs w:val="20"/>
          <w:color w:val="auto"/>
        </w:rPr>
      </w:pPr>
    </w:p>
    <w:p>
      <w:pPr>
        <w:ind w:left="900" w:right="80" w:hanging="383"/>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absolute HbF increased by 12.2% at 12 weeks of treatment with pociredir (vs. 8.6% at Week 12 in the 12 mg cohort), increasing from a baseline of 7.1% to 19.3%. Seven of 12 patients (58%) achieved absolute HbF levels ≥20% at Week 12, and all patients demonstrated a clinically relevant HbF increase. HbF levels of 20% are associated with ~90% of patients experiencing zero VOCs per year, based on real-world data that we presented at the 20th Annual Sickle Cell &amp; Thalassemia Conference in October 2025.</w:t>
      </w:r>
    </w:p>
    <w:p>
      <w:pPr>
        <w:spacing w:after="0" w:line="71"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HbF-containing red blood cells, or F-cells, increased from a mean of 31% at baseline to 63% at Week 12 (n=10), indicating progression toward pan-cellular HbF induction (HbF distributed across a substantial proportion of RBCs). F-cells are more resistant to sickling and hemolysis because of HbF-mediated inhibition of HbS polymerization. Higher proportions of F-cells are associated with improved RBC health.</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changes in markers of hemolysis and erythropoiesis improved during the 12-week treatment period:</w:t>
      </w:r>
    </w:p>
    <w:p>
      <w:pPr>
        <w:spacing w:after="0" w:line="117" w:lineRule="exact"/>
        <w:rPr>
          <w:sz w:val="20"/>
          <w:szCs w:val="20"/>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bilirubin decreased by 40% (vs. 37% at Week 12 in the 12 mg cohort)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Lactate dehydrogenase decreased by 34% (vs. 28% at Week 12 in the 12 mg cohort)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RBC distribution width decreased by 26% (vs. 27% at Week 12 in the 12 mg cohort)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Reticulocyte counts decreased by 42% (vs. 31% at Week 12 in the 12 mg cohort)</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hemoglobin increased by 1.1 g/dL at Week 12 (vs. 0.9 g/dL at Week 12 in the 12 mg cohort), increasing from a baseline of 7.3 g/dL to 8.4 g/dL.</w:t>
      </w:r>
    </w:p>
    <w:p>
      <w:pPr>
        <w:spacing w:after="0" w:line="53"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treating physician-documented medical records from the 6-12 months prior to enrollment, approximately 16 VOCs would have been expected during the 12-week treatment period. During the 12-week treatment period, six VOCs were reported. Seven of 12 patients (58%) reported no VOCs during the treatment period.</w:t>
      </w:r>
    </w:p>
    <w:p>
      <w:pPr>
        <w:spacing w:after="0" w:line="6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completion of the 20 mg dose cohort, pociredir has been dosed in 148 adults, including 89 subjects in multiple dose cohorts up to 12 weeks.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healthy subjects, including 44 who received pociredir for 10 to 14 days treatment duration</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SCD patients who received pociredir for up to 12 weeks treatment duration</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observed in the 20 mg dose cohort as of the December 23, 2025 data cut off date remained consistent with previously reported safety data. Pociredir was generally well-tolerated, with no treatment-related serious adverse events and no discontinuations due to treatment-related adverse events through the December 23, 2025 data cut off date.</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Earlier cohorts at 2 mg and 6 mg demonstrated pharmacologic activity, including HbF increases and improvements in markers of hemolysis, and these cohorts informed dose selection for subsequent cohorts.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History</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February 2023, the FDA placed the IND for pociredir in SCD on full clinical hold based on nonclinical toxicology findings. Accordingly, we suspended enrollment and dosing in the Phase 1b trial of pociredir and withdrew our separate IND for pociredir in </w:t>
      </w:r>
      <w:r>
        <w:rPr>
          <w:rFonts w:ascii="Times New Roman" w:cs="Times New Roman" w:eastAsia="Times New Roman" w:hAnsi="Times New Roman"/>
          <w:sz w:val="18"/>
          <w:szCs w:val="18"/>
          <w:i w:val="1"/>
          <w:iCs w:val="1"/>
          <w:color w:val="auto"/>
        </w:rPr>
        <w:t>ß-</w:t>
      </w:r>
      <w:r>
        <w:rPr>
          <w:rFonts w:ascii="Times New Roman" w:cs="Times New Roman" w:eastAsia="Times New Roman" w:hAnsi="Times New Roman"/>
          <w:sz w:val="18"/>
          <w:szCs w:val="18"/>
          <w:color w:val="auto"/>
        </w:rPr>
        <w:t>thalassemia. Following submission of additional information and protocol amendments, the FDA lifted the clinical hold in August 2023 and clinical development resumed. The protocol was amended to revise the inclusion and exclusion criteria to target patients with higher disease severity. Key inclusion criteria includes patients with certain frequencies of VOCs and/or other specified measures of severity, previous experience with hydroxyurea, and previous experience with a stable dose of voxelotor, crizanlizumab, or L-glutamine or lack of access to these advanced therapies. Key exclusion criteria excludes subjects currently on or having received hydroxyurea within 60 days prior to initiating pociredir. The FDA’s clinical hold referenced the data from toxicology studies in rats and dogs that we submitted to the IND in April, October, and December 2022, as well as a response to an early February 2023 information request from the FDA about these toxicology studies that we submitted in mid-February 2023. In connection with the clinical hold, the FDA noted that the profile of hematological malignancies observed in the toxicology studies of pociredir is similar to that observed with other inhibitors of PRC2 and that hematological malignancies have been reported clinically with other inhibitors of PRC2.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1 Healthy Volunteers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0" w:name="page11"/>
    <w:bookmarkEnd w:id="10"/>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2020, we initiated a Phase 1 randomized, placebo-controlled trial in healthy adult volunteers to evaluate the safety, tolerability and pharmacokinetics of pociredir. Single and multiple ascending doses were studied. In 2021, we reported data from the trial which demonstrated that pociredir was generally well tolerated, with no serious adverse events and no discontinuations due to treatment-emergent adverse events. Pharmacokinetic data supported once-daily dosing, and no food effect was observed with pociredir. PD assessments demonstrated target engagement and dose-dependent HBG mRNA induction, providing early proof-of-biology that supported advancement into patient studies.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CAMP4</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July 2023, we entered into a license agreement with CAMP4 pursuant to which we received a worldwide exclusive license (including the right to sublicense) from CAMP4 to rights under its DBA program, which includes certain small molecule compounds, composition of matter and method of use patent rights, and know-how for us to research, develop, manufacture, use, commercialize or otherwise exploit therapeutic products in any indication, including the grant of a sublicense under certain intellectual property rights that CAMP4 has licensed under an agreement with Children’s Medical Center Corporation, or CMCC.</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made an undisclosed upfront non-refundable, non-creditable payment to CAMP4. If we succeed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of in such country. We are responsible for the costs associated with the development and regulatory approvals of licensed products. In 2025, we achieved and paid a $0.6 million preclinical milestone to CAMP4 under this agreement.</w:t>
      </w:r>
    </w:p>
    <w:p>
      <w:pPr>
        <w:spacing w:after="0" w:line="84"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we will have a fully-paid up, royalty-free and perpetual license to the licensed patent rights and know-how with respect to such licensed product in such country. CAMP4 has the right to terminate the license agreement in the event of our non-payment (subject to cure periods and tolling for bona fide disputes). CAMP4 may alsBo terminate the license agreement if we challenge certain patents sublicensed to us by CAMP4. Either party may terminate the license agreement in its entirety for the other party’s material breach if such other party fails to cure the breach. Either party may also terminate the agreement in its entirety upon certain insolvency events involving the other party. We have the right to terminate the license agreement with CAMP4 for any or no reason upon prior written notice to CAMP4.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and enhance our discovery approach,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ind w:right="80"/>
        <w:spacing w:after="0" w:line="266" w:lineRule="auto"/>
        <w:rPr>
          <w:sz w:val="20"/>
          <w:szCs w:val="20"/>
          <w:color w:val="auto"/>
        </w:rPr>
      </w:pPr>
      <w:r>
        <w:rPr>
          <w:rFonts w:ascii="Times New Roman" w:cs="Times New Roman" w:eastAsia="Times New Roman" w:hAnsi="Times New Roman"/>
          <w:sz w:val="18"/>
          <w:szCs w:val="18"/>
          <w:color w:val="auto"/>
        </w:rPr>
        <w:t>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68"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generally file patent applications directed to our key programs in an effort to secure our intellectual property positions vis-a-vis these programs. As of February 24, 2026, we owned or in-licensed 16 U.S. patents, 12 U.S. pending non-provisional patent applications and related pending foreign patent applications, and four pending U.S. provisional patent applications.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intellectual property portfolio for our most advanced programs as of February 24, 2026,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Pociredir</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Currently, our patent portfolio related to pociredir includes three issued U.S. patents directed to composition of matter and methods of using pociredir that are expected to expire in 2040, two U.S. non-provisional applications and related granted patents and pending patent applications in Canada and Mexico, Europe, Africa, Australia and New Zealand, South America, and Asia that, if issued, are expected to expire between 2039 and 2040. We also own three U.S. non-provisional applications and related patent applications pending in Europe directed to solid forms and methods of using pociredir, and one pending U.S. non-provisional application and three U.S. provisional applications directed to pociredir methods of use and formulations, that, if resulting in issued patents, would be expected to expire between 2042 and 2046.</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manufacturing facilities. We expect to continue to rely on third parties for the manufacture of pociredir for any future clinical trials and for the manufacture of any future product candidates for preclinical and clinical</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2" w:name="page13"/>
    <w:bookmarkEnd w:id="12"/>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testing, as well as for commercial manufacture if our product candidates receive marketing approval. Our lead product candidate is a small molecule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therapeutic product candidates, if approved, are likely to be their efficacy, safety, convenience, price, the level of generic competition and the availability of reimbursement from government and other third-party payors.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or emergency use authorizations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SCD</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Several approved therapies for SCD are intended to reduce VOCs or other complications of SCD. The five drug treatments approved in the United States are hydroxyurea, crizanlizumab, L-glutamine, lovo-cel, and exa-cel. Hydroxyurea is approved for the treatment of SCD to reduce the frequency of painful crises and the need for blood transfusions and is available in both generic and brand name formulations including DROXIA® manufactured by Bristol-Myers Squibb Company, or BMS, and SIKLOS® manufactured by Norgine. Crizanlizumab (ADAKVEO®) is a monoclonal antibody p-selectin inhibitor approved for the reduction in the frequency of VOCs and is marketed by Novartis AG. L-glutamine (ENDARI®), is approved to reduce acute complications of SCD and is marketed by Emmaus Life Sciences, Inc.</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Two gene therapies are approved for certain patients with severe SCD. Lovotibeglogene autotemcel (LYFGENIA®) is a gene addition therapy designed to introduce a modified β-globin gene into a patient’s hematopoietic stem cells to produce normally functioning RBCs and is marketed by Genetix Biotherapeutics. Exagamglogene autotemcel (CASGEVY®) is a CRISPR/Cas9 gene-edited therapy designed to decrease BCL11A expression to increase HbF production and is marketed by Vertex Pharmaceuticals Incorporated. These therapies involve stem cell collection, myeloablative conditioning, and autologous transplantation.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Voxelotor (OXBRYTA®), is a hemoglobin polymerization inhibitor that was voluntarily withdrawn from worldwide markets by Pfizer Inc. in 2024.</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Allogeneic hematopoietic stem cell transplantation, or allo-HSCT, is another potentially curative approach for some patients with SCD but is limited by donor availability and associated transplant-related risks.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Supportive care, including RBC transfusions, is also commonly used and may be associated with complications such as alloimmunization and iron overload.</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Pociredir could face competition from a number of different therapeutic approaches in development for people with SCD. Novo Nordisk A/S, or Novo, is evaluating NDec (decitabine-tetrahydrouridine), a combination of two small molecules designed to increase production of HbF, in a Phase 2 clinical trial. Novartis AG is evaluating ITU-512, a small molecule designed to increase production of HbF, in a Phase 1/2 clinical trial comprised of a Phase 1 trial in healthy volunteers and a Phase 2 trial in subjects with SCD. BMS is evaluating BMS-986470, a small molecule designed to increase production of HbF, in a Phase 1/2a clinical trial in healthy volunteers and subjects with SCD. GSK plc is evaluating GSK4172239D, a small molecule designed to increase production of HbF, in a Phase 1 clinical trial in subjects with SCD. Cellarity, Inc. is evaluating CLY-124, a small molecule designed to increase production of HbF, in a Phase 1 clinical trial in healthy volunteers and subjects with SCD. Agios Pharmaceuticals, Inc., or Agios, is evaluating mitapivat, a pyruvate kinase activator, or PK, activator, in SCD and has reported topline results from its Phase 3 trial; the trial met the hemoglobin response endpoint, while the pain-crisis endpoint did not achieve statistical significance, and Agios has indicated it plans to discuss next steps with the FDA. Agios is also evaluating tebapivat, a PK activator, in a Phase 2 clinical trial in subjects with SCD. Novo is also evaluating etavopivat, a PK activator, in a Phase 2/3 clinical trial. Pfizer, Inc. is evaluating osivelotor, an HbS polymerization inhibitor, in a Phase 2/3 clinical trial in subjects with SCD. Sanofi is evaluating rilzabrutinib, a Bruton’s tyrosine kinase, or BTK, inhibitor, in a Phase 3 clinical trial in subjects with SCD. Beam Therapeutics Inc. is evaluating BEAM-101, an autologous base edited CD34+ HSPC designed to increase production of HbF, in a Phase 1/2 clinical trial in subjects with severe SCD.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and Regulation of Drugs in the United States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w:t>
      </w:r>
    </w:p>
    <w:p>
      <w:pPr>
        <w:spacing w:after="0" w:line="7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54" w:lineRule="exact"/>
        <w:rPr>
          <w:sz w:val="20"/>
          <w:szCs w:val="20"/>
          <w:color w:val="auto"/>
        </w:rPr>
      </w:pPr>
    </w:p>
    <w:p>
      <w:pPr>
        <w:ind w:left="900" w:right="180" w:hanging="368"/>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including laboratory tests, animal studies and formulation studies, which must be performed in accordance with the FDA’s GLP regulations and standards;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and effectiveness of the product candidate for each proposed indication, in accordance with current good clinical practices, or GCP;</w:t>
      </w:r>
    </w:p>
    <w:p>
      <w:pPr>
        <w:spacing w:after="0" w:line="53" w:lineRule="exact"/>
        <w:rPr>
          <w:rFonts w:ascii="Times New Roman" w:cs="Times New Roman" w:eastAsia="Times New Roman" w:hAnsi="Times New Roman"/>
          <w:sz w:val="18"/>
          <w:szCs w:val="18"/>
          <w:color w:val="auto"/>
        </w:rPr>
      </w:pPr>
    </w:p>
    <w:p>
      <w:pPr>
        <w:ind w:left="900" w:right="540" w:hanging="368"/>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including those of third parties, at which the product candidate or components thereof are manufactured to assess compliance with current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900" w:right="500"/>
        <w:spacing w:after="0" w:line="282" w:lineRule="auto"/>
        <w:rPr>
          <w:sz w:val="20"/>
          <w:szCs w:val="20"/>
          <w:color w:val="auto"/>
        </w:rPr>
      </w:pPr>
      <w:r>
        <w:rPr>
          <w:rFonts w:ascii="Times New Roman" w:cs="Times New Roman" w:eastAsia="Times New Roman" w:hAnsi="Times New Roman"/>
          <w:sz w:val="18"/>
          <w:szCs w:val="18"/>
          <w:color w:val="auto"/>
        </w:rPr>
        <w:t>good manufacturing practices, or cGMP, requirements and to assure that the facilities, methods and controls are adequate to preserve the product’s identity, strength, quality and purity;</w:t>
      </w:r>
    </w:p>
    <w:p>
      <w:pPr>
        <w:spacing w:after="0" w:line="54" w:lineRule="exact"/>
        <w:rPr>
          <w:sz w:val="20"/>
          <w:szCs w:val="20"/>
          <w:color w:val="auto"/>
        </w:rPr>
      </w:pPr>
    </w:p>
    <w:p>
      <w:pPr>
        <w:ind w:left="900" w:right="20" w:hanging="368"/>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GCP and the integrity of clinical data in support of the NDA;</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to allow marketing of the new drug product; and</w:t>
      </w:r>
    </w:p>
    <w:p>
      <w:pPr>
        <w:spacing w:after="0" w:line="117"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Before an applicant begins testing a product candidate with potential therapeutic value in humans, the product candidate enters the preclinical testing stage,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among other things, whether human research subjects will be exposed to 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84"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notified the sponsor. The FDA will base that determination on information provided by the sponsor correcting the deficiencies previously cited or otherwise satisfying the FDA that the clinical trial can proceed.</w:t>
      </w:r>
    </w:p>
    <w:p>
      <w:pPr>
        <w:spacing w:after="0" w:line="6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260"/>
        <w:spacing w:after="0" w:line="282" w:lineRule="auto"/>
        <w:rPr>
          <w:sz w:val="20"/>
          <w:szCs w:val="20"/>
          <w:color w:val="auto"/>
        </w:rPr>
      </w:pPr>
      <w:r>
        <w:rPr>
          <w:rFonts w:ascii="Times New Roman" w:cs="Times New Roman" w:eastAsia="Times New Roman" w:hAnsi="Times New Roman"/>
          <w:sz w:val="18"/>
          <w:szCs w:val="18"/>
          <w:color w:val="auto"/>
        </w:rPr>
        <w:t>and integrity of the resulting data. They further help ensure that non-IND foreign studies are conducted in a manner comparable to that required for IND studies.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spacing w:after="0" w:line="7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Suspension or termination of development during any phase of clinical trials can occur for many reasons, including if the FDA, an IRB, a data safety monitoring board, or we determine that the participants or patients are being exposed to an unacceptable health risk. Other reasons for suspension or termination may be made by us based on factors such as evolving business objectives and/or the competitive environment.</w:t>
      </w:r>
    </w:p>
    <w:p>
      <w:pPr>
        <w:spacing w:after="0" w:line="6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NIH for public dissemination on its ClinicalTrials.gov website. Information related to the product candidate, patient population, phase of investigation, study sites and investigators, and other aspects of the clinical trial is then made public as part of the registration of the clinical trial. Sponsors generally are also obligated to disclose the results of their clinical trials after completion, although disclosure of such results can be delayed in certain circumstances for up to two years after the date of completion of the trial. Competitors may use this publicly available information to gain knowledge regarding the progress of development programs as well as clinical trial design. Similar requirements for posting clinical trial information are present in the European Union and other countries, as well.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79"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a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but the phases may overlap or be combined. Additional studies may also be required after approval.</w:t>
      </w:r>
    </w:p>
    <w:p>
      <w:pPr>
        <w:spacing w:after="0" w:line="5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in patients. During Phase 1 clinical trials, information about the investigational drug product’s pharmacokinetic and pharmacological effects may be obtained to permit the design of scientifically valid Phase 2 clinical trials.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spacing w:after="0" w:line="7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case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information.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84"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or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grant full or partial waivers from the pediatric data 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Review and Approval of an NDA</w:t>
      </w:r>
    </w:p>
    <w:p>
      <w:pPr>
        <w:spacing w:after="0" w:line="11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The sponsor of an approved NDA is also subject to an annual program fee.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or PDUFA, goal date may be extended by the FDA to consider new information or clarification provided by the applicant, to address a deficiency identified by the FDA in the original submission, or for other reasons.</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product, or a product candidate that present difficult questions of safety or efficacy, to an advisory committee.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8" w:name="page19"/>
    <w:bookmarkEnd w:id="18"/>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Priority Review if it treats a serious or life-threatening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for a new molecular entity from ten months to six months.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or FDORA, the FDA is now permitted to require, as appropriate, that such trials be underway prior to approval or within a specific time period after the date accelerated approval is granted. Under FDORA, the FDA has increased authority for expedited procedures to withdraw approval of the product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including those supplying products, ingredients and components,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to maintain compliance with cGMP regulations and other regulatory requirements.</w:t>
      </w:r>
    </w:p>
    <w:p>
      <w:pPr>
        <w:spacing w:after="0" w:line="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may result in revisions to the approved labeling to add new safety information, requirements for post-market studies or clinical trials to assess safety risks; or imposition of distribution or other restrictions under a REMS program. Other potential consequences may include:</w:t>
      </w:r>
    </w:p>
    <w:p>
      <w:pPr>
        <w:spacing w:after="0" w:line="72" w:lineRule="exact"/>
        <w:rPr>
          <w:sz w:val="20"/>
          <w:szCs w:val="20"/>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FDA Form 483s, untitled letters,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non-misleading communication regarding off-label information, such as distributing scientific or medical journal information.</w:t>
      </w:r>
    </w:p>
    <w:p>
      <w:pPr>
        <w:spacing w:after="0" w:line="8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administrative and judicial enforcement by the FDA, the Department of Justice, or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11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or RLDs. Abbreviated new drug applications, or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3" w:lineRule="exact"/>
        <w:rPr>
          <w:sz w:val="20"/>
          <w:szCs w:val="20"/>
          <w:color w:val="auto"/>
        </w:rPr>
      </w:pPr>
    </w:p>
    <w:p>
      <w:pPr>
        <w:ind w:right="540" w:firstLine="8"/>
        <w:spacing w:after="0" w:line="260"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 is relying on studies conducted for an already approved product, the applicant is required to certify to the FDA concerning any relevant patents listed for the approved product in the Orange Book in the same manner as an ANDA applicant.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spacing w:after="0" w:line="6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approved use or indication for seven years, except in certain limited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2" w:name="page23"/>
    <w:bookmarkEnd w:id="2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Orphan drug exclusivity also may not bar approval of another product under certain specified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Law and Regulation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72" w:lineRule="exact"/>
        <w:rPr>
          <w:sz w:val="20"/>
          <w:szCs w:val="20"/>
          <w:color w:val="auto"/>
        </w:rPr>
      </w:pPr>
    </w:p>
    <w:p>
      <w:pPr>
        <w:ind w:left="900" w:right="80" w:hanging="368"/>
        <w:spacing w:after="0" w:line="258"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w:t>
      </w:r>
    </w:p>
    <w:p>
      <w:pPr>
        <w:spacing w:after="0" w:line="75" w:lineRule="exact"/>
        <w:rPr>
          <w:rFonts w:ascii="Times New Roman" w:cs="Times New Roman" w:eastAsia="Times New Roman" w:hAnsi="Times New Roman"/>
          <w:sz w:val="18"/>
          <w:szCs w:val="18"/>
          <w:color w:val="auto"/>
        </w:rPr>
      </w:pPr>
    </w:p>
    <w:p>
      <w:pPr>
        <w:ind w:left="900" w:hanging="368"/>
        <w:spacing w:after="0" w:line="25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80" w:lineRule="exact"/>
        <w:rPr>
          <w:rFonts w:ascii="Times New Roman" w:cs="Times New Roman" w:eastAsia="Times New Roman" w:hAnsi="Times New Roman"/>
          <w:sz w:val="18"/>
          <w:szCs w:val="18"/>
          <w:color w:val="auto"/>
        </w:rPr>
      </w:pPr>
    </w:p>
    <w:p>
      <w:pPr>
        <w:ind w:left="900" w:hanging="368"/>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71" w:lineRule="exact"/>
        <w:rPr>
          <w:rFonts w:ascii="Times New Roman" w:cs="Times New Roman" w:eastAsia="Times New Roman" w:hAnsi="Times New Roman"/>
          <w:sz w:val="18"/>
          <w:szCs w:val="18"/>
          <w:color w:val="auto"/>
        </w:rPr>
      </w:pPr>
    </w:p>
    <w:p>
      <w:pPr>
        <w:ind w:left="900" w:right="20" w:hanging="368"/>
        <w:spacing w:after="0" w:line="25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ind w:left="900" w:right="160"/>
        <w:spacing w:after="0" w:line="282" w:lineRule="auto"/>
        <w:rPr>
          <w:sz w:val="20"/>
          <w:szCs w:val="20"/>
          <w:color w:val="auto"/>
        </w:rPr>
      </w:pPr>
      <w:r>
        <w:rPr>
          <w:rFonts w:ascii="Times New Roman" w:cs="Times New Roman" w:eastAsia="Times New Roman" w:hAnsi="Times New Roman"/>
          <w:sz w:val="18"/>
          <w:szCs w:val="18"/>
          <w:color w:val="auto"/>
        </w:rPr>
        <w:t>security of health and other personal information in certain circumstances, many of which differ from each other in significant ways and may not have the same effect, thus complicating compliance efforts;</w:t>
      </w:r>
    </w:p>
    <w:p>
      <w:pPr>
        <w:spacing w:after="0" w:line="54" w:lineRule="exact"/>
        <w:rPr>
          <w:sz w:val="20"/>
          <w:szCs w:val="20"/>
          <w:color w:val="auto"/>
        </w:rPr>
      </w:pPr>
    </w:p>
    <w:p>
      <w:pPr>
        <w:ind w:left="90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53" w:lineRule="exact"/>
        <w:rPr>
          <w:rFonts w:ascii="Times New Roman" w:cs="Times New Roman" w:eastAsia="Times New Roman" w:hAnsi="Times New Roman"/>
          <w:sz w:val="18"/>
          <w:szCs w:val="18"/>
          <w:color w:val="auto"/>
        </w:rPr>
      </w:pPr>
    </w:p>
    <w:p>
      <w:pPr>
        <w:jc w:val="both"/>
        <w:ind w:left="900" w:right="360" w:hanging="368"/>
        <w:spacing w:after="0" w:line="312"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Times New Roman" w:cs="Times New Roman" w:eastAsia="Times New Roman" w:hAnsi="Times New Roman"/>
          <w:sz w:val="17"/>
          <w:szCs w:val="17"/>
          <w:color w:val="auto"/>
        </w:rPr>
      </w:pPr>
    </w:p>
    <w:p>
      <w:pPr>
        <w:ind w:left="900" w:right="160" w:hanging="368"/>
        <w:spacing w:after="0" w:line="25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certain other licensed healthcare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State laws also govern the privacy and security of personal information, including health information. Many state laws differ from each other in various ways, thus complicating compliance efforts. For example, the California Consumer Protection Act, or CCPA, establishes data privacy rights for individuals located in California and imposes certain requirements on how businesses can collect and use personal information about such individuals. The California Privacy Rights Act, or CPRA, which became effective in January 2023, imposes additional obligations on companies covered by the legislation and significantly modifies the CCPA, including by expanding consumers’ rights with respect to certain sensitive personal information, and establishes a state agency vested with the authority to enforce the CCPA. The CCPA catalyzed the enactment of similar, comprehensive privacy and data protection legislation in several other U.S. states, which became effective over the past couple of years, including in Virginia, Colorado, Utah, Connecticut, Montana, Oregon, Texas, Delaware, Iowa, New Hampshire, Nebraska and New Jersey. Other U.S. states have either passed or have proposed similar privacy and data protection legislation. Washington state’s My Health My Data Act, which entered into force in March 2024, expands the definition of consumer health data, affords consumers with privacy rights and creates a private right of action, which could generate litigation. Although many of the existing state privacy laws exempt clinical trial information and health information governed by HIPAA, future privacy and data protection laws may be broader in scope and apply to our business. Further, data privacy and security laws and regulations in foreign jurisdictions, such as the EU’s General Data Protection Regulation, or EU GDPR, and the United Kingdom’s implementation of the same, may impose additional obligations on the collection, use and other processing of personal information, which may be more stringent or different than those in the United States.</w:t>
      </w:r>
    </w:p>
    <w:p>
      <w:pPr>
        <w:spacing w:after="0" w:line="89"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Regulators and legislators in the United States are increasingly scrutinizing and restricting certain personal data transfers and transactions involving foreign countries. For example, the DOJ’s January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2010, the United States Congress enacted the ACA, which, among other things, included changes to the coverage and payment for drug products under government health care programs. Among the provisions of the ACA of importance to our potential product candidates are:</w:t>
      </w:r>
    </w:p>
    <w:p>
      <w:pPr>
        <w:spacing w:after="0" w:line="54" w:lineRule="exact"/>
        <w:rPr>
          <w:sz w:val="20"/>
          <w:szCs w:val="20"/>
          <w:color w:val="auto"/>
        </w:rPr>
      </w:pPr>
    </w:p>
    <w:p>
      <w:pPr>
        <w:ind w:left="900" w:right="8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thereby potentially increasing a manufacturer’s Medicaid rebate liability;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900" w:right="280" w:hanging="368"/>
        <w:spacing w:after="0" w:line="261"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(later replaced effective January 1, 2025 with the Medicare Part D Manufacturer Discount Program); and</w:t>
      </w:r>
    </w:p>
    <w:p>
      <w:pPr>
        <w:spacing w:after="0" w:line="71"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 w:name="page26"/>
    <w:bookmarkEnd w:id="25"/>
    <w:p>
      <w:pPr>
        <w:spacing w:after="0" w:line="255" w:lineRule="auto"/>
        <w:rPr>
          <w:sz w:val="20"/>
          <w:szCs w:val="20"/>
          <w:color w:val="auto"/>
        </w:rPr>
      </w:pPr>
      <w:r>
        <w:rPr>
          <w:rFonts w:ascii="Times New Roman" w:cs="Times New Roman" w:eastAsia="Times New Roman" w:hAnsi="Times New Roman"/>
          <w:sz w:val="18"/>
          <w:szCs w:val="18"/>
          <w:color w:val="auto"/>
        </w:rPr>
        <w:t>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Other legislative changes since the ACA was enacted include the American Rescue Plan Act of 2021, effective January 1, 2024, under which Medicaid statutory rebates are no longer capped at 100% of AMP (average manufacturer price).</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are not yet known.</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Numerous executive orders designed to reduce prescription drug costs have been issued and may be issued in the future.</w:t>
      </w:r>
    </w:p>
    <w:p>
      <w:pPr>
        <w:spacing w:after="0" w:line="75"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For example, in April 2025, the current U.S.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Further, in May 2025, the current U.S. administration published Executive Order 14297, “Delivering Most-Favored-Nation Prescription Drug Pricing to American Patients,” which generally, among other things, directs the federal government to establish and communicate most-favored-nation, or MFN, price targets to pharmaceutical manufacturers to bring prices for U.S. patients in line with comparably developed nations. Executive Order 14297 directs the federal government to support regulatory paths to allow direct-to-patient sales for companies that meet these targets. It also states that the current U.S. administration will take additional aggressive action (for example, examining whether marketing approvals should be modified or rescinded or opening the door for individual drug importation waivers) should manufacturers fail to offer U.S.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during the current President’s first term in office was subject to an injunction resulting from judicial challenges to the rule, which was formally rescinded in August 2021.</w:t>
      </w:r>
    </w:p>
    <w:p>
      <w:pPr>
        <w:spacing w:after="0" w:line="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Consistent with these executive directives, in December 2025, CMS issued proposed rules establishing two mandatory drug payment models that would introduce MFN pricing principles into Medicare drug reimbursement. The first proposal, the Global Benchmark for Efficient Drug Pricing Model, or GLOBE, applicable to Medicare Part B, would require manufacturers of specified single-source drugs and sole-source biologics to make incremental rebate payments based on international benchmark prices, with participation triggered for products meeting certain spending thresholds and eligibility criteria established by CMS. The second proposal, the Guarding U.S. Medicare Against Rising Drug Costs, or GUARD, Model, applicable to Medicare Part D, would similarly require manufacturer rebates for qualifying sole-source drugs where the Medicare net price exceeds an MFN benchmark derived from international reference pricing methodologies. As proposed, the GLOBE Model would commence a five-year performance period beginning October 1, 2026, and the GUARD Model would begin its performance period on January 1, 2027. These proposals remain subject to notice-and-comment rulemaking and may face legal or administrative challenges.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firstLine="509"/>
        <w:spacing w:after="0" w:line="261" w:lineRule="auto"/>
        <w:rPr>
          <w:sz w:val="20"/>
          <w:szCs w:val="20"/>
          <w:color w:val="auto"/>
        </w:rPr>
      </w:pPr>
      <w:r>
        <w:rPr>
          <w:rFonts w:ascii="Times New Roman" w:cs="Times New Roman" w:eastAsia="Times New Roman" w:hAnsi="Times New Roman"/>
          <w:sz w:val="18"/>
          <w:szCs w:val="18"/>
          <w:color w:val="auto"/>
        </w:rPr>
        <w:t>Separately, in November 2025, CMS introduced the GENErating cost Reductions fOr U.S. Medicaid, or GENEROUS, Model, a voluntary MFN-based framework for manufacturers participating in the Medicaid Drug Rebate Program. Although participation in the GENEROUS Model is voluntary, the model could nonetheless influence manufacturer pricing strategies and broader market dynamics by encouraging alignment of U.S. Medicaid prices with international reference pricing benchmarks.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European Union</w:t>
      </w:r>
    </w:p>
    <w:p>
      <w:pPr>
        <w:spacing w:after="0" w:line="12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140" w:firstLine="509"/>
        <w:spacing w:after="0" w:line="263"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which replaced the Clinical Trials Directive 2001/20/EC on January 31, 2022. The Clinical Trials Regulation is directly applicable in all EU Member States meaning no national implementing legislation in each EU Member State is required. The Clinical Trials Regulation aims to simplify and streamline the approval of clinical trials in the EU. Under the new coordinated procedure for the approval of clinical trials, the sponsor of a clinical trial is required to submit a single application for approval of a clinical trial to a reporting EU Member State through the EU portal known as the Clinical Trials Information System, or CTIS. The submission procedure is the same irrespective of whether the clinical trial is to be conducted in a single EU Member State or in more than one EU Member State.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where the marketing authorization application, or MAA,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line="261" w:lineRule="auto"/>
        <w:rPr>
          <w:sz w:val="20"/>
          <w:szCs w:val="20"/>
          <w:color w:val="auto"/>
        </w:rPr>
      </w:pPr>
      <w:r>
        <w:rPr>
          <w:rFonts w:ascii="Times New Roman" w:cs="Times New Roman" w:eastAsia="Times New Roman" w:hAnsi="Times New Roman"/>
          <w:sz w:val="18"/>
          <w:szCs w:val="18"/>
          <w:color w:val="auto"/>
        </w:rPr>
        <w:t>Products for Human Use, or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w:t>
      </w:r>
    </w:p>
    <w:p>
      <w:pPr>
        <w:spacing w:after="0" w:line="6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We anticipate that the centralized procedure will be mandatory for the product candidates we are developing.</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a marketing authorization under exceptional circumstances may be granted subject to certain specific obligations, which may include the following:</w:t>
      </w:r>
    </w:p>
    <w:p>
      <w:pPr>
        <w:spacing w:after="0" w:line="79" w:lineRule="exact"/>
        <w:rPr>
          <w:sz w:val="20"/>
          <w:szCs w:val="20"/>
          <w:color w:val="auto"/>
        </w:rPr>
      </w:pPr>
    </w:p>
    <w:p>
      <w:pPr>
        <w:ind w:left="900" w:right="280" w:hanging="368"/>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53" w:lineRule="exact"/>
        <w:rPr>
          <w:rFonts w:ascii="Times New Roman" w:cs="Times New Roman" w:eastAsia="Times New Roman" w:hAnsi="Times New Roman"/>
          <w:sz w:val="18"/>
          <w:szCs w:val="18"/>
          <w:color w:val="auto"/>
        </w:rPr>
      </w:pPr>
    </w:p>
    <w:p>
      <w:pPr>
        <w:ind w:left="900" w:right="360" w:hanging="368"/>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3"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54"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firstLine="509"/>
        <w:spacing w:after="0" w:line="253" w:lineRule="auto"/>
        <w:rPr>
          <w:sz w:val="20"/>
          <w:szCs w:val="20"/>
          <w:color w:val="auto"/>
        </w:rPr>
      </w:pPr>
      <w:r>
        <w:rPr>
          <w:rFonts w:ascii="Times New Roman" w:cs="Times New Roman" w:eastAsia="Times New Roman" w:hAnsi="Times New Roman"/>
          <w:sz w:val="18"/>
          <w:szCs w:val="18"/>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7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and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require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Paediatric Studies and Exclusivity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The incentive in the case of orphan medicinal products is that a two year extension of the orphan market exclusivity may be available. This pediatric reward is subject to specific conditions and is not automatically available when data in compliance with the PIP are developed and submitted.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and Exclusivity</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product can be designated as an orphan product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MAA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However, a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If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900" w:right="200" w:hanging="368"/>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900" w:right="280" w:hanging="368"/>
        <w:spacing w:after="0" w:line="25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(EU) 2017/1572, Regulation (EC) No 726/2004 and the European Commission Guidelines for Good Manufacturing Practice. These requirements include compliance with EU cGMP standards when manufacturing medicinal products and active pharmaceutical ingredients, or API, including the manufacture of API outside of the EU with the intention to import the API into the EU.</w:t>
      </w:r>
    </w:p>
    <w:p>
      <w:pPr>
        <w:spacing w:after="0" w:line="75" w:lineRule="exact"/>
        <w:rPr>
          <w:rFonts w:ascii="Times New Roman" w:cs="Times New Roman" w:eastAsia="Times New Roman" w:hAnsi="Times New Roman"/>
          <w:sz w:val="18"/>
          <w:szCs w:val="18"/>
          <w:color w:val="auto"/>
        </w:rPr>
      </w:pPr>
    </w:p>
    <w:p>
      <w:pPr>
        <w:ind w:left="900" w:right="40" w:hanging="368"/>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of the aforementioned EU rules are generally applicable in the European Economic Area, or EEA, which consists of the EU Member States, plus Norway, Liechtenstein and Iceland.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Reform of the Regulatory Framework in the European Union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8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Special pricing and reimbursement rules may apply to orphan products. Inclusion of orphan products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EU GDPR, which became effective in May 2018. Following the United Kingdom’s, or UK’s, withdrawal from the EU, or Brexit, the EU GDPR has been incorporated into UK laws, or UK GDPR (together with the EU GDPR,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and the UK, including the United States,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United Kingdom formally left the EU on January 31, 2020, and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the United Kingdom has implemented EU legislation on the marketing, promotion and sale of medicinal products through the Human Medicines Regulations 2012 (as amended). Except in respect of the EU Clinical Trials Regulation, the regulatory regime in the UK therefore currently largely aligns with EU regulations, however it is possible that these regimes will diverge more significantly in future now that the UK’s regulatory system is independent from the EU and the TCA does not provide for mutual recognition of UK and EU pharmaceutical legislation. However, notwithstanding that there is no wholesale recognition of EU pharmaceutical legislation under the TCA, under a new international recognition procedure that was put in place by the Medicines and Healthcare products Regulatory Agency, or MHRA, on January 1, 2024, the MHRA may take into account decisions on the approval of a marketing authorization from the EMA (and certain other regulators) when considering an application for a UK marketing authorization.</w:t>
      </w:r>
    </w:p>
    <w:p>
      <w:pPr>
        <w:spacing w:after="0" w:line="8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February 2023, the UK government and the European Commission announced a political agreement in principle to replace the Northern Ireland Protocol with a new set of arrangements, known as the “Windsor Framework”. The Windsor Framework was approved by the EU-UK Joint Committee in March 2023, and the medicines aspects of the Windsor Framework have applied since January 1, 2025. This new framework fundamentally changes the previous system under the Northern Ireland Protocol, including with respect to the regulation of medicinal products in the United Kingdom. In particular, the MHRA is now responsible for approving all medicinal products destined for the UK market (i.e., Great Britain and Northern Ireland), and the EMA no longer has any role in approving medicinal products destined for Northern Ireland under the centralized procedure.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EU/UK companies to transfer personal information to third countries, including the United States), because it requires us to implement a variety of different contractual clauses approved by EU or UK regulators. There may be further divergence in the future, including with regard to administrative burdens. The UK has announced plans to reform the country’s data protection legal framework in its Data Reform Bill, which will introduce significant changes from the EU GDPR.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Mission &amp; Our Employees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launched with a bold vision to change the course of genetically defined diseases by developing small molecules to treat them at their root cause. Our approach to drug discovery generates significant insights into disease biology and allows us to think creatively about the best way to modulate and balance gene expression. Our patient-focused product discovery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32" w:name="page33"/>
    <w:bookmarkEnd w:id="32"/>
    <w:p>
      <w:pPr>
        <w:ind w:right="580"/>
        <w:spacing w:after="0" w:line="282" w:lineRule="auto"/>
        <w:rPr>
          <w:sz w:val="20"/>
          <w:szCs w:val="20"/>
          <w:color w:val="auto"/>
        </w:rPr>
      </w:pPr>
      <w:r>
        <w:rPr>
          <w:rFonts w:ascii="Times New Roman" w:cs="Times New Roman" w:eastAsia="Times New Roman" w:hAnsi="Times New Roman"/>
          <w:sz w:val="18"/>
          <w:szCs w:val="18"/>
          <w:color w:val="auto"/>
        </w:rPr>
        <w:t>approach is designed to systematically identify and validate cellular drug targets that can modulate gene expression to treat the known root cause of genetically defined diseases. We take great pride in being purposeful patient partners who do this work, not just for patients, but with patients.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view our employees as one of our most valuable assets in serving our mission. We believe that our future success is dependent on attracting, motivating and retaining talented employees. We value the health and wellness of our employees and their families. We aim to create an equitable, inclusive and empowering work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Behaviors Support Our Mission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success comes when we and our employees align with our mission to improve the lives of patients with genetically-defined rare diseases in areas of high unmet medical need. We are the FULcrew united around these Pillars:</w:t>
      </w:r>
    </w:p>
    <w:p>
      <w:pPr>
        <w:spacing w:after="0" w:line="54"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great pride in being Purposeful Patient Partners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culture of Trust and Transparency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Invested in our People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Playful spirit and have fun together at work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Fulcrum with a Bold Scientific Vision and remain committed to this journey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of Human Capital</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To effectively leverage and manage our peoples, we ensure our hiring needs are directly aligned with our strategy, we invest in our people focused on their development and journey while at Fulcrum and most importantly we identify our key talent to ensure we are focused on their retention. We track and report internally on key talent metrics including a focus on overall headcount and by function, hiring metrics, career development (promotions, etc.), turnover trends, and employee demographics (including race, gender, ethnicity). Our senior executives use these metrics to make thoughtful decisions around our people including resource planning, recruitment and retention initiatives and design of compensation and benefits programs. We share these metrics quarterly with the senior executives and board of directors to assist it in fulfilling its duties to (a) establish our enterprise compensation philosophy,</w:t>
      </w:r>
    </w:p>
    <w:p>
      <w:pPr>
        <w:spacing w:after="0" w:line="5" w:lineRule="exact"/>
        <w:rPr>
          <w:sz w:val="20"/>
          <w:szCs w:val="20"/>
          <w:color w:val="auto"/>
        </w:rPr>
      </w:pPr>
    </w:p>
    <w:p>
      <w:pPr>
        <w:ind w:right="80" w:firstLine="8"/>
        <w:spacing w:after="0" w:line="260"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compensation plans, (c) evaluate the performance of our executive officers and key employees and (d) review and monitor management development and succession plans.</w:t>
      </w:r>
    </w:p>
    <w:p>
      <w:pPr>
        <w:spacing w:after="0" w:line="73"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As of February 17, 2026, we had 55 full-time employees, including a total of 19 employees with M.D. or Ph.D. degrees. Of these full-time employees, 36 employees are engaged in research and development. None of our employees are represented by labor unions or covered by collective bargaining agreements. We consider our relationship with our employees to be good.</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strongly believe in a workplace where all our employees can thrive in an inclusive environment free from discrimination, harassment, bias and prejudice. We aim to treat all individuals with respect and dignity and to provide all our employees with equal opportunity and fair treatment based on merit.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&amp; Benefits</w:t>
      </w:r>
    </w:p>
    <w:p>
      <w:pPr>
        <w:spacing w:after="0" w:line="121"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8"/>
          <w:szCs w:val="18"/>
          <w:color w:val="auto"/>
        </w:rPr>
        <w:t>Given the highly competitive nature of our industry and the importance of recruitment and retention to our success, we strive to furnish our employees with what we believe is a very competitive and comprehensive total rewards package of compensation, benefits and services. This package includes competitive compensation, including equity compensation, and comprehensive benefits program that provides resources to help employees manage their health and well-being, finances, and life outside of work (promoting flexibility), including health insurance and dental care, vision insurance, disability insurance, paid sick leave, paid family leave, matching contributions to a 401(k) plan, employee stock purchase plan, paid time off (inclusive of vacation, holidays, focus days) and employee assistance services.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26 Landsdowne Street, Cambridge, MA 02139, and our telephone number is 617-651-8851. Our internet website address is www.fulcrumtx.com. The information contained on, or that can be accessed through, our website is not a part of this Annual Report on Form 10-K.</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Annual Report on Form 10-K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$74.9 million for the year ended December 31, 2025 and $9.7 million for the year ended December 31, 2024. As of December 31, 2025, we had an accumulated deficit of $594.3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any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as needed;</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any product candidate and commercialization of any of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 and</w:t>
      </w:r>
    </w:p>
    <w:p>
      <w:pPr>
        <w:spacing w:after="0" w:line="53"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any future commercialization efforts, as needed, and our operations as a public company.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for our current product candidates.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4" w:lineRule="exact"/>
        <w:rPr>
          <w:sz w:val="20"/>
          <w:szCs w:val="20"/>
          <w:color w:val="auto"/>
        </w:rPr>
      </w:pPr>
    </w:p>
    <w:p>
      <w:pPr>
        <w:ind w:left="900" w:right="640" w:hanging="36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00" w:hanging="368"/>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further delays in our clinical development of pociredir or otherwise in the development of any of our current or future product candidates, such as due to any further clinical holds imposed by the FDA (similar to the hold on the IND application for pociredir in SCD that was lifted in August 2023), or due to enrollment challenges (such as our initial experience with our Phase 1b clinical trial of pociredir in light of the more stringent inclusion and exclusion criteria); or</w:t>
      </w:r>
    </w:p>
    <w:p>
      <w:pPr>
        <w:spacing w:after="0" w:line="71"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11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clinical development of pociredir, continue research and development and initiate additional clinical trials of, and seek regulatory approval for, pociredir and any other product candidates. We expect our expenses to increase substantially in connection with our ongoing activities, particularly as we advance our preclinical activities and clinical trials of pociredir in SCD.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clinical development of pociredir in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any of our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 with CAMP4;</w:t>
      </w:r>
    </w:p>
    <w:p>
      <w:pPr>
        <w:spacing w:after="0" w:line="117" w:lineRule="exact"/>
        <w:rPr>
          <w:rFonts w:ascii="Times New Roman" w:cs="Times New Roman" w:eastAsia="Times New Roman" w:hAnsi="Times New Roman"/>
          <w:sz w:val="18"/>
          <w:szCs w:val="18"/>
          <w:color w:val="auto"/>
        </w:rPr>
      </w:pPr>
    </w:p>
    <w:p>
      <w:pPr>
        <w:ind w:left="900" w:right="64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900" w:right="12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78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cash, cash equivalents, and marketable securities of approximately $352.3 million. We believe that our cash, cash equivalents, and marketable securities as of December 31, 2025 will enable us to fund our operating expenses and capital expenditure requirements into 2029.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72"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example, we invested significant time and effort into developing losmapimod for facioscapulohumeral muscular dystrophy, or FSHD, but did not demonstrate a statistically significant difference between losmapimod and placebo on the primary endpoint in the Phase 3 REACH trial, for which we announced topline data in September 2024, and we thereafter discontinued development.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as we have done in the past.</w:t>
      </w:r>
    </w:p>
    <w:p>
      <w:pPr>
        <w:spacing w:after="0" w:line="30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6" w:name="page37"/>
    <w:bookmarkEnd w:id="36"/>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as our business evolves, we may encounter unforeseen expenses, difficulties, complications, delays and other known and unknown factors, such as our announcement in September 2024 that our Phase 3 REACH trial evaluating losmapimod for FSHD did not achieve its primary endpoint of change from baseline in relative surface area compared to placebo, and subsequent implementation of a plan to reprioritize research and development activities to focus on our other programs and reduction in workforce. If we are successful in moving our current pipeline programs through the clinic, we will need to transition at some point from a company with a research and development focus to a company capable of supporting commercial activities. We may not be successful in such a transition.</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legislation commonly referred to as the One Big Beautiful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ind w:right="80"/>
        <w:spacing w:after="0" w:line="261" w:lineRule="auto"/>
        <w:rPr>
          <w:sz w:val="20"/>
          <w:szCs w:val="20"/>
          <w:color w:val="auto"/>
        </w:rPr>
      </w:pPr>
      <w:r>
        <w:rPr>
          <w:rFonts w:ascii="Times New Roman" w:cs="Times New Roman" w:eastAsia="Times New Roman" w:hAnsi="Times New Roman"/>
          <w:sz w:val="18"/>
          <w:szCs w:val="18"/>
          <w:color w:val="auto"/>
        </w:rPr>
        <w:t>Bill Act, or OBBBA, enacted in July 2025, made significant changes to the U.S. tax laws. While the OBBBA did not have a material impact on our consolidated financial position and results of operations,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federal net operating loss carryforwards of $102.8 million, which may be available to offset future taxable income and do not expire, but are limited in their usage to an annual deduction equal to 80% of annual taxable income. As of December 31, 2025, we had state net operating loss carryforwards of $96.9 million, which begin to expire in 2044. As of December 31, 2025, we also had federal orphan drug credits of $7.5 million, which begin to expire in 2044. As of December 31, 2025, we also had federal and state research and development tax credit carryforwards of $1.2 million and $0.2 million, respectively, which begin to expire in 2039. These net operating loss and tax credit carryforwards could expire unused and be unavailable to offset future income tax liabilities.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Code, or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through December 31, 2024 and determined that for purposes of Section 382, we were deemed to have undergone an ownership change as of September 12, 2024. Accordingly, we determined that all net operating loss carryforwards and credits generated before September 12, 2024 are limited. As a result, the carryforwards before the deemed ownership change date of September 12, 2024 are not available for utilization and have been written off. The carryforwards as of December 31, 2025 were generated after the deemed ownership change. We have not conducted a study to assess whether a change of control has occcurred or whether there have been multiple changes of control since December 31, 2024. If we have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82"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4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67"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2023, a number of banks were placed into receivership.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currently have one product candidate in active clinical development. If we are unable to commercialize directly or out-license to a third party any of our product candidates or experience significant delays in doing so, our business will be materially harmed.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(the first of which did not meet its primary endpoint). As a result, we currently have only one product candidate in active clinical development, pociredir, for the potential treatment of SCD.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any of our product candidates. The success of any of our product candidates will depend on several factors, including the following:</w:t>
      </w:r>
    </w:p>
    <w:p>
      <w:pPr>
        <w:spacing w:after="0" w:line="79" w:lineRule="exact"/>
        <w:rPr>
          <w:sz w:val="20"/>
          <w:szCs w:val="20"/>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by the FDA or other regulatory agencies of the INDs, clinical trial applications, or CTAs, or other regulatory filings;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development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receipt of any regulatory approvals.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any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9" w:name="page40"/>
    <w:bookmarkEnd w:id="39"/>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only one product candidate in active clinical development. The risk of failure for product candidates is high and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 in humans. We have not yet completed a pivotal clinical trial of any product candidate that demonstrated that our product candidate is safe and effective for its intended use. For example, in September 2024, we announced that REACH, our Phase 3 trial evaluating losmapimod in patients with FSHD, did not successfully achieve its primary endpoint as compared to placebo, and we suspended further development of losmapimod. Additionally, pociredir, our clinical-stage candidate to treat SCD, is an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Phase 1b clinical trial of pociredir in SCD to address the clinical hold imposed by the FDA, and initially experienced some difficulty enrolling patients who meet the updated more stringent criteria.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For example, in September 2024 we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8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20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8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0" w:name="page41"/>
    <w:bookmarkEnd w:id="40"/>
    <w:p>
      <w:pPr>
        <w:ind w:left="900" w:right="3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44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such as with the Phase 3 REACH trial,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68"/>
        <w:spacing w:after="0" w:line="31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hanging="368"/>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20" w:hanging="368"/>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we initially experienced difficulty enrolling patients who met the updated inclusion and exclusion criteria for our trial of pociredir in SCD) or participants may drop out of these clinical trials at a higher rate than we anticipate, or fail to complete follow-up periods;</w:t>
      </w:r>
    </w:p>
    <w:p>
      <w:pPr>
        <w:spacing w:after="0" w:line="71"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40" w:hanging="368"/>
        <w:spacing w:after="0" w:line="31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6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right="100" w:hanging="368"/>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both ex-U.S. and domestically, or changes in U.S. economic policy that adversely impact the U.S. economy and/or economies worldwide, or instability from an outbreak of pandemic or contagious disease in or around the countries in which we conduct our clinical trials (such as closure of clinical trial sites, as we previously experienced due to COVID-19), could delay the commencement or rate of completion of our clinical trials; and</w:t>
      </w:r>
    </w:p>
    <w:p>
      <w:pPr>
        <w:spacing w:after="0" w:line="71"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Further, in February 2023, the FDA imposed a clinical hold on our IND for pociredir in SCD, which halted our clinical trial until the FDA lifted the clinical hold in August 2023.</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such as our topline data from the Phase 3 REACH trial, or are only modestly positive or if there are safety concerns, we may:</w:t>
      </w:r>
    </w:p>
    <w:p>
      <w:pPr>
        <w:spacing w:after="0" w:line="68" w:lineRule="exact"/>
        <w:rPr>
          <w:sz w:val="20"/>
          <w:szCs w:val="20"/>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further development (such as with losmapimod for FSHD);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current or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eligible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our product candidate.</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2" w:name="page43"/>
    <w:bookmarkEnd w:id="42"/>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in February 2023, the FDA placed our IND for pociredir on clinical hold based on hematological malignancies observed in nonclinical toxicology studies. The FDA noted that the hematologic malignancies observed in our nonclinical studies were consistent with findings reported for other PRC2 inhibitors.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8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For example, we devoted significant time, effort and capital on our losmapimod program but suspended further development when it did not meet its primary endpoint in the Phase 3 REACH trial.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 clinical trial of pociredir in patients with SCD that includes clinical trial sites in Africa, and the FDA may not accept data from these trial sites or others located outside the United States.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PIONEER trial includes clinical trial sites in Africa. We may also conduct additional clinical trials of other product candidates outside the United States. Although the FDA may accept data from clinical trial sites and clinical trials conducted outside the United States, acceptance of these data is subject to conditions imposed by the FDA. For example, the clinical trial must be well-designed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sites or clinical trials that we conduct outside the United States, it would likely result in the need for additional data and/or trials, which would be costly and time-consuming and could delay or permanently halt our development of the applicable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117"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our product candidate may be smaller than we expect, and as a result our product revenue may be limited and it may be more difficult for us to achieve or maintain profitability.</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build a focused, specialty sales and marketing infrastructure to market one or more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future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We likely will have little control over such third parties, and any of them may fail to devote the necessary resources and attention to sell and market our products effectively. Further, there can be no guarantee that we will be able to successfully enter into arrangements with third parties to perform</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760"/>
        <w:spacing w:after="0" w:line="282" w:lineRule="auto"/>
        <w:rPr>
          <w:sz w:val="20"/>
          <w:szCs w:val="20"/>
          <w:color w:val="auto"/>
        </w:rPr>
      </w:pPr>
      <w:r>
        <w:rPr>
          <w:rFonts w:ascii="Times New Roman" w:cs="Times New Roman" w:eastAsia="Times New Roman" w:hAnsi="Times New Roman"/>
          <w:sz w:val="18"/>
          <w:szCs w:val="18"/>
          <w:color w:val="auto"/>
        </w:rPr>
        <w:t>sales, marketing or distribution services. If we do not establish sales, marketing and distribution capabilities successfully, either on our own or in collaboration with third parties, we will not be successful in commercializing our product candidates.</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for additional information.</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6" w:name="page47"/>
    <w:bookmarkEnd w:id="46"/>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Further, the pricing and reimbursement of our product candidates, if approved, is uncertain, but must be adequate to support commercial infrastructure. If we are unable to obtain adequate levels of reimbursement, our ability to successfully market and sell any approved products will be adversely affected.</w:t>
      </w:r>
    </w:p>
    <w:p>
      <w:pPr>
        <w:spacing w:after="0" w:line="280"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and other applicable regulatory authorities before we can commence the manufacture and sale of any of our product candidates in the relevant jurisdiction, and thereafter will remain subject to inspection by such authorities from time to time. Failure by our third-party manufacturers to pass such inspections or otherwise satisfactorily complete applicable regulatory approval requirements with respect to our product candidates may result in regulatory actions, including the issuance of inspectional observations (such as FDA Form 483s), warning letters, or injunctions or the loss of operating licenses.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if approved, products at an acceptable cost or quality, which could delay, prevent or impair our development or commercialization efforts.</w:t>
      </w:r>
    </w:p>
    <w:p>
      <w:pPr>
        <w:spacing w:after="0" w:line="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manufacturing facilities and expect to rely on third parties for the manufacture of pociredir for any future clinical trials and for the manufacture of any future product candidates for preclinical and clinical testing. We also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spacing w:after="0" w:line="266" w:lineRule="auto"/>
        <w:rPr>
          <w:sz w:val="20"/>
          <w:szCs w:val="20"/>
          <w:color w:val="auto"/>
        </w:rPr>
      </w:pPr>
      <w:r>
        <w:rPr>
          <w:rFonts w:ascii="Times New Roman" w:cs="Times New Roman" w:eastAsia="Times New Roman" w:hAnsi="Times New Roman"/>
          <w:sz w:val="18"/>
          <w:szCs w:val="18"/>
          <w:color w:val="auto"/>
        </w:rPr>
        <w:t>expect to rely on third-party manufacturers or third-party collaborators for the manufacture of clinical supply, or if approved, commercial supply of any of our other product candidates. This reliance on third parties increases the risk that we will not have sufficient quantities of our product candidates for clinical development, or if approved, products at an acceptable cost or quality, which could delay, prevent or impair our development or commercialization efforts.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7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for additional information.</w:t>
      </w:r>
    </w:p>
    <w:p>
      <w:pPr>
        <w:spacing w:after="0" w:line="8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18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 (such as the announced tariffs by the current U.S. administration, which have led to volatility in the market and uncertainty);</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01" w:right="459" w:bottom="1440" w:gutter="0" w:footer="0" w:header="0"/>
        </w:sectPr>
      </w:pPr>
    </w:p>
    <w:bookmarkStart w:id="49" w:name="page50"/>
    <w:bookmarkEnd w:id="49"/>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currently rely on third-party CROs to conduct our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 For any violations of laws and regulations that occur during the conduct of our preclinical studies or clinical trials, we could be subject to untitled letters, warning letters or other enforcement actions.</w:t>
      </w:r>
    </w:p>
    <w:p>
      <w:pPr>
        <w:spacing w:after="0" w:line="28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may in the future enter into development, distribution or marketing arrangements with third parties with respect to our other existing or future product candidates. Our likely collaborators for any such sales, marketing, distribution,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ind w:right="100"/>
        <w:spacing w:after="0" w:line="261" w:lineRule="auto"/>
        <w:rPr>
          <w:sz w:val="20"/>
          <w:szCs w:val="20"/>
          <w:color w:val="auto"/>
        </w:rPr>
      </w:pPr>
      <w:r>
        <w:rPr>
          <w:rFonts w:ascii="Times New Roman" w:cs="Times New Roman" w:eastAsia="Times New Roman" w:hAnsi="Times New Roman"/>
          <w:sz w:val="18"/>
          <w:szCs w:val="18"/>
          <w:color w:val="auto"/>
        </w:rPr>
        <w:t>development, licensing or broader collaboration arrangements include large and mid-size pharmaceutical companies, regional and national pharmaceutical companies and biotechnology companies. These third party arrangements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9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any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4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68"/>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26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collaborations with Acceleron Pharma, Inc. and MyoKardia, Inc., the latter of which was terminated on June 26, 2025), and, if terminated, we could be required to raise additional capital to pursue further development or commercialization of the applicable product candidates.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our collaborator terminates its agreement with us, we may find it more difficult to attract new collaborators and our perception in the business and financial communities could be adversely affected.</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 and our business could be adversely affected.</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or future license agreements from entering into agreements on certain terms with potential collaborators.</w:t>
      </w:r>
    </w:p>
    <w:p>
      <w:pPr>
        <w:spacing w:after="0" w:line="89"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 – Intellectual Property.”</w:t>
      </w:r>
    </w:p>
    <w:p>
      <w:pPr>
        <w:spacing w:after="0" w:line="8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7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7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8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9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4" w:name="page55"/>
    <w:bookmarkEnd w:id="54"/>
    <w:p>
      <w:pPr>
        <w:ind w:right="40"/>
        <w:spacing w:after="0" w:line="255" w:lineRule="auto"/>
        <w:rPr>
          <w:sz w:val="20"/>
          <w:szCs w:val="20"/>
          <w:color w:val="auto"/>
        </w:rPr>
      </w:pPr>
      <w:r>
        <w:rPr>
          <w:rFonts w:ascii="Times New Roman" w:cs="Times New Roman" w:eastAsia="Times New Roman" w:hAnsi="Times New Roman"/>
          <w:sz w:val="18"/>
          <w:szCs w:val="18"/>
          <w:color w:val="auto"/>
        </w:rPr>
        <w:t>product candidate receives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8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 – Intellectual Property” for additional information regarding patent laws and patent protection.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80"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ind w:right="20"/>
        <w:spacing w:after="0" w:line="255" w:lineRule="auto"/>
        <w:rPr>
          <w:sz w:val="20"/>
          <w:szCs w:val="20"/>
          <w:color w:val="auto"/>
        </w:rPr>
      </w:pPr>
      <w:r>
        <w:rPr>
          <w:rFonts w:ascii="Times New Roman" w:cs="Times New Roman" w:eastAsia="Times New Roman" w:hAnsi="Times New Roman"/>
          <w:sz w:val="18"/>
          <w:szCs w:val="18"/>
          <w:color w:val="auto"/>
        </w:rPr>
        <w:t>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8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8" w:name="page59"/>
    <w:bookmarkEnd w:id="58"/>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7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0" w:name="page61"/>
    <w:bookmarkEnd w:id="60"/>
    <w:p>
      <w:pPr>
        <w:ind w:left="900" w:right="1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8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right="160"/>
        <w:spacing w:after="0" w:line="282" w:lineRule="auto"/>
        <w:rPr>
          <w:sz w:val="20"/>
          <w:szCs w:val="20"/>
          <w:color w:val="auto"/>
        </w:rPr>
      </w:pPr>
      <w:r>
        <w:rPr>
          <w:rFonts w:ascii="Times New Roman" w:cs="Times New Roman" w:eastAsia="Times New Roman" w:hAnsi="Times New Roman"/>
          <w:sz w:val="18"/>
          <w:szCs w:val="18"/>
          <w:color w:val="auto"/>
        </w:rPr>
        <w:t>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5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6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leadership,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w:t>
      </w:r>
    </w:p>
    <w:p>
      <w:pPr>
        <w:spacing w:after="0" w:line="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including from October 1, 2025 through November 12, 2025, and from January 31, 2025 through February 3, 2026. In some circumstances,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spacing w:after="0" w:line="75"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7"/>
          <w:szCs w:val="17"/>
          <w:color w:val="auto"/>
        </w:rPr>
        <w:t>Since the change in the U.S. presidential administration in 2025, there is uncertainty as to how and to what extent the current administration will continue to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w:t>
      </w:r>
    </w:p>
    <w:p>
      <w:pPr>
        <w:spacing w:after="0" w:line="2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We have received orphan drug designation for pociredir for the treatment of SCD and may seek orphan drug designation, as appropriate, for our other current and future product candidates.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Designations by the FDA, such as fast track designation or breakthrough therapy designation, may not lead to a faster development or regulatory review or approval process, and do not increase the likelihood that our product candidates will receive marketing approval.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granted fast track designation to pociredir for the treatment of SCD, and we may seek fast track designation as well as breakthrough therapy designation for some of our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grant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is granted breakthrough therapy designation, the FDA may later decide that the such product candidates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may require that a post-approval confirmatory study or studies be underway prior to approval or within a specified time period after the date of approval for a product granted accelerated approval. FDORA also requires sponsors to send updates to the FDA every 180</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t>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8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under certain circumstances,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Form 483s, warning letters or untitled letters;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 – Government Regulation and Product Approvals – Health Care Law and Regulation” for additional information.</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20"/>
        <w:spacing w:after="0" w:line="258" w:lineRule="auto"/>
        <w:rPr>
          <w:sz w:val="20"/>
          <w:szCs w:val="20"/>
          <w:color w:val="auto"/>
        </w:rPr>
      </w:pPr>
      <w:r>
        <w:rPr>
          <w:rFonts w:ascii="Times New Roman" w:cs="Times New Roman" w:eastAsia="Times New Roman" w:hAnsi="Times New Roman"/>
          <w:sz w:val="18"/>
          <w:szCs w:val="18"/>
          <w:color w:val="auto"/>
        </w:rPr>
        <w:t>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87"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 United Kingdom’s laws, or UK GDPR, alongside the UK Data Protection Act 2018, and together with the EU GDPR, is referred to as GDPR.</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For example, the Data (Use and Access) Act 2025, or the UK Act, which supplements the UK GDPR, recently came into force and introduces certain provisions that diverge from the EU GDPR. Although the UK’s data protection framework is still considered to provide “essentially equivalent” safeguards to the EU’s GDPR, future divergence remains a possibility. Further divergence between the EU GDPR and UK GDPR could add legal risk, uncertainty, complexity, and cost to our handling of European personal data and our privacy and security compliance programs. We may no longer be able to take a unified approach across the European Union and the United Kingdom, and we will need to amend our processes and procedures to align with such divergence. In addition, EEA Member States have adopted national laws to implement the EU GDPR that may partially deviate from the EU GDPR and competent authorities in the Member States may interpret the EU GDPR obligations slightly differently from country to country. Therefore, we do not expect to operate in a uniform legal landscape in the EEA.</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A number of other states have implemented privacy legislation similar to the CCPA or are preparing to implement their own regulatory frameworks. Certain states have also passed laws that protect biometric information or are specifically focused on consumer health data (e.g., Washington, Connecticut and Nevada), which impose state regulations on consumer health data, which further increases compliance risk. These laws and regulations, including their interpretation by governmental agencies, are subject to frequent change and could have a negative impact on our business. Further, these varying interpretations could create complex compliance issues for us and our partners and potentially expose us to additional expense, liability, penalties, negatively impact our client relationships, and lead to adverse publicity, and all of these risks could negatively affect our business in the short and long term.. A wide range of enforcement agencies at both the state and federal levels, such as the Federal Trade Commission and state Attorneys General have been increasingly aggressive in reviewing and enforcing privacy and data security-related consumer protection laws.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jc w:val="both"/>
        <w:ind w:right="100" w:firstLine="509"/>
        <w:spacing w:after="0" w:line="277" w:lineRule="auto"/>
        <w:rPr>
          <w:sz w:val="20"/>
          <w:szCs w:val="20"/>
          <w:color w:val="auto"/>
        </w:rPr>
      </w:pPr>
      <w:r>
        <w:rPr>
          <w:rFonts w:ascii="Times New Roman" w:cs="Times New Roman" w:eastAsia="Times New Roman" w:hAnsi="Times New Roman"/>
          <w:sz w:val="17"/>
          <w:szCs w:val="17"/>
          <w:color w:val="auto"/>
        </w:rPr>
        <w:t>Regulators and legislators in the U.S. are increasingly scrutinizing and restricting certain personal data transfers and transactions involving foreign countries. For example, a January 2025 DOJ rule prohibits transfers of data to countries of concern, including China, as well as certain agreements absent specified cybersecurity controls. Actual or alleged violations of these regulations may be punishable by criminal and/or civil sanctions, and may result in exclusion from participation in federal and state programs. and could restrict our ability to use certain vendors, sites, investigators, or service providers in global clinical trials. See Item 1 “Business – Government Regulation and Product Approvals” for additional information.</w:t>
      </w:r>
    </w:p>
    <w:p>
      <w:pPr>
        <w:spacing w:after="0" w:line="6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new and evolving technologies, such as artificial intelligence, or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may use, and our vendors may incorporate AI both in our own development and implementation of AI and through the adoption of commercially available tools. The use of AI presents risks and challenges that could adversely affect our business, including cybersecurity, data privacy, IT, confidentiality, regulatory, legal, operational, competitive, reputational and intellectual property risks. Specifically, risks related to accuracy, bias, artificial intelligence hallucinations, discrimination, harmful content, misinformation, fraud, scams, targeted attacks (including model poisoning or data poisoning), surveillance, data leakage, environmental and other harms may flow from our development or use of AI technologies.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government and supranational regulation related to AI is evolving and could increase the burden and cost of compliance, including through requirements related to transparency, accountability, risk management, human oversight, and data governance. The EU’s Artificial Intelligence Act, or AI Act, started coming into force in August 2024, with important parts of the new law scheduled to come into effect in August 2026.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endorsed a federal moratorium on the enforcement of state AI laws. So far, these efforts have not been successful at curtailing state action on AI regulation, contributing to a complicated legislative patchwork. In addition, there is continued uncertainty regarding the application of existing federal and state legal frameworks to uses and development of AI, and legal norms and market standards regarding AI continue to evolve. For example, the FDA issued guidance on the use of AI in medical devices, requiring detailed risk management and review processes to obtain approvals.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The rapid evolution of AI will require the application of significant resources to help ensure that AI is implemented in accordance with applicable law and regulation and in a socially responsible manner. The use of certain AI technologies can also give rise to intellectual property risks. The use of AI tools by our vendors also exposes us to risk.</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 and affect the prices we may obtain for any products that are approved in the United States or foreign jurisdictions.</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67" w:name="page68"/>
    <w:bookmarkEnd w:id="67"/>
    <w:p>
      <w:pPr>
        <w:ind w:right="40"/>
        <w:spacing w:after="0" w:line="258" w:lineRule="auto"/>
        <w:rPr>
          <w:sz w:val="20"/>
          <w:szCs w:val="20"/>
          <w:color w:val="auto"/>
        </w:rPr>
      </w:pPr>
      <w:r>
        <w:rPr>
          <w:rFonts w:ascii="Times New Roman" w:cs="Times New Roman" w:eastAsia="Times New Roman" w:hAnsi="Times New Roman"/>
          <w:sz w:val="18"/>
          <w:szCs w:val="18"/>
          <w:color w:val="auto"/>
        </w:rPr>
        <w:t>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 – Government Regulation and Product Approval – Pharmaceutical Insurance Coverage and Health Care Reform” for additional information.</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example, the IRA among other things, allows for CMS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the IRA on our business and the healthcare industry in general is not yet known.</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Through executive orders, the current U.S. administration has been taking steps to reduce drug prices, and consistent with these executive directives, in December 2025, CMS issued proposed rules establishing two mandatory drug payment models that would introduce MFN pricing principles into Medicare drug reimbursement. These proposals remain subject to notice-and-comment rulemaking and may face legal or administrative challenges. Separately, in November 2025, CMS introduced a voluntary MFN-based framework for manufacturers participating in the Medicaid Drug Rebate Program. Although participation is voluntary, the model could nonetheless influence manufacturer pricing strategies and broader market dynamics by encouraging alignment of U.S. Medicaid prices with international reference pricing benchmarks. See Item 1 “Business – Government Regulation and Product Approval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Pharmaceutical Insurance Coverage and Health Care Reform” for additional information regarding these laws, regulations and orders.</w:t>
      </w:r>
    </w:p>
    <w:p>
      <w:pPr>
        <w:spacing w:after="0" w:line="9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8" w:name="page69"/>
    <w:bookmarkEnd w:id="68"/>
    <w:p>
      <w:pPr>
        <w:spacing w:after="0" w:line="255" w:lineRule="auto"/>
        <w:rPr>
          <w:sz w:val="20"/>
          <w:szCs w:val="20"/>
          <w:color w:val="auto"/>
        </w:rPr>
      </w:pPr>
      <w:r>
        <w:rPr>
          <w:rFonts w:ascii="Times New Roman" w:cs="Times New Roman" w:eastAsia="Times New Roman" w:hAnsi="Times New Roman"/>
          <w:sz w:val="18"/>
          <w:szCs w:val="18"/>
          <w:color w:val="auto"/>
        </w:rPr>
        <w:t>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1"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disruption of our product development programs.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and our third party service providers, have experienced cyber incidents in the past, and we cannot guarantee that the measures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Further, attempts to</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0" w:name="page71"/>
    <w:bookmarkEnd w:id="70"/>
    <w:p>
      <w:pPr>
        <w:ind w:right="20"/>
        <w:spacing w:after="0" w:line="254" w:lineRule="auto"/>
        <w:rPr>
          <w:sz w:val="20"/>
          <w:szCs w:val="20"/>
          <w:color w:val="auto"/>
        </w:rPr>
      </w:pPr>
      <w:r>
        <w:rPr>
          <w:rFonts w:ascii="Times New Roman" w:cs="Times New Roman" w:eastAsia="Times New Roman" w:hAnsi="Times New Roman"/>
          <w:sz w:val="18"/>
          <w:szCs w:val="18"/>
          <w:color w:val="auto"/>
        </w:rPr>
        <w:t>disrupt or gain unauthorized access to our and our third-party vendors’ information systems from malicious third parties or insider threats may incorporate widely varying and frequently changing tactics, which may be enhanced or facilitated by AI.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 We cannot be sure that our cyber insurance coverage will be adequate or sufficient to protect us from or to mitigate liabilities arising out of any such disruption in, or failure or security incident, breach, or compromise of our system or third-party systems.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had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August 2022 and September 2024, we announced a workforce reduction in our research and development function, which may make us a less attractive employer to future candidates.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30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if appropriate,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As we continue to expand our pipeline, we expect that we will experience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As of February 17, 2026, our executive officers and directors and our stockholders who owned more than 5% of our outstanding common stock in the aggregate beneficially owned shares representing approximately 52.4%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329" w:lineRule="exact"/>
        <w:rPr>
          <w:sz w:val="20"/>
          <w:szCs w:val="20"/>
          <w:color w:val="auto"/>
        </w:rPr>
      </w:pPr>
    </w:p>
    <w:p>
      <w:pPr>
        <w:jc w:val="both"/>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4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hanging="368"/>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72" w:name="page73"/>
    <w:bookmarkEnd w:id="72"/>
    <w:p>
      <w:pPr>
        <w:ind w:right="100"/>
        <w:spacing w:after="0" w:line="261" w:lineRule="auto"/>
        <w:rPr>
          <w:sz w:val="20"/>
          <w:szCs w:val="20"/>
          <w:color w:val="auto"/>
        </w:rPr>
      </w:pPr>
      <w:r>
        <w:rPr>
          <w:rFonts w:ascii="Times New Roman" w:cs="Times New Roman" w:eastAsia="Times New Roman" w:hAnsi="Times New Roman"/>
          <w:sz w:val="18"/>
          <w:szCs w:val="18"/>
          <w:color w:val="auto"/>
        </w:rPr>
        <w:t>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780" w:hanging="368"/>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products, if and when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00" w:hanging="368"/>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73" w:name="page74"/>
    <w:bookmarkEnd w:id="73"/>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scaled disclosure requirements applicable to smaller reporting companies may make our common stock less attractive to investors.</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spacing w:after="0" w:line="54" w:lineRule="exact"/>
        <w:rPr>
          <w:sz w:val="20"/>
          <w:szCs w:val="20"/>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8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2"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SRC,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0"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2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At Fulcrum Therapeutics, we recognize the importance of assessing, identifying, and managing risks from cybersecurity threats. We have implemented a cybersecurity risk management process in accordance with our risk profile and business that is informed by industry standards and is integrated into our enterprise risk management process.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leverage the support of third-party information technology and security providers, including for periodic security testing and risk assessments, as part of our risk management process, designed to identify, assess, and manage cybersecurity risks. We conduct employee cybersecurity training and maintain an incident response and notification plan designed to assist us in identifying, responding to, and recovering from cybersecurity incidents. Further, we regularly evaluate and update our existing cybersecurity policies and procedures as appropriate to continue to align them to our risk profile.</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a process to assess the security practices of certain third-party vendors, including through the use of vendor security questionnaires, as appropriate.</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Although risks from cybersecurity threats have to date not materially affected us, our business strategy, results of operations or financial condition, we have, from time to time, experienced threats to and breaches of our and our third party vendors’ data and systems. For more information about these risks, please refer to the section entitled “Risk Factors” in this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Vice President, IT &amp; Operations, or Vice President, who reports to the Chief Financial Officer, is responsible for the strategic leadership and direction of our cybersecurity program. With over 15 years of experience in information technology, the Vice President works alongside individuals across other functions, such as legal and engineering, to establish and implement our cybersecurity strategy.</w:t>
      </w:r>
    </w:p>
    <w:p>
      <w:pPr>
        <w:spacing w:after="0" w:line="6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Vice President and our Chief Legal Officer participate in periodic discussions with other members of our management, including executive leadership, regarding implementation of our cybersecurity program, program enhancements, and relevant cyber risks or threats. Our Chief Legal Officer has received the National Association of Corporate Directors CERT Certificate in Cyber-Risk Oversight.</w:t>
      </w:r>
    </w:p>
    <w:p>
      <w:pPr>
        <w:spacing w:after="0" w:line="68"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audit committee has oversight over cybersecurity risks. With the input of the executive team, the Vice President provides annual presentations to the audit committee on our cyber program, including updates on security testing and assessments, cyber risks, and related cyber strategy as applicable. The management team will also update the full board of directors on matters related to cybersecurity as needed.</w:t>
      </w:r>
    </w:p>
    <w:p>
      <w:pPr>
        <w:spacing w:after="0" w:line="68"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Additionally, we have implemented an enterprise risk management process, which addresses cyber risks. This process is led by our Chief Legal Officer and includes participation by the board of directors, as appropriate. Our Chief Legal Officer reports regularly on the enterprise risk management process to executive leadership and the audit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“FULC” on the Nasdaq Global Market and has been publicly traded since July 18, 2019. Prior to this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February 17, 2026, there were approximately 11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developing small molecules to improve the lives of patients with genetically defined rare diseases in areas of high unmet medical need. Our lead product candidate, pociredir, is in clinical development for the potential treatment of SCD.</w:t>
      </w:r>
    </w:p>
    <w:p>
      <w:pPr>
        <w:spacing w:after="0" w:line="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2026, we announced updated 20 mg cohort results from the PIONEER trial as of the December 23, 2025 data cut off date showing:</w:t>
      </w:r>
    </w:p>
    <w:p>
      <w:pPr>
        <w:spacing w:after="0" w:line="117" w:lineRule="exact"/>
        <w:rPr>
          <w:sz w:val="20"/>
          <w:szCs w:val="20"/>
          <w:color w:val="auto"/>
        </w:rPr>
      </w:pPr>
    </w:p>
    <w:p>
      <w:pPr>
        <w:ind w:left="900" w:right="80" w:hanging="383"/>
        <w:spacing w:after="0" w:line="261"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absolute HbF increased by 12.2% at 12 weeks of treatment with pociredir (vs. 8.6% at Week 12 in the 12 mg cohort), increasing from a baseline of 7.1% to 19.3%. Seven of 12 patients (58%) achieved absolute HbF levels ≥20% at Week 12, and all patients demonstrated a clinically relevant HbF increase. HbF levels of 20% are associated with ~90% of patients experiencing zero VOCs per year, based on real-world data that we presented at the 20th Annual Sickle Cell &amp; Thalassemia Conference in October 2025.</w:t>
      </w:r>
    </w:p>
    <w:p>
      <w:pPr>
        <w:spacing w:after="0" w:line="71"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HbF-containing red blood cells, or F-cells, increased from a mean of 31% at baseline to 63% at Week 12 (n=10), indicating progression toward pan-cellular HbF induction (HbF distributed across a substantial proportion of RBCs). F-cells are more resistant to sickling and hemolysis because of HbF-mediated inhibition of HbS polymerization. Higher proportions of F-cells are associated with improved RBC health.</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changes in markers of hemolysis and erythropoiesis improved during the 12-week treatment period:</w:t>
      </w:r>
    </w:p>
    <w:p>
      <w:pPr>
        <w:spacing w:after="0" w:line="117" w:lineRule="exact"/>
        <w:rPr>
          <w:sz w:val="20"/>
          <w:szCs w:val="20"/>
          <w:color w:val="auto"/>
        </w:rPr>
      </w:pPr>
    </w:p>
    <w:p>
      <w:pPr>
        <w:ind w:left="1540" w:hanging="514"/>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bilirubin decreased by 40% (vs. 37% at Week 12 in the 12 mg cohort)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Lactate dehydrogenase decreased by 34% (vs. 28% at Week 12 in the 12 mg cohort)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RBC distribution width decreased by 26% (vs. 27% at Week 12 in the 12 mg cohort)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Reticulocyte counts decreased by 42% (vs. 31% at Week 12 in the 12 mg cohort)</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hemoglobin increased by 1.1 g/dL at Week 12 (vs. 0.9 g/dL at Week 12 in the 12 mg cohort), increasing from a baseline of 7.3 g/dL to 8.4 g/dL.</w:t>
      </w:r>
    </w:p>
    <w:p>
      <w:pPr>
        <w:spacing w:after="0" w:line="53"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treating physician-documented medical records from the 6-12 months prior to enrollment, approximately 16 VOCs would have been expected during the 12-week treatment period. During the 12-week treatment period, six VOCs were reported. Seven of 12 patients (58%) reported no VOCs during the treatment period.</w:t>
      </w:r>
    </w:p>
    <w:p>
      <w:pPr>
        <w:spacing w:after="0" w:line="6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completion of the 20 mg dose cohort, pociredir has been dosed in 148 adults, including 89 subjects in multiple dose cohorts up to 12 weeks.</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healthy subjects, including 44 who received pociredir for 10 to 14 days treatment duration</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SCD patients who received pociredir for up to 12 weeks treatment duration</w:t>
      </w:r>
    </w:p>
    <w:p>
      <w:pPr>
        <w:spacing w:after="0" w:line="11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observed in the 20 mg dose cohort as of the December 23, 2025 data cut off date remained consistent with previously reported safety data. Pociredir was generally well-tolerated, with no treatment-related serious adverse events and no discontinuations due to treatment-related adverse events through the December 23, 2025 data cut off date.</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are currently activating sites in an open-label extension trial to evaluate longer-term safety and PD durability in patients who completed the PIONEER trial. We plan to provide details regarding the design of the next trial in the second quarter of 2026 following receipt of meeting minutes from our End-of-Phase meeting with the FDA. Pending feedback from the FDA, we plan to initiate a potential registration-enabling trial in the second half of 2026. We also plan to engage with the EMA in mid-2026 to obtain protocol assistance and feedback on the design of the next trial.</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78" w:name="page79"/>
    <w:bookmarkEnd w:id="78"/>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 We are applying our discovery capabilities to explore additional mechanisms that may complement pociredir’s mechanism of action to induce HbF for the potential treatment of SCD. We also presented preclinical data for FTX-6274, an oral EED inhibitor candidate, at the European Society for Medical Oncology (ESMO) Congress 2025, demonstrating tumor growth inhibition in castration resistant prostate cancer models.</w:t>
      </w:r>
    </w:p>
    <w:p>
      <w:pPr>
        <w:spacing w:after="0" w:line="7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Based on results from IND-enabling studies, we have decided not to advance our program for bone marrow failure syndromes into clinical development and will focus our resources on advancing pociredir and our core benign hematology programs.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$74.9 million and $9.7 million for the years ended December 31, 2025 and 2024, respectively. As of December 31, 2025, we had an accumulated deficit of $594.3 million. We expect our expenses and operating losses will increase over the next several years in connection with our ongoing activities, as we:</w:t>
      </w:r>
    </w:p>
    <w:p>
      <w:pPr>
        <w:spacing w:after="0" w:line="75" w:lineRule="exact"/>
        <w:rPr>
          <w:sz w:val="20"/>
          <w:szCs w:val="20"/>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advance the program into a later stage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2"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$352.3 million in cash, cash equivalents, and marketable securities. We believe that our existing cash, cash equivalents, and marketable securities as of December 31, 2025 will enable us to fund our operating expenses and capital expenditure requirements into 2029. We have based this estimate on assumptions that may prove to be wrong, and we could exhaust our available capital resources sooner than we expect. See “—Liquidity and Capital Resources.”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with Sanofi, pursuant to which we granted Sanofi an exclusive license under certain intellectual property rights to commercialize losmapimod, an oral small molecule that we were developing for the treatment of FSHD outside of the United States and received an upfront payment of $80.0 million.</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we recorded a $1.0 million reduction in research and development expenses in connection with global development activities for losmapimod. During the year ended December 31, 2025, we recognized no revenue associated with the Sanofi territory-specific manufacturing activities for losmapimod. As a result of the suspension of future development of losmapimod following our September 2024 announcement that there was no statistically significant difference between losmapimod and placebo on the primary endpoint in the Phase 3 REACH trial, Sanofi terminated the license. Accordingly, we will not recognize additional revenues under the Sanofi collaboration agreement.</w:t>
      </w:r>
    </w:p>
    <w:p>
      <w:pPr>
        <w:spacing w:after="0" w:line="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the future, we may enter into additional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6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individuals involved in research and development efforts;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years ended December 31, 2025 and 2024.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 (including defending and enforcing our rights);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11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1" w:name="page82"/>
    <w:bookmarkEnd w:id="81"/>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in future periods as we continue to implement our business strategy, which includes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years ended December 31, 2025 and 2024, along with the changes in those items in dollars: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center"/>
              <w:ind w:left="3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56,103</w:t>
            </w:r>
          </w:p>
        </w:tc>
        <w:tc>
          <w:tcPr>
            <w:tcW w:w="2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Restructuring expenses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(84,769)</w:t>
            </w: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(21,897)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(74,880)</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(9,725)</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-599440</wp:posOffset>
            </wp:positionV>
            <wp:extent cx="51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-599440</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-599440</wp:posOffset>
            </wp:positionV>
            <wp:extent cx="51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decreased by $80.0 million from the year ended December 31, 2024 to the year ended December 31, 2025. The decrease was attributable to the recognition of $80.0 million of revenue associated with the upfront license payment received during the year ended December 31, 2024 under the now terminated Sanofi collaboration agreement.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2025 and 2024:</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gridSpan w:val="2"/>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31,744</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-170815</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-170815</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$7.3 million from $63.4 million for the year ended December 31, 2024 to $56.1 million for the year ended December 31, 2025. The decrease in research and development expense was primarily attributable to the following:</w:t>
      </w:r>
    </w:p>
    <w:p>
      <w:pPr>
        <w:spacing w:after="0" w:line="54" w:lineRule="exact"/>
        <w:rPr>
          <w:sz w:val="20"/>
          <w:szCs w:val="20"/>
          <w:color w:val="auto"/>
        </w:rPr>
      </w:pPr>
    </w:p>
    <w:p>
      <w:pPr>
        <w:ind w:left="900" w:right="140" w:hanging="383"/>
        <w:spacing w:after="0" w:line="266"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of decreased external research and development costs, primarily due to the suspension of the losmapimod program, including decreased development cost sharing reimbursement under our former collaboration with Sanofi for losmapimod, partially offset by increased development costs associated with the advancement of the Phase 1b PIONEER trial of pociredir;</w:t>
      </w:r>
    </w:p>
    <w:p>
      <w:pPr>
        <w:spacing w:after="0" w:line="67" w:lineRule="exact"/>
        <w:rPr>
          <w:rFonts w:ascii="Times New Roman" w:cs="Times New Roman" w:eastAsia="Times New Roman" w:hAnsi="Times New Roman"/>
          <w:sz w:val="18"/>
          <w:szCs w:val="18"/>
          <w:color w:val="auto"/>
        </w:rPr>
      </w:pPr>
    </w:p>
    <w:p>
      <w:pPr>
        <w:ind w:left="900" w:right="68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of decreased employee compensation costs due to decreased headcount, including a $1.2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$0.8 million of increased laboratory supplies costs and $0.4 million of increased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2025 and 2024:</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19,754</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(7,782)</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-25400</wp:posOffset>
            </wp:positionV>
            <wp:extent cx="51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514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$7.7 million from $36.4 million for the year ended December 31, 2024 to $28.7 million for the year ended December 31, 2025. The decrease in general and administrative expenses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of decreased professional services costs, primarily due to decreased commercial and legal costs;</w:t>
      </w:r>
    </w:p>
    <w:p>
      <w:pPr>
        <w:spacing w:after="0" w:line="117" w:lineRule="exact"/>
        <w:rPr>
          <w:rFonts w:ascii="Times New Roman" w:cs="Times New Roman" w:eastAsia="Times New Roman" w:hAnsi="Times New Roman"/>
          <w:sz w:val="18"/>
          <w:szCs w:val="18"/>
          <w:color w:val="auto"/>
        </w:rPr>
      </w:pPr>
    </w:p>
    <w:p>
      <w:pPr>
        <w:ind w:left="900" w:right="680" w:hanging="383"/>
        <w:spacing w:after="0" w:line="282"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decreased employee compensation costs due to decreased headcount, including a $0.9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facility costs primarily as a result of the expiration of our lease agreement for office space at 125 Sidney Street;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of decreased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decreased by $2.3 million from $12.2 million for the year ended December 31, 2024 to $9.9 million for the year ended December 31, 2025. The decrease was primarily due to a decrease in our average cash, cash equivalents, and marketable securities balance, and a decreased rate of return due to declining interest rates.</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December 31, 2025, we have funded our operations primarily with aggregate gross proceeds of $967.5 million from the sale of shares of our capital stock and pre-funded warrants and from upfront payments received under our collaboration and license agreements. As of December 31, 2025, we had cash, cash equivalents, and marketable securities of $352.3 million.</w:t>
      </w:r>
    </w:p>
    <w:p>
      <w:pPr>
        <w:spacing w:after="0" w:line="86"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December 31, 2025, we have not issued or sold any shares of common stock under the at-the-market offering program.</w:t>
      </w:r>
    </w:p>
    <w:p>
      <w:pPr>
        <w:spacing w:after="0" w:line="9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2025, pursuant to an underwriting agreement with J.P. Morgan Securities LLC, Leerink Partners LLC, and Cantor Fitzgerald &amp; Co., we and issued and sold (i) 11,851,853 shares of our common stock at a public offering price of $13.50 per share and (ii) pre-funded warrants to purchase up to 1,111,193 shares of our common stock at a public offering price of $13.499 per pre-funded warrant. The net proceeds of the offering were $164.2 million, after deducting underwriting discounts and commissions and offering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2025 and 2024:</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(60,065)</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30,719</w:t>
            </w:r>
          </w:p>
        </w:tc>
        <w:tc>
          <w:tcPr>
            <w:tcW w:w="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168,667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139,321</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$60.1 million during the year ended December 31, 2025 compared to $2.2 million during the year ended December 31, 2024. The increase in net cash used in operating activities of $57.9 million was primarily due to an increase in net loss.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119"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$30.7 million during the year ended December 31, 2025 compared to $32.2 million during the year ended December 31, 2024. The decrease in net cash provided by investing activities of $1.5 million was primarily due to a decrease in net maturities of marketable securities during the year ended December 31, 2025, as compared to the year ended December 31, 2024.</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provided by financing activities was $168.7 million during the year ended December 31, 2025 compared to $2.7 million during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2024. Net cash provided by financing activities during the year ended December 31, 2025 primarily consisted of net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$164.2 million from the December 2025 public offering of our common stock and pre-funded warrants. Net cash provided by financing activities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2024 consisted of net proceeds of $2.7 million from the issuance of common stock under our benefit plans.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some of which are in the discovery stage of development. In addition, we expect to incur additional costs to support the growth of our organization when appropriate. As a result, we expect to incur substantial operating losses and negative operating cash flows for the foreseeable future.</w:t>
      </w:r>
    </w:p>
    <w:p>
      <w:pPr>
        <w:spacing w:after="0" w:line="7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December 31, 2025 will enable us to fund our operating expenses and capital expenditure requirements into 2029. However, we have based this estimate on assumptions that may prove to be wrong and we could exhaust our capital resources sooner than we expect.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pociredir;</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80"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consolidated financial statements included elsewhere in this Annual Report on Form 10-K for a description of our other significant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we analyze our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the Financial Accounting Standards Board Accounting Standards Codification, or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This assessment is performed on an ongoing basis throughout the collaboration based on changes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responsibilities of the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are therefore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w:t>
      </w:r>
    </w:p>
    <w:p>
      <w:pPr>
        <w:spacing w:after="0" w:line="8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We evaluate the income statement classification for presentation of amounts due from or owed to collaborators associated with multiple activities in a collaboration arrangement based on the nature of each separate activity. We have made an accounting policy election to account for research and development reimbursements received from our collaboration partner that are outside of the scope of ASC 606 as a reduction of research and development expenses to best reflect the economics and nature of the transaction in the context of the unit-of-account.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account for revenue recognition under ASC 606. We recognize revenue pursuant to ASC 606 when our customer obtains control of promised goods or services in an amount that reflects the consideration which we expect to receive in exchange for those goods or services.</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the goods or services promised within the contract and determine those that are performance obligations. We then determine the transaction price and allocate it to the identified performance obligations. As part of the accounting for these arrangements, we must use significant judgment to determine the number of performance obligations and the transaction price, including the determination of whether milestones or other variable consideration should be included in the transaction price.</w:t>
      </w:r>
    </w:p>
    <w:p>
      <w:pPr>
        <w:spacing w:after="0" w:line="72"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We use judgment to 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the risks of success. If we conclude it is probable that a significant revenue reversal would not occur, the associated milestone payment is included in the transaction price. Milestone payments that are based on the occurrence of events not within our control, such as regulatory approvals, are generally not considered probable of being achieved until the underlying events occur or the associated approvals are received. At the end of each reporting period, we re-evaluate the estimated variable consideration included in the transaction price and any related constraint, and if necessary, adjust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6" w:name="page87"/>
    <w:bookmarkEnd w:id="86"/>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7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recognize as revenue the amount of the transaction price that is allocated to the respective performance obligation when (or as) the performance obligation is satisfied, either at a point in time or over time. If the performance obligation is satisfied over time, we recognize revenue based on the use of either an output or input method. The estimation of measure of progress is complex, involves significant judgment, and is affected by our estimates of the total costs required to complete the performance obligations, including the total internal personnel costs and external costs to be incurred. Changes in these estimates can have a material effect on our revenue recognition. If the entity does not satisfy a performance obligation over time, the related performance obligation is satisfied at a point in time by transferring the control of a promised good or service to a customer.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8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measure stock-based compensation expense related to all restricted stock awards, restricted stock units,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determine the fair value of restricted stock awards and restricted stock units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Given the lack of public market for our common stock prior to the closing of our IPO and a lack of company-specific historical and implied volatility data, we based the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spacing w:after="0" w:line="256" w:lineRule="auto"/>
        <w:rPr>
          <w:sz w:val="20"/>
          <w:szCs w:val="20"/>
          <w:color w:val="auto"/>
        </w:rPr>
      </w:pPr>
      <w:r>
        <w:rPr>
          <w:rFonts w:ascii="Times New Roman" w:cs="Times New Roman" w:eastAsia="Times New Roman" w:hAnsi="Times New Roman"/>
          <w:sz w:val="18"/>
          <w:szCs w:val="18"/>
          <w:color w:val="auto"/>
        </w:rPr>
        <w:t>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7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consolidated financial statements appearing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and our investments are in short-term marketable securities, such as corporate bonds and commercial paper. As of December 31, 2025, we had cash, cash equivalents, and marketable securities of $352.3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2025, we had minimal or no liabilities denominated in foreign currencies.</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independent registered public accounting firm report thereon, are presented beginning on page F-1 of this Annual Report on Form 10-K.</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December 31, 2025.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2025,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1260" w:right="820" w:hanging="368"/>
        <w:spacing w:after="0" w:line="282"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53" w:lineRule="exact"/>
        <w:rPr>
          <w:rFonts w:ascii="Times New Roman" w:cs="Times New Roman" w:eastAsia="Times New Roman" w:hAnsi="Times New Roman"/>
          <w:sz w:val="18"/>
          <w:szCs w:val="18"/>
          <w:color w:val="auto"/>
        </w:rPr>
      </w:pPr>
    </w:p>
    <w:p>
      <w:pPr>
        <w:ind w:left="1260" w:right="120" w:hanging="368"/>
        <w:spacing w:after="0" w:line="266"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spacing w:after="0" w:line="67" w:lineRule="exact"/>
        <w:rPr>
          <w:rFonts w:ascii="Times New Roman" w:cs="Times New Roman" w:eastAsia="Times New Roman" w:hAnsi="Times New Roman"/>
          <w:sz w:val="18"/>
          <w:szCs w:val="18"/>
          <w:color w:val="auto"/>
        </w:rPr>
      </w:pPr>
    </w:p>
    <w:p>
      <w:pPr>
        <w:ind w:left="1260" w:right="380" w:hanging="368"/>
        <w:spacing w:after="0" w:line="282"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 company’s assets that could have a material effect on the financial statements.</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three months ended December 31, 2025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and Officer Trading Plans and Arrangements.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December 26, 2025, Katina Dorton, a member of our board of directors, adopted a trading plan for the potential exercise of vested stock options and the associated sale of up to 140,000 shares of our common stock. The trading plan is intended to satisfy the affirmative defense conditions of Rule 10b5-1(c) under the Exchange Act and is expected to remain in effect until December 15, 2026.</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29, 2025, Alan Ezekowitz, a member of our board of directors, adopted a trading plan for the potential exercise of vested stock options and the associated sale of up to 124,713 shares of our common stock. The trading plan is intended to satisfy the affirmative defense conditions of Rule 10b5-1(c) under the Exchange Act and is expected to remain in effect until December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90" w:name="page91"/>
    <w:bookmarkEnd w:id="9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Except to the extent provided below, the information required by this Item 10 will be included in our Definitive Proxy Statement to be filed with the SEC, with respect to our 2026 Annual Meeting of Stockholders and is incorporated herein by reference.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post our Code of Business Conduct and Ethics, which applies to our directors, officers and employees, including our principal executive officer, principal financial officer, principal accounting officer or controller, or persons performing similar functions, in the “Corporate Governance” sub-section of the “Investor Relations” section (ir.fulcrumtx.com) of our corporate website at www.fulcrumtx.com. We intend to disclose on our website any amendments to, or waivers from, the Code of Business Conduct and Ethics that are required to be disclosed pursuant to the disclosure requirements of Item 5.05 of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2026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2026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2026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2026 Annual Meeting of Stockholders and is incorporated herein by reference.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1" w:name="page92"/>
    <w:bookmarkEnd w:id="9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F-26 attached hereto and are filed as part of this Annual Report on Form 10-K.</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03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60" w:type="dxa"/>
            <w:vAlign w:val="bottom"/>
            <w:gridSpan w:val="10"/>
            <w:vMerge w:val="continue"/>
          </w:tcPr>
          <w:p>
            <w:pPr>
              <w:spacing w:after="0"/>
              <w:rPr>
                <w:sz w:val="14"/>
                <w:szCs w:val="14"/>
                <w:color w:val="auto"/>
              </w:rPr>
            </w:pPr>
          </w:p>
        </w:tc>
        <w:tc>
          <w:tcPr>
            <w:tcW w:w="760" w:type="dxa"/>
            <w:vAlign w:val="bottom"/>
          </w:tcPr>
          <w:p>
            <w:pPr>
              <w:ind w:left="50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100" w:type="dxa"/>
            <w:vAlign w:val="bottom"/>
            <w:tcBorders>
              <w:top w:val="single" w:sz="8" w:color="0000FF"/>
            </w:tcBorders>
            <w:gridSpan w:val="6"/>
          </w:tcPr>
          <w:p>
            <w:pPr>
              <w:spacing w:after="0"/>
              <w:rPr>
                <w:sz w:val="17"/>
                <w:szCs w:val="17"/>
                <w:color w:val="auto"/>
              </w:rPr>
            </w:pPr>
          </w:p>
        </w:tc>
        <w:tc>
          <w:tcPr>
            <w:tcW w:w="6140" w:type="dxa"/>
            <w:vAlign w:val="bottom"/>
            <w:gridSpan w:val="2"/>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103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20" w:type="dxa"/>
            <w:vAlign w:val="bottom"/>
            <w:tcBorders>
              <w:top w:val="single" w:sz="8" w:color="0000FF"/>
            </w:tcBorders>
            <w:gridSpan w:val="2"/>
          </w:tcPr>
          <w:p>
            <w:pPr>
              <w:spacing w:after="0"/>
              <w:rPr>
                <w:sz w:val="17"/>
                <w:szCs w:val="17"/>
                <w:color w:val="auto"/>
              </w:rPr>
            </w:pPr>
          </w:p>
        </w:tc>
        <w:tc>
          <w:tcPr>
            <w:tcW w:w="5680" w:type="dxa"/>
            <w:vAlign w:val="bottom"/>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7"/>
                <w:szCs w:val="17"/>
                <w:color w:val="auto"/>
              </w:rPr>
            </w:pPr>
          </w:p>
        </w:tc>
        <w:tc>
          <w:tcPr>
            <w:tcW w:w="7460" w:type="dxa"/>
            <w:vAlign w:val="bottom"/>
            <w:gridSpan w:val="6"/>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7180" w:type="dxa"/>
            <w:vAlign w:val="bottom"/>
            <w:gridSpan w:val="4"/>
          </w:tcPr>
          <w:p>
            <w:pPr>
              <w:spacing w:after="0"/>
              <w:rPr>
                <w:sz w:val="17"/>
                <w:szCs w:val="17"/>
                <w:color w:val="auto"/>
              </w:rPr>
            </w:pPr>
          </w:p>
        </w:tc>
        <w:tc>
          <w:tcPr>
            <w:tcW w:w="76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 w:type="dxa"/>
            <w:vAlign w:val="bottom"/>
          </w:tcPr>
          <w:p>
            <w:pPr>
              <w:spacing w:after="0"/>
              <w:rPr>
                <w:sz w:val="15"/>
                <w:szCs w:val="15"/>
                <w:color w:val="auto"/>
              </w:rPr>
            </w:pPr>
          </w:p>
        </w:tc>
        <w:tc>
          <w:tcPr>
            <w:tcW w:w="104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0420" w:type="dxa"/>
            <w:vAlign w:val="bottom"/>
            <w:gridSpan w:val="9"/>
            <w:vMerge w:val="continue"/>
          </w:tcPr>
          <w:p>
            <w:pPr>
              <w:spacing w:after="0"/>
              <w:rPr>
                <w:sz w:val="14"/>
                <w:szCs w:val="14"/>
                <w:color w:val="auto"/>
              </w:rPr>
            </w:pPr>
          </w:p>
        </w:tc>
        <w:tc>
          <w:tcPr>
            <w:tcW w:w="700" w:type="dxa"/>
            <w:vAlign w:val="bottom"/>
            <w:tcBorders>
              <w:top w:val="single" w:sz="8" w:color="auto"/>
            </w:tcBorders>
          </w:tcPr>
          <w:p>
            <w:pPr>
              <w:ind w:left="44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100" w:type="dxa"/>
            <w:vAlign w:val="bottom"/>
            <w:tcBorders>
              <w:top w:val="single" w:sz="8" w:color="0000FF"/>
            </w:tcBorders>
            <w:gridSpan w:val="5"/>
          </w:tcPr>
          <w:p>
            <w:pPr>
              <w:spacing w:after="0"/>
              <w:rPr>
                <w:sz w:val="17"/>
                <w:szCs w:val="17"/>
                <w:color w:val="auto"/>
              </w:rPr>
            </w:pPr>
          </w:p>
        </w:tc>
        <w:tc>
          <w:tcPr>
            <w:tcW w:w="6200" w:type="dxa"/>
            <w:vAlign w:val="bottom"/>
            <w:gridSpan w:val="2"/>
          </w:tcPr>
          <w:p>
            <w:pPr>
              <w:spacing w:after="0"/>
              <w:rPr>
                <w:sz w:val="17"/>
                <w:szCs w:val="17"/>
                <w:color w:val="auto"/>
              </w:rPr>
            </w:pPr>
          </w:p>
        </w:tc>
        <w:tc>
          <w:tcPr>
            <w:tcW w:w="76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6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20" w:type="dxa"/>
            <w:vAlign w:val="bottom"/>
            <w:tcBorders>
              <w:top w:val="single" w:sz="8" w:color="0000FF"/>
            </w:tcBorders>
            <w:gridSpan w:val="2"/>
          </w:tcPr>
          <w:p>
            <w:pPr>
              <w:spacing w:after="0"/>
              <w:rPr>
                <w:sz w:val="17"/>
                <w:szCs w:val="17"/>
                <w:color w:val="auto"/>
              </w:rPr>
            </w:pPr>
          </w:p>
        </w:tc>
        <w:tc>
          <w:tcPr>
            <w:tcW w:w="5740" w:type="dxa"/>
            <w:vAlign w:val="bottom"/>
          </w:tcPr>
          <w:p>
            <w:pPr>
              <w:spacing w:after="0"/>
              <w:rPr>
                <w:sz w:val="17"/>
                <w:szCs w:val="17"/>
                <w:color w:val="auto"/>
              </w:rPr>
            </w:pPr>
          </w:p>
        </w:tc>
        <w:tc>
          <w:tcPr>
            <w:tcW w:w="76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7"/>
                <w:szCs w:val="17"/>
                <w:color w:val="auto"/>
              </w:rPr>
            </w:pPr>
          </w:p>
        </w:tc>
        <w:tc>
          <w:tcPr>
            <w:tcW w:w="7520" w:type="dxa"/>
            <w:vAlign w:val="bottom"/>
            <w:gridSpan w:val="5"/>
          </w:tcPr>
          <w:p>
            <w:pPr>
              <w:spacing w:after="0"/>
              <w:rPr>
                <w:sz w:val="17"/>
                <w:szCs w:val="17"/>
                <w:color w:val="auto"/>
              </w:rPr>
            </w:pPr>
          </w:p>
        </w:tc>
        <w:tc>
          <w:tcPr>
            <w:tcW w:w="76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4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gridSpan w:val="2"/>
          </w:tcPr>
          <w:p>
            <w:pPr>
              <w:ind w:left="44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Fulcrum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Fulcrum Therapeutics, Inc. (the Company) as of December 31, 2025 and 2024, the related consolidated statements comprehensive loss, shareholders’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ended December 31, 2025,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Contract Costs</w:t>
      </w:r>
    </w:p>
    <w:p>
      <w:pPr>
        <w:spacing w:after="0" w:line="22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of December 31, 2025, the Company had recognized $3.8 million of Accrued external research and development expenses.</w:t>
      </w:r>
    </w:p>
    <w:p>
      <w:pPr>
        <w:spacing w:after="0" w:line="29" w:lineRule="exact"/>
        <w:rPr>
          <w:sz w:val="20"/>
          <w:szCs w:val="20"/>
          <w:color w:val="auto"/>
        </w:rPr>
      </w:pPr>
    </w:p>
    <w:p>
      <w:pPr>
        <w:ind w:left="1900" w:right="120" w:hanging="1899"/>
        <w:spacing w:after="0" w:line="253" w:lineRule="auto"/>
        <w:tabs>
          <w:tab w:leader="none" w:pos="18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Included within this amount were accrued costs for clinical and contract research organization activities. As discussed in Note 2 to the consolidated financial statements, the Company accrues external costs for clinical trial activities based upon estimates of the services received and related expenses incurred through the balance sheet date that have yet to be invoiced by research institutions and other vendors.</w:t>
      </w:r>
    </w:p>
    <w:p>
      <w:pPr>
        <w:spacing w:after="0" w:line="189" w:lineRule="exact"/>
        <w:rPr>
          <w:sz w:val="20"/>
          <w:szCs w:val="20"/>
          <w:color w:val="auto"/>
        </w:rPr>
      </w:pPr>
    </w:p>
    <w:p>
      <w:pPr>
        <w:ind w:left="1900"/>
        <w:spacing w:after="0" w:line="258" w:lineRule="auto"/>
        <w:rPr>
          <w:sz w:val="20"/>
          <w:szCs w:val="20"/>
          <w:color w:val="auto"/>
        </w:rPr>
      </w:pPr>
      <w:r>
        <w:rPr>
          <w:rFonts w:ascii="Times New Roman" w:cs="Times New Roman" w:eastAsia="Times New Roman" w:hAnsi="Times New Roman"/>
          <w:sz w:val="18"/>
          <w:szCs w:val="18"/>
          <w:color w:val="auto"/>
        </w:rPr>
        <w:t>Auditing the Company’s accruals for clinical trials is challenging due to the fact that information necessary to estimate the accruals is accumulated from multiple sources. In addition, in certain circumstances, the determination of the nature and extent of services that have been received during the reporting period requires judgment because the timing and pattern of vendor invoicing does not correspond to the progress of the studies or extent of services provided and there may be delays in invoicing from vendors.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4" w:name="page95"/>
    <w:bookmarkEnd w:id="94"/>
    <w:p>
      <w:pPr>
        <w:spacing w:after="0" w:line="267"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To evaluate the accrual for clinical expenses, our audit procedures included, among others, testing the completeness and accuracy of the underlying data used by management to determine the estimate. We corroborated the progress of research and development activities associated with clinical trials through discussion with the Company’s research and development personnel that oversee the research and development activities. We inspected contracts, amendments and change orders with clinical research organizations, tested the completeness and accuracy of invoicing activity associated with the Company’s contractual obligations, and compared management’s data and assumptions to information received directly from third parties. In addition, we performed analytics over fluctuations in accruals and prepaids by vendor throughout the period subject to audit and compared subsequent invoices received from third parties to amounts accrued.</w:t>
      </w:r>
    </w:p>
    <w:p>
      <w:pPr>
        <w:spacing w:after="0" w:line="200" w:lineRule="exact"/>
        <w:rPr>
          <w:sz w:val="20"/>
          <w:szCs w:val="20"/>
          <w:color w:val="auto"/>
        </w:rPr>
      </w:pPr>
    </w:p>
    <w:p>
      <w:pPr>
        <w:sectPr>
          <w:pgSz w:w="11900" w:h="16838" w:orient="portrait"/>
          <w:cols w:equalWidth="0" w:num="2">
            <w:col w:w="1420" w:space="480"/>
            <w:col w:w="9340"/>
          </w:cols>
          <w:pgMar w:left="320" w:top="1091" w:right="339" w:bottom="1440" w:gutter="0" w:footer="0" w:header="0"/>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ectPr>
          <w:pgSz w:w="11900" w:h="16838" w:orient="portrait"/>
          <w:cols w:equalWidth="0" w:num="1">
            <w:col w:w="11240"/>
          </w:cols>
          <w:pgMar w:left="320" w:top="1091" w:right="3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95" w:name="page96"/>
    <w:bookmarkEnd w:id="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182,809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357,480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249,923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260,718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66,578,891 and 53,968,303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December 31, 2025 and December 31, 2024,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762,248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(594,278)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(519,398)</w:t>
            </w: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260,718</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-2836545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6" w:name="page97"/>
    <w:bookmarkEnd w:id="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0"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56,103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63,386</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36,448</w:t>
            </w:r>
          </w:p>
        </w:tc>
      </w:tr>
      <w:tr>
        <w:trPr>
          <w:trHeight w:val="216"/>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Restructuring expenses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101,897</w:t>
            </w:r>
          </w:p>
        </w:tc>
        <w:tc>
          <w:tcPr>
            <w:tcW w:w="100" w:type="dxa"/>
            <w:vAlign w:val="bottom"/>
          </w:tcPr>
          <w:p>
            <w:pPr>
              <w:spacing w:after="0"/>
              <w:rPr>
                <w:sz w:val="18"/>
                <w:szCs w:val="18"/>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(84,769)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(21,897)</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100" w:type="dxa"/>
            <w:vAlign w:val="bottom"/>
          </w:tcPr>
          <w:p>
            <w:pPr>
              <w:spacing w:after="0"/>
              <w:rPr>
                <w:sz w:val="18"/>
                <w:szCs w:val="18"/>
                <w:color w:val="auto"/>
              </w:rPr>
            </w:pPr>
          </w:p>
        </w:tc>
      </w:tr>
      <w:tr>
        <w:trPr>
          <w:trHeight w:val="23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(74,880)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(9,725)</w:t>
            </w:r>
          </w:p>
        </w:tc>
      </w:tr>
      <w:tr>
        <w:trPr>
          <w:trHeight w:val="20"/>
        </w:trPr>
        <w:tc>
          <w:tcPr>
            <w:tcW w:w="77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(0.16)</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60" w:type="dxa"/>
            <w:vAlign w:val="bottom"/>
            <w:tcBorders>
              <w:right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9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63,355</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61,984</w:t>
            </w:r>
          </w:p>
        </w:tc>
      </w:tr>
      <w:tr>
        <w:trPr>
          <w:trHeight w:val="197"/>
        </w:trPr>
        <w:tc>
          <w:tcPr>
            <w:tcW w:w="776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(74,880)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(9,725)</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r>
      <w:tr>
        <w:trPr>
          <w:trHeight w:val="209"/>
        </w:trPr>
        <w:tc>
          <w:tcPr>
            <w:tcW w:w="7760" w:type="dxa"/>
            <w:vAlign w:val="bottom"/>
            <w:tcBorders>
              <w:bottom w:val="single" w:sz="8" w:color="CFF0FC"/>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comprehensive gain</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40" w:type="dxa"/>
            <w:vAlign w:val="bottom"/>
          </w:tcPr>
          <w:p>
            <w:pPr>
              <w:jc w:val="right"/>
              <w:ind w:right="778"/>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(74,836)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(9,459)</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-1927860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-1353820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-1336675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-1028065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000" w:type="dxa"/>
            <w:vAlign w:val="bottom"/>
            <w:gridSpan w:val="4"/>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000" w:type="dxa"/>
            <w:vAlign w:val="bottom"/>
            <w:tcBorders>
              <w:bottom w:val="single" w:sz="8" w:color="auto"/>
            </w:tcBorders>
            <w:gridSpan w:val="4"/>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w:t>
            </w: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61,915,367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62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744,940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(136)</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(509,673)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235,193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under employee benefit 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22,326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pre-funded warrants in exchange for common</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(9,350,000)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pursuant to pre-funded warrant</w:t>
            </w: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(9,725)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53,968,303</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54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762,248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(519,398)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243,034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60" w:type="dxa"/>
            <w:vAlign w:val="bottom"/>
            <w:tcBorders>
              <w:top w:val="single" w:sz="8" w:color="CFF0FC"/>
            </w:tcBorders>
          </w:tcPr>
          <w:p>
            <w:pPr>
              <w:ind w:left="80"/>
              <w:spacing w:after="0" w:line="169" w:lineRule="exact"/>
              <w:rPr>
                <w:sz w:val="20"/>
                <w:szCs w:val="20"/>
                <w:color w:val="auto"/>
              </w:rPr>
            </w:pPr>
            <w:r>
              <w:rPr>
                <w:rFonts w:ascii="Times New Roman" w:cs="Times New Roman" w:eastAsia="Times New Roman" w:hAnsi="Times New Roman"/>
                <w:sz w:val="16"/>
                <w:szCs w:val="16"/>
                <w:color w:val="auto"/>
              </w:rPr>
              <w:t>Issuance of common stock and pre-funded warrants in</w:t>
            </w: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connection with public offering, net of issuance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11,851,853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 of common stock under employee benefit plans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739,230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Unrealized gain on marketable securities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(74,880)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(74,880)</w:t>
            </w:r>
          </w:p>
        </w:tc>
        <w:tc>
          <w:tcPr>
            <w:tcW w:w="0" w:type="dxa"/>
            <w:vAlign w:val="bottom"/>
          </w:tcPr>
          <w:p>
            <w:pPr>
              <w:spacing w:after="0"/>
              <w:rPr>
                <w:sz w:val="1"/>
                <w:szCs w:val="1"/>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66,578,891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67</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943,037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(594,278)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-1088390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-1071245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-1088390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-1071245</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-1088390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-1071245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-1088390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-1071245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-1088390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-1071245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-162560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-162560</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-162560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-162560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-162560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8" w:name="page99"/>
    <w:bookmarkEnd w:id="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(74,880)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(9,725)</w:t>
            </w: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7"/>
                <w:szCs w:val="17"/>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14,554</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(4,392)</w:t>
            </w: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(1,559)</w:t>
            </w:r>
          </w:p>
        </w:tc>
      </w:tr>
      <w:tr>
        <w:trPr>
          <w:trHeight w:val="203"/>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(1,365)</w:t>
            </w: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(700)</w:t>
            </w:r>
          </w:p>
        </w:tc>
      </w:tr>
      <w:tr>
        <w:trPr>
          <w:trHeight w:val="203"/>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100" w:type="dxa"/>
            <w:vAlign w:val="bottom"/>
            <w:shd w:val="clear" w:color="auto" w:fill="CFF0FC"/>
          </w:tcPr>
          <w:p>
            <w:pPr>
              <w:spacing w:after="0"/>
              <w:rPr>
                <w:sz w:val="17"/>
                <w:szCs w:val="17"/>
                <w:color w:val="auto"/>
              </w:rPr>
            </w:pPr>
          </w:p>
        </w:tc>
      </w:tr>
      <w:tr>
        <w:trPr>
          <w:trHeight w:val="202"/>
        </w:trPr>
        <w:tc>
          <w:tcPr>
            <w:tcW w:w="7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(1,593)</w:t>
            </w:r>
          </w:p>
        </w:tc>
      </w:tr>
      <w:tr>
        <w:trPr>
          <w:trHeight w:val="203"/>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(1,032)</w:t>
            </w:r>
          </w:p>
        </w:tc>
      </w:tr>
      <w:tr>
        <w:trPr>
          <w:trHeight w:val="20"/>
        </w:trPr>
        <w:tc>
          <w:tcPr>
            <w:tcW w:w="74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6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(60,065)</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(2,218)</w:t>
            </w: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(180,220)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(178,594)</w:t>
            </w: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211,253</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211,102</w:t>
            </w:r>
          </w:p>
        </w:tc>
        <w:tc>
          <w:tcPr>
            <w:tcW w:w="100" w:type="dxa"/>
            <w:vAlign w:val="bottom"/>
            <w:shd w:val="clear" w:color="auto" w:fill="CFF0FC"/>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(278)</w:t>
            </w: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4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30,719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32,230</w:t>
            </w:r>
          </w:p>
        </w:tc>
        <w:tc>
          <w:tcPr>
            <w:tcW w:w="100" w:type="dxa"/>
            <w:vAlign w:val="bottom"/>
            <w:shd w:val="clear" w:color="auto" w:fill="CFF0FC"/>
          </w:tcPr>
          <w:p>
            <w:pPr>
              <w:spacing w:after="0"/>
              <w:rPr>
                <w:sz w:val="17"/>
                <w:szCs w:val="17"/>
                <w:color w:val="auto"/>
              </w:rPr>
            </w:pPr>
          </w:p>
        </w:tc>
      </w:tr>
      <w:tr>
        <w:trPr>
          <w:trHeight w:val="202"/>
        </w:trPr>
        <w:tc>
          <w:tcPr>
            <w:tcW w:w="7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 and pre-funded warrants in connection with public offerings, net of</w:t>
            </w:r>
          </w:p>
        </w:tc>
        <w:tc>
          <w:tcPr>
            <w:tcW w:w="3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164,500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3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Pr>
          <w:p>
            <w:pPr>
              <w:spacing w:after="0"/>
              <w:rPr>
                <w:sz w:val="17"/>
                <w:szCs w:val="17"/>
                <w:color w:val="auto"/>
              </w:rPr>
            </w:pPr>
          </w:p>
        </w:tc>
      </w:tr>
      <w:tr>
        <w:trPr>
          <w:trHeight w:val="19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168,667</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32,758</w:t>
            </w:r>
          </w:p>
        </w:tc>
        <w:tc>
          <w:tcPr>
            <w:tcW w:w="100" w:type="dxa"/>
            <w:vAlign w:val="bottom"/>
          </w:tcPr>
          <w:p>
            <w:pPr>
              <w:spacing w:after="0"/>
              <w:rPr>
                <w:sz w:val="17"/>
                <w:szCs w:val="17"/>
                <w:color w:val="auto"/>
              </w:rPr>
            </w:pPr>
          </w:p>
        </w:tc>
      </w:tr>
      <w:tr>
        <w:trPr>
          <w:trHeight w:val="203"/>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59,413</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26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198,734</w:t>
            </w:r>
          </w:p>
        </w:tc>
        <w:tc>
          <w:tcPr>
            <w:tcW w:w="18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59,413</w:t>
            </w:r>
          </w:p>
        </w:tc>
        <w:tc>
          <w:tcPr>
            <w:tcW w:w="10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126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80" w:type="dxa"/>
            <w:vAlign w:val="bottom"/>
          </w:tcPr>
          <w:p>
            <w:pPr>
              <w:spacing w:after="0"/>
              <w:rPr>
                <w:sz w:val="17"/>
                <w:szCs w:val="17"/>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w:t>
            </w:r>
          </w:p>
        </w:tc>
        <w:tc>
          <w:tcPr>
            <w:tcW w:w="100" w:type="dxa"/>
            <w:vAlign w:val="bottom"/>
          </w:tcPr>
          <w:p>
            <w:pPr>
              <w:spacing w:after="0"/>
              <w:rPr>
                <w:sz w:val="17"/>
                <w:szCs w:val="17"/>
                <w:color w:val="auto"/>
              </w:rPr>
            </w:pPr>
          </w:p>
        </w:tc>
      </w:tr>
      <w:tr>
        <w:trPr>
          <w:trHeight w:val="202"/>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 unpaid at end of period</w:t>
            </w:r>
          </w:p>
        </w:tc>
        <w:tc>
          <w:tcPr>
            <w:tcW w:w="126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-2387600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-2387600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-947420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-947420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-681355</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-681355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197,533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58,212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w:t>
            </w: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198,734</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59,413</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was incorporated in Delaware on August 18, 2015. The Company is focused on developing small molecules to improve the lives of patients with genetically-defined rare diseases in areas of high unmet medical need.</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December 2025, the Company completed a public offering of its common stock and issued and sold 11,851,853 shares of common stock at a public offering price of $13.50 per share, and 1,111,193 pre-funded warrants to purchase shares of common stock, at a price to the public of $13.499 per pre-funded warrant, resulting in net proceeds of $164.2 million after deducting underwriting discounts and commissions and offering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December 31, 2025, the Company had an accumulated deficit of $594.3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Cash equivalents include investments in money market funds that invest in U.S. Treasury obligations. The Company maintains its bank accounts at major financial institutions.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cash held to secure a letter of credit associated with the Company’s facility lease for its corporate headquarters.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9"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4" w:lineRule="exact"/>
        <w:rPr>
          <w:sz w:val="20"/>
          <w:szCs w:val="20"/>
          <w:color w:val="auto"/>
        </w:rPr>
      </w:pPr>
    </w:p>
    <w:p>
      <w:pPr>
        <w:ind w:left="520" w:right="54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Level 3: Unobservable inputs based on the Company’s assessment of the assumptions that market participants would use in pricing the asset or liability.</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The Company classifies securities with a remaining maturity when purchased of greater than three months as marketable securities. As of December 31, 2025, the Company’s marketable securities consisted of investments in government agency securities and corporate bonds. Marketable securities are classified as current assets on the consolidated balance sheets if the marketable securities are available to be converted into cash to fund current operations.</w:t>
      </w:r>
    </w:p>
    <w:p>
      <w:pPr>
        <w:spacing w:after="0" w:line="5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Marketable debt securities classified as available-for-sale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209"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274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15"/>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1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1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1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Shorter of useful life or remaining lease term</w:t>
            </w:r>
          </w:p>
        </w:tc>
      </w:tr>
    </w:tbl>
    <w:p>
      <w:pPr>
        <w:spacing w:after="0" w:line="22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2025 and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At the inception of a contract, the Company determines whether the arrangement is or contains a lease based on the unique facts and circumstances present in the arrangement. Leases with a term 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w:t>
      </w:r>
    </w:p>
    <w:p>
      <w:pPr>
        <w:spacing w:after="0" w:line="27" w:lineRule="exact"/>
        <w:rPr>
          <w:sz w:val="20"/>
          <w:szCs w:val="20"/>
          <w:color w:val="auto"/>
        </w:rPr>
      </w:pPr>
    </w:p>
    <w:p>
      <w:pPr>
        <w:ind w:firstLine="8"/>
        <w:spacing w:after="0" w:line="255" w:lineRule="auto"/>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w:t>
      </w:r>
    </w:p>
    <w:p>
      <w:pPr>
        <w:spacing w:after="0" w:line="7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w:t>
      </w:r>
    </w:p>
    <w:p>
      <w:pPr>
        <w:spacing w:after="0" w:line="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02" w:name="page103"/>
    <w:bookmarkEnd w:id="102"/>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common stock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w:t>
      </w:r>
      <w:r>
        <w:rPr>
          <w:rFonts w:ascii="Times New Roman" w:cs="Times New Roman" w:eastAsia="Times New Roman" w:hAnsi="Times New Roman"/>
          <w:sz w:val="18"/>
          <w:szCs w:val="18"/>
          <w:color w:val="auto"/>
        </w:rPr>
        <w:t>(ASC 815). The assessment considers whether the warrants are freestanding financial instruments pursuant to ASC 480, whether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such arrangements involve joint operating activities performed by parties that are both active participants in the activities and are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on an ongoing basis throughout the collaboration based on changes in the responsibilities of the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are therefore within the scope of ASC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(ASC 606).</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collaborators associated with multiple activities in a collaboration arrangement based on the nature of each separate activity. The Company made an accounting policy election to account for research and development reimbursements received from its collaboration partner that are outside of the scope of ASC 606 as a reduction of research and development expenses to best reflect the economics and nature of the transaction in the context of the unit-of-account.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 Identify the contract with the customer</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03" w:name="page104"/>
    <w:bookmarkEnd w:id="103"/>
    <w:p>
      <w:pPr>
        <w:ind w:left="520"/>
        <w:spacing w:after="0"/>
        <w:rPr>
          <w:sz w:val="20"/>
          <w:szCs w:val="20"/>
          <w:color w:val="auto"/>
        </w:rPr>
      </w:pPr>
      <w:r>
        <w:rPr>
          <w:rFonts w:ascii="Times New Roman" w:cs="Times New Roman" w:eastAsia="Times New Roman" w:hAnsi="Times New Roman"/>
          <w:sz w:val="18"/>
          <w:szCs w:val="18"/>
          <w:i w:val="1"/>
          <w:iCs w:val="1"/>
          <w:color w:val="auto"/>
        </w:rPr>
        <w:t>2) Identify the promises and performance obligations in the contract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spacing w:after="0" w:line="75"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the performance obligations in the contract</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sectPr>
      </w:pPr>
    </w:p>
    <w:bookmarkStart w:id="104" w:name="page105"/>
    <w:bookmarkEnd w:id="104"/>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made in determining the accrued balances at each reporting period include the estimates of the time period over which services will be performed and the level of effort to be expended in each period that have yet to be invoiced by the vendors. Actual results could differ from the Company’s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Patent-Related Costs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w:t>
      </w:r>
    </w:p>
    <w:p>
      <w:pPr>
        <w:spacing w:after="0" w:line="68"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6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as they occur. The Company classifies stock-based compensation expense in its statements of operations in the same manner in which the award recipient’s payroll or service costs are classified.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costs and liabilities associated with exit and disposal activities in accordance with Accounting Standards Codification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Such costs are based on estimates of fair value in the period liabilities are incurred. The Company evaluates and adjusts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as appropriate for changes in circumstances as additional information becomes available.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For the years ended December 31, 2025 and 2024, comprehensive loss consists of net loss and unrealized gains on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by the weighted average number of shares of common stock and pre-funded warrants outstanding for the period. Diluted net loss per share is computed by dividing net loss by the weighted average number of shares of common stock and pre-funded warrants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consist of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Company’s chief operating decision-maker, the Company’s chief executive officer, view the Company’s operations and manage its business as a single operating segment.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Pronouncements—To Be Adopted</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disclosure of additional information about specific expense categories in the notes to the financial statements on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Pronouncements—Adopted</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new standard became effective for the Company on January 1, 2025. The adoption of this standard did not have a material impact on the Company’s consolidated financial position and results of operations. See Note 16, “Segment Information”, for further information regarding the adoption of this standard.</w:t>
      </w:r>
    </w:p>
    <w:p>
      <w:pPr>
        <w:spacing w:after="0" w:line="7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Improvements to Income Tax Disclosures</w:t>
      </w:r>
      <w:r>
        <w:rPr>
          <w:rFonts w:ascii="Times New Roman" w:cs="Times New Roman" w:eastAsia="Times New Roman" w:hAnsi="Times New Roman"/>
          <w:sz w:val="18"/>
          <w:szCs w:val="18"/>
          <w:color w:val="auto"/>
        </w:rPr>
        <w:t>, which requires entities to disclose disaggregated information about their effective tax rate reconciliation and income taxes paid. The disclosure requirements will be applied on a prospective basis, with the option to apply them retrospectively. The new standard became effective for the Company on December 31, 2025. The adoption of this standard did not have a material impact on the Company’s consolidated financial position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December 31, 2025 and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197,533</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197,533</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151,272</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352,306</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7"/>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241,021</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-1756410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-1756410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-1756410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-1756410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years ended December 31, 2025 and 2024.</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December 31, 2025 and December 31, 2024 (in thousands):</w:t>
      </w:r>
    </w:p>
    <w:p>
      <w:pPr>
        <w:spacing w:after="0" w:line="24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December 31, 2025</w:t>
      </w:r>
    </w:p>
    <w:tbl>
      <w:tblPr>
        <w:tblLayout w:type="fixed"/>
        <w:tblInd w:w="0" w:type="dxa"/>
        <w:tblCellMar>
          <w:top w:w="0" w:type="dxa"/>
          <w:left w:w="0" w:type="dxa"/>
          <w:bottom w:w="0" w:type="dxa"/>
          <w:right w:w="0" w:type="dxa"/>
        </w:tblCellMar>
      </w:tblPr>
      <w:tr>
        <w:trPr>
          <w:trHeight w:val="117"/>
        </w:trPr>
        <w:tc>
          <w:tcPr>
            <w:tcW w:w="5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7"/>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440"/>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197,533</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154,599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352,132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182,681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240,891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-2811145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-2811145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-2811145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-2811145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-2245360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-2245360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-2245360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-2245360</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-1019175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-1019175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-1019175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year ended December 31, 2025. As of December 31, 2025, the Company held 6 debt securities that were in an unrealized loss position for less than 12 months with an aggregate fair value of $21.2 million. As of December 31, 2025, the Company held no debt securities that were in an unrealized loss position for greater than 12 months. As of December 31, 2025, the aggregate fair value of marketable securities with a remaining contractual maturity of greater than one year was $4.7 million.</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8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41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8"/>
                <w:szCs w:val="18"/>
                <w:color w:val="auto"/>
              </w:rPr>
            </w:pPr>
          </w:p>
        </w:tc>
      </w:tr>
      <w:tr>
        <w:trPr>
          <w:trHeight w:val="216"/>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w:t>
            </w:r>
          </w:p>
        </w:tc>
        <w:tc>
          <w:tcPr>
            <w:tcW w:w="10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(14,257)</w:t>
            </w:r>
          </w:p>
        </w:tc>
      </w:tr>
      <w:tr>
        <w:trPr>
          <w:trHeight w:val="20"/>
        </w:trPr>
        <w:tc>
          <w:tcPr>
            <w:tcW w:w="3860" w:type="dxa"/>
            <w:vAlign w:val="bottom"/>
            <w:shd w:val="clear" w:color="auto" w:fill="CFF0FC"/>
          </w:tcPr>
          <w:p>
            <w:pPr>
              <w:spacing w:after="0" w:line="20" w:lineRule="exact"/>
              <w:rPr>
                <w:sz w:val="1"/>
                <w:szCs w:val="1"/>
                <w:color w:val="auto"/>
              </w:rPr>
            </w:pPr>
          </w:p>
        </w:tc>
        <w:tc>
          <w:tcPr>
            <w:tcW w:w="38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3860" w:type="dxa"/>
            <w:vAlign w:val="bottom"/>
          </w:tcPr>
          <w:p>
            <w:pPr>
              <w:spacing w:after="0"/>
              <w:rPr>
                <w:sz w:val="24"/>
                <w:szCs w:val="24"/>
                <w:color w:val="auto"/>
              </w:rPr>
            </w:pPr>
          </w:p>
        </w:tc>
        <w:tc>
          <w:tcPr>
            <w:tcW w:w="4100" w:type="dxa"/>
            <w:vAlign w:val="bottom"/>
            <w:gridSpan w:val="2"/>
          </w:tcPr>
          <w:p>
            <w:pPr>
              <w:jc w:val="right"/>
              <w:ind w:right="2070"/>
              <w:spacing w:after="0"/>
              <w:rPr>
                <w:sz w:val="20"/>
                <w:szCs w:val="20"/>
                <w:color w:val="auto"/>
              </w:rPr>
            </w:pPr>
            <w:r>
              <w:rPr>
                <w:rFonts w:ascii="Times New Roman" w:cs="Times New Roman" w:eastAsia="Times New Roman" w:hAnsi="Times New Roman"/>
                <w:sz w:val="18"/>
                <w:szCs w:val="18"/>
                <w:color w:val="auto"/>
              </w:rPr>
              <w:t>F-16</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-1010920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was $1.4 million and $1.6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4,065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5,560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6,806</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1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8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4,312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2,988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vMerge w:val="continue"/>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9,052</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4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-1534160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-1534160</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431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5,000,000 shares of undesignated preferred stock were authorized. No shares of preferred stock were issued or outstanding as of December 31, 2025 and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200,000,000 shares of common stock, $0.001 par value per share, were authorized.</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the Company has reserved for future issuance the following number of shares of common stock: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8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11,645,843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9,354,699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4,779,386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5,207,362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70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2,031,072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1,671,843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98"/>
        </w:trPr>
        <w:tc>
          <w:tcPr>
            <w:tcW w:w="1700" w:type="dxa"/>
            <w:vAlign w:val="bottom"/>
          </w:tcPr>
          <w:p>
            <w:pPr>
              <w:spacing w:after="0"/>
              <w:rPr>
                <w:sz w:val="17"/>
                <w:szCs w:val="17"/>
                <w:color w:val="auto"/>
              </w:rPr>
            </w:pPr>
          </w:p>
        </w:tc>
        <w:tc>
          <w:tcPr>
            <w:tcW w:w="53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1,308,484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1,896,209</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for pre-funded warrants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9,611,193</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0"/>
        </w:trPr>
        <w:tc>
          <w:tcPr>
            <w:tcW w:w="1700" w:type="dxa"/>
            <w:vAlign w:val="bottom"/>
          </w:tcPr>
          <w:p>
            <w:pPr>
              <w:spacing w:after="0"/>
              <w:rPr>
                <w:sz w:val="21"/>
                <w:szCs w:val="21"/>
                <w:color w:val="auto"/>
              </w:rPr>
            </w:pPr>
          </w:p>
        </w:tc>
        <w:tc>
          <w:tcPr>
            <w:tcW w:w="5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29,445,464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26,673,185</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1700" w:type="dxa"/>
            <w:vAlign w:val="bottom"/>
          </w:tcPr>
          <w:p>
            <w:pPr>
              <w:spacing w:after="0"/>
              <w:rPr>
                <w:sz w:val="24"/>
                <w:szCs w:val="24"/>
                <w:color w:val="auto"/>
              </w:rPr>
            </w:pPr>
          </w:p>
        </w:tc>
        <w:tc>
          <w:tcPr>
            <w:tcW w:w="5360" w:type="dxa"/>
            <w:vAlign w:val="bottom"/>
            <w:tcBorders>
              <w:top w:val="single" w:sz="8" w:color="CFF0FC"/>
            </w:tcBorders>
          </w:tcPr>
          <w:p>
            <w:pPr>
              <w:ind w:left="3760"/>
              <w:spacing w:after="0"/>
              <w:rPr>
                <w:sz w:val="20"/>
                <w:szCs w:val="20"/>
                <w:color w:val="auto"/>
              </w:rPr>
            </w:pPr>
            <w:r>
              <w:rPr>
                <w:rFonts w:ascii="Times New Roman" w:cs="Times New Roman" w:eastAsia="Times New Roman" w:hAnsi="Times New Roman"/>
                <w:sz w:val="18"/>
                <w:szCs w:val="18"/>
                <w:color w:val="auto"/>
              </w:rPr>
              <w:t>F-17</w:t>
            </w:r>
          </w:p>
        </w:tc>
        <w:tc>
          <w:tcPr>
            <w:tcW w:w="11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-864870</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-847725</wp:posOffset>
            </wp:positionV>
            <wp:extent cx="51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-864870</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-847725</wp:posOffset>
            </wp:positionV>
            <wp:extent cx="431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09" w:name="page110"/>
    <w:bookmarkEnd w:id="10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As of December 31, 2025, 850,000 pre-funded warrants have been exercised.</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we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 Exchange Act of 1934, as amended) to exceed a limit agreed to with the investor,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w:t>
      </w:r>
    </w:p>
    <w:p>
      <w:pPr>
        <w:spacing w:after="0" w:line="10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assessed the pre-funded warrants for appropriate classification as either equity or liability pursuant to the Company’s accounting policy described in Note 2, “Summary of Significant Accounting Policies.”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2025 and 2024, no shares remained available for future issuance under the 2016 Plan. Any options or other awards outstanding under the 2016 Plan remain outstanding and effective.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2025, there were 4,779,386 shares available for future issuance under the 2019 Plan. On January 1, 2026, the number of shares reserved for issuance under the 2019 Plan was increased by 2,000,000 shares.</w:t>
      </w:r>
    </w:p>
    <w:p>
      <w:pPr>
        <w:spacing w:after="0" w:line="84"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December 31, 2025, there were 1,308,484 shares available for future issuance under the Inducement Plan.</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 year period and have a ten year contractual term. Shares issued upon the exercise of stock options are issued from the Company’s pool of authorized but unissued common stock. The following table summarizes the Company’s stock option activity during the year ended December 31, 2025:</w:t>
      </w:r>
    </w:p>
    <w:p>
      <w:pPr>
        <w:spacing w:after="0" w:line="18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9,354,699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5,353,463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4,178,973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(669,888)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(1,217,941)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11,645,843</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4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61,391,718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5,842,568</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8.09</w:t>
            </w: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6.84</w:t>
            </w:r>
          </w:p>
        </w:tc>
        <w:tc>
          <w:tcPr>
            <w:tcW w:w="4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25,954,335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-187960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-170815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years ended December 31, 2025 and 2024 was $4.28 per share and $6.31 per share, respectively. The total intrinsic value of stock options exercised in the years ended December 31, 2025 and 2024 was $4.5 million and $1.4 million, respectively.</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years ended December 31, 2025 and 2024 has been calculated on the date of grant using the following weighted average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960" w:type="dxa"/>
            <w:vAlign w:val="bottom"/>
            <w:gridSpan w:val="3"/>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148"/>
        </w:trPr>
        <w:tc>
          <w:tcPr>
            <w:tcW w:w="1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960" w:type="dxa"/>
            <w:vAlign w:val="bottom"/>
            <w:gridSpan w:val="3"/>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15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20" w:type="dxa"/>
            <w:vAlign w:val="bottom"/>
            <w:gridSpan w:val="2"/>
          </w:tcPr>
          <w:p>
            <w:pPr>
              <w:spacing w:after="0"/>
              <w:rPr>
                <w:sz w:val="15"/>
                <w:szCs w:val="15"/>
                <w:color w:val="auto"/>
              </w:rPr>
            </w:pPr>
          </w:p>
        </w:tc>
      </w:tr>
      <w:tr>
        <w:trPr>
          <w:trHeight w:val="210"/>
        </w:trPr>
        <w:tc>
          <w:tcPr>
            <w:tcW w:w="158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15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15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c>
          <w:tcPr>
            <w:tcW w:w="1560" w:type="dxa"/>
            <w:vAlign w:val="bottom"/>
          </w:tcPr>
          <w:p>
            <w:pPr>
              <w:spacing w:after="0"/>
              <w:rPr>
                <w:sz w:val="20"/>
                <w:szCs w:val="20"/>
                <w:color w:val="auto"/>
              </w:rPr>
            </w:pPr>
          </w:p>
        </w:tc>
      </w:tr>
      <w:tr>
        <w:trPr>
          <w:trHeight w:val="522"/>
        </w:trPr>
        <w:tc>
          <w:tcPr>
            <w:tcW w:w="15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gridSpan w:val="3"/>
          </w:tcPr>
          <w:p>
            <w:pPr>
              <w:jc w:val="right"/>
              <w:ind w:right="2480"/>
              <w:spacing w:after="0"/>
              <w:rPr>
                <w:sz w:val="20"/>
                <w:szCs w:val="20"/>
                <w:color w:val="auto"/>
              </w:rPr>
            </w:pPr>
            <w:r>
              <w:rPr>
                <w:rFonts w:ascii="Times New Roman" w:cs="Times New Roman" w:eastAsia="Times New Roman" w:hAnsi="Times New Roman"/>
                <w:sz w:val="18"/>
                <w:szCs w:val="18"/>
                <w:color w:val="auto"/>
              </w:rPr>
              <w:t>F-19</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year ended December 31, 2025:</w:t>
      </w:r>
    </w:p>
    <w:p>
      <w:pPr>
        <w:spacing w:after="0" w:line="233"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43,072</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(19,505)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Cancelled</w:t>
            </w:r>
          </w:p>
        </w:tc>
        <w:tc>
          <w:tcPr>
            <w:tcW w:w="1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69,486</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-25400</wp:posOffset>
            </wp:positionV>
            <wp:extent cx="431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43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431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431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all restricted stock units and restricted stock awards that vested during the years ended December 31, 2025 and 2024 was $0.1 million and $0.2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182"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8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2"/>
        </w:trPr>
        <w:tc>
          <w:tcPr>
            <w:tcW w:w="54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9,020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9,901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4,653</w:t>
            </w:r>
          </w:p>
        </w:tc>
      </w:tr>
      <w:tr>
        <w:trPr>
          <w:trHeight w:val="20"/>
        </w:trPr>
        <w:tc>
          <w:tcPr>
            <w:tcW w:w="5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12,468</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14,554</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431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an aggregate of $22.1 million of unrecognized stock-based compensation expense, which is expected to be recognized over a weighted average period of 2.3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2025, there were 2,031,072 shares available for future issuance under the ESPP. On January 1, 2026, the number of shares reserved for issuance under the 2019 ESPP was increased by 428,571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Per the terms of the agreement, Sanofi made an upfront payment of $80.0 million to the Company. In September 2024, the Company announced topline data showing that it did not demonstrate a statistically significant difference between losmapimod and placebo on the primary endpoint in the Phase 3 REACH trial, and thereafter discontinued development. On December 18, 2024, the Company received written notice of Sanofi’s election to terminate for convenience the collaboration and license agreement. In accordance with the agreement, the termination became effective on April 17, 2025, which is 120 days following the date of receipt of the notice by the Company.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2" w:name="page113"/>
    <w:bookmarkEnd w:id="112"/>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of the termination date, the agreement was terminated in its entirety, and the Company is not entitled to receive any further milestone payments, royalties, or global development cost reimbursement.</w:t>
      </w:r>
    </w:p>
    <w:p>
      <w:pPr>
        <w:spacing w:after="0" w:line="54"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Sanofi Agreement contained three material promises: (i) the license granted to Sanofi to develop and commercialize losmapimod outside of the United States (the “losmapimod license”); (ii) the parties’ joint global 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w:t>
      </w:r>
    </w:p>
    <w:p>
      <w:pPr>
        <w:spacing w:after="0" w:line="79"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w:t>
      </w:r>
    </w:p>
    <w:p>
      <w:pPr>
        <w:spacing w:after="0" w:line="6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have been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w:t>
      </w:r>
    </w:p>
    <w:p>
      <w:pPr>
        <w:spacing w:after="0" w:line="8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purposes of ASC 606, the transaction price of the Sanofi Agreement as of the outset of the arrangement consists of the upfront cash payment of $80.0 million, which was allocated to the performance obligation related to the losmapimod license and recognized as revenue during the year ended December 31, 2024. During the year ended December 31, 2025, the Company recognized no revenue associated with the upfront license payment.</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years ended December 31, 2025 and 2024, the Company recorded a reduction in research and development expenses in connection with global development activities for losmapimod of $1.0 million and $8.1 million,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3" w:name="page114"/>
    <w:bookmarkEnd w:id="113"/>
    <w:p>
      <w:pPr>
        <w:ind w:right="120"/>
        <w:spacing w:after="0" w:line="266" w:lineRule="auto"/>
        <w:rPr>
          <w:sz w:val="20"/>
          <w:szCs w:val="20"/>
          <w:color w:val="auto"/>
        </w:rPr>
      </w:pPr>
      <w:r>
        <w:rPr>
          <w:rFonts w:ascii="Times New Roman" w:cs="Times New Roman" w:eastAsia="Times New Roman" w:hAnsi="Times New Roman"/>
          <w:sz w:val="18"/>
          <w:szCs w:val="18"/>
          <w:color w:val="auto"/>
        </w:rPr>
        <w:t>country. The Company is responsible for the costs associated with the development and regulatory approvals of licensed products. In April 2025, the Company achieved a $0.6 million preclinical milestone that the Company recorded as research and development expense during the year ended December 31, 2025.</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84" w:lineRule="exact"/>
        <w:rPr>
          <w:sz w:val="20"/>
          <w:szCs w:val="20"/>
          <w:color w:val="auto"/>
        </w:rPr>
      </w:pPr>
    </w:p>
    <w:p>
      <w:pPr>
        <w:ind w:right="80" w:firstLine="509"/>
        <w:spacing w:after="0" w:line="313"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2025 and December 31, 2024. Operating lease and variable lease expense associated with this lease for the year ended December 31, 2025 were approximately $1.9 million and $1.1 million, respectively. Operating lease and variable lease expense associated with this lease for the year ended December 31, 2024 were approximately $1.9 million and $0.9 million, respectively.</w:t>
      </w:r>
    </w:p>
    <w:p>
      <w:pPr>
        <w:spacing w:after="0" w:line="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December 31, 2025,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r>
      <w:tr>
        <w:trPr>
          <w:trHeight w:val="210"/>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2025 or 2024.</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a securities action, which closed in March 28, 2025, no such costs have been incurred during the year ended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Company's pretax net loss for the years ended December 31, 2025 and 2024 results entirely from United States operations. During the years ended December 31, 2025 and 2024, the Company incurred book and tax losses and, because it maintains a full valuation allowance on its net deferred tax assets, did not recognize income tax expense or benefit. Accordingly, the Company did not make any cash payments for income taxes during the years ended December 31, 2025 and 2024.</w:t>
      </w:r>
    </w:p>
    <w:p>
      <w:pPr>
        <w:spacing w:after="0" w:line="72"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July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evaluated the impact of the OBBBA and determined that it does not have a material impact on the Company’s consolidated financial position and results of operations.</w:t>
      </w:r>
    </w:p>
    <w:p>
      <w:pPr>
        <w:spacing w:after="0" w:line="7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tax rate to the Company's effective tax rate for the years ended December 31, 2025 and 2024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20" w:type="dxa"/>
            <w:vAlign w:val="bottom"/>
          </w:tcPr>
          <w:p>
            <w:pPr>
              <w:spacing w:after="0"/>
              <w:rPr>
                <w:sz w:val="15"/>
                <w:szCs w:val="15"/>
                <w:color w:val="auto"/>
              </w:rPr>
            </w:pPr>
          </w:p>
        </w:tc>
        <w:tc>
          <w:tcPr>
            <w:tcW w:w="26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42"/>
        </w:trPr>
        <w:tc>
          <w:tcPr>
            <w:tcW w:w="5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(15,701)</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(1,978)</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 net of federal income tax effect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Effects of changes in tax laws or rates enacted in the current period</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cross-border-tax laws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(908)</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(884)</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orphan drug credits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20,716</w:t>
            </w:r>
          </w:p>
        </w:tc>
        <w:tc>
          <w:tcPr>
            <w:tcW w:w="2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(89,613)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compensation</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Impact of ownership change</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97,547</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w:t>
            </w: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compensation cancellations</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(0.14)</w:t>
            </w:r>
          </w:p>
        </w:tc>
      </w:tr>
      <w:tr>
        <w:trPr>
          <w:trHeight w:val="216"/>
        </w:trPr>
        <w:tc>
          <w:tcPr>
            <w:tcW w:w="5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521"/>
        </w:trPr>
        <w:tc>
          <w:tcPr>
            <w:tcW w:w="53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99"/>
              </w:rPr>
              <w:t>F-23</w:t>
            </w:r>
          </w:p>
        </w:tc>
        <w:tc>
          <w:tcPr>
            <w:tcW w:w="220" w:type="dxa"/>
            <w:vAlign w:val="bottom"/>
            <w:tcBorders>
              <w:top w:val="single" w:sz="8" w:color="CFF0FC"/>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-865505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-847725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-865505</wp:posOffset>
            </wp:positionV>
            <wp:extent cx="1111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-847725</wp:posOffset>
            </wp:positionV>
            <wp:extent cx="1111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-865505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-847725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-865505</wp:posOffset>
            </wp:positionV>
            <wp:extent cx="1117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-847725</wp:posOffset>
            </wp:positionV>
            <wp:extent cx="1117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ind w:left="520"/>
        <w:spacing w:after="0"/>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38,850</w:t>
            </w:r>
          </w:p>
        </w:tc>
        <w:tc>
          <w:tcPr>
            <w:tcW w:w="80" w:type="dxa"/>
            <w:vAlign w:val="bottom"/>
          </w:tcPr>
          <w:p>
            <w:pPr>
              <w:spacing w:after="0"/>
              <w:rPr>
                <w:sz w:val="18"/>
                <w:szCs w:val="18"/>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27,713</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shd w:val="clear" w:color="auto" w:fill="CFF0FC"/>
          </w:tcPr>
          <w:p>
            <w:pPr>
              <w:spacing w:after="0"/>
              <w:rPr>
                <w:sz w:val="18"/>
                <w:szCs w:val="18"/>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Orphan drug credit carryforwards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0" w:type="dxa"/>
            <w:vAlign w:val="bottom"/>
          </w:tcPr>
          <w:p>
            <w:pPr>
              <w:spacing w:after="0"/>
              <w:rPr>
                <w:sz w:val="18"/>
                <w:szCs w:val="18"/>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FF0FC"/>
          </w:tcPr>
          <w:p>
            <w:pPr>
              <w:spacing w:after="0"/>
              <w:rPr>
                <w:sz w:val="18"/>
                <w:szCs w:val="18"/>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tcPr>
          <w:p>
            <w:pPr>
              <w:spacing w:after="0"/>
              <w:rPr>
                <w:sz w:val="18"/>
                <w:szCs w:val="18"/>
                <w:color w:val="auto"/>
              </w:rPr>
            </w:pPr>
          </w:p>
        </w:tc>
      </w:tr>
      <w:tr>
        <w:trPr>
          <w:trHeight w:val="216"/>
        </w:trPr>
        <w:tc>
          <w:tcPr>
            <w:tcW w:w="4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80" w:type="dxa"/>
            <w:vAlign w:val="bottom"/>
            <w:shd w:val="clear" w:color="auto" w:fill="CFF0FC"/>
          </w:tcPr>
          <w:p>
            <w:pPr>
              <w:spacing w:after="0"/>
              <w:rPr>
                <w:sz w:val="18"/>
                <w:szCs w:val="18"/>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78,360</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54,653</w:t>
            </w:r>
          </w:p>
        </w:tc>
        <w:tc>
          <w:tcPr>
            <w:tcW w:w="80" w:type="dxa"/>
            <w:vAlign w:val="bottom"/>
            <w:shd w:val="clear" w:color="auto" w:fill="CFF0FC"/>
          </w:tcPr>
          <w:p>
            <w:pPr>
              <w:spacing w:after="0"/>
              <w:rPr>
                <w:sz w:val="18"/>
                <w:szCs w:val="18"/>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(76,506)</w:t>
            </w: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(51,753)</w:t>
            </w:r>
          </w:p>
        </w:tc>
      </w:tr>
      <w:tr>
        <w:trPr>
          <w:trHeight w:val="20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7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0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8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(1,854)</w:t>
            </w: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(2,900)</w:t>
            </w:r>
          </w:p>
        </w:tc>
      </w:tr>
      <w:tr>
        <w:trPr>
          <w:trHeight w:val="20"/>
        </w:trPr>
        <w:tc>
          <w:tcPr>
            <w:tcW w:w="4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2025 and 2024. The valuation allowance increased by $24.8 million during the year ended December 31, 2025,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w:t>
      </w:r>
    </w:p>
    <w:p>
      <w:pPr>
        <w:spacing w:after="0" w:line="8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of approximately $102.8 million, which may be available to offset future taxable income and do not expire, but are limited in their usage to an annual deduction equal to 80% of annual taxable income. As of December 31, 2025, the Company also had state net operating loss carryforwards of approximately $96.9 million, which begin to expire in 2044. Substantially all state net operating loss carryforwards relate to Massachusetts.</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federal orphan drug credits of approximately $7.5 million, which begin to expire in 2044. As of December 31, 2025, the Company had federal research and development tax credit carryforwards of approximately $1.2 million, which begin to expire in 2039. As of December 31, 2025, the Company also had state research and development tax credit carryforwards of approximately $0.2 million, which begin to expire in 2039.</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development tax credit carryforwards may be subject to an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completed a study to assess whether an ownership change had occurred under Section 382 through December 31, 2024, and determined that all net operating loss carryforwards and credits generated before September 12, 2024 are limited. As a result, the carryforwards before the ownership change date of September 12, 2024 are not available for utilization and have been written off. The carryforwards as of December 31, 2025 and 2024 were generated after the ownership change on September 12, 2024. The Company has not conducted a study to assess whether a change of control has occurred or whether there have been multiple changes of control since December 31, 2024. If the Company has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6" w:name="page117"/>
    <w:bookmarkEnd w:id="116"/>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2025, the Company’s tax years are still open under statute from 2016 to the present.</w:t>
      </w:r>
    </w:p>
    <w:p>
      <w:pPr>
        <w:spacing w:after="0" w:line="6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the provision for income taxes. As of December 31, 2025 and 2024, the Company had no accrued interest or penalties related to uncertain tax positions and no amounts have been recognized in the Company’s statements of operations. For the year ended December 31, 2025,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$0.4 million and $0.6 million in contributions to the 401(k) Plan for the years ended December 31, 2025 and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8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2"/>
        </w:trPr>
        <w:tc>
          <w:tcPr>
            <w:tcW w:w="4340" w:type="dxa"/>
            <w:vAlign w:val="bottom"/>
          </w:tcPr>
          <w:p>
            <w:pPr>
              <w:spacing w:after="0"/>
              <w:rPr>
                <w:sz w:val="12"/>
                <w:szCs w:val="12"/>
                <w:color w:val="auto"/>
              </w:rPr>
            </w:pPr>
          </w:p>
        </w:tc>
        <w:tc>
          <w:tcPr>
            <w:tcW w:w="1640" w:type="dxa"/>
            <w:vAlign w:val="bottom"/>
            <w:tcBorders>
              <w:top w:val="single" w:sz="8" w:color="auto"/>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11,645,843</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9,354,699</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69,486</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43,072</w:t>
            </w:r>
          </w:p>
        </w:tc>
      </w:tr>
      <w:tr>
        <w:trPr>
          <w:trHeight w:val="20"/>
        </w:trPr>
        <w:tc>
          <w:tcPr>
            <w:tcW w:w="4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11,715,329</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9,397,771</w:t>
            </w: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514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Activities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year ended December 31, 2024, the Company recorded aggregate restructuring charges of $2.1 million related to severance and other employee-related costs, of which $1.7 million was paid during the year ended December 31, 2024. During the year ended December 31, 2025, the Company paid $0.4 million of restructuring charges.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2023</w:t>
            </w:r>
          </w:p>
        </w:tc>
        <w:tc>
          <w:tcPr>
            <w:tcW w:w="52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4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4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w:t>
            </w:r>
          </w:p>
        </w:tc>
      </w:tr>
      <w:tr>
        <w:trPr>
          <w:trHeight w:val="250"/>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2024</w:t>
            </w:r>
          </w:p>
        </w:tc>
        <w:tc>
          <w:tcPr>
            <w:tcW w:w="45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4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4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45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r>
      <w:tr>
        <w:trPr>
          <w:trHeight w:val="210"/>
        </w:trPr>
        <w:tc>
          <w:tcPr>
            <w:tcW w:w="4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2025</w:t>
            </w:r>
          </w:p>
        </w:tc>
        <w:tc>
          <w:tcPr>
            <w:tcW w:w="450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0"/>
        </w:trPr>
        <w:tc>
          <w:tcPr>
            <w:tcW w:w="4740" w:type="dxa"/>
            <w:vAlign w:val="bottom"/>
          </w:tcPr>
          <w:p>
            <w:pPr>
              <w:spacing w:after="0"/>
              <w:rPr>
                <w:sz w:val="24"/>
                <w:szCs w:val="24"/>
                <w:color w:val="auto"/>
              </w:rPr>
            </w:pPr>
          </w:p>
        </w:tc>
        <w:tc>
          <w:tcPr>
            <w:tcW w:w="5240" w:type="dxa"/>
            <w:vAlign w:val="bottom"/>
            <w:gridSpan w:val="2"/>
          </w:tcPr>
          <w:p>
            <w:pPr>
              <w:jc w:val="right"/>
              <w:ind w:right="4090"/>
              <w:spacing w:after="0"/>
              <w:rPr>
                <w:sz w:val="20"/>
                <w:szCs w:val="20"/>
                <w:color w:val="auto"/>
              </w:rPr>
            </w:pPr>
            <w:r>
              <w:rPr>
                <w:rFonts w:ascii="Times New Roman" w:cs="Times New Roman" w:eastAsia="Times New Roman" w:hAnsi="Times New Roman"/>
                <w:sz w:val="18"/>
                <w:szCs w:val="18"/>
                <w:color w:val="auto"/>
              </w:rPr>
              <w:t>F-25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-1310640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-1294130</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exchange agreement with RA Capital, one of the Company's principal stockholders and a related party in accordance with </w:t>
      </w:r>
      <w:r>
        <w:rPr>
          <w:rFonts w:ascii="Times New Roman" w:cs="Times New Roman" w:eastAsia="Times New Roman" w:hAnsi="Times New Roman"/>
          <w:sz w:val="18"/>
          <w:szCs w:val="18"/>
          <w:color w:val="212529"/>
        </w:rPr>
        <w:t>ASC 850,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Information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and the CODM primarily utilize the segment's consolidated net loss, disaggregated between (a) research and development and (b) general and administrative, as the key indicator to assess the segment's performance and for allocating resources.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reportable segment revenue, operating expenses, and net loss for the years ended December 31, 2025 and December 31, 2024 are as follows:</w:t>
      </w:r>
    </w:p>
    <w:p>
      <w:pPr>
        <w:spacing w:after="0" w:line="18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4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4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 compensation expenses (excluding stock-based compensation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14,008</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80" w:type="dxa"/>
            <w:vAlign w:val="bottom"/>
            <w:shd w:val="clear" w:color="auto" w:fill="CFF0FC"/>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84,769</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101,897</w:t>
            </w:r>
          </w:p>
        </w:tc>
        <w:tc>
          <w:tcPr>
            <w:tcW w:w="80" w:type="dxa"/>
            <w:vAlign w:val="bottom"/>
            <w:tcBorders>
              <w:top w:val="single" w:sz="8" w:color="CFF0FC"/>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(84,769)</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(74,880)</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(9,725)</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920" w:type="dxa"/>
            <w:vAlign w:val="bottom"/>
          </w:tcPr>
          <w:p>
            <w:pPr>
              <w:spacing w:after="0"/>
              <w:rPr>
                <w:sz w:val="24"/>
                <w:szCs w:val="24"/>
                <w:color w:val="auto"/>
              </w:rPr>
            </w:pPr>
          </w:p>
        </w:tc>
        <w:tc>
          <w:tcPr>
            <w:tcW w:w="6480" w:type="dxa"/>
            <w:vAlign w:val="bottom"/>
            <w:tcBorders>
              <w:top w:val="single" w:sz="8" w:color="CFF0FC"/>
            </w:tcBorders>
          </w:tcPr>
          <w:p>
            <w:pPr>
              <w:ind w:left="4540"/>
              <w:spacing w:after="0"/>
              <w:rPr>
                <w:sz w:val="20"/>
                <w:szCs w:val="20"/>
                <w:color w:val="auto"/>
              </w:rPr>
            </w:pPr>
            <w:r>
              <w:rPr>
                <w:rFonts w:ascii="Times New Roman" w:cs="Times New Roman" w:eastAsia="Times New Roman" w:hAnsi="Times New Roman"/>
                <w:sz w:val="18"/>
                <w:szCs w:val="18"/>
                <w:color w:val="auto"/>
              </w:rPr>
              <w:t>F-26</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-1508125</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-1508125</wp:posOffset>
            </wp:positionV>
            <wp:extent cx="514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-934085</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-916940</wp:posOffset>
            </wp:positionV>
            <wp:extent cx="514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-934085</wp:posOffset>
            </wp:positionV>
            <wp:extent cx="51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-916940</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740" w:type="dxa"/>
            <w:vAlign w:val="bottom"/>
            <w:gridSpan w:val="25"/>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40" w:type="dxa"/>
            <w:vAlign w:val="bottom"/>
            <w:gridSpan w:val="25"/>
            <w:vMerge w:val="restart"/>
          </w:tcPr>
          <w:p>
            <w:pPr>
              <w:ind w:left="4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740" w:type="dxa"/>
            <w:vAlign w:val="bottom"/>
            <w:tcBorders>
              <w:bottom w:val="single" w:sz="8" w:color="auto"/>
            </w:tcBorders>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04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286">
              <w:r>
                <w:rPr>
                  <w:rFonts w:ascii="Times New Roman" w:cs="Times New Roman" w:eastAsia="Times New Roman" w:hAnsi="Times New Roman"/>
                  <w:sz w:val="18"/>
                  <w:szCs w:val="18"/>
                  <w:color w:val="0000FF"/>
                  <w:w w:val="99"/>
                </w:rPr>
                <w:t>Restated Certificate of Incorporation of the Registrant (incorporated by reference to Exhibit 3.1 to the Registrant’s Current Report on Form</w:t>
              </w:r>
            </w:hyperlink>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8-K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Current Report on Form 8-K filed with the Securities and Exchange Commission on June 9,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Specimen Stock Certificate evidencing shares of common stock (incorporated by reference to Exhibit 4.1 to the Registrant’s Registration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Description of the Registrant’s Securities Registered under Section 12 of the Exchange Act (incorporated by reference to Exhibit 4.2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Registrant’s Annual Report on Form 10-K filed with the Securities and Exchange Commission on March 5, 2020).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2016 Stock Incentive Plan, as amended (incorporated by reference to Exhibit 10.2 to the Registrant’s Registration Statement on Form S-1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Form of Incentive Stock Option Agreement under the 2016 Stock Incentive Plan (incorporated by reference to Exhibit 10.3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Registrant’s Registration Statement on Form S-1 (File No. 333-232260) filed with the Securities and Exchange Commission on June 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spacing w:after="0" w:line="196" w:lineRule="exact"/>
              <w:rPr>
                <w:rFonts w:ascii="Times New Roman" w:cs="Times New Roman" w:eastAsia="Times New Roman" w:hAnsi="Times New Roman"/>
                <w:sz w:val="18"/>
                <w:szCs w:val="18"/>
                <w:color w:val="0000FF"/>
                <w:w w:val="90"/>
              </w:rPr>
            </w:pPr>
            <w:hyperlink r:id="rId292">
              <w:r>
                <w:rPr>
                  <w:rFonts w:ascii="Times New Roman" w:cs="Times New Roman" w:eastAsia="Times New Roman" w:hAnsi="Times New Roman"/>
                  <w:sz w:val="18"/>
                  <w:szCs w:val="18"/>
                  <w:color w:val="0000FF"/>
                  <w:w w:val="90"/>
                </w:rPr>
                <w:t>2019).</w:t>
              </w:r>
            </w:hyperlink>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Form of Non-Statutory Stock Option Agreement under the 2016 Stock Incentive Plan (incorporated by reference to Exhibit 10.4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Registrant’s Registration Statement on Form S-1 (File No. 333-232260) filed with the Securities and Exchange Commission on June 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spacing w:after="0" w:line="196" w:lineRule="exact"/>
              <w:rPr>
                <w:rFonts w:ascii="Times New Roman" w:cs="Times New Roman" w:eastAsia="Times New Roman" w:hAnsi="Times New Roman"/>
                <w:sz w:val="18"/>
                <w:szCs w:val="18"/>
                <w:color w:val="0000FF"/>
                <w:w w:val="90"/>
              </w:rPr>
            </w:pPr>
            <w:hyperlink r:id="rId293">
              <w:r>
                <w:rPr>
                  <w:rFonts w:ascii="Times New Roman" w:cs="Times New Roman" w:eastAsia="Times New Roman" w:hAnsi="Times New Roman"/>
                  <w:sz w:val="18"/>
                  <w:szCs w:val="18"/>
                  <w:color w:val="0000FF"/>
                  <w:w w:val="90"/>
                </w:rPr>
                <w:t>2019).</w:t>
              </w:r>
            </w:hyperlink>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Form of Restricted Stock Agreement under the 2016 Stock Incentive Plan (incorporated by reference to Exhibit 10.5 to the Registrant’s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Registration 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2019 Stock Incentive Plan (incorporated by reference to Exhibit 10.6 to Amendment No. 1 to Registrant’s Registration Statement on Form 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EE"/>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Form of Stock Option Agreement under the 2019 Stock Incentive Plan (incorporated by reference to Exhibit 10.7 to Amendment No. 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Registrant’s Registration Statement on Form S-1 (File No. 333-232260) filed with the Securities and Exchange Commission on July 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spacing w:after="0" w:line="196" w:lineRule="exact"/>
              <w:rPr>
                <w:rFonts w:ascii="Times New Roman" w:cs="Times New Roman" w:eastAsia="Times New Roman" w:hAnsi="Times New Roman"/>
                <w:sz w:val="18"/>
                <w:szCs w:val="18"/>
                <w:color w:val="0000FF"/>
                <w:w w:val="90"/>
              </w:rPr>
            </w:pPr>
            <w:hyperlink r:id="rId296">
              <w:r>
                <w:rPr>
                  <w:rFonts w:ascii="Times New Roman" w:cs="Times New Roman" w:eastAsia="Times New Roman" w:hAnsi="Times New Roman"/>
                  <w:sz w:val="18"/>
                  <w:szCs w:val="18"/>
                  <w:color w:val="0000FF"/>
                  <w:w w:val="90"/>
                </w:rPr>
                <w:t>2019).</w:t>
              </w:r>
            </w:hyperlink>
          </w:p>
        </w:tc>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Form of Non-Statutory Stock Option Agreement (incorporated by reference to Exhibit 10.1 to the Registrant’s Quarterly Report on Form 10-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Q filed with the Securities and Exchange Commission on November 4,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Form of Restricted Stock Unit Agreement under the 2019 Stock Incentive Plan (incorporated by reference to Exhibit 10.10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Registrant’s Annual Report on Form 10-K filed with the Securities and Exchange Commission on March 3,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2019 Employee Stock Purchase Plan (incorporated by reference to Exhibit 10.8 to Amendment No. 1 to Registrant’s Registration Statement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2022 Inducement Stock Incentive Plan (incorporated by reference to Exhibit 10.12 to the Registrant’s Annual Report on Form 10-K filed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12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with the Securities and Exchange Commission on March 3,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780" w:type="dxa"/>
            <w:vAlign w:val="bottom"/>
            <w:tcBorders>
              <w:right w:val="single" w:sz="8" w:color="0000EE"/>
            </w:tcBorders>
            <w:gridSpan w:val="3"/>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First Amendment to 2022 Inducement Stock Incentive Plan (incorporated by reference to Exhibit 10.13 to the Registrant’s Annual Report 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0" w:type="dxa"/>
            <w:vAlign w:val="bottom"/>
            <w:tcBorders>
              <w:right w:val="single" w:sz="8" w:color="0000FF"/>
            </w:tcBorders>
            <w:gridSpan w:val="7"/>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Form 10-K filed with the Securities and Exchange Commission on March 9,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0" w:type="dxa"/>
            <w:vAlign w:val="bottom"/>
            <w:tcBorders>
              <w:right w:val="single" w:sz="8" w:color="0000EE"/>
            </w:tcBorders>
            <w:gridSpan w:val="7"/>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Second Amendment to 2022 Inducement Stock Incentive Plan (incorporated by reference to Exhibit 10.12 to the Registrant’s Annual Report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00" w:type="dxa"/>
            <w:vAlign w:val="bottom"/>
            <w:tcBorders>
              <w:right w:val="single" w:sz="8" w:color="0000FF"/>
            </w:tcBorders>
            <w:gridSpan w:val="8"/>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10"/>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on Form 10-K filed with the Securities and Exchange Commission on February 27,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500" w:type="dxa"/>
            <w:vAlign w:val="bottom"/>
            <w:tcBorders>
              <w:right w:val="single" w:sz="8" w:color="0000EE"/>
            </w:tcBorders>
            <w:gridSpan w:val="8"/>
            <w:shd w:val="clear" w:color="auto" w:fill="0000FF"/>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Third Amendment to 2022 Inducement Stock Incentive Plan, effective as of June 17, 2024 (incorporated by reference to Exhibit 10.2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40" w:type="dxa"/>
            <w:vAlign w:val="bottom"/>
            <w:tcBorders>
              <w:right w:val="single" w:sz="8" w:color="0000FF"/>
            </w:tcBorders>
            <w:gridSpan w:val="1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10"/>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Registrant’s Quarterly Report on Form 10-Q filed with the Securities and Exchange Commission on July 31,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340" w:type="dxa"/>
            <w:vAlign w:val="bottom"/>
            <w:tcBorders>
              <w:right w:val="single" w:sz="8" w:color="0000EE"/>
            </w:tcBorders>
            <w:gridSpan w:val="1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Form of Non-Statutory Stock Option Agreement under 2022 Inducement Stock Incentive Plan (incorporated by reference to Exhibit 10.13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00" w:type="dxa"/>
            <w:vAlign w:val="bottom"/>
            <w:tcBorders>
              <w:right w:val="single" w:sz="8" w:color="0000FF"/>
            </w:tcBorders>
            <w:gridSpan w:val="14"/>
            <w:shd w:val="clear" w:color="auto" w:fill="0000FF"/>
          </w:tcPr>
          <w:p>
            <w:pPr>
              <w:spacing w:after="0" w:line="20" w:lineRule="exact"/>
              <w:rPr>
                <w:sz w:val="1"/>
                <w:szCs w:val="1"/>
                <w:color w:val="auto"/>
              </w:rPr>
            </w:pPr>
          </w:p>
        </w:tc>
        <w:tc>
          <w:tcPr>
            <w:tcW w:w="1660" w:type="dxa"/>
            <w:vAlign w:val="bottom"/>
            <w:gridSpan w:val="1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7"/>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the Registrant’s Annual Report on Form 10-K filed with the Securities and Exchange Commission on March 3, 2022).</w:t>
              </w:r>
            </w:hyperlink>
          </w:p>
        </w:tc>
        <w:tc>
          <w:tcPr>
            <w:tcW w:w="0" w:type="dxa"/>
            <w:vAlign w:val="bottom"/>
          </w:tcPr>
          <w:p>
            <w:pPr>
              <w:spacing w:after="0"/>
              <w:rPr>
                <w:sz w:val="1"/>
                <w:szCs w:val="1"/>
                <w:color w:val="auto"/>
              </w:rPr>
            </w:pPr>
          </w:p>
        </w:tc>
      </w:tr>
      <w:tr>
        <w:trPr>
          <w:trHeight w:val="1107"/>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3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10180" w:type="dxa"/>
            <w:vAlign w:val="bottom"/>
            <w:gridSpan w:val="25"/>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Form of Restricted Stock Unit Agreement under 2022 Inducement Stock Incentive Plan (incorporated by reference to Exhibit 10.14 to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Registrant’s Annual Report on Form 10-K filed with the Securities and Exchange Commission on March 3, 2022).</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Summary of Non-Employee Director Compensation Program.</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Form of Employment Agreement for Executive Officers (incorporated by reference to Exhibit 10.12 to Amendment No. 1 to Registrant’s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Registration Statement 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Employment Agreement, dated May 12, 2023, by and between Registrant and Alex C. Sapir (incorporated by reference to Exhibit 10.2 to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Registrant’s Quarterly Report on Form 10-Q filed with the Securities and Exchange Commission on August 3, 2023).</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Employment Agreement, dated August 7, 2023, by and between the Registrant and Alan A. Musso (incorporated by reference to Exhibit 10.2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to the Registrant’s Quarterly Report on Form 10-Q filed with the Securities and Exchange Commission on November 7, 2023).</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employment agreement, dated December 22, 2025, by and between the Registrant and Curtis Oltmans.</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80" w:type="dxa"/>
            <w:vAlign w:val="bottom"/>
            <w:gridSpan w:val="3"/>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Form of Indemnification Agreement between the Registrant and each of its Executive Officers and Directors (incorporated by reference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Exhibit 10.15 to Registrant’s Registration Statement on Form S-1 (File No. 333-232260) filed with the Securities and Exchange Commission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on June 21, 2019).</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14"/>
                <w:szCs w:val="14"/>
                <w:color w:val="auto"/>
              </w:rPr>
              <w:t>†</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License Agreement, effective as of July 5, 2023, by and between the Registrant and CAMP4 Therapeutics Corporation (incorporated by</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reference to Exhibit 10.1 to the Registrant’s Quarterly Report on Form 10-Q filed with the Securities and Exchange Commission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7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November 7, 2023).</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Lease for 26 Landsdowne Street, dated November 22, 2017, by and between the UP 26 Landsdowne, LLC and the Registrant (incorporated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by reference to Exhibit 10.11 to the Registrant’s Registration Statement on Form S-1 (File No. 333-232260) filed with the Securities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Exchange Commission on June 21, 2019).</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40" w:type="dxa"/>
            <w:vAlign w:val="bottom"/>
            <w:vMerge w:val="restart"/>
          </w:tcPr>
          <w:p>
            <w:pPr>
              <w:ind w:left="10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960" w:type="dxa"/>
            <w:vAlign w:val="bottom"/>
            <w:gridSpan w:val="4"/>
            <w:vMerge w:val="restart"/>
          </w:tcPr>
          <w:p>
            <w:pPr>
              <w:spacing w:after="0" w:line="196" w:lineRule="exact"/>
              <w:rPr>
                <w:rFonts w:ascii="Times New Roman" w:cs="Times New Roman" w:eastAsia="Times New Roman" w:hAnsi="Times New Roman"/>
                <w:sz w:val="18"/>
                <w:szCs w:val="18"/>
                <w:color w:val="0000FF"/>
                <w:w w:val="97"/>
              </w:rPr>
            </w:pPr>
            <w:hyperlink r:id="rId314">
              <w:r>
                <w:rPr>
                  <w:rFonts w:ascii="Times New Roman" w:cs="Times New Roman" w:eastAsia="Times New Roman" w:hAnsi="Times New Roman"/>
                  <w:sz w:val="18"/>
                  <w:szCs w:val="18"/>
                  <w:color w:val="0000FF"/>
                  <w:w w:val="97"/>
                </w:rPr>
                <w:t>Controlled Equity Offering</w:t>
              </w:r>
            </w:hyperlink>
          </w:p>
        </w:tc>
        <w:tc>
          <w:tcPr>
            <w:tcW w:w="160" w:type="dxa"/>
            <w:vAlign w:val="bottom"/>
            <w:tcBorders>
              <w:bottom w:val="single" w:sz="8" w:color="0000FF"/>
            </w:tcBorders>
          </w:tcPr>
          <w:p>
            <w:pPr>
              <w:spacing w:after="0" w:line="102" w:lineRule="exact"/>
              <w:rPr>
                <w:rFonts w:ascii="Times New Roman" w:cs="Times New Roman" w:eastAsia="Times New Roman" w:hAnsi="Times New Roman"/>
                <w:sz w:val="11"/>
                <w:szCs w:val="11"/>
                <w:color w:val="0000FF"/>
                <w:w w:val="87"/>
              </w:rPr>
            </w:pPr>
            <w:hyperlink r:id="rId314">
              <w:r>
                <w:rPr>
                  <w:rFonts w:ascii="Times New Roman" w:cs="Times New Roman" w:eastAsia="Times New Roman" w:hAnsi="Times New Roman"/>
                  <w:sz w:val="11"/>
                  <w:szCs w:val="11"/>
                  <w:color w:val="0000FF"/>
                  <w:w w:val="87"/>
                </w:rPr>
                <w:t>SM</w:t>
              </w:r>
            </w:hyperlink>
          </w:p>
        </w:tc>
        <w:tc>
          <w:tcPr>
            <w:tcW w:w="8060" w:type="dxa"/>
            <w:vAlign w:val="bottom"/>
            <w:gridSpan w:val="20"/>
            <w:vMerge w:val="restart"/>
          </w:tcPr>
          <w:p>
            <w:pPr>
              <w:ind w:left="40"/>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Sales Agreement, dated February 27, 2024, by and among the Registrant, Cantor Fitzgerald &amp; Co. and Stifel,</w:t>
              </w:r>
            </w:hyperlink>
          </w:p>
        </w:tc>
        <w:tc>
          <w:tcPr>
            <w:tcW w:w="0" w:type="dxa"/>
            <w:vAlign w:val="bottom"/>
          </w:tcPr>
          <w:p>
            <w:pPr>
              <w:spacing w:after="0"/>
              <w:rPr>
                <w:sz w:val="1"/>
                <w:szCs w:val="1"/>
                <w:color w:val="auto"/>
              </w:rPr>
            </w:pPr>
          </w:p>
        </w:tc>
      </w:tr>
      <w:tr>
        <w:trPr>
          <w:trHeight w:val="61"/>
        </w:trPr>
        <w:tc>
          <w:tcPr>
            <w:tcW w:w="1040" w:type="dxa"/>
            <w:vAlign w:val="bottom"/>
            <w:vMerge w:val="continue"/>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8060" w:type="dxa"/>
            <w:vAlign w:val="bottom"/>
            <w:gridSpan w:val="2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Nicolaus &amp; Company, Incorporated (incorporated by reference to Exhibit 1.2 to the Registrant’s Registration Statement on Form S-3 filed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with the Securities and Exchange Commission on February 27, 2024).</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Form of Pre-Funded Warrant (incorporated by reference to Exhibit 4.1 to the Registrant’s Quarterly Report on Form 10-Q filed with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Securities and Exchange Commission on November 13, 2024).</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Form of Pre-Funded Warrant (incorporated by reference to Exhibit 4.1 to the Registrant’s Current Report on Form 8-K filed with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Securities and Exchange Commission on December 11, 2025).</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w w:val="99"/>
              </w:rPr>
            </w:pPr>
            <w:hyperlink r:id="rId317">
              <w:r>
                <w:rPr>
                  <w:rFonts w:ascii="Times New Roman" w:cs="Times New Roman" w:eastAsia="Times New Roman" w:hAnsi="Times New Roman"/>
                  <w:sz w:val="18"/>
                  <w:szCs w:val="18"/>
                  <w:color w:val="0000FF"/>
                  <w:w w:val="99"/>
                </w:rPr>
                <w:t>Insider Trading Policy of Registrant (incorporated by reference to Exhibit 19.1 of the Registrant's Annual Report on Form 10-K filed with the</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Securities and Exchange Commission on February 25, 2025).</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Subsidiary of the Registrant (incorporated by reference to Exhibit 21.1 to the Registrant’s Annual Report on Form 10-K filed with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7"/>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Securities and Exchange Commission on February 27, 2024).</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30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180" w:type="dxa"/>
            <w:vAlign w:val="bottom"/>
            <w:gridSpan w:val="8"/>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300" w:type="dxa"/>
            <w:vAlign w:val="bottom"/>
            <w:tcBorders>
              <w:right w:val="single" w:sz="8" w:color="0000FF"/>
            </w:tcBorders>
            <w:gridSpan w:val="6"/>
            <w:shd w:val="clear" w:color="auto" w:fill="0000FF"/>
          </w:tcPr>
          <w:p>
            <w:pPr>
              <w:spacing w:after="0" w:line="20" w:lineRule="exact"/>
              <w:rPr>
                <w:sz w:val="1"/>
                <w:szCs w:val="1"/>
                <w:color w:val="auto"/>
              </w:rPr>
            </w:pPr>
          </w:p>
        </w:tc>
        <w:tc>
          <w:tcPr>
            <w:tcW w:w="4180" w:type="dxa"/>
            <w:vAlign w:val="bottom"/>
            <w:gridSpan w:val="8"/>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300" w:type="dxa"/>
            <w:vAlign w:val="bottom"/>
            <w:tcBorders>
              <w:right w:val="single" w:sz="8" w:color="0000FF"/>
            </w:tcBorders>
            <w:gridSpan w:val="6"/>
            <w:shd w:val="clear" w:color="auto" w:fill="0000FF"/>
          </w:tcPr>
          <w:p>
            <w:pPr>
              <w:spacing w:after="0" w:line="20" w:lineRule="exact"/>
              <w:rPr>
                <w:sz w:val="1"/>
                <w:szCs w:val="1"/>
                <w:color w:val="auto"/>
              </w:rPr>
            </w:pPr>
          </w:p>
        </w:tc>
        <w:tc>
          <w:tcPr>
            <w:tcW w:w="448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3300" w:type="dxa"/>
            <w:vAlign w:val="bottom"/>
            <w:tcBorders>
              <w:right w:val="single" w:sz="8" w:color="0000FF"/>
            </w:tcBorders>
            <w:gridSpan w:val="6"/>
            <w:shd w:val="clear" w:color="auto" w:fill="0000FF"/>
          </w:tcPr>
          <w:p>
            <w:pPr>
              <w:spacing w:after="0" w:line="20" w:lineRule="exact"/>
              <w:rPr>
                <w:sz w:val="1"/>
                <w:szCs w:val="1"/>
                <w:color w:val="auto"/>
              </w:rPr>
            </w:pPr>
          </w:p>
        </w:tc>
        <w:tc>
          <w:tcPr>
            <w:tcW w:w="448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4480" w:type="dxa"/>
            <w:vAlign w:val="bottom"/>
            <w:gridSpan w:val="1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Compensation Recovery Policy of Registrant (incorporated by reference to Exhibit 97.1 to the Registrant’s Annual Report on Form 10-K</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3300" w:type="dxa"/>
            <w:vAlign w:val="bottom"/>
            <w:tcBorders>
              <w:right w:val="single" w:sz="8" w:color="0000FF"/>
            </w:tcBorders>
            <w:gridSpan w:val="6"/>
            <w:shd w:val="clear" w:color="auto" w:fill="0000FF"/>
          </w:tcPr>
          <w:p>
            <w:pPr>
              <w:spacing w:after="0" w:line="20" w:lineRule="exact"/>
              <w:rPr>
                <w:sz w:val="1"/>
                <w:szCs w:val="1"/>
                <w:color w:val="auto"/>
              </w:rPr>
            </w:pPr>
          </w:p>
        </w:tc>
        <w:tc>
          <w:tcPr>
            <w:tcW w:w="4480" w:type="dxa"/>
            <w:vAlign w:val="bottom"/>
            <w:gridSpan w:val="10"/>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180" w:type="dxa"/>
            <w:vAlign w:val="bottom"/>
            <w:gridSpan w:val="25"/>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filed with the Securities and Exchange Commission on February 27, 2024).</w:t>
              </w:r>
            </w:hyperlink>
          </w:p>
        </w:tc>
        <w:tc>
          <w:tcPr>
            <w:tcW w:w="0" w:type="dxa"/>
            <w:vAlign w:val="bottom"/>
          </w:tcPr>
          <w:p>
            <w:pPr>
              <w:spacing w:after="0"/>
              <w:rPr>
                <w:sz w:val="1"/>
                <w:szCs w:val="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3300" w:type="dxa"/>
            <w:vAlign w:val="bottom"/>
            <w:tcBorders>
              <w:right w:val="single" w:sz="8" w:color="0000EE"/>
            </w:tcBorders>
            <w:gridSpan w:val="6"/>
            <w:shd w:val="clear" w:color="auto" w:fill="0000FF"/>
          </w:tcPr>
          <w:p>
            <w:pPr>
              <w:spacing w:after="0" w:line="20" w:lineRule="exact"/>
              <w:rPr>
                <w:sz w:val="1"/>
                <w:szCs w:val="1"/>
                <w:color w:val="auto"/>
              </w:rPr>
            </w:pPr>
          </w:p>
        </w:tc>
        <w:tc>
          <w:tcPr>
            <w:tcW w:w="47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020" w:hanging="1012"/>
        <w:spacing w:after="0"/>
        <w:tabs>
          <w:tab w:leader="none" w:pos="10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79"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 w:lineRule="exact"/>
        <w:rPr>
          <w:sz w:val="20"/>
          <w:szCs w:val="20"/>
          <w:color w:val="auto"/>
        </w:rPr>
      </w:pPr>
    </w:p>
    <w:p>
      <w:pPr>
        <w:ind w:left="520" w:right="60" w:hanging="512"/>
        <w:spacing w:after="0" w:line="266" w:lineRule="auto"/>
        <w:tabs>
          <w:tab w:leader="none" w:pos="1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1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Fulcrum Therapeutics, Inc.</w:t>
            </w:r>
          </w:p>
        </w:tc>
        <w:tc>
          <w:tcPr>
            <w:tcW w:w="3400" w:type="dxa"/>
            <w:vAlign w:val="bottom"/>
          </w:tcPr>
          <w:p>
            <w:pPr>
              <w:spacing w:after="0"/>
              <w:rPr>
                <w:sz w:val="20"/>
                <w:szCs w:val="20"/>
                <w:color w:val="auto"/>
              </w:rPr>
            </w:pPr>
          </w:p>
        </w:tc>
      </w:tr>
      <w:tr>
        <w:trPr>
          <w:trHeight w:val="3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41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211"/>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jc w:val="center"/>
              <w:ind w:right="1730"/>
              <w:spacing w:after="0"/>
              <w:rPr>
                <w:sz w:val="20"/>
                <w:szCs w:val="20"/>
                <w:color w:val="auto"/>
              </w:rPr>
            </w:pPr>
            <w:r>
              <w:rPr>
                <w:rFonts w:ascii="Times New Roman" w:cs="Times New Roman" w:eastAsia="Times New Roman" w:hAnsi="Times New Roman"/>
                <w:sz w:val="18"/>
                <w:szCs w:val="18"/>
                <w:color w:val="auto"/>
                <w:w w:val="99"/>
              </w:rPr>
              <w:t>Alex C. Sapir</w:t>
            </w:r>
          </w:p>
        </w:tc>
      </w:tr>
    </w:tbl>
    <w:p>
      <w:pPr>
        <w:ind w:left="7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7171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0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Alex C. Sapir</w:t>
      </w:r>
    </w:p>
    <w:p>
      <w:pPr>
        <w:spacing w:after="0" w:line="11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Alan Musso</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Greg Tourangeau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Greg Tourangeau</w:t>
      </w:r>
    </w:p>
    <w:p>
      <w:pPr>
        <w:spacing w:after="0" w:line="11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Kate Haviland</w:t>
      </w:r>
    </w:p>
    <w:p>
      <w:pPr>
        <w:spacing w:after="0" w:line="11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Sonja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Sonja Banks</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Katina Dorton</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Alan Ezekowitz, MBChB, D. Phil</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James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James Geraghty</w:t>
      </w:r>
    </w:p>
    <w:p>
      <w:pPr>
        <w:spacing w:after="0" w:line="10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Robert J. Gould, Ph.D.</w:t>
      </w:r>
    </w:p>
    <w:p>
      <w:pPr>
        <w:spacing w:after="0" w:line="13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Colin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Colin Hill</w:t>
      </w:r>
    </w:p>
    <w:p>
      <w:pPr>
        <w:spacing w:after="0" w:line="13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Rachel K.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color w:val="auto"/>
        </w:rPr>
        <w:t>Rachel K. King</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18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2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5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50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(Principal Accounting Officer)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56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56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50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49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50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50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52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52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February 24,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981710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680" w:space="720"/>
            <w:col w:w="6840"/>
          </w:cols>
          <w:pgMar w:left="320" w:top="1089" w:right="339" w:bottom="1440" w:gutter="0" w:footer="0" w:header="0"/>
          <w:type w:val="continuous"/>
        </w:sectPr>
      </w:pPr>
    </w:p>
    <w:bookmarkStart w:id="121" w:name="page122"/>
    <w:bookmarkEnd w:id="121"/>
    <w:p>
      <w:pPr>
        <w:ind w:left="10180"/>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January 23, 2026</w:t>
      </w:r>
    </w:p>
    <w:p>
      <w:pPr>
        <w:spacing w:after="0" w:line="22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Company’s non-employee directors shall receive the following compensation for their service as members of the Board of Directors (the “Board”) of the Company.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fees that will be paid to our non-employee directors for service on the Board, and for service on each committee of the Board on which the director is then a member, and the fees that will be paid to the chairperson of the Board, if one is then appointed, and the chairperson of each committee of the Board will be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4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Member Annual Fee</w:t>
            </w:r>
          </w:p>
        </w:tc>
        <w:tc>
          <w:tcPr>
            <w:tcW w:w="242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Chairman Incremental Annual</w:t>
            </w:r>
          </w:p>
        </w:tc>
      </w:tr>
      <w:tr>
        <w:trPr>
          <w:trHeight w:val="173"/>
        </w:trPr>
        <w:tc>
          <w:tcPr>
            <w:tcW w:w="5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Fee</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40,000</w:t>
            </w:r>
          </w:p>
        </w:tc>
        <w:tc>
          <w:tcPr>
            <w:tcW w:w="7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7,500</w:t>
            </w:r>
          </w:p>
        </w:tc>
        <w:tc>
          <w:tcPr>
            <w:tcW w:w="7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&amp; Human Capital Management Committee</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6,000</w:t>
            </w:r>
          </w:p>
        </w:tc>
        <w:tc>
          <w:tcPr>
            <w:tcW w:w="7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6,000</w:t>
            </w:r>
          </w:p>
        </w:tc>
        <w:tc>
          <w:tcPr>
            <w:tcW w:w="76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6,000</w:t>
            </w:r>
          </w:p>
        </w:tc>
      </w:tr>
    </w:tbl>
    <w:p>
      <w:pPr>
        <w:spacing w:after="0" w:line="200" w:lineRule="exact"/>
        <w:rPr>
          <w:sz w:val="20"/>
          <w:szCs w:val="20"/>
          <w:color w:val="auto"/>
        </w:rPr>
      </w:pPr>
    </w:p>
    <w:p>
      <w:pPr>
        <w:spacing w:after="0" w:line="24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foregoing fees will be payable in arrears in four equal quarterly installments on the last day of each quarter, provided that the amount of such payment will be prorated for any portion of such quarter that the director is not serving on the Board, on such committee or in such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Initial Grants</w:t>
      </w:r>
      <w:r>
        <w:rPr>
          <w:rFonts w:ascii="Times New Roman" w:cs="Times New Roman" w:eastAsia="Times New Roman" w:hAnsi="Times New Roman"/>
          <w:sz w:val="18"/>
          <w:szCs w:val="18"/>
          <w:color w:val="auto"/>
        </w:rPr>
        <w:t xml:space="preserve"> . Upon initial election to the Board, each non-employee director will be granted, automatically and without the need for any further action by the Board, an initial equity award of an option to purchase 64,000 shares of our common stock. The initial award shall have a term of ten years from the date of the award, and shall vest and become exercisable as to 1/36 of the shares underlying such award at the end of each successive one-month period following the grant date until the third anniversary of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Annual Grants</w:t>
      </w:r>
      <w:r>
        <w:rPr>
          <w:rFonts w:ascii="Times New Roman" w:cs="Times New Roman" w:eastAsia="Times New Roman" w:hAnsi="Times New Roman"/>
          <w:sz w:val="18"/>
          <w:szCs w:val="18"/>
          <w:color w:val="auto"/>
        </w:rPr>
        <w:t xml:space="preserve"> . Each non-employee director who has served as a member of the Board for at least six months prior to the date of our annual meeting of stockholders for a particular year will be granted, automatically and without the need for any further action by the Board, an equity award on the date of the first Board meeting held after our annual meeting of stockholders for such year of an option to purchase 32,000 shares of our common stock. The annual award shall have a term of ten years from the date of the award, and shall vest and become exercisable in full on the one-year anniversary of the grant date (or, if earlier, immediately prior to the first annual meeting of stockholders occurring after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spacing w:after="0" w:line="19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foregoing share amounts shall be automatically adjusted in the event of any stock split, reverse stock split, stock dividend, recapitalization, combination of shares, reclassification of shares, spin-off or other similar change in capitalization or event effecting our common stock, or any distribution to holders of our common stock other than an ordinary cash dividend.</w:t>
      </w:r>
    </w:p>
    <w:p>
      <w:pPr>
        <w:spacing w:after="0" w:line="17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initial awards and the annual awards shall be subject to the terms and conditions of our 2019 Stock Incentive Plan, or any successor plan, and the terms of the option agreements entered into with each director in connection with such awards.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 and each non-employee director shall also be reimbursed for his or her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FULCRUM THERAPEUTICS, INC. EXECUTIVE</w:t>
      </w:r>
    </w:p>
    <w:p>
      <w:pPr>
        <w:spacing w:after="0" w:line="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169" w:lineRule="exact"/>
        <w:rPr>
          <w:sz w:val="20"/>
          <w:szCs w:val="20"/>
          <w:color w:val="auto"/>
        </w:rPr>
      </w:pPr>
    </w:p>
    <w:p>
      <w:pPr>
        <w:jc w:val="both"/>
        <w:ind w:right="380" w:firstLine="749"/>
        <w:spacing w:after="0" w:line="244" w:lineRule="auto"/>
        <w:rPr>
          <w:sz w:val="20"/>
          <w:szCs w:val="20"/>
          <w:color w:val="auto"/>
        </w:rPr>
      </w:pPr>
      <w:r>
        <w:rPr>
          <w:rFonts w:ascii="Times New Roman" w:cs="Times New Roman" w:eastAsia="Times New Roman" w:hAnsi="Times New Roman"/>
          <w:sz w:val="22"/>
          <w:szCs w:val="22"/>
          <w:color w:val="auto"/>
        </w:rPr>
        <w:t>THIS EXECUTIVE EMPLOYMENT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revised as of December 22, 2025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Fulcrum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Curt Oltmans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and the Executive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RECITALS</w:t>
      </w:r>
    </w:p>
    <w:p>
      <w:pPr>
        <w:spacing w:after="0" w:line="193"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employ the Executive as its Chief Legal Officer and Head of External Affairs; and</w:t>
      </w:r>
    </w:p>
    <w:p>
      <w:pPr>
        <w:spacing w:after="0" w:line="145" w:lineRule="exact"/>
        <w:rPr>
          <w:sz w:val="20"/>
          <w:szCs w:val="20"/>
          <w:color w:val="auto"/>
        </w:rPr>
      </w:pPr>
    </w:p>
    <w:p>
      <w:pPr>
        <w:ind w:right="1080"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the Executive are party to a letter agreement dated October 29, 2020 (the “Existing Agreement”) and desire to amend and restate the Existing Agreement in its entirety; and</w:t>
      </w:r>
    </w:p>
    <w:p>
      <w:pPr>
        <w:spacing w:after="0" w:line="185" w:lineRule="exact"/>
        <w:rPr>
          <w:sz w:val="20"/>
          <w:szCs w:val="20"/>
          <w:color w:val="auto"/>
        </w:rPr>
      </w:pPr>
    </w:p>
    <w:p>
      <w:pPr>
        <w:ind w:right="600" w:firstLine="749"/>
        <w:spacing w:after="0" w:line="258" w:lineRule="auto"/>
        <w:rPr>
          <w:sz w:val="20"/>
          <w:szCs w:val="20"/>
          <w:color w:val="auto"/>
        </w:rPr>
      </w:pPr>
      <w:r>
        <w:rPr>
          <w:rFonts w:ascii="Times New Roman" w:cs="Times New Roman" w:eastAsia="Times New Roman" w:hAnsi="Times New Roman"/>
          <w:sz w:val="22"/>
          <w:szCs w:val="22"/>
          <w:color w:val="auto"/>
        </w:rPr>
        <w:t>WHEREAS, the Executive has agreed to accept such employment on the terms and conditions set forth in this Agreement.</w:t>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herein contained, the Parties hereto agree as follows:</w:t>
      </w:r>
    </w:p>
    <w:p>
      <w:pPr>
        <w:spacing w:after="0" w:line="165" w:lineRule="exact"/>
        <w:rPr>
          <w:sz w:val="20"/>
          <w:szCs w:val="20"/>
          <w:color w:val="auto"/>
        </w:rPr>
      </w:pPr>
    </w:p>
    <w:p>
      <w:pPr>
        <w:ind w:right="660" w:firstLine="751"/>
        <w:spacing w:after="0" w:line="243" w:lineRule="auto"/>
        <w:tabs>
          <w:tab w:leader="none" w:pos="113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This Agreement shall be effective as of the Effective Date. Following the Effective Date,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shall continue to be an employee of the Company until such</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relationship is terminated in accordance with Section 6 hereof (the “Term of Employment”).</w:t>
      </w:r>
    </w:p>
    <w:p>
      <w:pPr>
        <w:spacing w:after="0" w:line="151" w:lineRule="exact"/>
        <w:rPr>
          <w:rFonts w:ascii="Times New Roman" w:cs="Times New Roman" w:eastAsia="Times New Roman" w:hAnsi="Times New Roman"/>
          <w:sz w:val="22"/>
          <w:szCs w:val="22"/>
          <w:color w:val="auto"/>
        </w:rPr>
      </w:pPr>
    </w:p>
    <w:p>
      <w:pPr>
        <w:jc w:val="both"/>
        <w:ind w:right="360" w:firstLine="751"/>
        <w:spacing w:after="0" w:line="241" w:lineRule="auto"/>
        <w:tabs>
          <w:tab w:leader="none" w:pos="11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Position; Location. </w:t>
      </w:r>
      <w:r>
        <w:rPr>
          <w:rFonts w:ascii="Times New Roman" w:cs="Times New Roman" w:eastAsia="Times New Roman" w:hAnsi="Times New Roman"/>
          <w:sz w:val="22"/>
          <w:szCs w:val="22"/>
          <w:color w:val="auto"/>
        </w:rPr>
        <w:t>During the Term of Employment, the Executive shall serve as the Chief Legal Officer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Head of External Affairs of the Company (the “</w:t>
      </w: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working out of the Company’s office in Cambridge, Massachusetts and out of the Executive’s home office in Executive’s principal residence in the state of Colorado and travelling as reasonably required by the Executive’s job duties.</w:t>
      </w:r>
    </w:p>
    <w:p>
      <w:pPr>
        <w:spacing w:after="0" w:line="185" w:lineRule="exact"/>
        <w:rPr>
          <w:rFonts w:ascii="Times New Roman" w:cs="Times New Roman" w:eastAsia="Times New Roman" w:hAnsi="Times New Roman"/>
          <w:sz w:val="22"/>
          <w:szCs w:val="22"/>
          <w:color w:val="auto"/>
        </w:rPr>
      </w:pPr>
    </w:p>
    <w:p>
      <w:pPr>
        <w:jc w:val="both"/>
        <w:ind w:right="360" w:firstLine="751"/>
        <w:spacing w:after="0" w:line="234" w:lineRule="auto"/>
        <w:tabs>
          <w:tab w:leader="none" w:pos="11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Duties</w:t>
      </w:r>
      <w:r>
        <w:rPr>
          <w:rFonts w:ascii="Times New Roman" w:cs="Times New Roman" w:eastAsia="Times New Roman" w:hAnsi="Times New Roman"/>
          <w:sz w:val="22"/>
          <w:szCs w:val="22"/>
          <w:color w:val="auto"/>
        </w:rPr>
        <w:t>. During the Term of Employment, the Executive shall be responsible for the performance of those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duties, and shall have such authorities and responsibilities, as are consistent with the Executive’s Position, and such other duties, authorities and responsibilities not inconsistent with the Executive’s Position as may be assigned to the Executive by the President and Chief Executive Officer from time to time. The Executive shall report to the President and Chief Executive Officer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provided that the foregoing will not prevent the Executive from serving on the boards of directors of non-profit organizations or participating in charitable, civic, educational, professional, community or industry affairs, so long as the Executive receives the Board’s prior express approval</w:t>
      </w:r>
    </w:p>
    <w:p>
      <w:pPr>
        <w:spacing w:after="0" w:line="20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829945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any such activity, and such activities do not, individually or in the aggregate, create a potential</w:t>
      </w:r>
    </w:p>
    <w:p>
      <w:pPr>
        <w:spacing w:after="0" w:line="200" w:lineRule="exact"/>
        <w:rPr>
          <w:sz w:val="20"/>
          <w:szCs w:val="20"/>
          <w:color w:val="auto"/>
        </w:rPr>
      </w:pPr>
    </w:p>
    <w:p>
      <w:pPr>
        <w:spacing w:after="0" w:line="384"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conflict of interest or otherwise interfere with the Executive’s duties, obligations or restrictions hereunder. The Executive agrees to abide by the rules, regulations, instructions, personnel practices and policies of the Company and any changes therein that may be adopted from time to time by the Company.</w:t>
      </w:r>
    </w:p>
    <w:p>
      <w:pPr>
        <w:spacing w:after="0" w:line="169" w:lineRule="exact"/>
        <w:rPr>
          <w:sz w:val="20"/>
          <w:szCs w:val="20"/>
          <w:color w:val="auto"/>
        </w:rPr>
      </w:pPr>
    </w:p>
    <w:p>
      <w:pPr>
        <w:ind w:right="380" w:firstLine="725"/>
        <w:spacing w:after="0" w:line="262" w:lineRule="auto"/>
        <w:tabs>
          <w:tab w:leader="none" w:pos="111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As full compensation for all services rendered by the Executive to the Company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 thereof, during the Term of Employment, the Company will provide to the Executive the following:</w:t>
      </w:r>
    </w:p>
    <w:p>
      <w:pPr>
        <w:spacing w:after="0" w:line="149" w:lineRule="exact"/>
        <w:rPr>
          <w:rFonts w:ascii="Times New Roman" w:cs="Times New Roman" w:eastAsia="Times New Roman" w:hAnsi="Times New Roman"/>
          <w:sz w:val="22"/>
          <w:szCs w:val="22"/>
          <w:color w:val="auto"/>
        </w:rPr>
      </w:pPr>
    </w:p>
    <w:p>
      <w:pPr>
        <w:jc w:val="both"/>
        <w:ind w:right="360" w:firstLine="751"/>
        <w:spacing w:after="0" w:line="238" w:lineRule="auto"/>
        <w:tabs>
          <w:tab w:leader="none" w:pos="113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Effective as of the Start Date, the Executive shall receive a base salary at the annualized 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$472,200, less all applicable withholdings and deductions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Executive’s Base Salary shall be paid in equal installments in accordance with the Company’s regularly established payroll procedures. The Executive’s Base Salary will be reviewed on an annual or more frequent basis by the Board and is subject to change in the sole and absolute discretion of the Board.</w:t>
      </w:r>
    </w:p>
    <w:p>
      <w:pPr>
        <w:spacing w:after="0" w:line="149" w:lineRule="exact"/>
        <w:rPr>
          <w:rFonts w:ascii="Times New Roman" w:cs="Times New Roman" w:eastAsia="Times New Roman" w:hAnsi="Times New Roman"/>
          <w:sz w:val="22"/>
          <w:szCs w:val="22"/>
          <w:color w:val="auto"/>
        </w:rPr>
      </w:pPr>
    </w:p>
    <w:p>
      <w:pPr>
        <w:jc w:val="both"/>
        <w:ind w:right="360" w:firstLine="751"/>
        <w:spacing w:after="0" w:line="243" w:lineRule="auto"/>
        <w:tabs>
          <w:tab w:leader="none" w:pos="113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Annual Discretionary Bonus</w:t>
      </w:r>
      <w:r>
        <w:rPr>
          <w:rFonts w:ascii="Times New Roman" w:cs="Times New Roman" w:eastAsia="Times New Roman" w:hAnsi="Times New Roman"/>
          <w:sz w:val="21"/>
          <w:szCs w:val="21"/>
          <w:color w:val="auto"/>
        </w:rPr>
        <w:t>. For each calendar year during the Term of Employment (prorated for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Executive’s first calendar year of employment), the Executive will be eligible to earn an annual discretionary performance bonus (the “</w:t>
      </w:r>
      <w:r>
        <w:rPr>
          <w:rFonts w:ascii="Times New Roman" w:cs="Times New Roman" w:eastAsia="Times New Roman" w:hAnsi="Times New Roman"/>
          <w:sz w:val="21"/>
          <w:szCs w:val="21"/>
          <w:u w:val="single" w:color="auto"/>
          <w:color w:val="auto"/>
        </w:rPr>
        <w:t>Annual Discretionary Bonus</w:t>
      </w:r>
      <w:r>
        <w:rPr>
          <w:rFonts w:ascii="Times New Roman" w:cs="Times New Roman" w:eastAsia="Times New Roman" w:hAnsi="Times New Roman"/>
          <w:sz w:val="21"/>
          <w:szCs w:val="21"/>
          <w:color w:val="auto"/>
        </w:rPr>
        <w:t>”) in an initial amount of up to 40% of the Executive’s Base Salary (the “</w:t>
      </w:r>
      <w:r>
        <w:rPr>
          <w:rFonts w:ascii="Times New Roman" w:cs="Times New Roman" w:eastAsia="Times New Roman" w:hAnsi="Times New Roman"/>
          <w:sz w:val="21"/>
          <w:szCs w:val="21"/>
          <w:u w:val="single" w:color="auto"/>
          <w:color w:val="auto"/>
        </w:rPr>
        <w:t>Target Bonus</w:t>
      </w:r>
      <w:r>
        <w:rPr>
          <w:rFonts w:ascii="Times New Roman" w:cs="Times New Roman" w:eastAsia="Times New Roman" w:hAnsi="Times New Roman"/>
          <w:sz w:val="21"/>
          <w:szCs w:val="21"/>
          <w:color w:val="auto"/>
        </w:rPr>
        <w:t>”), based upon the Board’s assessment of the Executive’s performance and the Company’s attainment of targeted goals as set by the Board in its sole and absolute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applying the initial target bonus percentage of Base Salary and the revised target bonus percentage of Base Salary based on the portion of the year during which each was in effect. The Board may determine to pay any earned Annual Discretionary Bonus in the form of cash, vested equity award(s), or a combination of cash and equity, in its sole and absolute discretion. Following the close of each calendar year, the Board will determine whether the Executive has achieved an Annual Discretionary Bonus for such year, and the amount of any such Annual Discretionary Bonus, based on the set criteria (which, for the avoidance of doubt, may be less than the Target Bonus). The Annual Discretionary Bonus, if earned, will be paid by no later than March 15 of the calendar year after the year to which it relates. No amount of the Annual Discretionary Bonus is guaranteed, and the Executive must remain employed by the Company in good standing through the date of payment of an Annual Discretionary Bonus in order to earn and receive such bonus, except as may be specifically set forth in Section 7 below. The Executive’s bonus eligibility, and the terms and conditions of the bonus (including the Target Bonus amount), will be reviewed on an annual or more frequent basis by the Board and are subject to change in the discretion of the Board.</w:t>
      </w:r>
    </w:p>
    <w:p>
      <w:pPr>
        <w:spacing w:after="0" w:line="201" w:lineRule="exact"/>
        <w:rPr>
          <w:sz w:val="20"/>
          <w:szCs w:val="20"/>
          <w:color w:val="auto"/>
        </w:rPr>
      </w:pPr>
    </w:p>
    <w:p>
      <w:pPr>
        <w:ind w:right="360" w:firstLine="751"/>
        <w:spacing w:after="0" w:line="262" w:lineRule="auto"/>
        <w:tabs>
          <w:tab w:leader="none" w:pos="97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w:t>
      </w:r>
      <w:r>
        <w:rPr>
          <w:rFonts w:ascii="Times New Roman" w:cs="Times New Roman" w:eastAsia="Times New Roman" w:hAnsi="Times New Roman"/>
          <w:sz w:val="22"/>
          <w:szCs w:val="22"/>
          <w:color w:val="auto"/>
        </w:rPr>
        <w:t>. The Executive will be eligible to receive equity awards, if any, at such times and on such terms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conditions as the Board shall, in its sole discretion, determine.</w:t>
      </w:r>
    </w:p>
    <w:p>
      <w:pPr>
        <w:spacing w:after="0" w:line="18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829945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380" w:firstLine="783"/>
        <w:spacing w:after="0" w:line="246" w:lineRule="auto"/>
        <w:tabs>
          <w:tab w:leader="none" w:pos="1113" w:val="left"/>
        </w:tabs>
        <w:numPr>
          <w:ilvl w:val="4"/>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Additional Discretionary Equity Awards</w:t>
      </w:r>
      <w:r>
        <w:rPr>
          <w:rFonts w:ascii="Times New Roman" w:cs="Times New Roman" w:eastAsia="Times New Roman" w:hAnsi="Times New Roman"/>
          <w:sz w:val="22"/>
          <w:szCs w:val="22"/>
          <w:color w:val="auto"/>
        </w:rPr>
        <w:t>. During the Term of Employment, the Executive will be eligible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receive additional incentive equity awards, if any, at such times and on such terms and conditions as the Board shall, in its sole discretion, determine.</w:t>
      </w:r>
    </w:p>
    <w:p>
      <w:pPr>
        <w:spacing w:after="0" w:line="86" w:lineRule="exact"/>
        <w:rPr>
          <w:rFonts w:ascii="Times New Roman" w:cs="Times New Roman" w:eastAsia="Times New Roman" w:hAnsi="Times New Roman"/>
          <w:sz w:val="22"/>
          <w:szCs w:val="22"/>
          <w:color w:val="auto"/>
        </w:rPr>
      </w:pPr>
    </w:p>
    <w:p>
      <w:pPr>
        <w:ind w:right="380" w:firstLine="725"/>
        <w:spacing w:after="0" w:line="262" w:lineRule="auto"/>
        <w:tabs>
          <w:tab w:leader="none" w:pos="1113" w:val="left"/>
        </w:tabs>
        <w:numPr>
          <w:ilvl w:val="3"/>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Paid Time Off</w:t>
      </w:r>
      <w:r>
        <w:rPr>
          <w:rFonts w:ascii="Times New Roman" w:cs="Times New Roman" w:eastAsia="Times New Roman" w:hAnsi="Times New Roman"/>
          <w:sz w:val="22"/>
          <w:szCs w:val="22"/>
          <w:color w:val="auto"/>
        </w:rPr>
        <w:t>. During the Term of Employment, the Executive shall be entitled to paid time off, vacation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plus sick time, consistent with the Company’s policies.</w:t>
      </w:r>
    </w:p>
    <w:p>
      <w:pPr>
        <w:spacing w:after="0" w:line="149" w:lineRule="exact"/>
        <w:rPr>
          <w:rFonts w:ascii="Times New Roman" w:cs="Times New Roman" w:eastAsia="Times New Roman" w:hAnsi="Times New Roman"/>
          <w:sz w:val="22"/>
          <w:szCs w:val="22"/>
          <w:color w:val="auto"/>
        </w:rPr>
      </w:pPr>
    </w:p>
    <w:p>
      <w:pPr>
        <w:jc w:val="both"/>
        <w:ind w:right="360" w:firstLine="751"/>
        <w:spacing w:after="0" w:line="241" w:lineRule="auto"/>
        <w:tabs>
          <w:tab w:leader="none" w:pos="1139"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Business Expenses</w:t>
      </w:r>
      <w:r>
        <w:rPr>
          <w:rFonts w:ascii="Times New Roman" w:cs="Times New Roman" w:eastAsia="Times New Roman" w:hAnsi="Times New Roman"/>
          <w:sz w:val="22"/>
          <w:szCs w:val="22"/>
          <w:color w:val="auto"/>
        </w:rPr>
        <w:t>. Upon presentation of such substantiation and documentation as the Company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specify from time to time, the Executive will be reimbursed in accordance with the Company’s expense reimbursement policy as in effect from time to time for all eligible out-of-pocket business expenses incurred and paid by the Executive during the Term of Employment.</w:t>
      </w:r>
    </w:p>
    <w:p>
      <w:pPr>
        <w:spacing w:after="0" w:line="171" w:lineRule="exact"/>
        <w:rPr>
          <w:rFonts w:ascii="Times New Roman" w:cs="Times New Roman" w:eastAsia="Times New Roman" w:hAnsi="Times New Roman"/>
          <w:sz w:val="22"/>
          <w:szCs w:val="22"/>
          <w:color w:val="auto"/>
        </w:rPr>
      </w:pPr>
    </w:p>
    <w:p>
      <w:pPr>
        <w:jc w:val="both"/>
        <w:ind w:right="380" w:firstLine="725"/>
        <w:spacing w:after="0" w:line="241" w:lineRule="auto"/>
        <w:tabs>
          <w:tab w:leader="none" w:pos="1113" w:val="left"/>
        </w:tabs>
        <w:numPr>
          <w:ilvl w:val="3"/>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Benefits</w:t>
      </w:r>
      <w:r>
        <w:rPr>
          <w:rFonts w:ascii="Times New Roman" w:cs="Times New Roman" w:eastAsia="Times New Roman" w:hAnsi="Times New Roman"/>
          <w:sz w:val="22"/>
          <w:szCs w:val="22"/>
          <w:color w:val="auto"/>
        </w:rPr>
        <w:t>. During the Term of Employment, the Executive will be eligible to participate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benefit plan maintained by the Company for the benefit of its employees generally, subject to all of the terms and conditions (including eligibility requirements) of such plan. Notwithstanding the foregoing, the Company may modify or terminate any employee benefit plan at any time, in its sole and absolute discretion.</w:t>
      </w:r>
    </w:p>
    <w:p>
      <w:pPr>
        <w:spacing w:after="0" w:line="171" w:lineRule="exact"/>
        <w:rPr>
          <w:rFonts w:ascii="Times New Roman" w:cs="Times New Roman" w:eastAsia="Times New Roman" w:hAnsi="Times New Roman"/>
          <w:sz w:val="22"/>
          <w:szCs w:val="22"/>
          <w:color w:val="auto"/>
        </w:rPr>
      </w:pPr>
    </w:p>
    <w:p>
      <w:pPr>
        <w:jc w:val="both"/>
        <w:ind w:right="380" w:firstLine="725"/>
        <w:spacing w:after="0" w:line="246" w:lineRule="auto"/>
        <w:tabs>
          <w:tab w:leader="none" w:pos="111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Restrictive Covenants Agreement</w:t>
      </w:r>
      <w:r>
        <w:rPr>
          <w:rFonts w:ascii="Times New Roman" w:cs="Times New Roman" w:eastAsia="Times New Roman" w:hAnsi="Times New Roman"/>
          <w:sz w:val="22"/>
          <w:szCs w:val="22"/>
          <w:color w:val="auto"/>
        </w:rPr>
        <w:t>. The Executive hereby acknowledges that in connection with entering into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Agreement, the Executive shall be required to enter into, and agrees to strictly abide by, an Employee Confidentiality and Assignment Agreement with the Company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ECAA</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right="380" w:firstLine="725"/>
        <w:spacing w:after="0" w:line="262" w:lineRule="auto"/>
        <w:tabs>
          <w:tab w:leader="none" w:pos="111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Employment Termination</w:t>
      </w:r>
      <w:r>
        <w:rPr>
          <w:rFonts w:ascii="Times New Roman" w:cs="Times New Roman" w:eastAsia="Times New Roman" w:hAnsi="Times New Roman"/>
          <w:sz w:val="22"/>
          <w:szCs w:val="22"/>
          <w:color w:val="auto"/>
        </w:rPr>
        <w:t>. This Agreement, the Term of Employment, and the employment of the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terminate upon the occurrence of any of the following:</w:t>
      </w:r>
    </w:p>
    <w:p>
      <w:pPr>
        <w:spacing w:after="0" w:line="140" w:lineRule="exact"/>
        <w:rPr>
          <w:rFonts w:ascii="Times New Roman" w:cs="Times New Roman" w:eastAsia="Times New Roman" w:hAnsi="Times New Roman"/>
          <w:sz w:val="22"/>
          <w:szCs w:val="22"/>
          <w:color w:val="auto"/>
        </w:rPr>
      </w:pPr>
    </w:p>
    <w:p>
      <w:pPr>
        <w:jc w:val="both"/>
        <w:ind w:right="380" w:firstLine="725"/>
        <w:spacing w:after="0" w:line="248" w:lineRule="auto"/>
        <w:tabs>
          <w:tab w:leader="none" w:pos="1113"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Automatically and immediately upon the death or “Disability” of the Executive. As used in this Agreement, the term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 The Executive will cooperate in all respects with the Company if a question arises as to whether the Executive has become Disabled (including, without limitation, submitting to reasonable examinations by one or more medical doctors and other health care specialists selected by the Company).</w:t>
      </w:r>
    </w:p>
    <w:p>
      <w:pPr>
        <w:spacing w:after="0" w:line="170" w:lineRule="exact"/>
        <w:rPr>
          <w:rFonts w:ascii="Times New Roman" w:cs="Times New Roman" w:eastAsia="Times New Roman" w:hAnsi="Times New Roman"/>
          <w:sz w:val="21"/>
          <w:szCs w:val="21"/>
          <w:color w:val="auto"/>
        </w:rPr>
      </w:pPr>
    </w:p>
    <w:p>
      <w:pPr>
        <w:ind w:right="380" w:firstLine="725"/>
        <w:spacing w:after="0" w:line="258" w:lineRule="auto"/>
        <w:tabs>
          <w:tab w:leader="none" w:pos="1113" w:val="left"/>
        </w:tabs>
        <w:numPr>
          <w:ilvl w:val="3"/>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Company, with or without “Cause” (as defined below), immediately upon written notice by the Company to the Executive. As used in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w:t>
      </w:r>
    </w:p>
    <w:p>
      <w:pPr>
        <w:spacing w:after="0" w:line="144" w:lineRule="exact"/>
        <w:rPr>
          <w:rFonts w:ascii="Times New Roman" w:cs="Times New Roman" w:eastAsia="Times New Roman" w:hAnsi="Times New Roman"/>
          <w:sz w:val="22"/>
          <w:szCs w:val="22"/>
          <w:color w:val="auto"/>
        </w:rPr>
      </w:pPr>
    </w:p>
    <w:p>
      <w:pPr>
        <w:jc w:val="both"/>
        <w:ind w:left="1480" w:right="380" w:hanging="729"/>
        <w:spacing w:after="0" w:line="239" w:lineRule="auto"/>
        <w:tabs>
          <w:tab w:leader="none" w:pos="1480"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dishonest statements or acts with respect to the Company or any affiliate of the Company (each, a “</w:t>
      </w:r>
      <w:r>
        <w:rPr>
          <w:rFonts w:ascii="Times New Roman" w:cs="Times New Roman" w:eastAsia="Times New Roman" w:hAnsi="Times New Roman"/>
          <w:sz w:val="22"/>
          <w:szCs w:val="22"/>
          <w:u w:val="single" w:color="auto"/>
          <w:color w:val="auto"/>
        </w:rPr>
        <w:t>Group Company</w:t>
      </w:r>
      <w:r>
        <w:rPr>
          <w:rFonts w:ascii="Times New Roman" w:cs="Times New Roman" w:eastAsia="Times New Roman" w:hAnsi="Times New Roman"/>
          <w:sz w:val="22"/>
          <w:szCs w:val="22"/>
          <w:color w:val="auto"/>
        </w:rPr>
        <w:t>”), or any current or prospective customers, suppliers, vendors or other third parties with which such entity does business that results in or, in the good faith judgement of the Board, is anticipated to result in, material harm to any Group Company;</w:t>
      </w:r>
    </w:p>
    <w:p>
      <w:pPr>
        <w:spacing w:after="0" w:line="180" w:lineRule="exact"/>
        <w:rPr>
          <w:rFonts w:ascii="Times New Roman" w:cs="Times New Roman" w:eastAsia="Times New Roman" w:hAnsi="Times New Roman"/>
          <w:sz w:val="22"/>
          <w:szCs w:val="22"/>
          <w:color w:val="auto"/>
        </w:rPr>
      </w:pPr>
    </w:p>
    <w:p>
      <w:pPr>
        <w:ind w:left="1480" w:right="380" w:hanging="729"/>
        <w:spacing w:after="0" w:line="258" w:lineRule="auto"/>
        <w:tabs>
          <w:tab w:leader="none" w:pos="148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(including any plea of guilty or nolo contendere to), or indictment for, (A) a felony or (B) any misdemeanor involving moral turpitude,</w:t>
      </w:r>
    </w:p>
    <w:p>
      <w:pPr>
        <w:spacing w:after="0" w:line="1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821055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80" w:right="380"/>
        <w:spacing w:after="0" w:line="258" w:lineRule="auto"/>
        <w:rPr>
          <w:sz w:val="20"/>
          <w:szCs w:val="20"/>
          <w:color w:val="auto"/>
        </w:rPr>
      </w:pPr>
      <w:r>
        <w:rPr>
          <w:rFonts w:ascii="Times New Roman" w:cs="Times New Roman" w:eastAsia="Times New Roman" w:hAnsi="Times New Roman"/>
          <w:sz w:val="22"/>
          <w:szCs w:val="22"/>
          <w:color w:val="auto"/>
        </w:rPr>
        <w:t>deceit, dishonesty or fraud, or that materially and permanently impairs the Executive’s ability to perform the Executive’s duties with any Group Company;</w:t>
      </w:r>
    </w:p>
    <w:p>
      <w:pPr>
        <w:spacing w:after="0" w:line="91" w:lineRule="exact"/>
        <w:rPr>
          <w:sz w:val="20"/>
          <w:szCs w:val="20"/>
          <w:color w:val="auto"/>
        </w:rPr>
      </w:pPr>
    </w:p>
    <w:p>
      <w:pPr>
        <w:jc w:val="both"/>
        <w:ind w:left="1480" w:right="380" w:hanging="729"/>
        <w:spacing w:after="0" w:line="236" w:lineRule="auto"/>
        <w:tabs>
          <w:tab w:leader="none" w:pos="14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gross negligence, willful misconduct or insubordination with respect to any Group Company that results in or, in the good faith judgement of the Board, is anticipated to result in, material harm to any Group Company, provided, however, that the Executive shall have a period of not less than ten (10) days to cure any curable act or omission (as determined by the Board in its good faith discretion) constituting Cause described in this Section 6(b)(iii) following the Board’s delivery to the Executive of written notice of such act or omission;</w:t>
      </w:r>
    </w:p>
    <w:p>
      <w:pPr>
        <w:spacing w:after="0" w:line="167" w:lineRule="exact"/>
        <w:rPr>
          <w:rFonts w:ascii="Times New Roman" w:cs="Times New Roman" w:eastAsia="Times New Roman" w:hAnsi="Times New Roman"/>
          <w:sz w:val="22"/>
          <w:szCs w:val="22"/>
          <w:color w:val="auto"/>
        </w:rPr>
      </w:pPr>
    </w:p>
    <w:p>
      <w:pPr>
        <w:ind w:left="1480" w:right="380" w:hanging="729"/>
        <w:spacing w:after="0" w:line="258" w:lineRule="auto"/>
        <w:tabs>
          <w:tab w:leader="none" w:pos="14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theft, fraud, embezzlement, breach of fiduciary duty or material falsification of any documents or records of any Group Company;</w:t>
      </w:r>
    </w:p>
    <w:p>
      <w:pPr>
        <w:spacing w:after="0" w:line="144" w:lineRule="exact"/>
        <w:rPr>
          <w:rFonts w:ascii="Times New Roman" w:cs="Times New Roman" w:eastAsia="Times New Roman" w:hAnsi="Times New Roman"/>
          <w:sz w:val="22"/>
          <w:szCs w:val="22"/>
          <w:color w:val="auto"/>
        </w:rPr>
      </w:pPr>
    </w:p>
    <w:p>
      <w:pPr>
        <w:ind w:left="1480" w:right="380" w:hanging="729"/>
        <w:spacing w:after="0" w:line="258" w:lineRule="auto"/>
        <w:tabs>
          <w:tab w:leader="none" w:pos="14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failure to abide by any Group Company’s code of conduct or other policies (including policies relating to confidentiality and workplace conduct);</w:t>
      </w:r>
    </w:p>
    <w:p>
      <w:pPr>
        <w:spacing w:after="0" w:line="158" w:lineRule="exact"/>
        <w:rPr>
          <w:rFonts w:ascii="Times New Roman" w:cs="Times New Roman" w:eastAsia="Times New Roman" w:hAnsi="Times New Roman"/>
          <w:sz w:val="22"/>
          <w:szCs w:val="22"/>
          <w:color w:val="auto"/>
        </w:rPr>
      </w:pPr>
    </w:p>
    <w:p>
      <w:pPr>
        <w:ind w:left="1480" w:right="380" w:hanging="729"/>
        <w:spacing w:after="0" w:line="258" w:lineRule="auto"/>
        <w:tabs>
          <w:tab w:leader="none" w:pos="14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perform the Executive’s duties hereunder after written notice from the Board of such failure;</w:t>
      </w:r>
    </w:p>
    <w:p>
      <w:pPr>
        <w:spacing w:after="0" w:line="158" w:lineRule="exact"/>
        <w:rPr>
          <w:rFonts w:ascii="Times New Roman" w:cs="Times New Roman" w:eastAsia="Times New Roman" w:hAnsi="Times New Roman"/>
          <w:sz w:val="22"/>
          <w:szCs w:val="22"/>
          <w:color w:val="auto"/>
        </w:rPr>
      </w:pPr>
    </w:p>
    <w:p>
      <w:pPr>
        <w:jc w:val="both"/>
        <w:ind w:left="1480" w:right="380" w:hanging="729"/>
        <w:spacing w:after="0" w:line="244" w:lineRule="auto"/>
        <w:tabs>
          <w:tab w:leader="none" w:pos="14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unauthorized use, misappropriation, destruction or diversion of any tangible or intangible asset or corporate opportunity of a Group Company (including the Executive’s improper use or disclosure of a Group Company’s confidential or proprietary information);</w:t>
      </w:r>
    </w:p>
    <w:p>
      <w:pPr>
        <w:spacing w:after="0" w:line="173" w:lineRule="exact"/>
        <w:rPr>
          <w:rFonts w:ascii="Times New Roman" w:cs="Times New Roman" w:eastAsia="Times New Roman" w:hAnsi="Times New Roman"/>
          <w:sz w:val="22"/>
          <w:szCs w:val="22"/>
          <w:color w:val="auto"/>
        </w:rPr>
      </w:pPr>
    </w:p>
    <w:p>
      <w:pPr>
        <w:ind w:left="1480" w:right="380" w:hanging="729"/>
        <w:spacing w:after="0" w:line="258" w:lineRule="auto"/>
        <w:tabs>
          <w:tab w:leader="none" w:pos="14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willful failure to cooperate with the Company and its legal counsel in connection with any investigation or other legal or similar proceeding involving any Group Company; or</w:t>
      </w:r>
    </w:p>
    <w:p>
      <w:pPr>
        <w:spacing w:after="0" w:line="144" w:lineRule="exact"/>
        <w:rPr>
          <w:rFonts w:ascii="Times New Roman" w:cs="Times New Roman" w:eastAsia="Times New Roman" w:hAnsi="Times New Roman"/>
          <w:sz w:val="22"/>
          <w:szCs w:val="22"/>
          <w:color w:val="auto"/>
        </w:rPr>
      </w:pPr>
    </w:p>
    <w:p>
      <w:pPr>
        <w:jc w:val="both"/>
        <w:ind w:left="1480" w:right="380" w:hanging="729"/>
        <w:spacing w:after="0" w:line="244" w:lineRule="auto"/>
        <w:tabs>
          <w:tab w:leader="none" w:pos="148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violation of this Agreement or of any provision of any other agreement(s) between the Executive and the Company (including, without limitation, any provision relating to nonsolicitation, nondisclosure and/or assignment of inventions).</w:t>
      </w:r>
    </w:p>
    <w:p>
      <w:pPr>
        <w:spacing w:after="0" w:line="159" w:lineRule="exact"/>
        <w:rPr>
          <w:rFonts w:ascii="Times New Roman" w:cs="Times New Roman" w:eastAsia="Times New Roman" w:hAnsi="Times New Roman"/>
          <w:sz w:val="22"/>
          <w:szCs w:val="22"/>
          <w:color w:val="auto"/>
        </w:rPr>
      </w:pPr>
    </w:p>
    <w:p>
      <w:pPr>
        <w:jc w:val="both"/>
        <w:ind w:right="380" w:firstLine="783"/>
        <w:spacing w:after="0" w:line="261" w:lineRule="auto"/>
        <w:tabs>
          <w:tab w:leader="none" w:pos="1113"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without the Executive’s consent:</w:t>
      </w:r>
    </w:p>
    <w:p>
      <w:pPr>
        <w:spacing w:after="0" w:line="157" w:lineRule="exact"/>
        <w:rPr>
          <w:sz w:val="20"/>
          <w:szCs w:val="20"/>
          <w:color w:val="auto"/>
        </w:rPr>
      </w:pPr>
    </w:p>
    <w:p>
      <w:pPr>
        <w:jc w:val="both"/>
        <w:ind w:left="1480" w:right="380" w:hanging="729"/>
        <w:spacing w:after="0" w:line="244" w:lineRule="auto"/>
        <w:tabs>
          <w:tab w:leader="none" w:pos="14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the Executive’s Base Salary, other than in connection with, and substantially proportionate to, reductions by the Company of the base compensation of all or substantially all senior executives of the Company;</w:t>
      </w:r>
    </w:p>
    <w:p>
      <w:pPr>
        <w:spacing w:after="0" w:line="159" w:lineRule="exact"/>
        <w:rPr>
          <w:rFonts w:ascii="Times New Roman" w:cs="Times New Roman" w:eastAsia="Times New Roman" w:hAnsi="Times New Roman"/>
          <w:sz w:val="22"/>
          <w:szCs w:val="22"/>
          <w:color w:val="auto"/>
        </w:rPr>
      </w:pPr>
    </w:p>
    <w:p>
      <w:pPr>
        <w:ind w:left="1480" w:right="380" w:hanging="729"/>
        <w:spacing w:after="0" w:line="258" w:lineRule="auto"/>
        <w:tabs>
          <w:tab w:leader="none" w:pos="14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duties, authority or responsibilities (other than temporarily while physically or mentally incapacitated or as required by applicable law);</w:t>
      </w:r>
    </w:p>
    <w:p>
      <w:pPr>
        <w:spacing w:after="0" w:line="1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821055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480" w:right="380" w:hanging="729"/>
        <w:spacing w:after="0" w:line="244" w:lineRule="auto"/>
        <w:tabs>
          <w:tab w:leader="none" w:pos="14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Executive to relocate Executive’s primary office more than fifty (50) miles from the Executive’s then-current primary office, which increases the Executive’s one-way commute distance; or</w:t>
      </w:r>
    </w:p>
    <w:p>
      <w:pPr>
        <w:spacing w:after="0" w:line="173" w:lineRule="exact"/>
        <w:rPr>
          <w:rFonts w:ascii="Times New Roman" w:cs="Times New Roman" w:eastAsia="Times New Roman" w:hAnsi="Times New Roman"/>
          <w:sz w:val="22"/>
          <w:szCs w:val="22"/>
          <w:color w:val="auto"/>
        </w:rPr>
      </w:pPr>
    </w:p>
    <w:p>
      <w:pPr>
        <w:ind w:left="1480" w:right="380" w:hanging="729"/>
        <w:spacing w:after="0" w:line="258" w:lineRule="auto"/>
        <w:tabs>
          <w:tab w:leader="none" w:pos="14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Agreement between the Company and the Executive by the Company not otherwise covered by this paragraph;</w:t>
      </w:r>
    </w:p>
    <w:p>
      <w:pPr>
        <w:spacing w:after="0" w:line="145" w:lineRule="exact"/>
        <w:rPr>
          <w:sz w:val="20"/>
          <w:szCs w:val="20"/>
          <w:color w:val="auto"/>
        </w:rPr>
      </w:pPr>
    </w:p>
    <w:p>
      <w:pPr>
        <w:jc w:val="both"/>
        <w:ind w:right="380" w:firstLine="749"/>
        <w:spacing w:after="0" w:line="239" w:lineRule="auto"/>
        <w:rPr>
          <w:sz w:val="20"/>
          <w:szCs w:val="20"/>
          <w:color w:val="auto"/>
        </w:rPr>
      </w:pPr>
      <w:r>
        <w:rPr>
          <w:rFonts w:ascii="Times New Roman" w:cs="Times New Roman" w:eastAsia="Times New Roman" w:hAnsi="Times New Roman"/>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176" w:lineRule="exact"/>
        <w:rPr>
          <w:sz w:val="20"/>
          <w:szCs w:val="20"/>
          <w:color w:val="auto"/>
        </w:rPr>
      </w:pPr>
    </w:p>
    <w:p>
      <w:pPr>
        <w:ind w:left="1000" w:hanging="249"/>
        <w:spacing w:after="0"/>
        <w:tabs>
          <w:tab w:leader="none" w:pos="10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Termination.</w:t>
      </w:r>
    </w:p>
    <w:p>
      <w:pPr>
        <w:spacing w:after="0" w:line="206" w:lineRule="exact"/>
        <w:rPr>
          <w:sz w:val="20"/>
          <w:szCs w:val="20"/>
          <w:color w:val="auto"/>
        </w:rPr>
      </w:pPr>
    </w:p>
    <w:p>
      <w:pPr>
        <w:jc w:val="both"/>
        <w:ind w:right="360" w:firstLine="751"/>
        <w:spacing w:after="0" w:line="247" w:lineRule="auto"/>
        <w:tabs>
          <w:tab w:leader="none" w:pos="1139"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All Terminations Other Than by the Company Without Cause or by the Executive With Good Reason</w:t>
      </w:r>
      <w:r>
        <w:rPr>
          <w:rFonts w:ascii="Times New Roman" w:cs="Times New Roman" w:eastAsia="Times New Roman" w:hAnsi="Times New Roman"/>
          <w:sz w:val="21"/>
          <w:szCs w:val="21"/>
          <w:color w:val="auto"/>
        </w:rPr>
        <w:t>. If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Executive’s employment is terminated under any circumstances other than a Qualifying 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w:t>
      </w:r>
    </w:p>
    <w:p>
      <w:pPr>
        <w:jc w:val="both"/>
        <w:ind w:right="360" w:firstLine="2"/>
        <w:spacing w:after="0" w:line="232" w:lineRule="auto"/>
        <w:tabs>
          <w:tab w:leader="none" w:pos="27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Base Salary that has accrued and to which the Executive is entitled as of the Termination Date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4(f) hereof, to be paid in accordance with the Company’s expense reimbursement policy,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payments described in this sentence,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right="360" w:firstLine="751"/>
        <w:spacing w:after="0" w:line="233" w:lineRule="auto"/>
        <w:tabs>
          <w:tab w:leader="none" w:pos="113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by the Company Without Cause or by the Executive With Good Reason Prior to or More Than Twelve Months Following a Change in Control and Subject to Executive’s Good Performance for at Least Twelve Months. </w:t>
      </w:r>
      <w:r>
        <w:rPr>
          <w:rFonts w:ascii="Times New Roman" w:cs="Times New Roman" w:eastAsia="Times New Roman" w:hAnsi="Times New Roman"/>
          <w:sz w:val="22"/>
          <w:szCs w:val="22"/>
          <w:color w:val="auto"/>
        </w:rPr>
        <w:t>If (x) the Executive’s employment is terminated by the Company without Cause pursuant to Section 6(b)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for the avoidance of doubt, does not include any termination due to the Executive’s death or Disability pursuant to Section 6(a)) or by the Executive with Good Reason pursuant to Section 6(c) (in either case, a “</w:t>
      </w:r>
      <w:r>
        <w:rPr>
          <w:rFonts w:ascii="Times New Roman" w:cs="Times New Roman" w:eastAsia="Times New Roman" w:hAnsi="Times New Roman"/>
          <w:sz w:val="22"/>
          <w:szCs w:val="22"/>
          <w:u w:val="single" w:color="auto"/>
          <w:color w:val="auto"/>
        </w:rPr>
        <w:t>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prior to or more than twelve (12) months following a Change in Control (as defined below), and (y) such Qualifying Termination occurs after the Executive has completed at least twelve (12) months of employment with good performance for the Company (as determined by the Board in its sole and absolute discretion), then the Executive shall be entitled to the Accrued Obligations. In addition, and subject to Section 8 and the conditions of Section 7(d), in the case of a termination described in the preceding sentence, the Company shall: (i) continue to pay to the Executive, in equal periodic installments in accordance with the Company’s regularly established payroll procedures (not less frequently than monthly), the Executive’s Base Salary for a period of</w:t>
      </w:r>
    </w:p>
    <w:p>
      <w:pPr>
        <w:spacing w:after="0" w:line="2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829945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22"/>
          <w:szCs w:val="22"/>
          <w:color w:val="auto"/>
        </w:rPr>
        <w:t>nine (9) months commencing on the Payment Date (as defined below); and (ii) provided the Executive is eligible for and timely elects to continue receiving group medical coverage pursuant to the “COBRA” law, continue to pay (but in no event longer than eighteen nine (9) months following the Executive’s Termination Date) the share of the premium for such coverage that is paid by the Company for active and similarly-situated employees who receive the same type of coverage, unless the Company’s provision of such COBRA subsidy will violate the nondiscrimination requirements of applicable law, in which case this benefit will not apply (collectively, the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380" w:firstLine="725"/>
        <w:spacing w:after="0" w:line="234" w:lineRule="auto"/>
        <w:tabs>
          <w:tab w:leader="none" w:pos="111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by the Company Without Cause or by the Executive With Good Reason Within Twelve Months Following a Change in Control. </w:t>
      </w:r>
      <w:r>
        <w:rPr>
          <w:rFonts w:ascii="Times New Roman" w:cs="Times New Roman" w:eastAsia="Times New Roman" w:hAnsi="Times New Roman"/>
          <w:sz w:val="22"/>
          <w:szCs w:val="22"/>
          <w:color w:val="auto"/>
        </w:rPr>
        <w:t>If a Qualifying Termination occurs within twelve (12) months following a Change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 then the Executive shall be entitled to the Accrued Obligations. In addition, and subject to Section 8 and the conditions of Section 7(d), the Company shall: (i) continue to pay to the Executive, in equal periodic installments in accordance with the Company’s regularly established payroll procedures (not less frequently than monthly), the Executive’s Base Salary (or, if higher, the Executive’s Base Salary in effect immediately prior to the Change in Control) for a period of twelve (12) months commencing on the Payment Date;</w:t>
      </w:r>
    </w:p>
    <w:p>
      <w:pPr>
        <w:spacing w:after="0" w:line="2" w:lineRule="exact"/>
        <w:rPr>
          <w:rFonts w:ascii="Times New Roman" w:cs="Times New Roman" w:eastAsia="Times New Roman" w:hAnsi="Times New Roman"/>
          <w:sz w:val="22"/>
          <w:szCs w:val="22"/>
          <w:color w:val="auto"/>
        </w:rPr>
      </w:pPr>
    </w:p>
    <w:p>
      <w:pPr>
        <w:jc w:val="both"/>
        <w:ind w:right="380" w:firstLine="2"/>
        <w:spacing w:after="0" w:line="241" w:lineRule="auto"/>
        <w:tabs>
          <w:tab w:leader="none" w:pos="32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 to the Executive, in a single lump sum on the Payment Date, an amount equal to 100% of the Executive’s Target Bonus for the year in which termination occurs or, if higher, the Executive’s Target Bonus immediately prior to the Change in Control; (iii) provided the Executive is eligible for and timely elects to continue receiving group medical coverage pursuant to the “COBRA” law, continue to pay (but in no event longer than twelve (12) months following the Executive’s Termination Date) the share of the premium for such coverage that is paid by the Company for active and similarly-situated employees who receive the same type of coverage, unless the Company’s provision of such COBRA subsidy will violate the nondiscrimination requirements of applicable law, in which case this benefit will not apply; and</w:t>
      </w:r>
    </w:p>
    <w:p>
      <w:pPr>
        <w:spacing w:after="0" w:line="3" w:lineRule="exact"/>
        <w:rPr>
          <w:rFonts w:ascii="Times New Roman" w:cs="Times New Roman" w:eastAsia="Times New Roman" w:hAnsi="Times New Roman"/>
          <w:sz w:val="21"/>
          <w:szCs w:val="21"/>
          <w:color w:val="auto"/>
        </w:rPr>
      </w:pPr>
    </w:p>
    <w:p>
      <w:pPr>
        <w:jc w:val="both"/>
        <w:ind w:right="360" w:firstLine="2"/>
        <w:spacing w:after="0" w:line="234" w:lineRule="auto"/>
        <w:tabs>
          <w:tab w:leader="none" w:pos="36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w:t>
      </w:r>
      <w:r>
        <w:rPr>
          <w:rFonts w:ascii="Times New Roman" w:cs="Times New Roman" w:eastAsia="Times New Roman" w:hAnsi="Times New Roman"/>
          <w:sz w:val="22"/>
          <w:szCs w:val="22"/>
          <w:u w:val="single" w:color="auto"/>
          <w:color w:val="auto"/>
        </w:rPr>
        <w:t>Change in Control 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right="380" w:firstLine="725"/>
        <w:spacing w:after="0" w:line="233" w:lineRule="auto"/>
        <w:tabs>
          <w:tab w:leader="none" w:pos="111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As a condition of the Executive’s receipt of the Severance Benefits or the Change in Control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Severance Benefits, as applicable, the Executive must execute and deliver to the Company a severance and release of claims agreement in a form to be provided by the Company (the “</w:t>
      </w:r>
      <w:r>
        <w:rPr>
          <w:rFonts w:ascii="Times New Roman" w:cs="Times New Roman" w:eastAsia="Times New Roman" w:hAnsi="Times New Roman"/>
          <w:sz w:val="22"/>
          <w:szCs w:val="22"/>
          <w:u w:val="single" w:color="auto"/>
          <w:color w:val="auto"/>
        </w:rPr>
        <w:t>Severance Agreement</w:t>
      </w:r>
      <w:r>
        <w:rPr>
          <w:rFonts w:ascii="Times New Roman" w:cs="Times New Roman" w:eastAsia="Times New Roman" w:hAnsi="Times New Roman"/>
          <w:sz w:val="22"/>
          <w:szCs w:val="22"/>
          <w:color w:val="auto"/>
        </w:rPr>
        <w:t>”), which Severance Agreement must become irrevocable within 60 days following the Executive’s Termination Date (or such shorter period as may be directed by the Company). The Severance Benefits or the Change in Control Severance Benefits (other than any COBRA subsidy), as applicable, will be paid or commence to be paid in the first regular payroll beginning after the Severance Agreement becomes effective and irrevocable, provided that if the foregoing 60 day period (or such shorter period as may be directed by the Company) would end in a calendar year subsequent to the year in which the Executive’s employment ends, the Severance Benefits or Change in Control Severance Benefits (other than any COBRA subsidy), as applicable, will not be paid or begin to be paid before the first payroll of the subsequent calendar year (the date the Severance Benefits or Change in Control Severance Benefits, as applicable, commence pursuant to this sentence, the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The Executive must continue to comply with the ECAA and any similar agreement with the Company or its</w:t>
      </w:r>
    </w:p>
    <w:p>
      <w:pPr>
        <w:spacing w:after="0" w:line="22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821055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affiliates in order to be eligible to continue receiving the Severance Benefits or Change in Control Severance Benefits, as applicable.</w:t>
      </w:r>
    </w:p>
    <w:p>
      <w:pPr>
        <w:spacing w:after="0" w:line="154" w:lineRule="exact"/>
        <w:rPr>
          <w:sz w:val="20"/>
          <w:szCs w:val="20"/>
          <w:color w:val="auto"/>
        </w:rPr>
      </w:pPr>
    </w:p>
    <w:p>
      <w:pPr>
        <w:jc w:val="both"/>
        <w:ind w:right="380" w:firstLine="725"/>
        <w:spacing w:after="0" w:line="237" w:lineRule="auto"/>
        <w:tabs>
          <w:tab w:leader="none" w:pos="1113"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 Definition</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occurrence of any of the following events</w:t>
      </w:r>
      <w:r>
        <w:rPr>
          <w:rFonts w:ascii="Times New Roman" w:cs="Times New Roman" w:eastAsia="Times New Roman" w:hAnsi="Times New Roman"/>
          <w:sz w:val="22"/>
          <w:szCs w:val="22"/>
          <w:i w:val="1"/>
          <w:iCs w:val="1"/>
          <w:color w:val="auto"/>
        </w:rPr>
        <w:t>, provided that such event or occurrence constitutes a change in the 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 effective control of the Company, or a change in the ownership of a substantial portion of the assets of the Company, as defined in Treasury Regulation</w:t>
      </w:r>
    </w:p>
    <w:p>
      <w:pPr>
        <w:jc w:val="both"/>
        <w:ind w:right="360" w:firstLine="2"/>
        <w:spacing w:after="0" w:line="230" w:lineRule="auto"/>
        <w:tabs>
          <w:tab w:leader="none" w:pos="287" w:val="left"/>
        </w:tabs>
        <w:numPr>
          <w:ilvl w:val="0"/>
          <w:numId w:val="8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1.409A-3(i)(5)(v), (vi) and (vii)</w:t>
      </w:r>
      <w:r>
        <w:rPr>
          <w:rFonts w:ascii="Times New Roman" w:cs="Times New Roman" w:eastAsia="Times New Roman" w:hAnsi="Times New Roman"/>
          <w:sz w:val="22"/>
          <w:szCs w:val="22"/>
          <w:color w:val="auto"/>
        </w:rPr>
        <w:t>: (i) the acquisition by an individual, entity or group (within the meaning of Section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13(d)(3) or 14(d)(2) of the Securities Exchange Act of 1934 (the “E</w:t>
      </w:r>
      <w:r>
        <w:rPr>
          <w:rFonts w:ascii="Times New Roman" w:cs="Times New Roman" w:eastAsia="Times New Roman" w:hAnsi="Times New Roman"/>
          <w:sz w:val="22"/>
          <w:szCs w:val="22"/>
          <w:u w:val="single" w:color="auto"/>
          <w:color w:val="auto"/>
        </w:rPr>
        <w:t>xchange Act</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of beneficial ownership of any capital stock of the Company if, after such acquisition, such Person beneficially owns (within the meaning of Rule 13d-3 under the Exchange Act) fifty percent (50%) or more of either (x) the then-outstanding shares of common stock of the Company (the “</w:t>
      </w:r>
      <w:r>
        <w:rPr>
          <w:rFonts w:ascii="Times New Roman" w:cs="Times New Roman" w:eastAsia="Times New Roman" w:hAnsi="Times New Roman"/>
          <w:sz w:val="22"/>
          <w:szCs w:val="22"/>
          <w:u w:val="single" w:color="auto"/>
          <w:color w:val="auto"/>
        </w:rPr>
        <w:t>Outstanding Company Common Stock</w:t>
      </w:r>
      <w:r>
        <w:rPr>
          <w:rFonts w:ascii="Times New Roman" w:cs="Times New Roman" w:eastAsia="Times New Roman" w:hAnsi="Times New Roman"/>
          <w:sz w:val="22"/>
          <w:szCs w:val="22"/>
          <w:color w:val="auto"/>
        </w:rPr>
        <w:t>”) or (y) the combined voting power of the then-outstanding securities of the Company entitled to vote generally in the election of directors (the “</w:t>
      </w:r>
      <w:r>
        <w:rPr>
          <w:rFonts w:ascii="Times New Roman" w:cs="Times New Roman" w:eastAsia="Times New Roman" w:hAnsi="Times New Roman"/>
          <w:sz w:val="22"/>
          <w:szCs w:val="22"/>
          <w:u w:val="single" w:color="auto"/>
          <w:color w:val="auto"/>
        </w:rPr>
        <w:t>Outstanding Company 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w:t>
      </w:r>
      <w:r>
        <w:rPr>
          <w:rFonts w:ascii="Times New Roman" w:cs="Times New Roman" w:eastAsia="Times New Roman" w:hAnsi="Times New Roman"/>
          <w:sz w:val="22"/>
          <w:szCs w:val="22"/>
          <w:u w:val="single" w:color="auto"/>
          <w:color w:val="auto"/>
        </w:rPr>
        <w:t>Continuing Director</w:t>
      </w:r>
      <w:r>
        <w:rPr>
          <w:rFonts w:ascii="Times New Roman" w:cs="Times New Roman" w:eastAsia="Times New Roman" w:hAnsi="Times New Roman"/>
          <w:sz w:val="22"/>
          <w:szCs w:val="22"/>
          <w:color w:val="auto"/>
        </w:rPr>
        <w:t>”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Combination</w:t>
      </w:r>
      <w:r>
        <w:rPr>
          <w:rFonts w:ascii="Times New Roman" w:cs="Times New Roman" w:eastAsia="Times New Roman" w:hAnsi="Times New Roman"/>
          <w:sz w:val="22"/>
          <w:szCs w:val="22"/>
          <w:color w:val="auto"/>
        </w:rPr>
        <w:t>”),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w:t>
      </w:r>
      <w:r>
        <w:rPr>
          <w:rFonts w:ascii="Times New Roman" w:cs="Times New Roman" w:eastAsia="Times New Roman" w:hAnsi="Times New Roman"/>
          <w:sz w:val="22"/>
          <w:szCs w:val="22"/>
          <w:u w:val="single" w:color="auto"/>
          <w:color w:val="auto"/>
        </w:rPr>
        <w:t>quiring Corporation</w:t>
      </w:r>
      <w:r>
        <w:rPr>
          <w:rFonts w:ascii="Times New Roman" w:cs="Times New Roman" w:eastAsia="Times New Roman" w:hAnsi="Times New Roman"/>
          <w:sz w:val="22"/>
          <w:szCs w:val="22"/>
          <w:color w:val="auto"/>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w:t>
      </w:r>
    </w:p>
    <w:p>
      <w:pPr>
        <w:spacing w:after="0" w:line="25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821055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360"/>
        <w:spacing w:after="0" w:line="239" w:lineRule="auto"/>
        <w:rPr>
          <w:sz w:val="20"/>
          <w:szCs w:val="20"/>
          <w:color w:val="auto"/>
        </w:rPr>
      </w:pPr>
      <w:r>
        <w:rPr>
          <w:rFonts w:ascii="Times New Roman" w:cs="Times New Roman" w:eastAsia="Times New Roman" w:hAnsi="Times New Roman"/>
          <w:sz w:val="22"/>
          <w:szCs w:val="22"/>
          <w:color w:val="auto"/>
        </w:rPr>
        <w:t>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190" w:lineRule="exact"/>
        <w:rPr>
          <w:sz w:val="20"/>
          <w:szCs w:val="20"/>
          <w:color w:val="auto"/>
        </w:rPr>
      </w:pPr>
    </w:p>
    <w:p>
      <w:pPr>
        <w:ind w:left="1000" w:hanging="249"/>
        <w:spacing w:after="0"/>
        <w:tabs>
          <w:tab w:leader="none" w:pos="10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Matters.</w:t>
      </w:r>
    </w:p>
    <w:p>
      <w:pPr>
        <w:spacing w:after="0" w:line="193" w:lineRule="exact"/>
        <w:rPr>
          <w:sz w:val="20"/>
          <w:szCs w:val="20"/>
          <w:color w:val="auto"/>
        </w:rPr>
      </w:pPr>
    </w:p>
    <w:p>
      <w:pPr>
        <w:ind w:right="380" w:firstLine="725"/>
        <w:spacing w:after="0" w:line="262" w:lineRule="auto"/>
        <w:tabs>
          <w:tab w:leader="none" w:pos="111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w:t>
      </w:r>
      <w:r>
        <w:rPr>
          <w:rFonts w:ascii="Times New Roman" w:cs="Times New Roman" w:eastAsia="Times New Roman" w:hAnsi="Times New Roman"/>
          <w:sz w:val="22"/>
          <w:szCs w:val="22"/>
          <w:color w:val="auto"/>
        </w:rPr>
        <w:t>. The Company may withhold from any compensation and benefits payable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all applicable federal, state, local, or other taxes, and any other applicable withholdings and deductions.</w:t>
      </w:r>
    </w:p>
    <w:p>
      <w:pPr>
        <w:spacing w:after="0" w:line="149" w:lineRule="exact"/>
        <w:rPr>
          <w:rFonts w:ascii="Times New Roman" w:cs="Times New Roman" w:eastAsia="Times New Roman" w:hAnsi="Times New Roman"/>
          <w:sz w:val="22"/>
          <w:szCs w:val="22"/>
          <w:color w:val="auto"/>
        </w:rPr>
      </w:pPr>
    </w:p>
    <w:p>
      <w:pPr>
        <w:ind w:left="1180" w:hanging="429"/>
        <w:spacing w:after="0"/>
        <w:tabs>
          <w:tab w:leader="none" w:pos="118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409A</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480" w:right="380" w:hanging="729"/>
        <w:spacing w:after="0" w:line="234"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Company does not guarantee the tax treatment of any payments or benefits under this Agreement, the intent of the Parties is that the payments and benefits under this Agreement be exempt from or, to the extent not exempt, comply with, Section 409A of the Code and the regulations and guidance promulgated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accordingly, to the maximum extent possible, this Agreement will be interpreted and construed consistent with such intent. Notwithstanding the foregoing, the Company does not guarantee any particular tax result, and in no event whatsoever will the Company, its affiliates, or their respective officers, directors, employees, counsel or other service providers, be liable for any tax, interest or penalty that may be imposed on the Executive by Section 409A or damages for failing to comply with Section 409A.</w:t>
      </w:r>
    </w:p>
    <w:p>
      <w:pPr>
        <w:spacing w:after="0" w:line="183" w:lineRule="exact"/>
        <w:rPr>
          <w:rFonts w:ascii="Times New Roman" w:cs="Times New Roman" w:eastAsia="Times New Roman" w:hAnsi="Times New Roman"/>
          <w:sz w:val="22"/>
          <w:szCs w:val="22"/>
          <w:color w:val="auto"/>
        </w:rPr>
      </w:pPr>
    </w:p>
    <w:p>
      <w:pPr>
        <w:jc w:val="both"/>
        <w:ind w:left="1480" w:right="380" w:hanging="729"/>
        <w:spacing w:after="0" w:line="238"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the Executive’s right to receive installment payments pursuant to this Agreement shall be treated as a right to receive a series of separate payments and, accordingly, each installment payment will at all times be considered a separate and distinct payment. Whenever a payment hereunder specifies a payment period with reference to a number of days, the actual date of payment within the specified period shall be within the sole discretion of the Company.</w:t>
      </w:r>
    </w:p>
    <w:p>
      <w:pPr>
        <w:spacing w:after="0" w:line="176" w:lineRule="exact"/>
        <w:rPr>
          <w:rFonts w:ascii="Times New Roman" w:cs="Times New Roman" w:eastAsia="Times New Roman" w:hAnsi="Times New Roman"/>
          <w:sz w:val="22"/>
          <w:szCs w:val="22"/>
          <w:color w:val="auto"/>
        </w:rPr>
      </w:pPr>
    </w:p>
    <w:p>
      <w:pPr>
        <w:jc w:val="both"/>
        <w:ind w:left="1480" w:right="360" w:hanging="729"/>
        <w:spacing w:after="0" w:line="235"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reimbursements or other in-kind benefits hereunder constitute “deferred compensation” subject to Section 409A, (x) all expenses or other reimbursements hereunder will be made on or prior to the last day of the taxable year following the taxable year in which such expenses were incurred by the Executive, (y) any right to reimbursement or in-kind benefits will not be subject to liquidation or exchange for another benefit, and (z) no such reimbursement, expenses eligible for reimbursement, or in-kind benefits provided in any taxable year will in any way affect the expenses eligible for reimbursement, or in-kind benefits to be provided, in any other taxable year.</w:t>
      </w:r>
    </w:p>
    <w:p>
      <w:pPr>
        <w:spacing w:after="0" w:line="183" w:lineRule="exact"/>
        <w:rPr>
          <w:rFonts w:ascii="Times New Roman" w:cs="Times New Roman" w:eastAsia="Times New Roman" w:hAnsi="Times New Roman"/>
          <w:sz w:val="22"/>
          <w:szCs w:val="22"/>
          <w:color w:val="auto"/>
        </w:rPr>
      </w:pPr>
    </w:p>
    <w:p>
      <w:pPr>
        <w:ind w:left="1480" w:right="380" w:hanging="729"/>
        <w:spacing w:after="0" w:line="258" w:lineRule="auto"/>
        <w:tabs>
          <w:tab w:leader="none" w:pos="14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provision of this Agreement to the contrary notwithstanding, in no event will any payment or benefit hereunder that constitutes “deferred compensation”</w:t>
      </w:r>
    </w:p>
    <w:p>
      <w:pPr>
        <w:spacing w:after="0" w:line="1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821055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500" w:right="420"/>
        <w:spacing w:after="0" w:line="258" w:lineRule="auto"/>
        <w:rPr>
          <w:sz w:val="20"/>
          <w:szCs w:val="20"/>
          <w:color w:val="auto"/>
        </w:rPr>
      </w:pPr>
      <w:r>
        <w:rPr>
          <w:rFonts w:ascii="Times New Roman" w:cs="Times New Roman" w:eastAsia="Times New Roman" w:hAnsi="Times New Roman"/>
          <w:sz w:val="22"/>
          <w:szCs w:val="22"/>
          <w:color w:val="auto"/>
        </w:rPr>
        <w:t>subject to Section 409A be subject to offset by any other amount unless otherwise permitted by Section 409A.</w:t>
      </w:r>
    </w:p>
    <w:p>
      <w:pPr>
        <w:spacing w:after="0" w:line="158" w:lineRule="exact"/>
        <w:rPr>
          <w:sz w:val="20"/>
          <w:szCs w:val="20"/>
          <w:color w:val="auto"/>
        </w:rPr>
      </w:pPr>
    </w:p>
    <w:p>
      <w:pPr>
        <w:jc w:val="both"/>
        <w:ind w:left="1480" w:right="380" w:hanging="729"/>
        <w:spacing w:after="0" w:line="235" w:lineRule="auto"/>
        <w:tabs>
          <w:tab w:leader="none" w:pos="14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termination of employment will not be deemed to have occurred for purposes of any provision of this Agreement providing for the payment of any amounts or benefits that constitute “deferred compensation” subject to Section 409A upon or following a termination of employment, unless such termination is also a “separation from service” within the meaning of Section 409A, and, for purposes of any such provision, all references in this Agreement to the Executive’s “termination”, “termination of employment” or like terms will mean the Executive’s “separation from service” with the Company, and the date of such separation from service will be the date of termination for purposes of any such payment or benefit.</w:t>
      </w:r>
    </w:p>
    <w:p>
      <w:pPr>
        <w:spacing w:after="0" w:line="178" w:lineRule="exact"/>
        <w:rPr>
          <w:rFonts w:ascii="Times New Roman" w:cs="Times New Roman" w:eastAsia="Times New Roman" w:hAnsi="Times New Roman"/>
          <w:sz w:val="22"/>
          <w:szCs w:val="22"/>
          <w:color w:val="auto"/>
        </w:rPr>
      </w:pPr>
    </w:p>
    <w:p>
      <w:pPr>
        <w:jc w:val="both"/>
        <w:ind w:left="1480" w:right="380" w:hanging="729"/>
        <w:spacing w:after="0" w:line="244" w:lineRule="auto"/>
        <w:tabs>
          <w:tab w:leader="none" w:pos="148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if, at the time of the Executive’s separation from service, the Executive is a “specified employee” within the meaning and in accordance with Treasury Regulation Section 1.409A-1(i), then the Company will defer the payment or commencement of any “deferred compensation” subject to Section 409A that is payable upon separation from service (without any reduction in such payments or benefits ultimately paid or provided to the Executive) until the date that is six (6) months following separation from service or, if earlier, the earliest other date as is permitted under Section 409A (and any amounts that otherwise would have been paid during this deferral period will be paid in a lump sum on the day after the expiration of the six</w:t>
      </w:r>
    </w:p>
    <w:p>
      <w:pPr>
        <w:spacing w:after="0" w:line="3" w:lineRule="exact"/>
        <w:rPr>
          <w:rFonts w:ascii="Times New Roman" w:cs="Times New Roman" w:eastAsia="Times New Roman" w:hAnsi="Times New Roman"/>
          <w:sz w:val="21"/>
          <w:szCs w:val="21"/>
          <w:color w:val="auto"/>
        </w:rPr>
      </w:pPr>
    </w:p>
    <w:p>
      <w:pPr>
        <w:jc w:val="both"/>
        <w:ind w:left="1500" w:right="380" w:firstLine="1"/>
        <w:spacing w:after="0" w:line="235" w:lineRule="auto"/>
        <w:tabs>
          <w:tab w:leader="none" w:pos="1859"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or such shorter period, if applicable). The Company will determine in its sole discretion all matters relating to who is a “specified employee” and the application of and effects of the change in such determination.</w:t>
      </w:r>
    </w:p>
    <w:p>
      <w:pPr>
        <w:spacing w:after="0" w:line="160" w:lineRule="exact"/>
        <w:rPr>
          <w:rFonts w:ascii="Times New Roman" w:cs="Times New Roman" w:eastAsia="Times New Roman" w:hAnsi="Times New Roman"/>
          <w:sz w:val="22"/>
          <w:szCs w:val="22"/>
          <w:color w:val="auto"/>
        </w:rPr>
      </w:pPr>
    </w:p>
    <w:p>
      <w:pPr>
        <w:jc w:val="both"/>
        <w:ind w:right="360" w:firstLine="751"/>
        <w:spacing w:after="0" w:line="234" w:lineRule="auto"/>
        <w:tabs>
          <w:tab w:leader="none" w:pos="11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 280G</w:t>
      </w:r>
      <w:r>
        <w:rPr>
          <w:rFonts w:ascii="Times New Roman" w:cs="Times New Roman" w:eastAsia="Times New Roman" w:hAnsi="Times New Roman"/>
          <w:sz w:val="22"/>
          <w:szCs w:val="22"/>
          <w:color w:val="auto"/>
        </w:rPr>
        <w:t>. In the event that any payments and other benefits provided for in this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payable to the Executive constitute “parachute payments” within the meaning of Section 280G of the Code, and, but for this paragraph, would be subject to the excise tax imposed by Section 4999 of the Code, then any post-termination severance payments and benefits payable under this Agreement or otherwise will be either (1) delivered in full or (2) delivered as to such lesser extent which would result in no portion of such payments and benefits being subject to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payments and benefits, notwithstanding that all or some portion of such benefits may be taxable under Section 4999 of the Code. If a reduction in the Executive’s payments and benefits is necessitated by the preceding sentence, such reduction will occur in the following order:</w:t>
      </w:r>
    </w:p>
    <w:p>
      <w:pPr>
        <w:spacing w:after="0" w:line="235" w:lineRule="auto"/>
        <w:rPr>
          <w:sz w:val="20"/>
          <w:szCs w:val="20"/>
          <w:color w:val="auto"/>
        </w:rPr>
      </w:pPr>
      <w:r>
        <w:rPr>
          <w:rFonts w:ascii="Times New Roman" w:cs="Times New Roman" w:eastAsia="Times New Roman" w:hAnsi="Times New Roman"/>
          <w:sz w:val="22"/>
          <w:szCs w:val="22"/>
          <w:color w:val="auto"/>
        </w:rPr>
        <w:t>(i) any cash amounts payable to the Executive, (ii) any benefits valued as parachute payments, and</w:t>
      </w:r>
    </w:p>
    <w:p>
      <w:pPr>
        <w:jc w:val="both"/>
        <w:ind w:right="360" w:firstLine="2"/>
        <w:spacing w:after="0" w:line="233" w:lineRule="auto"/>
        <w:tabs>
          <w:tab w:leader="none" w:pos="41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acceleration of vesting of any equity awards. Any determination required under this paragraph will be made in writing by the Company’s independent public accountants (the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whose determination will be conclusive and binding upon the Executive and the Company. For purposes of making the calculations required by this paragraph, the Firm may make reasonable assumptions and approximations concerning applicable taxes and may rely on reasonable, good faith</w:t>
      </w:r>
    </w:p>
    <w:p>
      <w:pPr>
        <w:spacing w:after="0" w:line="20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829945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360"/>
        <w:spacing w:after="0" w:line="239" w:lineRule="auto"/>
        <w:rPr>
          <w:sz w:val="20"/>
          <w:szCs w:val="20"/>
          <w:color w:val="auto"/>
        </w:rPr>
      </w:pPr>
      <w:r>
        <w:rPr>
          <w:rFonts w:ascii="Times New Roman" w:cs="Times New Roman" w:eastAsia="Times New Roman" w:hAnsi="Times New Roman"/>
          <w:sz w:val="22"/>
          <w:szCs w:val="22"/>
          <w:color w:val="auto"/>
        </w:rPr>
        <w:t>interpretations concerning the application of Sections 280G and 4999 of the Code. The Company and the Executive will furnish to the Firm such information and documents as the Firm may reasonably request in order to make a determination under this paragraph. The Company will bear all costs the Firm may incur in connection with any calculations contemplated by this paragraph.</w:t>
      </w:r>
    </w:p>
    <w:p>
      <w:pPr>
        <w:spacing w:after="0" w:line="176" w:lineRule="exact"/>
        <w:rPr>
          <w:sz w:val="20"/>
          <w:szCs w:val="20"/>
          <w:color w:val="auto"/>
        </w:rPr>
      </w:pPr>
    </w:p>
    <w:p>
      <w:pPr>
        <w:jc w:val="both"/>
        <w:ind w:right="380" w:firstLine="725"/>
        <w:spacing w:after="0" w:line="238" w:lineRule="auto"/>
        <w:tabs>
          <w:tab w:leader="none" w:pos="111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Clawback</w:t>
      </w:r>
      <w:r>
        <w:rPr>
          <w:rFonts w:ascii="Times New Roman" w:cs="Times New Roman" w:eastAsia="Times New Roman" w:hAnsi="Times New Roman"/>
          <w:sz w:val="22"/>
          <w:szCs w:val="22"/>
          <w:color w:val="auto"/>
        </w:rPr>
        <w:t>. To the maximum extent permitted by applicable law, all amounts paid or provided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hereunder shall be subject to any clawback or recoupment policy that may be maintained by the Company from time to time, and the requirements of any law or regulation applicable to the Company and governing the clawback or recoupment of executive compensation, or as set forth in any final non-appealable order by any court of competent jurisdiction or arbitrator.</w:t>
      </w:r>
    </w:p>
    <w:p>
      <w:pPr>
        <w:spacing w:after="0" w:line="176" w:lineRule="exact"/>
        <w:rPr>
          <w:rFonts w:ascii="Times New Roman" w:cs="Times New Roman" w:eastAsia="Times New Roman" w:hAnsi="Times New Roman"/>
          <w:sz w:val="22"/>
          <w:szCs w:val="22"/>
          <w:color w:val="auto"/>
        </w:rPr>
      </w:pPr>
    </w:p>
    <w:p>
      <w:pPr>
        <w:jc w:val="both"/>
        <w:ind w:right="380" w:firstLine="725"/>
        <w:spacing w:after="0" w:line="241" w:lineRule="auto"/>
        <w:tabs>
          <w:tab w:leader="none" w:pos="111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Restrictions</w:t>
      </w:r>
      <w:r>
        <w:rPr>
          <w:rFonts w:ascii="Times New Roman" w:cs="Times New Roman" w:eastAsia="Times New Roman" w:hAnsi="Times New Roman"/>
          <w:sz w:val="22"/>
          <w:szCs w:val="22"/>
          <w:color w:val="auto"/>
        </w:rPr>
        <w:t>. The Executive represents and warrants that the Executive is not bound by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171" w:lineRule="exact"/>
        <w:rPr>
          <w:rFonts w:ascii="Times New Roman" w:cs="Times New Roman" w:eastAsia="Times New Roman" w:hAnsi="Times New Roman"/>
          <w:sz w:val="22"/>
          <w:szCs w:val="22"/>
          <w:color w:val="auto"/>
        </w:rPr>
      </w:pPr>
    </w:p>
    <w:p>
      <w:pPr>
        <w:jc w:val="both"/>
        <w:ind w:right="380" w:firstLine="725"/>
        <w:spacing w:after="0" w:line="241" w:lineRule="auto"/>
        <w:tabs>
          <w:tab w:leader="none" w:pos="111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Any notice delivered under this Agreement shall be deemed duly delivered three (3) business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it is 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To Executive: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 the address set forth in the Executive’s personnel file To Company:</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Fulcrum Therapeutics, Inc.</w:t>
      </w:r>
    </w:p>
    <w:p>
      <w:pPr>
        <w:ind w:left="760"/>
        <w:spacing w:after="0"/>
        <w:rPr>
          <w:sz w:val="20"/>
          <w:szCs w:val="20"/>
          <w:color w:val="auto"/>
        </w:rPr>
      </w:pPr>
      <w:r>
        <w:rPr>
          <w:rFonts w:ascii="Times New Roman" w:cs="Times New Roman" w:eastAsia="Times New Roman" w:hAnsi="Times New Roman"/>
          <w:sz w:val="22"/>
          <w:szCs w:val="22"/>
          <w:color w:val="auto"/>
        </w:rPr>
        <w:t>26 Landsdowne Street,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Cambridge, MA 02139</w:t>
      </w:r>
    </w:p>
    <w:p>
      <w:pPr>
        <w:spacing w:after="0" w:line="144"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Either Party may change the address to which notices are to be delivered by giving notice of such change to the other Party in the manner set forth in this Section 11.</w:t>
      </w:r>
    </w:p>
    <w:p>
      <w:pPr>
        <w:spacing w:after="0" w:line="141" w:lineRule="exact"/>
        <w:rPr>
          <w:sz w:val="20"/>
          <w:szCs w:val="20"/>
          <w:color w:val="auto"/>
        </w:rPr>
      </w:pPr>
    </w:p>
    <w:p>
      <w:pPr>
        <w:jc w:val="both"/>
        <w:ind w:right="380" w:firstLine="725"/>
        <w:spacing w:after="0" w:line="236" w:lineRule="auto"/>
        <w:tabs>
          <w:tab w:leader="none" w:pos="111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Applicable Law; Jury Trial Waiver</w:t>
      </w:r>
      <w:r>
        <w:rPr>
          <w:rFonts w:ascii="Times New Roman" w:cs="Times New Roman" w:eastAsia="Times New Roman" w:hAnsi="Times New Roman"/>
          <w:sz w:val="22"/>
          <w:szCs w:val="22"/>
          <w:color w:val="auto"/>
        </w:rPr>
        <w:t>. This Agreement shall be governed by and construed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94" w:lineRule="exact"/>
        <w:rPr>
          <w:rFonts w:ascii="Times New Roman" w:cs="Times New Roman" w:eastAsia="Times New Roman" w:hAnsi="Times New Roman"/>
          <w:sz w:val="22"/>
          <w:szCs w:val="22"/>
          <w:color w:val="auto"/>
        </w:rPr>
      </w:pPr>
    </w:p>
    <w:p>
      <w:pPr>
        <w:ind w:right="380" w:firstLine="725"/>
        <w:spacing w:after="0" w:line="262" w:lineRule="auto"/>
        <w:tabs>
          <w:tab w:leader="none" w:pos="111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respective successors and assigns, including any corporation with which</w:t>
      </w:r>
    </w:p>
    <w:p>
      <w:pPr>
        <w:spacing w:after="0" w:line="1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821055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or into which the Company may be merged or which may succeed to its assets or business (and, as used in this Agreement,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will mean the Company and any such successor corporation); provided, however, that the obligations of the Executive are personal and shall not be assigned by the Executive.</w:t>
      </w:r>
    </w:p>
    <w:p>
      <w:pPr>
        <w:spacing w:after="0" w:line="169" w:lineRule="exact"/>
        <w:rPr>
          <w:sz w:val="20"/>
          <w:szCs w:val="20"/>
          <w:color w:val="auto"/>
        </w:rPr>
      </w:pPr>
    </w:p>
    <w:p>
      <w:pPr>
        <w:jc w:val="both"/>
        <w:ind w:right="380" w:firstLine="725"/>
        <w:spacing w:after="0" w:line="246" w:lineRule="auto"/>
        <w:tabs>
          <w:tab w:leader="none" w:pos="11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Sections 5 and 7 through 22 hereof will survive and continue in full force and effect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their respective terms notwithstanding any expiration or termination of the Term of Employment and/or this Agreement.</w:t>
      </w:r>
    </w:p>
    <w:p>
      <w:pPr>
        <w:spacing w:after="0" w:line="167" w:lineRule="exact"/>
        <w:rPr>
          <w:rFonts w:ascii="Times New Roman" w:cs="Times New Roman" w:eastAsia="Times New Roman" w:hAnsi="Times New Roman"/>
          <w:sz w:val="22"/>
          <w:szCs w:val="22"/>
          <w:color w:val="auto"/>
        </w:rPr>
      </w:pPr>
    </w:p>
    <w:p>
      <w:pPr>
        <w:jc w:val="both"/>
        <w:ind w:right="380" w:firstLine="725"/>
        <w:spacing w:after="0" w:line="238" w:lineRule="auto"/>
        <w:tabs>
          <w:tab w:leader="none" w:pos="11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Pre-Employment Checks</w:t>
      </w:r>
      <w:r>
        <w:rPr>
          <w:rFonts w:ascii="Times New Roman" w:cs="Times New Roman" w:eastAsia="Times New Roman" w:hAnsi="Times New Roman"/>
          <w:sz w:val="22"/>
          <w:szCs w:val="22"/>
          <w:color w:val="auto"/>
        </w:rPr>
        <w:t>. The Executive acknowledges and agrees that the Executive’s employment,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this Agreement, are contingent upon satisfactory completion prior to the Start Date of pre-employment screening activities, including favorable reference checks of former employment, verification of the Executive’s ability to work in the United States, and educational background and criminal history checks. The Executive agrees to assist the Company as needed to facilitate the timely completion of such checks.</w:t>
      </w:r>
    </w:p>
    <w:p>
      <w:pPr>
        <w:spacing w:after="0" w:line="163" w:lineRule="exact"/>
        <w:rPr>
          <w:rFonts w:ascii="Times New Roman" w:cs="Times New Roman" w:eastAsia="Times New Roman" w:hAnsi="Times New Roman"/>
          <w:sz w:val="22"/>
          <w:szCs w:val="22"/>
          <w:color w:val="auto"/>
        </w:rPr>
      </w:pPr>
    </w:p>
    <w:p>
      <w:pPr>
        <w:jc w:val="both"/>
        <w:ind w:right="380" w:firstLine="725"/>
        <w:spacing w:after="0" w:line="241" w:lineRule="auto"/>
        <w:tabs>
          <w:tab w:leader="none" w:pos="11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Acknowledgment</w:t>
      </w:r>
      <w:r>
        <w:rPr>
          <w:rFonts w:ascii="Times New Roman" w:cs="Times New Roman" w:eastAsia="Times New Roman" w:hAnsi="Times New Roman"/>
          <w:sz w:val="22"/>
          <w:szCs w:val="22"/>
          <w:color w:val="auto"/>
        </w:rPr>
        <w:t>. The Executive states and represents that the Executive has had an opportunity to fully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discuss and 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71" w:lineRule="exact"/>
        <w:rPr>
          <w:rFonts w:ascii="Times New Roman" w:cs="Times New Roman" w:eastAsia="Times New Roman" w:hAnsi="Times New Roman"/>
          <w:sz w:val="22"/>
          <w:szCs w:val="22"/>
          <w:color w:val="auto"/>
        </w:rPr>
      </w:pPr>
    </w:p>
    <w:p>
      <w:pPr>
        <w:jc w:val="both"/>
        <w:ind w:right="380" w:firstLine="725"/>
        <w:spacing w:after="0" w:line="238" w:lineRule="auto"/>
        <w:tabs>
          <w:tab w:leader="none" w:pos="11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Oral Modification, Waiver, Cancellation or Discharge</w:t>
      </w:r>
      <w:r>
        <w:rPr>
          <w:rFonts w:ascii="Times New Roman" w:cs="Times New Roman" w:eastAsia="Times New Roman" w:hAnsi="Times New Roman"/>
          <w:sz w:val="22"/>
          <w:szCs w:val="22"/>
          <w:color w:val="auto"/>
        </w:rPr>
        <w:t>. This Agreement may be amended or modified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only by a written 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6" w:lineRule="exact"/>
        <w:rPr>
          <w:rFonts w:ascii="Times New Roman" w:cs="Times New Roman" w:eastAsia="Times New Roman" w:hAnsi="Times New Roman"/>
          <w:sz w:val="22"/>
          <w:szCs w:val="22"/>
          <w:color w:val="auto"/>
        </w:rPr>
      </w:pPr>
    </w:p>
    <w:p>
      <w:pPr>
        <w:jc w:val="both"/>
        <w:ind w:right="380" w:firstLine="725"/>
        <w:spacing w:after="0" w:line="241" w:lineRule="auto"/>
        <w:tabs>
          <w:tab w:leader="none" w:pos="11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Captions and Pronouns</w:t>
      </w:r>
      <w:r>
        <w:rPr>
          <w:rFonts w:ascii="Times New Roman" w:cs="Times New Roman" w:eastAsia="Times New Roman" w:hAnsi="Times New Roman"/>
          <w:sz w:val="22"/>
          <w:szCs w:val="22"/>
          <w:color w:val="auto"/>
        </w:rPr>
        <w:t>. The captions of the sections of this Agreement are for convenience of reference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only and in 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71" w:lineRule="exact"/>
        <w:rPr>
          <w:rFonts w:ascii="Times New Roman" w:cs="Times New Roman" w:eastAsia="Times New Roman" w:hAnsi="Times New Roman"/>
          <w:sz w:val="22"/>
          <w:szCs w:val="22"/>
          <w:color w:val="auto"/>
        </w:rPr>
      </w:pPr>
    </w:p>
    <w:p>
      <w:pPr>
        <w:jc w:val="both"/>
        <w:ind w:right="380" w:firstLine="725"/>
        <w:spacing w:after="0" w:line="241" w:lineRule="auto"/>
        <w:tabs>
          <w:tab w:leader="none" w:pos="11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The Parties agree that this Agreement will be construed without regard to any presumption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rule 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71" w:lineRule="exact"/>
        <w:rPr>
          <w:rFonts w:ascii="Times New Roman" w:cs="Times New Roman" w:eastAsia="Times New Roman" w:hAnsi="Times New Roman"/>
          <w:sz w:val="22"/>
          <w:szCs w:val="22"/>
          <w:color w:val="auto"/>
        </w:rPr>
      </w:pPr>
    </w:p>
    <w:p>
      <w:pPr>
        <w:jc w:val="both"/>
        <w:ind w:right="380" w:firstLine="725"/>
        <w:spacing w:after="0" w:line="241" w:lineRule="auto"/>
        <w:tabs>
          <w:tab w:leader="none" w:pos="111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Each provision of this Agreement must be interpreted in such manner as to be effective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 under applicable law, but if any provision of this Agreement is held to be prohibited by or invalid under applicable law, such provision will be ineffective only to the extent of such prohibition or invalidity, without invalidating the remainder of such provision or the</w:t>
      </w:r>
    </w:p>
    <w:p>
      <w:pPr>
        <w:spacing w:after="0" w:line="9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remaining provisions of this Agreement. Moreover, if a court of competent jurisdiction determines any of the provisions contained in this Agreement to be unenforceable because the provision is</w:t>
      </w:r>
    </w:p>
    <w:p>
      <w:pPr>
        <w:spacing w:after="0" w:line="19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821055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79"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2"/>
          <w:szCs w:val="22"/>
          <w:color w:val="auto"/>
        </w:rPr>
        <w:t>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69" w:lineRule="exact"/>
        <w:rPr>
          <w:sz w:val="20"/>
          <w:szCs w:val="20"/>
          <w:color w:val="auto"/>
        </w:rPr>
      </w:pPr>
    </w:p>
    <w:p>
      <w:pPr>
        <w:jc w:val="both"/>
        <w:ind w:left="380" w:right="380" w:firstLine="725"/>
        <w:spacing w:after="0" w:line="246" w:lineRule="auto"/>
        <w:tabs>
          <w:tab w:leader="none" w:pos="14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Agreement may be executed in several counterparts, each of which will be deemed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original but all of which together will constitute one and the same instrument. Facsimile, PDF, and electronic counterpart signatures to and versions of this Agreement will be acceptable and binding on the Parties.</w:t>
      </w:r>
    </w:p>
    <w:p>
      <w:pPr>
        <w:spacing w:after="0" w:line="167" w:lineRule="exact"/>
        <w:rPr>
          <w:rFonts w:ascii="Times New Roman" w:cs="Times New Roman" w:eastAsia="Times New Roman" w:hAnsi="Times New Roman"/>
          <w:sz w:val="22"/>
          <w:szCs w:val="22"/>
          <w:color w:val="auto"/>
        </w:rPr>
      </w:pPr>
    </w:p>
    <w:p>
      <w:pPr>
        <w:jc w:val="both"/>
        <w:ind w:left="380" w:right="380" w:firstLine="725"/>
        <w:spacing w:after="0" w:line="246" w:lineRule="auto"/>
        <w:tabs>
          <w:tab w:leader="none" w:pos="14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Agreement, including the agreements and arrangements referenced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constitutes the entire agreement between the Parties and supersedes all prior agreements and understandings, whether written or oral, relating to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[Signatures on Page Following]</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41"/>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Sapir</w:t>
            </w: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 Sapir</w:t>
            </w: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Curtis Oltmans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3" w:lineRule="exact"/>
        <w:rPr>
          <w:sz w:val="20"/>
          <w:szCs w:val="20"/>
          <w:color w:val="auto"/>
        </w:rPr>
      </w:pPr>
    </w:p>
    <w:p>
      <w:pPr>
        <w:ind w:left="760" w:hanging="378"/>
        <w:spacing w:after="0" w:line="241"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333-233452) pertaining to the 2016 Stock Incentive Plan, as amended,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333-236910) pertaining to the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right="260" w:hanging="378"/>
        <w:spacing w:after="0" w:line="230"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 No. 333-239353) and related Prospectus of Fulcrum Therapeutics, Inc. (as amended by Form S-3/A No. 333-239353);</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333-253862) pertaining to the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41" w:lineRule="auto"/>
        <w:tabs>
          <w:tab w:leader="none" w:pos="76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 (Form S-8 No. 333-262356) pertaining to the 2019 Stock Incentive Plan, 2019 Employee Stock Purchase Plan, and Inducement Stock Option Awards (September 2021 – January 2022) of Fulcrum Therapeutics, Inc.;</w:t>
      </w:r>
    </w:p>
    <w:p>
      <w:pPr>
        <w:spacing w:after="0" w:line="1" w:lineRule="exact"/>
        <w:rPr>
          <w:rFonts w:ascii="Times New Roman" w:cs="Times New Roman" w:eastAsia="Times New Roman" w:hAnsi="Times New Roman"/>
          <w:sz w:val="21"/>
          <w:szCs w:val="21"/>
          <w:color w:val="auto"/>
        </w:rPr>
      </w:pPr>
    </w:p>
    <w:p>
      <w:pPr>
        <w:ind w:left="760" w:hanging="378"/>
        <w:spacing w:after="0" w:line="230"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333-263249) pertaining to 2022 Inducement Stock Incentive Plan, and Inducement Stock Option Award (February 2022)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333-270385) pertaining to the 2019 Stock Incentive Plan, 2019 Employee Stock Purchase Plan, and 2022 Inducement Stock Incentive Plan, as amended,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333-277419) and related Prospectuses of Fulcrum Therapeutics, Inc.;</w:t>
      </w:r>
    </w:p>
    <w:p>
      <w:pPr>
        <w:jc w:val="both"/>
        <w:ind w:left="760" w:hanging="378"/>
        <w:spacing w:after="0" w:line="241" w:lineRule="auto"/>
        <w:tabs>
          <w:tab w:leader="none" w:pos="76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 (Form S-8 No. 333-277421) pertaining to the 2019 Stock Incentive Plan, 2019 Employee Stock Purchase Plan, 2022 Inducement Stock Incentive Plan, as amended, and Inducement Stock Option Awards (August 2023</w:t>
      </w:r>
    </w:p>
    <w:p>
      <w:pPr>
        <w:spacing w:after="0" w:line="1" w:lineRule="exact"/>
        <w:rPr>
          <w:rFonts w:ascii="Times New Roman" w:cs="Times New Roman" w:eastAsia="Times New Roman" w:hAnsi="Times New Roman"/>
          <w:sz w:val="21"/>
          <w:szCs w:val="21"/>
          <w:color w:val="auto"/>
        </w:rPr>
      </w:pPr>
    </w:p>
    <w:p>
      <w:pPr>
        <w:ind w:left="76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December 2023) of Fulcrum Therapeutics, Inc.;</w:t>
      </w:r>
    </w:p>
    <w:p>
      <w:pPr>
        <w:ind w:left="760" w:right="20" w:hanging="378"/>
        <w:spacing w:after="0" w:line="230"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333-281119) pertaining to the 2022 Inducement Stock Incentive Plan, as amended, of Fulcrum Therapeutics, Inc.; and</w:t>
      </w:r>
    </w:p>
    <w:p>
      <w:pPr>
        <w:spacing w:after="0" w:line="1"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333-285180) pertaining to the 2019 Stock Incentive Plan and the 2019 Employee Stock Purchase Plan of Fulcrum Therapeutics,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our report dated February 24, 2026, with respect to the consolidated financial statements of Fulcrum Therapeutics,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included in this Annual Report (Form 10-K) of Fulcrum Therapeutics, Inc. for the year ended December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6" w:name="page137"/>
    <w:bookmarkEnd w:id="13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72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  /s/ Alex C. Sapir</w:t>
            </w:r>
          </w:p>
        </w:tc>
      </w:tr>
      <w:tr>
        <w:trPr>
          <w:trHeight w:val="191"/>
        </w:trPr>
        <w:tc>
          <w:tcPr>
            <w:tcW w:w="40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Alex C. Sapir</w:t>
            </w:r>
          </w:p>
        </w:tc>
      </w:tr>
      <w:tr>
        <w:trPr>
          <w:trHeight w:val="216"/>
        </w:trPr>
        <w:tc>
          <w:tcPr>
            <w:tcW w:w="4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0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40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2026</w:t>
            </w:r>
          </w:p>
        </w:tc>
        <w:tc>
          <w:tcPr>
            <w:tcW w:w="704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Alan Musso</w:t>
            </w:r>
          </w:p>
        </w:tc>
      </w:tr>
      <w:tr>
        <w:trPr>
          <w:trHeight w:val="191"/>
        </w:trPr>
        <w:tc>
          <w:tcPr>
            <w:tcW w:w="4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16"/>
        </w:trPr>
        <w:tc>
          <w:tcPr>
            <w:tcW w:w="4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42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Fulcrum Therapeutics, Inc. (the “Company”) for the year ended December 31, 2025,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Fulcrum Therapeutics, Inc. (the “Company”) for the year ended December 31, 2025,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780" w:hanging="263"/>
        <w:spacing w:after="0"/>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tab/>
        <w:t>/s/ Alan Musso</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lvl w:ilvl="1">
      <w:lvlJc w:val="left"/>
      <w:lvlText w:val="o"/>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decimal"/>
      <w:start w:val="2"/>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1)"/>
      <w:numFmt w:val="lowerLetter"/>
      <w:start w:val="2"/>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lvl w:ilvl="1">
      <w:lvlJc w:val="left"/>
      <w:lvlText w:val="o"/>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Roman"/>
      <w:start w:val="1"/>
    </w:lvl>
  </w:abstractNum>
  <w:abstractNum w:abstractNumId="60">
    <w:nsid w:val="3B0FD379"/>
    <w:multiLevelType w:val="hybridMultilevel"/>
    <w:lvl w:ilvl="0">
      <w:lvlJc w:val="left"/>
      <w:lvlText w:val="(%1)"/>
      <w:numFmt w:val="lowerRoman"/>
      <w:start w:val="1"/>
    </w:lvl>
  </w:abstractNum>
  <w:abstractNum w:abstractNumId="61">
    <w:nsid w:val="68EB2F63"/>
    <w:multiLevelType w:val="hybridMultilevel"/>
    <w:lvl w:ilvl="0">
      <w:lvlJc w:val="left"/>
      <w:lvlText w:val="(%1)"/>
      <w:numFmt w:val="lowerRoman"/>
      <w:start w:val="3"/>
    </w:lvl>
  </w:abstractNum>
  <w:abstractNum w:abstractNumId="62">
    <w:nsid w:val="4962813B"/>
    <w:multiLevelType w:val="hybridMultilevel"/>
    <w:lvl w:ilvl="0">
      <w:lvlJc w:val="left"/>
      <w:lvlText w:val="#"/>
      <w:numFmt w:val="bullet"/>
      <w:start w:val="1"/>
    </w:lvl>
    <w:lvl w:ilvl="1">
      <w:lvlJc w:val="left"/>
      <w:lvlText w:val="%2"/>
      <w:numFmt w:val="decimal"/>
      <w:start w:val="104"/>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4"/>
    </w:lvl>
    <w:lvl w:ilvl="1">
      <w:lvlJc w:val="left"/>
      <w:lvlText w:val="(%2)"/>
      <w:numFmt w:val="lowerLetter"/>
      <w:start w:val="1"/>
    </w:lvl>
  </w:abstractNum>
  <w:abstractNum w:abstractNumId="66">
    <w:nsid w:val="7FFFCA11"/>
    <w:multiLevelType w:val="hybridMultilevel"/>
    <w:lvl w:ilvl="0">
      <w:lvlJc w:val="left"/>
      <w:lvlText w:val="%1)"/>
      <w:numFmt w:val="lowerLetter"/>
      <w:start w:val="3"/>
    </w:lvl>
  </w:abstractNum>
  <w:abstractNum w:abstractNumId="67">
    <w:nsid w:val="1A27709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1"/>
    </w:lvl>
    <w:lvl w:ilvl="4">
      <w:lvlJc w:val="left"/>
      <w:lvlText w:val="(%5)"/>
      <w:numFmt w:val="lowerLetter"/>
      <w:start w:val="4"/>
    </w:lvl>
  </w:abstractNum>
  <w:abstractNum w:abstractNumId="68">
    <w:nsid w:val="71EA110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69">
    <w:nsid w:val="100F59D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lvl w:ilvl="3">
      <w:lvlJc w:val="left"/>
      <w:lvlText w:val="(%4)"/>
      <w:numFmt w:val="lowerLetter"/>
      <w:start w:val="7"/>
    </w:lvl>
    <w:lvl w:ilvl="4">
      <w:lvlJc w:val="left"/>
      <w:lvlText w:val="%5"/>
      <w:numFmt w:val="lowerLetter"/>
      <w:start w:val="1"/>
    </w:lvl>
  </w:abstractNum>
  <w:abstractNum w:abstractNumId="70">
    <w:nsid w:val="7FB7E0AA"/>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lvl w:ilvl="3">
      <w:lvlJc w:val="left"/>
      <w:lvlText w:val="(%4)"/>
      <w:numFmt w:val="lowerLetter"/>
      <w:start w:val="2"/>
    </w:lvl>
    <w:lvl w:ilvl="4">
      <w:lvlJc w:val="left"/>
      <w:lvlText w:val="%5"/>
      <w:numFmt w:val="lowerLetter"/>
      <w:start w:val="1"/>
    </w:lvl>
  </w:abstractNum>
  <w:abstractNum w:abstractNumId="71">
    <w:nsid w:val="6EB5BD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lvl w:ilvl="3">
      <w:lvlJc w:val="left"/>
      <w:lvlText w:val="%4"/>
      <w:numFmt w:val="lowerLetter"/>
      <w:start w:val="1"/>
    </w:lvl>
    <w:lvl w:ilvl="4">
      <w:lvlJc w:val="left"/>
      <w:lvlText w:val="%5"/>
      <w:numFmt w:val="lowerLetter"/>
      <w:start w:val="1"/>
    </w:lvl>
  </w:abstractNum>
  <w:abstractNum w:abstractNumId="72">
    <w:nsid w:val="6F6DD9AC"/>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73">
    <w:nsid w:val="94211F2"/>
    <w:multiLevelType w:val="hybridMultilevel"/>
    <w:lvl w:ilvl="0">
      <w:lvlJc w:val="left"/>
      <w:lvlText w:val="(%1)"/>
      <w:numFmt w:val="lowerRoman"/>
      <w:start w:val="3"/>
    </w:lvl>
    <w:lvl w:ilvl="1">
      <w:lvlJc w:val="left"/>
      <w:lvlText w:val="(%2)"/>
      <w:numFmt w:val="lowerLetter"/>
      <w:start w:val="3"/>
    </w:lvl>
  </w:abstractNum>
  <w:abstractNum w:abstractNumId="74">
    <w:nsid w:val="885E1B"/>
    <w:multiLevelType w:val="hybridMultilevel"/>
    <w:lvl w:ilvl="0">
      <w:lvlJc w:val="left"/>
      <w:lvlText w:val="(%1)"/>
      <w:numFmt w:val="lowerRoman"/>
      <w:start w:val="1"/>
    </w:lvl>
  </w:abstractNum>
  <w:abstractNum w:abstractNumId="75">
    <w:nsid w:val="76272110"/>
    <w:multiLevelType w:val="hybridMultilevel"/>
    <w:lvl w:ilvl="0">
      <w:lvlJc w:val="left"/>
      <w:lvlText w:val="(%1)"/>
      <w:numFmt w:val="lowerRoman"/>
      <w:start w:val="3"/>
    </w:lvl>
  </w:abstractNum>
  <w:abstractNum w:abstractNumId="76">
    <w:nsid w:val="4C04A8AF"/>
    <w:multiLevelType w:val="hybridMultilevel"/>
    <w:lvl w:ilvl="0">
      <w:lvlJc w:val="left"/>
      <w:lvlText w:val="%1."/>
      <w:numFmt w:val="decimal"/>
      <w:start w:val="7"/>
    </w:lvl>
  </w:abstractNum>
  <w:abstractNum w:abstractNumId="77">
    <w:nsid w:val="1716703B"/>
    <w:multiLevelType w:val="hybridMultilevel"/>
    <w:lvl w:ilvl="0">
      <w:lvlJc w:val="left"/>
      <w:lvlText w:val="%1"/>
      <w:numFmt w:val="lowerLetter"/>
      <w:start w:val="1"/>
    </w:lvl>
    <w:lvl w:ilvl="1">
      <w:lvlJc w:val="left"/>
      <w:lvlText w:val="(%2)"/>
      <w:numFmt w:val="lowerLetter"/>
      <w:start w:val="1"/>
    </w:lvl>
  </w:abstractNum>
  <w:abstractNum w:abstractNumId="78">
    <w:nsid w:val="14E17E33"/>
    <w:multiLevelType w:val="hybridMultilevel"/>
    <w:lvl w:ilvl="0">
      <w:lvlJc w:val="left"/>
      <w:lvlText w:val="(%1)"/>
      <w:numFmt w:val="lowerLetter"/>
      <w:start w:val="9"/>
    </w:lvl>
    <w:lvl w:ilvl="1">
      <w:lvlJc w:val="left"/>
      <w:lvlText w:val="(%2)"/>
      <w:numFmt w:val="lowerLetter"/>
      <w:start w:val="2"/>
    </w:lvl>
  </w:abstractNum>
  <w:abstractNum w:abstractNumId="79">
    <w:nsid w:val="3222E7CD"/>
    <w:multiLevelType w:val="hybridMultilevel"/>
    <w:lvl w:ilvl="0">
      <w:lvlJc w:val="left"/>
      <w:lvlText w:val="%1"/>
      <w:numFmt w:val="lowerRoman"/>
      <w:start w:val="1"/>
    </w:lvl>
    <w:lvl w:ilvl="1">
      <w:lvlJc w:val="left"/>
      <w:lvlText w:val="(%2)"/>
      <w:numFmt w:val="lowerLetter"/>
      <w:start w:val="3"/>
    </w:lvl>
  </w:abstractNum>
  <w:abstractNum w:abstractNumId="80">
    <w:nsid w:val="74DE0EE3"/>
    <w:multiLevelType w:val="hybridMultilevel"/>
    <w:lvl w:ilvl="0">
      <w:lvlJc w:val="left"/>
      <w:lvlText w:val="(%1)"/>
      <w:numFmt w:val="lowerRoman"/>
      <w:start w:val="2"/>
    </w:lvl>
    <w:lvl w:ilvl="1">
      <w:lvlJc w:val="left"/>
      <w:lvlText w:val="%2"/>
      <w:numFmt w:val="lowerLetter"/>
      <w:start w:val="1"/>
    </w:lvl>
  </w:abstractNum>
  <w:abstractNum w:abstractNumId="81">
    <w:nsid w:val="68EBC550"/>
    <w:multiLevelType w:val="hybridMultilevel"/>
    <w:lvl w:ilvl="0">
      <w:lvlJc w:val="left"/>
      <w:lvlText w:val="(%1)"/>
      <w:numFmt w:val="lowerRoman"/>
      <w:start w:val="4"/>
    </w:lvl>
    <w:lvl w:ilvl="1">
      <w:lvlJc w:val="left"/>
      <w:lvlText w:val="(%2)"/>
      <w:numFmt w:val="lowerLetter"/>
      <w:start w:val="4"/>
    </w:lvl>
  </w:abstractNum>
  <w:abstractNum w:abstractNumId="82">
    <w:nsid w:val="2DF6D648"/>
    <w:multiLevelType w:val="hybridMultilevel"/>
    <w:lvl w:ilvl="0">
      <w:lvlJc w:val="left"/>
      <w:lvlText w:val="§§"/>
      <w:numFmt w:val="bullet"/>
      <w:start w:val="1"/>
    </w:lvl>
    <w:lvl w:ilvl="1">
      <w:lvlJc w:val="left"/>
      <w:lvlText w:val="(%2)"/>
      <w:numFmt w:val="lowerLetter"/>
      <w:start w:val="5"/>
    </w:lvl>
  </w:abstractNum>
  <w:abstractNum w:abstractNumId="83">
    <w:nsid w:val="46B7D447"/>
    <w:multiLevelType w:val="hybridMultilevel"/>
    <w:lvl w:ilvl="0">
      <w:lvlJc w:val="left"/>
      <w:lvlText w:val="%1."/>
      <w:numFmt w:val="decimal"/>
      <w:start w:val="8"/>
    </w:lvl>
  </w:abstractNum>
  <w:abstractNum w:abstractNumId="84">
    <w:nsid w:val="4A2AC315"/>
    <w:multiLevelType w:val="hybridMultilevel"/>
    <w:lvl w:ilvl="0">
      <w:lvlJc w:val="left"/>
      <w:lvlText w:val="(%1)"/>
      <w:numFmt w:val="lowerLetter"/>
      <w:start w:val="1"/>
    </w:lvl>
    <w:lvl w:ilvl="1">
      <w:lvlJc w:val="left"/>
      <w:lvlText w:val="(%2)"/>
      <w:numFmt w:val="lowerLetter"/>
      <w:start w:val="2"/>
    </w:lvl>
  </w:abstractNum>
  <w:abstractNum w:abstractNumId="85">
    <w:nsid w:val="39EE015C"/>
    <w:multiLevelType w:val="hybridMultilevel"/>
    <w:lvl w:ilvl="0">
      <w:lvlJc w:val="left"/>
      <w:lvlText w:val="(%1)"/>
      <w:numFmt w:val="lowerRoman"/>
      <w:start w:val="1"/>
    </w:lvl>
  </w:abstractNum>
  <w:abstractNum w:abstractNumId="86">
    <w:nsid w:val="57FC4FBB"/>
    <w:multiLevelType w:val="hybridMultilevel"/>
    <w:lvl w:ilvl="0">
      <w:lvlJc w:val="left"/>
      <w:lvlText w:val="(%1)"/>
      <w:numFmt w:val="lowerLetter"/>
      <w:start w:val="22"/>
    </w:lvl>
    <w:lvl w:ilvl="1">
      <w:lvlJc w:val="left"/>
      <w:lvlText w:val="(%2)"/>
      <w:numFmt w:val="lowerRoman"/>
      <w:start w:val="6"/>
    </w:lvl>
    <w:lvl w:ilvl="2">
      <w:lvlJc w:val="left"/>
      <w:lvlText w:val="(%3)"/>
      <w:numFmt w:val="decimal"/>
      <w:start w:val="6"/>
    </w:lvl>
  </w:abstractNum>
  <w:abstractNum w:abstractNumId="87">
    <w:nsid w:val="CC1016F"/>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88">
    <w:nsid w:val="43F18422"/>
    <w:multiLevelType w:val="hybridMultilevel"/>
    <w:lvl w:ilvl="0">
      <w:lvlJc w:val="left"/>
      <w:lvlText w:val="(%1)"/>
      <w:numFmt w:val="lowerRoman"/>
      <w:start w:val="3"/>
    </w:lvl>
  </w:abstractNum>
  <w:abstractNum w:abstractNumId="89">
    <w:nsid w:val="60EF0119"/>
    <w:multiLevelType w:val="hybridMultilevel"/>
    <w:lvl w:ilvl="0">
      <w:lvlJc w:val="left"/>
      <w:lvlText w:val="%1."/>
      <w:numFmt w:val="decimal"/>
      <w:start w:val="9"/>
    </w:lvl>
  </w:abstractNum>
  <w:abstractNum w:abstractNumId="90">
    <w:nsid w:val="26F324BA"/>
    <w:multiLevelType w:val="hybridMultilevel"/>
    <w:lvl w:ilvl="0">
      <w:lvlJc w:val="left"/>
      <w:lvlText w:val="%1."/>
      <w:numFmt w:val="decimal"/>
      <w:start w:val="12"/>
    </w:lvl>
  </w:abstractNum>
  <w:abstractNum w:abstractNumId="91">
    <w:nsid w:val="7F01579B"/>
    <w:multiLevelType w:val="hybridMultilevel"/>
    <w:lvl w:ilvl="0">
      <w:lvlJc w:val="left"/>
      <w:lvlText w:val="%1."/>
      <w:numFmt w:val="decimal"/>
      <w:start w:val="14"/>
    </w:lvl>
  </w:abstractNum>
  <w:abstractNum w:abstractNumId="92">
    <w:nsid w:val="49DA307D"/>
    <w:multiLevelType w:val="hybridMultilevel"/>
    <w:lvl w:ilvl="0">
      <w:lvlJc w:val="left"/>
      <w:lvlText w:val="%1."/>
      <w:numFmt w:val="decimal"/>
      <w:start w:val="2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286" Type="http://schemas.openxmlformats.org/officeDocument/2006/relationships/hyperlink" Target="https://www.sec.gov/Archives/edgar/data/0001680581/000104746919004324/a2239321zex-3_1.htm" TargetMode="External"/><Relationship Id="rId287" Type="http://schemas.openxmlformats.org/officeDocument/2006/relationships/hyperlink" Target="https://www.sec.gov/Archives/edgar/data/1680581/000119312523164435/d463131dex31.htm" TargetMode="External"/><Relationship Id="rId288" Type="http://schemas.openxmlformats.org/officeDocument/2006/relationships/hyperlink" Target="https://www.sec.gov/Archives/edgar/data/0001680581/000104746919004324/a2239321zex-3_2.htm" TargetMode="External"/><Relationship Id="rId289" Type="http://schemas.openxmlformats.org/officeDocument/2006/relationships/hyperlink" Target="https://www.sec.gov/Archives/edgar/data/1680581/000104746919003793/a2239080zex-4_1.htm" TargetMode="External"/><Relationship Id="rId290" Type="http://schemas.openxmlformats.org/officeDocument/2006/relationships/hyperlink" Target="https://www.sec.gov/Archives/edgar/data/1680581/000156459020008951/fulc-ex42_198.htm" TargetMode="External"/><Relationship Id="rId291" Type="http://schemas.openxmlformats.org/officeDocument/2006/relationships/hyperlink" Target="https://www.sec.gov/Archives/edgar/data/1680581/000104746919003793/a2239080zex-10_2.htm" TargetMode="External"/><Relationship Id="rId292" Type="http://schemas.openxmlformats.org/officeDocument/2006/relationships/hyperlink" Target="https://www.sec.gov/Archives/edgar/data/1680581/000104746919003793/a2239080zex-10_3.htm" TargetMode="External"/><Relationship Id="rId293" Type="http://schemas.openxmlformats.org/officeDocument/2006/relationships/hyperlink" Target="https://www.sec.gov/Archives/edgar/data/1680581/000104746919003793/a2239080zex-10_4.htm" TargetMode="External"/><Relationship Id="rId294" Type="http://schemas.openxmlformats.org/officeDocument/2006/relationships/hyperlink" Target="https://www.sec.gov/Archives/edgar/data/1680581/000104746919003793/a2239080zex-10_5.htm" TargetMode="External"/><Relationship Id="rId295" Type="http://schemas.openxmlformats.org/officeDocument/2006/relationships/hyperlink" Target="https://www.sec.gov/Archives/edgar/data/0001680581/000104746919004014/a2239182zex-10_6.htm" TargetMode="External"/><Relationship Id="rId296" Type="http://schemas.openxmlformats.org/officeDocument/2006/relationships/hyperlink" Target="https://www.sec.gov/Archives/edgar/data/0001680581/000104746919004014/a2239182zex-10_7.htm" TargetMode="External"/><Relationship Id="rId297" Type="http://schemas.openxmlformats.org/officeDocument/2006/relationships/hyperlink" Target="https://www.sec.gov/Archives/edgar/data/1680581/000156459021054234/fulc-ex101_13.htm" TargetMode="External"/><Relationship Id="rId298" Type="http://schemas.openxmlformats.org/officeDocument/2006/relationships/hyperlink" Target="https://www.sec.gov/Archives/edgar/data/1680581/000095017022002727/fulc-ex10_10.htm" TargetMode="External"/><Relationship Id="rId299" Type="http://schemas.openxmlformats.org/officeDocument/2006/relationships/hyperlink" Target="https://www.sec.gov/Archives/edgar/data/0001680581/000104746919004014/a2239182zex-10_8.htm" TargetMode="External"/><Relationship Id="rId300" Type="http://schemas.openxmlformats.org/officeDocument/2006/relationships/hyperlink" Target="https://www.sec.gov/Archives/edgar/data/1680581/000095017022002727/fulc-ex10_12.htm" TargetMode="External"/><Relationship Id="rId301" Type="http://schemas.openxmlformats.org/officeDocument/2006/relationships/hyperlink" Target="https://www.sec.gov/Archives/edgar/data/1680581/000095017023006841/fulc-ex10_13.htm" TargetMode="External"/><Relationship Id="rId302" Type="http://schemas.openxmlformats.org/officeDocument/2006/relationships/hyperlink" Target="https://www.sec.gov/Archives/edgar/data/1680581/000095017024021074/fulc-ex10_12.htm" TargetMode="External"/><Relationship Id="rId303" Type="http://schemas.openxmlformats.org/officeDocument/2006/relationships/hyperlink" Target="https://www.sec.gov/Archives/edgar/data/1680581/000095017024088238/fulc-ex10_2.htm" TargetMode="External"/><Relationship Id="rId304" Type="http://schemas.openxmlformats.org/officeDocument/2006/relationships/hyperlink" Target="https://www.sec.gov/Archives/edgar/data/1680581/000095017022002727/fulc-ex10_13.htm" TargetMode="External"/><Relationship Id="rId307" Type="http://schemas.openxmlformats.org/officeDocument/2006/relationships/hyperlink" Target="https://www.sec.gov/Archives/edgar/data/1680581/000095017022002727/fulc-ex10_14.htm" TargetMode="External"/><Relationship Id="rId308" Type="http://schemas.openxmlformats.org/officeDocument/2006/relationships/hyperlink" Target="https://www.sec.gov/Archives/edgar/data/0001680581/000104746919004014/a2239182zex-10_12.htm" TargetMode="External"/><Relationship Id="rId309" Type="http://schemas.openxmlformats.org/officeDocument/2006/relationships/hyperlink" Target="https://www.sec.gov/Archives/edgar/data/1680581/000095017023037579/fulc-ex10_2.htm" TargetMode="External"/><Relationship Id="rId310" Type="http://schemas.openxmlformats.org/officeDocument/2006/relationships/hyperlink" Target="https://www.sec.gov/Archives/edgar/data/1680581/000095017023059755/fulc-ex10_2.htm" TargetMode="External"/><Relationship Id="rId311" Type="http://schemas.openxmlformats.org/officeDocument/2006/relationships/hyperlink" Target="https://www.sec.gov/Archives/edgar/data/0001680581/000104746919003793/a2239080zex-10_15.htm" TargetMode="External"/><Relationship Id="rId312" Type="http://schemas.openxmlformats.org/officeDocument/2006/relationships/hyperlink" Target="https://www.sec.gov/Archives/edgar/data/1680581/000095017023059755/fulc-ex10_1.htm" TargetMode="External"/><Relationship Id="rId313" Type="http://schemas.openxmlformats.org/officeDocument/2006/relationships/hyperlink" Target="https://www.sec.gov/Archives/edgar/data/1680581/000104746919003793/a2239080zex-10_11.htm" TargetMode="External"/><Relationship Id="rId314" Type="http://schemas.openxmlformats.org/officeDocument/2006/relationships/hyperlink" Target="https://www.sec.gov/Archives/edgar/data/1680581/000119312524048095/d785884dex12.htm" TargetMode="External"/><Relationship Id="rId315" Type="http://schemas.openxmlformats.org/officeDocument/2006/relationships/hyperlink" Target="https://www.sec.gov/Archives/edgar/data/1680581/000119312524205347/d98656dex41.htm" TargetMode="External"/><Relationship Id="rId316" Type="http://schemas.openxmlformats.org/officeDocument/2006/relationships/hyperlink" Target="https://www.sec.gov/Archives/edgar/data/1680581/000119312525314728/fulc-ex4_1.htm" TargetMode="External"/><Relationship Id="rId317" Type="http://schemas.openxmlformats.org/officeDocument/2006/relationships/hyperlink" Target="https://www.sec.gov/Archives/edgar/data/1680581/000095017025026068/fulc-ex19_1.htm" TargetMode="External"/><Relationship Id="rId318" Type="http://schemas.openxmlformats.org/officeDocument/2006/relationships/hyperlink" Target="https://www.sec.gov/Archives/edgar/data/1680581/000095017024021074/fulc-ex21_1.htm" TargetMode="External"/><Relationship Id="rId319" Type="http://schemas.openxmlformats.org/officeDocument/2006/relationships/hyperlink" Target="https://www.sec.gov/Archives/edgar/data/1680581/000095017024021074/fulc-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2026-02-24T06:23:32Z</dcterms:created>
  <dcterms:modified xsi:type="dcterms:W3CDTF">2026-02-24T06:23:32Z</dcterms:modified>
</cp:coreProperties>
</file>